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262CD7" w:rsidP="00B112AC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:rsidR="00C16BD2" w:rsidRPr="00C16BD2" w:rsidRDefault="00C16BD2" w:rsidP="00C16BD2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>Ekonomické subjekty se mohou díky internetu velmi efektivně nejen prezentovat a zvyšovat povědomí o své existenci – budovat své dobré jméno – ale i komunikovat se svými zákazníky či dodavateli. Na</w:t>
      </w:r>
      <w:r w:rsidR="00A961FE">
        <w:rPr>
          <w:rFonts w:ascii="Arial" w:hAnsi="Arial" w:cs="Arial"/>
          <w:i/>
          <w:sz w:val="20"/>
          <w:szCs w:val="20"/>
        </w:rPr>
        <w:t xml:space="preserve"> webových stránkách firmy</w:t>
      </w:r>
      <w:r w:rsidRPr="00C16BD2">
        <w:rPr>
          <w:rFonts w:ascii="Arial" w:hAnsi="Arial" w:cs="Arial"/>
          <w:i/>
          <w:sz w:val="20"/>
          <w:szCs w:val="20"/>
        </w:rPr>
        <w:t xml:space="preserve"> představují nejen samy sebe a své produkty, ale v mnoha případech přes vlastní webové stránky i tyto produkty prodávají. </w:t>
      </w:r>
    </w:p>
    <w:p w:rsidR="00B112AC" w:rsidRPr="00B112AC" w:rsidRDefault="00B112AC" w:rsidP="006C7086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6C7086" w:rsidRPr="004B6543" w:rsidRDefault="006C7086" w:rsidP="004B654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B6543">
        <w:rPr>
          <w:rFonts w:ascii="Arial" w:hAnsi="Arial" w:cs="Arial"/>
          <w:sz w:val="20"/>
        </w:rPr>
        <w:t>V roce 20</w:t>
      </w:r>
      <w:r w:rsidR="004B6543" w:rsidRPr="004B6543">
        <w:rPr>
          <w:rFonts w:ascii="Arial" w:hAnsi="Arial" w:cs="Arial"/>
          <w:sz w:val="20"/>
        </w:rPr>
        <w:t>20</w:t>
      </w:r>
      <w:r w:rsidRPr="004B6543">
        <w:rPr>
          <w:rFonts w:ascii="Arial" w:hAnsi="Arial" w:cs="Arial"/>
          <w:sz w:val="20"/>
        </w:rPr>
        <w:t xml:space="preserve"> mělo v České republice</w:t>
      </w:r>
      <w:r w:rsidR="00B10B10" w:rsidRPr="004B6543">
        <w:rPr>
          <w:rFonts w:ascii="Arial" w:hAnsi="Arial" w:cs="Arial"/>
          <w:sz w:val="20"/>
        </w:rPr>
        <w:t xml:space="preserve"> webovou prezentaci na svých</w:t>
      </w:r>
      <w:r w:rsidRPr="004B6543">
        <w:rPr>
          <w:rFonts w:ascii="Arial" w:hAnsi="Arial" w:cs="Arial"/>
          <w:sz w:val="20"/>
        </w:rPr>
        <w:t xml:space="preserve"> </w:t>
      </w:r>
      <w:r w:rsidRPr="004B6543">
        <w:rPr>
          <w:rFonts w:ascii="Arial" w:hAnsi="Arial" w:cs="Arial"/>
          <w:b/>
          <w:sz w:val="20"/>
        </w:rPr>
        <w:t>webov</w:t>
      </w:r>
      <w:r w:rsidR="00B10B10" w:rsidRPr="004B6543">
        <w:rPr>
          <w:rFonts w:ascii="Arial" w:hAnsi="Arial" w:cs="Arial"/>
          <w:b/>
          <w:sz w:val="20"/>
        </w:rPr>
        <w:t>ých</w:t>
      </w:r>
      <w:r w:rsidRPr="004B6543">
        <w:rPr>
          <w:rFonts w:ascii="Arial" w:hAnsi="Arial" w:cs="Arial"/>
          <w:b/>
          <w:sz w:val="20"/>
        </w:rPr>
        <w:t xml:space="preserve"> stránk</w:t>
      </w:r>
      <w:r w:rsidR="00B10B10" w:rsidRPr="004B6543">
        <w:rPr>
          <w:rFonts w:ascii="Arial" w:hAnsi="Arial" w:cs="Arial"/>
          <w:b/>
          <w:sz w:val="20"/>
        </w:rPr>
        <w:t>ách</w:t>
      </w:r>
      <w:r w:rsidRPr="004B6543">
        <w:rPr>
          <w:rFonts w:ascii="Arial" w:hAnsi="Arial" w:cs="Arial"/>
          <w:sz w:val="20"/>
        </w:rPr>
        <w:t xml:space="preserve"> 83 % firem s deseti a více zaměstnanci. Oproti roku 2001, kdy </w:t>
      </w:r>
      <w:r w:rsidR="00B10B10" w:rsidRPr="004B6543">
        <w:rPr>
          <w:rFonts w:ascii="Arial" w:hAnsi="Arial" w:cs="Arial"/>
          <w:sz w:val="20"/>
        </w:rPr>
        <w:t>fungovala na webu</w:t>
      </w:r>
      <w:r w:rsidRPr="004B6543">
        <w:rPr>
          <w:rFonts w:ascii="Arial" w:hAnsi="Arial" w:cs="Arial"/>
          <w:sz w:val="20"/>
        </w:rPr>
        <w:t xml:space="preserve"> necelá polovina subjektů (45</w:t>
      </w:r>
      <w:r w:rsidR="008B1764" w:rsidRPr="004B6543">
        <w:rPr>
          <w:rFonts w:ascii="Arial" w:hAnsi="Arial" w:cs="Arial"/>
          <w:sz w:val="20"/>
        </w:rPr>
        <w:t> </w:t>
      </w:r>
      <w:r w:rsidRPr="004B6543">
        <w:rPr>
          <w:rFonts w:ascii="Arial" w:hAnsi="Arial" w:cs="Arial"/>
          <w:sz w:val="20"/>
        </w:rPr>
        <w:t xml:space="preserve">%), se jejich podíl téměř zdvojnásobil. Nejvyšší nárůst podílu firem s webovými stránkami zaznamenal ČSÚ před rokem 2004, v následujících letech tento podíl narůstal už jen pozvolna a od roku 2014 stagnuje. Webovou prezentaci měly v posledním šetření nejčastěji </w:t>
      </w:r>
      <w:r w:rsidR="004B6543" w:rsidRPr="004B6543">
        <w:rPr>
          <w:rFonts w:ascii="Arial" w:hAnsi="Arial" w:cs="Arial"/>
          <w:sz w:val="20"/>
        </w:rPr>
        <w:t>cestovní agentury či kanceláře</w:t>
      </w:r>
      <w:r w:rsidR="00FD30C4" w:rsidRPr="004B6543">
        <w:rPr>
          <w:rFonts w:ascii="Arial" w:hAnsi="Arial" w:cs="Arial"/>
          <w:sz w:val="20"/>
        </w:rPr>
        <w:t xml:space="preserve"> (9</w:t>
      </w:r>
      <w:r w:rsidR="004B6543" w:rsidRPr="004B6543">
        <w:rPr>
          <w:rFonts w:ascii="Arial" w:hAnsi="Arial" w:cs="Arial"/>
          <w:sz w:val="20"/>
        </w:rPr>
        <w:t>8</w:t>
      </w:r>
      <w:r w:rsidR="008B1764" w:rsidRPr="004B6543">
        <w:rPr>
          <w:rFonts w:ascii="Arial" w:hAnsi="Arial" w:cs="Arial"/>
          <w:sz w:val="20"/>
        </w:rPr>
        <w:t> </w:t>
      </w:r>
      <w:r w:rsidR="00FD30C4" w:rsidRPr="004B6543">
        <w:rPr>
          <w:rFonts w:ascii="Arial" w:hAnsi="Arial" w:cs="Arial"/>
          <w:sz w:val="20"/>
        </w:rPr>
        <w:t>%)</w:t>
      </w:r>
      <w:r w:rsidR="004B6543" w:rsidRPr="004B6543">
        <w:rPr>
          <w:rFonts w:ascii="Arial" w:hAnsi="Arial" w:cs="Arial"/>
          <w:sz w:val="20"/>
        </w:rPr>
        <w:t xml:space="preserve">, subjekty </w:t>
      </w:r>
      <w:r w:rsidR="00FD30C4" w:rsidRPr="004B6543">
        <w:rPr>
          <w:rFonts w:ascii="Arial" w:hAnsi="Arial" w:cs="Arial"/>
          <w:sz w:val="20"/>
        </w:rPr>
        <w:t xml:space="preserve"> </w:t>
      </w:r>
      <w:r w:rsidR="004B6543" w:rsidRPr="004B6543">
        <w:rPr>
          <w:rFonts w:ascii="Arial" w:hAnsi="Arial" w:cs="Arial"/>
          <w:sz w:val="20"/>
        </w:rPr>
        <w:t xml:space="preserve">působící v mediálním sektoru (vydavatelství, filmová výroba, rozhlasové a televizní vysílání - </w:t>
      </w:r>
      <w:r w:rsidRPr="004B6543">
        <w:rPr>
          <w:rFonts w:ascii="Arial" w:hAnsi="Arial" w:cs="Arial"/>
          <w:sz w:val="20"/>
        </w:rPr>
        <w:t>9</w:t>
      </w:r>
      <w:r w:rsidR="004B6543" w:rsidRPr="004B6543">
        <w:rPr>
          <w:rFonts w:ascii="Arial" w:hAnsi="Arial" w:cs="Arial"/>
          <w:sz w:val="20"/>
        </w:rPr>
        <w:t>8</w:t>
      </w:r>
      <w:r w:rsidR="008B1764" w:rsidRPr="004B6543">
        <w:rPr>
          <w:rFonts w:ascii="Arial" w:hAnsi="Arial" w:cs="Arial"/>
          <w:sz w:val="20"/>
        </w:rPr>
        <w:t> </w:t>
      </w:r>
      <w:r w:rsidR="004B6543" w:rsidRPr="004B6543">
        <w:rPr>
          <w:rFonts w:ascii="Arial" w:hAnsi="Arial" w:cs="Arial"/>
          <w:sz w:val="20"/>
        </w:rPr>
        <w:t>%) nebo firmy poskytující ubytování (97 %). Nejméně často měly v roce 2020 vlastní webové stránky firmy z odvětví doprava a skladování (61 %), především kvůli malým subjektům z tohoto odvětví (56 %).</w:t>
      </w:r>
      <w:r w:rsidRPr="004B6543">
        <w:rPr>
          <w:rFonts w:ascii="Arial" w:hAnsi="Arial" w:cs="Arial"/>
          <w:sz w:val="20"/>
        </w:rPr>
        <w:t xml:space="preserve"> </w:t>
      </w:r>
    </w:p>
    <w:p w:rsidR="007D22B8" w:rsidRPr="003812FF" w:rsidRDefault="007D22B8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812FF">
        <w:rPr>
          <w:rFonts w:ascii="Arial" w:hAnsi="Arial" w:cs="Arial"/>
          <w:sz w:val="20"/>
        </w:rPr>
        <w:t xml:space="preserve">Mezi </w:t>
      </w:r>
      <w:r w:rsidRPr="003812FF">
        <w:rPr>
          <w:rFonts w:ascii="Arial" w:hAnsi="Arial" w:cs="Arial"/>
          <w:b/>
          <w:sz w:val="20"/>
        </w:rPr>
        <w:t>zeměmi EU28</w:t>
      </w:r>
      <w:r w:rsidRPr="003812FF">
        <w:rPr>
          <w:rFonts w:ascii="Arial" w:hAnsi="Arial" w:cs="Arial"/>
          <w:sz w:val="20"/>
        </w:rPr>
        <w:t xml:space="preserve"> se firmy v České republice v tomto ukazateli v roce 201</w:t>
      </w:r>
      <w:r w:rsidR="003812FF" w:rsidRPr="003812FF">
        <w:rPr>
          <w:rFonts w:ascii="Arial" w:hAnsi="Arial" w:cs="Arial"/>
          <w:sz w:val="20"/>
        </w:rPr>
        <w:t>9</w:t>
      </w:r>
      <w:r w:rsidR="00161DA1" w:rsidRPr="003812FF">
        <w:rPr>
          <w:rStyle w:val="Znakapoznpodarou"/>
          <w:rFonts w:ascii="Arial" w:hAnsi="Arial" w:cs="Arial"/>
          <w:sz w:val="20"/>
        </w:rPr>
        <w:footnoteReference w:id="1"/>
      </w:r>
      <w:r w:rsidRPr="003812FF">
        <w:rPr>
          <w:rFonts w:ascii="Arial" w:hAnsi="Arial" w:cs="Arial"/>
          <w:sz w:val="20"/>
        </w:rPr>
        <w:t xml:space="preserve"> umístil</w:t>
      </w:r>
      <w:r w:rsidR="00161DA1" w:rsidRPr="003812FF">
        <w:rPr>
          <w:rFonts w:ascii="Arial" w:hAnsi="Arial" w:cs="Arial"/>
          <w:sz w:val="20"/>
        </w:rPr>
        <w:t>y</w:t>
      </w:r>
      <w:r w:rsidRPr="003812FF">
        <w:rPr>
          <w:rFonts w:ascii="Arial" w:hAnsi="Arial" w:cs="Arial"/>
          <w:sz w:val="20"/>
        </w:rPr>
        <w:t xml:space="preserve"> na</w:t>
      </w:r>
      <w:r w:rsidR="002C05D3" w:rsidRPr="003812FF">
        <w:rPr>
          <w:rFonts w:ascii="Arial" w:hAnsi="Arial" w:cs="Arial"/>
          <w:sz w:val="20"/>
        </w:rPr>
        <w:t xml:space="preserve"> nadprůměrném</w:t>
      </w:r>
      <w:r w:rsidRPr="003812FF">
        <w:rPr>
          <w:rFonts w:ascii="Arial" w:hAnsi="Arial" w:cs="Arial"/>
          <w:sz w:val="20"/>
        </w:rPr>
        <w:t xml:space="preserve"> </w:t>
      </w:r>
      <w:r w:rsidR="003812FF" w:rsidRPr="003812FF">
        <w:rPr>
          <w:rFonts w:ascii="Arial" w:hAnsi="Arial" w:cs="Arial"/>
          <w:sz w:val="20"/>
        </w:rPr>
        <w:t>9</w:t>
      </w:r>
      <w:r w:rsidR="002C05D3" w:rsidRPr="003812FF">
        <w:rPr>
          <w:rFonts w:ascii="Arial" w:hAnsi="Arial" w:cs="Arial"/>
          <w:sz w:val="20"/>
        </w:rPr>
        <w:t>.</w:t>
      </w:r>
      <w:r w:rsidRPr="003812FF">
        <w:rPr>
          <w:rFonts w:ascii="Arial" w:hAnsi="Arial" w:cs="Arial"/>
          <w:sz w:val="20"/>
        </w:rPr>
        <w:t xml:space="preserve"> místě. Průměr evropské osmadvacítky dosáhl v roce 201</w:t>
      </w:r>
      <w:r w:rsidR="003812FF" w:rsidRPr="003812FF">
        <w:rPr>
          <w:rFonts w:ascii="Arial" w:hAnsi="Arial" w:cs="Arial"/>
          <w:sz w:val="20"/>
        </w:rPr>
        <w:t>9</w:t>
      </w:r>
      <w:r w:rsidRPr="003812FF">
        <w:rPr>
          <w:rFonts w:ascii="Arial" w:hAnsi="Arial" w:cs="Arial"/>
          <w:sz w:val="20"/>
        </w:rPr>
        <w:t xml:space="preserve"> hranice 7</w:t>
      </w:r>
      <w:r w:rsidR="003812FF" w:rsidRPr="003812FF">
        <w:rPr>
          <w:rFonts w:ascii="Arial" w:hAnsi="Arial" w:cs="Arial"/>
          <w:sz w:val="20"/>
        </w:rPr>
        <w:t>8</w:t>
      </w:r>
      <w:r w:rsidRPr="003812FF">
        <w:rPr>
          <w:rFonts w:ascii="Arial" w:hAnsi="Arial" w:cs="Arial"/>
          <w:sz w:val="20"/>
        </w:rPr>
        <w:t xml:space="preserve"> % firem s webovými stránkami. </w:t>
      </w:r>
    </w:p>
    <w:p w:rsidR="006C33A7" w:rsidRPr="003812FF" w:rsidRDefault="00F921BE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812FF">
        <w:rPr>
          <w:rFonts w:ascii="Arial" w:hAnsi="Arial" w:cs="Arial"/>
          <w:sz w:val="20"/>
        </w:rPr>
        <w:t>Více než</w:t>
      </w:r>
      <w:r w:rsidR="00AD4F59" w:rsidRPr="003812FF">
        <w:rPr>
          <w:rFonts w:ascii="Arial" w:hAnsi="Arial" w:cs="Arial"/>
          <w:sz w:val="20"/>
        </w:rPr>
        <w:t xml:space="preserve"> polovina</w:t>
      </w:r>
      <w:r w:rsidR="006C33A7" w:rsidRPr="003812FF">
        <w:rPr>
          <w:rFonts w:ascii="Arial" w:hAnsi="Arial" w:cs="Arial"/>
          <w:sz w:val="20"/>
        </w:rPr>
        <w:t xml:space="preserve"> všech</w:t>
      </w:r>
      <w:r w:rsidR="00C45250" w:rsidRPr="003812FF">
        <w:rPr>
          <w:rFonts w:ascii="Arial" w:hAnsi="Arial" w:cs="Arial"/>
          <w:sz w:val="20"/>
        </w:rPr>
        <w:t xml:space="preserve"> firem</w:t>
      </w:r>
      <w:r w:rsidR="000B5B64" w:rsidRPr="003812FF">
        <w:rPr>
          <w:rFonts w:ascii="Arial" w:hAnsi="Arial" w:cs="Arial"/>
          <w:sz w:val="20"/>
        </w:rPr>
        <w:t xml:space="preserve"> v</w:t>
      </w:r>
      <w:r w:rsidR="00AD4F59" w:rsidRPr="003812FF">
        <w:rPr>
          <w:rFonts w:ascii="Arial" w:hAnsi="Arial" w:cs="Arial"/>
          <w:sz w:val="20"/>
        </w:rPr>
        <w:t> </w:t>
      </w:r>
      <w:r w:rsidR="000B5B64" w:rsidRPr="003812FF">
        <w:rPr>
          <w:rFonts w:ascii="Arial" w:hAnsi="Arial" w:cs="Arial"/>
          <w:sz w:val="20"/>
        </w:rPr>
        <w:t>ČR</w:t>
      </w:r>
      <w:r w:rsidR="00AD4F59" w:rsidRPr="003812FF">
        <w:rPr>
          <w:rFonts w:ascii="Arial" w:hAnsi="Arial" w:cs="Arial"/>
          <w:sz w:val="20"/>
        </w:rPr>
        <w:t xml:space="preserve"> (</w:t>
      </w:r>
      <w:r w:rsidRPr="003812FF">
        <w:rPr>
          <w:rFonts w:ascii="Arial" w:hAnsi="Arial" w:cs="Arial"/>
          <w:sz w:val="20"/>
        </w:rPr>
        <w:t>5</w:t>
      </w:r>
      <w:r w:rsidR="003812FF" w:rsidRPr="003812FF">
        <w:rPr>
          <w:rFonts w:ascii="Arial" w:hAnsi="Arial" w:cs="Arial"/>
          <w:sz w:val="20"/>
        </w:rPr>
        <w:t>7</w:t>
      </w:r>
      <w:r w:rsidR="008B1764" w:rsidRPr="003812FF">
        <w:rPr>
          <w:rFonts w:ascii="Arial" w:hAnsi="Arial" w:cs="Arial"/>
          <w:sz w:val="20"/>
        </w:rPr>
        <w:t> </w:t>
      </w:r>
      <w:r w:rsidR="00AD4F59" w:rsidRPr="003812FF">
        <w:rPr>
          <w:rFonts w:ascii="Arial" w:hAnsi="Arial" w:cs="Arial"/>
          <w:sz w:val="20"/>
        </w:rPr>
        <w:t>%)</w:t>
      </w:r>
      <w:r w:rsidR="00DF4018" w:rsidRPr="003812FF">
        <w:rPr>
          <w:rFonts w:ascii="Arial" w:hAnsi="Arial" w:cs="Arial"/>
          <w:sz w:val="20"/>
        </w:rPr>
        <w:t xml:space="preserve">, resp. </w:t>
      </w:r>
      <w:r w:rsidR="003812FF" w:rsidRPr="003812FF">
        <w:rPr>
          <w:rFonts w:ascii="Arial" w:hAnsi="Arial" w:cs="Arial"/>
          <w:sz w:val="20"/>
        </w:rPr>
        <w:t>více než</w:t>
      </w:r>
      <w:r w:rsidR="006C33A7" w:rsidRPr="003812FF">
        <w:rPr>
          <w:rFonts w:ascii="Arial" w:hAnsi="Arial" w:cs="Arial"/>
          <w:sz w:val="20"/>
        </w:rPr>
        <w:t xml:space="preserve"> dvě třetiny (</w:t>
      </w:r>
      <w:r w:rsidRPr="003812FF">
        <w:rPr>
          <w:rFonts w:ascii="Arial" w:hAnsi="Arial" w:cs="Arial"/>
          <w:sz w:val="20"/>
        </w:rPr>
        <w:t>6</w:t>
      </w:r>
      <w:r w:rsidR="003812FF" w:rsidRPr="003812FF">
        <w:rPr>
          <w:rFonts w:ascii="Arial" w:hAnsi="Arial" w:cs="Arial"/>
          <w:sz w:val="20"/>
        </w:rPr>
        <w:t>8</w:t>
      </w:r>
      <w:r w:rsidR="008B1764" w:rsidRPr="003812FF">
        <w:rPr>
          <w:rFonts w:ascii="Arial" w:hAnsi="Arial" w:cs="Arial"/>
          <w:sz w:val="20"/>
        </w:rPr>
        <w:t> </w:t>
      </w:r>
      <w:r w:rsidR="00AD4F59" w:rsidRPr="003812FF">
        <w:rPr>
          <w:rFonts w:ascii="Arial" w:hAnsi="Arial" w:cs="Arial"/>
          <w:sz w:val="20"/>
        </w:rPr>
        <w:t>%</w:t>
      </w:r>
      <w:r w:rsidR="006C33A7" w:rsidRPr="003812FF">
        <w:rPr>
          <w:rFonts w:ascii="Arial" w:hAnsi="Arial" w:cs="Arial"/>
          <w:sz w:val="20"/>
        </w:rPr>
        <w:t>)</w:t>
      </w:r>
      <w:r w:rsidR="00DF4018" w:rsidRPr="003812FF">
        <w:rPr>
          <w:rFonts w:ascii="Arial" w:hAnsi="Arial" w:cs="Arial"/>
          <w:sz w:val="20"/>
        </w:rPr>
        <w:t xml:space="preserve"> firem s webovými stránkami</w:t>
      </w:r>
      <w:r w:rsidR="00C45250" w:rsidRPr="003812FF">
        <w:rPr>
          <w:rFonts w:ascii="Arial" w:hAnsi="Arial" w:cs="Arial"/>
          <w:sz w:val="20"/>
        </w:rPr>
        <w:t xml:space="preserve"> měl</w:t>
      </w:r>
      <w:r w:rsidR="006C33A7" w:rsidRPr="003812FF">
        <w:rPr>
          <w:rFonts w:ascii="Arial" w:hAnsi="Arial" w:cs="Arial"/>
          <w:sz w:val="20"/>
        </w:rPr>
        <w:t>y</w:t>
      </w:r>
      <w:r w:rsidR="00C45250" w:rsidRPr="003812FF">
        <w:rPr>
          <w:rFonts w:ascii="Arial" w:hAnsi="Arial" w:cs="Arial"/>
          <w:sz w:val="20"/>
        </w:rPr>
        <w:t xml:space="preserve"> v </w:t>
      </w:r>
      <w:r w:rsidR="006C7086" w:rsidRPr="003812FF">
        <w:rPr>
          <w:rFonts w:ascii="Arial" w:hAnsi="Arial" w:cs="Arial"/>
          <w:sz w:val="20"/>
        </w:rPr>
        <w:t>roce</w:t>
      </w:r>
      <w:r w:rsidR="00C45250" w:rsidRPr="003812FF">
        <w:rPr>
          <w:rFonts w:ascii="Arial" w:hAnsi="Arial" w:cs="Arial"/>
          <w:sz w:val="20"/>
        </w:rPr>
        <w:t xml:space="preserve"> 20</w:t>
      </w:r>
      <w:r w:rsidR="003812FF" w:rsidRPr="003812FF">
        <w:rPr>
          <w:rFonts w:ascii="Arial" w:hAnsi="Arial" w:cs="Arial"/>
          <w:sz w:val="20"/>
        </w:rPr>
        <w:t>20</w:t>
      </w:r>
      <w:r w:rsidR="00C45250" w:rsidRPr="003812FF">
        <w:rPr>
          <w:rFonts w:ascii="Arial" w:hAnsi="Arial" w:cs="Arial"/>
          <w:sz w:val="20"/>
        </w:rPr>
        <w:t xml:space="preserve"> </w:t>
      </w:r>
      <w:r w:rsidR="00911872" w:rsidRPr="003812FF">
        <w:rPr>
          <w:rFonts w:ascii="Arial" w:hAnsi="Arial" w:cs="Arial"/>
          <w:sz w:val="20"/>
        </w:rPr>
        <w:t>sv</w:t>
      </w:r>
      <w:r w:rsidR="00817313" w:rsidRPr="003812FF">
        <w:rPr>
          <w:rFonts w:ascii="Arial" w:hAnsi="Arial" w:cs="Arial"/>
          <w:sz w:val="20"/>
        </w:rPr>
        <w:t>ůj</w:t>
      </w:r>
      <w:r w:rsidR="00911872" w:rsidRPr="003812FF">
        <w:rPr>
          <w:rFonts w:ascii="Arial" w:hAnsi="Arial" w:cs="Arial"/>
          <w:sz w:val="20"/>
        </w:rPr>
        <w:t xml:space="preserve"> </w:t>
      </w:r>
      <w:r w:rsidR="00C45250" w:rsidRPr="003812FF">
        <w:rPr>
          <w:rFonts w:ascii="Arial" w:hAnsi="Arial" w:cs="Arial"/>
          <w:sz w:val="20"/>
        </w:rPr>
        <w:t xml:space="preserve">web </w:t>
      </w:r>
      <w:r w:rsidR="00C45250" w:rsidRPr="003812FF">
        <w:rPr>
          <w:rFonts w:ascii="Arial" w:hAnsi="Arial" w:cs="Arial"/>
          <w:b/>
          <w:sz w:val="20"/>
        </w:rPr>
        <w:t>p</w:t>
      </w:r>
      <w:r w:rsidR="009C3EFC" w:rsidRPr="003812FF">
        <w:rPr>
          <w:rFonts w:ascii="Arial" w:hAnsi="Arial" w:cs="Arial"/>
          <w:b/>
          <w:sz w:val="20"/>
        </w:rPr>
        <w:t>řizpůsoben</w:t>
      </w:r>
      <w:r w:rsidR="006C33A7" w:rsidRPr="003812FF">
        <w:rPr>
          <w:rFonts w:ascii="Arial" w:hAnsi="Arial" w:cs="Arial"/>
          <w:b/>
          <w:sz w:val="20"/>
        </w:rPr>
        <w:t>ý</w:t>
      </w:r>
      <w:r w:rsidR="009C3EFC" w:rsidRPr="003812FF">
        <w:rPr>
          <w:rFonts w:ascii="Arial" w:hAnsi="Arial" w:cs="Arial"/>
          <w:b/>
          <w:sz w:val="20"/>
        </w:rPr>
        <w:t xml:space="preserve"> pro mobilní</w:t>
      </w:r>
      <w:r w:rsidR="00C45250" w:rsidRPr="003812FF">
        <w:rPr>
          <w:rFonts w:ascii="Arial" w:hAnsi="Arial" w:cs="Arial"/>
          <w:b/>
          <w:sz w:val="20"/>
        </w:rPr>
        <w:t xml:space="preserve"> zařízení</w:t>
      </w:r>
      <w:r w:rsidR="00C45250" w:rsidRPr="003812FF">
        <w:rPr>
          <w:rFonts w:ascii="Arial" w:hAnsi="Arial" w:cs="Arial"/>
          <w:sz w:val="20"/>
        </w:rPr>
        <w:t xml:space="preserve">. Webové stránky </w:t>
      </w:r>
      <w:r w:rsidR="006C33A7" w:rsidRPr="003812FF">
        <w:rPr>
          <w:rFonts w:ascii="Arial" w:hAnsi="Arial" w:cs="Arial"/>
          <w:sz w:val="20"/>
        </w:rPr>
        <w:t>s</w:t>
      </w:r>
      <w:r w:rsidR="00B358C9" w:rsidRPr="003812FF">
        <w:rPr>
          <w:rFonts w:ascii="Arial" w:hAnsi="Arial" w:cs="Arial"/>
          <w:sz w:val="20"/>
        </w:rPr>
        <w:t xml:space="preserve"> mobilní verz</w:t>
      </w:r>
      <w:r w:rsidR="006C33A7" w:rsidRPr="003812FF">
        <w:rPr>
          <w:rFonts w:ascii="Arial" w:hAnsi="Arial" w:cs="Arial"/>
          <w:sz w:val="20"/>
        </w:rPr>
        <w:t>í</w:t>
      </w:r>
      <w:r w:rsidR="00B358C9" w:rsidRPr="003812FF">
        <w:rPr>
          <w:rFonts w:ascii="Arial" w:hAnsi="Arial" w:cs="Arial"/>
          <w:sz w:val="20"/>
        </w:rPr>
        <w:t xml:space="preserve"> pro přenosná zařízení</w:t>
      </w:r>
      <w:r w:rsidR="00C45250" w:rsidRPr="003812FF">
        <w:rPr>
          <w:rFonts w:ascii="Arial" w:hAnsi="Arial" w:cs="Arial"/>
          <w:sz w:val="20"/>
        </w:rPr>
        <w:t xml:space="preserve"> </w:t>
      </w:r>
      <w:r w:rsidR="00756A49">
        <w:rPr>
          <w:rFonts w:ascii="Arial" w:hAnsi="Arial" w:cs="Arial"/>
          <w:sz w:val="20"/>
        </w:rPr>
        <w:t>mají dlouhodobě nejčastěji velké firmy, v roce 2020 jich byly dvě třetiny.</w:t>
      </w:r>
      <w:r w:rsidR="00817313" w:rsidRPr="003812FF">
        <w:rPr>
          <w:rFonts w:ascii="Arial" w:hAnsi="Arial" w:cs="Arial"/>
          <w:sz w:val="20"/>
        </w:rPr>
        <w:t xml:space="preserve"> </w:t>
      </w:r>
      <w:r w:rsidR="00756A49">
        <w:rPr>
          <w:rFonts w:ascii="Arial" w:hAnsi="Arial" w:cs="Arial"/>
          <w:sz w:val="20"/>
        </w:rPr>
        <w:t>Mít web přizpůsobený pro mobilní zařízení je nadstavba, kter</w:t>
      </w:r>
      <w:r w:rsidR="00576CFB">
        <w:rPr>
          <w:rFonts w:ascii="Arial" w:hAnsi="Arial" w:cs="Arial"/>
          <w:sz w:val="20"/>
        </w:rPr>
        <w:t>ou</w:t>
      </w:r>
      <w:r w:rsidR="00756A49">
        <w:rPr>
          <w:rFonts w:ascii="Arial" w:hAnsi="Arial" w:cs="Arial"/>
          <w:sz w:val="20"/>
        </w:rPr>
        <w:t xml:space="preserve"> využívá stále více firem. Od roku 2014 se jejich počet téměř zdvojnásobil.</w:t>
      </w:r>
    </w:p>
    <w:p w:rsidR="00A34E5A" w:rsidRPr="003812FF" w:rsidRDefault="006C33A7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3812FF">
        <w:rPr>
          <w:rFonts w:ascii="Arial" w:hAnsi="Arial" w:cs="Arial"/>
          <w:sz w:val="20"/>
        </w:rPr>
        <w:t>Webové stránky přizpůsobené pro zobrazení na mobilním telefonu nebo např. na tabletu mají nejčastěji</w:t>
      </w:r>
      <w:r w:rsidR="00C23868" w:rsidRPr="003812FF">
        <w:rPr>
          <w:rFonts w:ascii="Arial" w:hAnsi="Arial" w:cs="Arial"/>
          <w:sz w:val="20"/>
        </w:rPr>
        <w:t xml:space="preserve"> </w:t>
      </w:r>
      <w:r w:rsidRPr="003812FF">
        <w:rPr>
          <w:rFonts w:ascii="Arial" w:hAnsi="Arial" w:cs="Arial"/>
          <w:sz w:val="20"/>
        </w:rPr>
        <w:t>subjekty působící v odvětvové skupině Činnosti v oblasti</w:t>
      </w:r>
      <w:r w:rsidR="00AD4F59" w:rsidRPr="003812FF">
        <w:rPr>
          <w:rFonts w:ascii="Arial" w:hAnsi="Arial" w:cs="Arial"/>
          <w:sz w:val="20"/>
        </w:rPr>
        <w:t xml:space="preserve"> IT</w:t>
      </w:r>
      <w:r w:rsidR="00C23868" w:rsidRPr="003812FF">
        <w:rPr>
          <w:rFonts w:ascii="Arial" w:hAnsi="Arial" w:cs="Arial"/>
          <w:sz w:val="20"/>
        </w:rPr>
        <w:t xml:space="preserve"> (</w:t>
      </w:r>
      <w:r w:rsidR="003812FF" w:rsidRPr="003812FF">
        <w:rPr>
          <w:rFonts w:ascii="Arial" w:hAnsi="Arial" w:cs="Arial"/>
          <w:sz w:val="20"/>
        </w:rPr>
        <w:t>82</w:t>
      </w:r>
      <w:r w:rsidR="00C23868" w:rsidRPr="003812FF">
        <w:rPr>
          <w:rFonts w:ascii="Arial" w:hAnsi="Arial" w:cs="Arial"/>
          <w:sz w:val="20"/>
        </w:rPr>
        <w:t> %)</w:t>
      </w:r>
      <w:r w:rsidR="00AD4F59" w:rsidRPr="003812FF">
        <w:rPr>
          <w:rFonts w:ascii="Arial" w:hAnsi="Arial" w:cs="Arial"/>
          <w:sz w:val="20"/>
        </w:rPr>
        <w:t xml:space="preserve"> </w:t>
      </w:r>
      <w:r w:rsidRPr="003812FF">
        <w:rPr>
          <w:rFonts w:ascii="Arial" w:hAnsi="Arial" w:cs="Arial"/>
          <w:sz w:val="20"/>
        </w:rPr>
        <w:t>nebo</w:t>
      </w:r>
      <w:r w:rsidR="006C7076" w:rsidRPr="003812FF">
        <w:rPr>
          <w:rFonts w:ascii="Arial" w:hAnsi="Arial" w:cs="Arial"/>
          <w:sz w:val="20"/>
        </w:rPr>
        <w:t> </w:t>
      </w:r>
      <w:r w:rsidR="00AD4F59" w:rsidRPr="003812FF">
        <w:rPr>
          <w:rFonts w:ascii="Arial" w:hAnsi="Arial" w:cs="Arial"/>
          <w:sz w:val="20"/>
        </w:rPr>
        <w:t>v </w:t>
      </w:r>
      <w:r w:rsidRPr="003812FF">
        <w:rPr>
          <w:rFonts w:ascii="Arial" w:hAnsi="Arial" w:cs="Arial"/>
          <w:sz w:val="20"/>
        </w:rPr>
        <w:t>mediálním</w:t>
      </w:r>
      <w:r w:rsidR="00AD4F59" w:rsidRPr="003812FF">
        <w:rPr>
          <w:rFonts w:ascii="Arial" w:hAnsi="Arial" w:cs="Arial"/>
          <w:sz w:val="20"/>
        </w:rPr>
        <w:t xml:space="preserve"> sektoru</w:t>
      </w:r>
      <w:r w:rsidR="00C23868" w:rsidRPr="003812FF">
        <w:rPr>
          <w:rFonts w:ascii="Arial" w:hAnsi="Arial" w:cs="Arial"/>
          <w:sz w:val="20"/>
        </w:rPr>
        <w:t xml:space="preserve"> (</w:t>
      </w:r>
      <w:r w:rsidR="003812FF" w:rsidRPr="003812FF">
        <w:rPr>
          <w:rFonts w:ascii="Arial" w:hAnsi="Arial" w:cs="Arial"/>
          <w:sz w:val="20"/>
        </w:rPr>
        <w:t>81</w:t>
      </w:r>
      <w:r w:rsidR="00C23868" w:rsidRPr="003812FF">
        <w:rPr>
          <w:rFonts w:ascii="Arial" w:hAnsi="Arial" w:cs="Arial"/>
          <w:sz w:val="20"/>
        </w:rPr>
        <w:t> %)</w:t>
      </w:r>
      <w:r w:rsidR="00AD4F59" w:rsidRPr="003812FF">
        <w:rPr>
          <w:rFonts w:ascii="Arial" w:hAnsi="Arial" w:cs="Arial"/>
          <w:sz w:val="20"/>
        </w:rPr>
        <w:t>,</w:t>
      </w:r>
      <w:r w:rsidRPr="003812FF">
        <w:rPr>
          <w:rFonts w:ascii="Arial" w:hAnsi="Arial" w:cs="Arial"/>
          <w:sz w:val="20"/>
        </w:rPr>
        <w:t xml:space="preserve"> a</w:t>
      </w:r>
      <w:r w:rsidR="00C23868" w:rsidRPr="003812FF">
        <w:rPr>
          <w:rFonts w:ascii="Arial" w:hAnsi="Arial" w:cs="Arial"/>
          <w:sz w:val="20"/>
        </w:rPr>
        <w:t> </w:t>
      </w:r>
      <w:r w:rsidRPr="003812FF">
        <w:rPr>
          <w:rFonts w:ascii="Arial" w:hAnsi="Arial" w:cs="Arial"/>
          <w:sz w:val="20"/>
        </w:rPr>
        <w:t>dále také subjekty působící v cestovním ruchu - firmy poskytující ubytování</w:t>
      </w:r>
      <w:r w:rsidR="00C23868" w:rsidRPr="003812FF">
        <w:rPr>
          <w:rFonts w:ascii="Arial" w:hAnsi="Arial" w:cs="Arial"/>
          <w:sz w:val="20"/>
        </w:rPr>
        <w:t xml:space="preserve"> (</w:t>
      </w:r>
      <w:r w:rsidR="003812FF" w:rsidRPr="003812FF">
        <w:rPr>
          <w:rFonts w:ascii="Arial" w:hAnsi="Arial" w:cs="Arial"/>
          <w:sz w:val="20"/>
        </w:rPr>
        <w:t>80</w:t>
      </w:r>
      <w:r w:rsidR="00C23868" w:rsidRPr="003812FF">
        <w:rPr>
          <w:rFonts w:ascii="Arial" w:hAnsi="Arial" w:cs="Arial"/>
          <w:sz w:val="20"/>
        </w:rPr>
        <w:t> %)</w:t>
      </w:r>
      <w:r w:rsidR="00AD4F59" w:rsidRPr="003812FF">
        <w:rPr>
          <w:rFonts w:ascii="Arial" w:hAnsi="Arial" w:cs="Arial"/>
          <w:sz w:val="20"/>
        </w:rPr>
        <w:t xml:space="preserve"> nebo</w:t>
      </w:r>
      <w:r w:rsidR="00FF199B" w:rsidRPr="003812FF">
        <w:rPr>
          <w:rFonts w:ascii="Arial" w:hAnsi="Arial" w:cs="Arial"/>
          <w:sz w:val="20"/>
        </w:rPr>
        <w:t xml:space="preserve"> </w:t>
      </w:r>
      <w:r w:rsidRPr="003812FF">
        <w:rPr>
          <w:rFonts w:ascii="Arial" w:hAnsi="Arial" w:cs="Arial"/>
          <w:sz w:val="20"/>
        </w:rPr>
        <w:t>cestovní agentury a kanceláře</w:t>
      </w:r>
      <w:r w:rsidR="00C23868" w:rsidRPr="003812FF">
        <w:rPr>
          <w:rFonts w:ascii="Arial" w:hAnsi="Arial" w:cs="Arial"/>
          <w:sz w:val="20"/>
        </w:rPr>
        <w:t xml:space="preserve"> (7</w:t>
      </w:r>
      <w:r w:rsidR="003812FF" w:rsidRPr="003812FF">
        <w:rPr>
          <w:rFonts w:ascii="Arial" w:hAnsi="Arial" w:cs="Arial"/>
          <w:sz w:val="20"/>
        </w:rPr>
        <w:t>8</w:t>
      </w:r>
      <w:r w:rsidR="00C23868" w:rsidRPr="003812FF">
        <w:rPr>
          <w:rFonts w:ascii="Arial" w:hAnsi="Arial" w:cs="Arial"/>
          <w:sz w:val="20"/>
        </w:rPr>
        <w:t> %)</w:t>
      </w:r>
      <w:r w:rsidR="00FF199B" w:rsidRPr="003812FF">
        <w:rPr>
          <w:rFonts w:ascii="Arial" w:hAnsi="Arial" w:cs="Arial"/>
          <w:sz w:val="20"/>
        </w:rPr>
        <w:t>.</w:t>
      </w:r>
      <w:r w:rsidRPr="003812FF">
        <w:rPr>
          <w:rFonts w:ascii="Arial" w:hAnsi="Arial" w:cs="Arial"/>
          <w:sz w:val="20"/>
        </w:rPr>
        <w:t xml:space="preserve"> </w:t>
      </w:r>
    </w:p>
    <w:p w:rsidR="00B112AC" w:rsidRDefault="00B112AC" w:rsidP="00FE7C6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932E35">
        <w:rPr>
          <w:rFonts w:ascii="Arial" w:hAnsi="Arial" w:cs="Arial"/>
          <w:sz w:val="20"/>
        </w:rPr>
        <w:t xml:space="preserve">Nejčastější službou, kterou </w:t>
      </w:r>
      <w:r w:rsidR="009C3EFC" w:rsidRPr="00932E35">
        <w:rPr>
          <w:rFonts w:ascii="Arial" w:hAnsi="Arial" w:cs="Arial"/>
          <w:sz w:val="20"/>
        </w:rPr>
        <w:t>firemní</w:t>
      </w:r>
      <w:r w:rsidRPr="00932E35">
        <w:rPr>
          <w:rFonts w:ascii="Arial" w:hAnsi="Arial" w:cs="Arial"/>
          <w:sz w:val="20"/>
        </w:rPr>
        <w:t xml:space="preserve"> webové stránky ve vztahu ke svým zákazníkům nabízejí, je </w:t>
      </w:r>
      <w:r w:rsidR="0006111E" w:rsidRPr="00932E35">
        <w:rPr>
          <w:rFonts w:ascii="Arial" w:hAnsi="Arial" w:cs="Arial"/>
          <w:sz w:val="20"/>
        </w:rPr>
        <w:t xml:space="preserve">možnost </w:t>
      </w:r>
      <w:r w:rsidR="0006111E" w:rsidRPr="00932E35">
        <w:rPr>
          <w:rFonts w:ascii="Arial" w:hAnsi="Arial" w:cs="Arial"/>
          <w:b/>
          <w:sz w:val="20"/>
        </w:rPr>
        <w:t>na</w:t>
      </w:r>
      <w:r w:rsidRPr="00932E35">
        <w:rPr>
          <w:rFonts w:ascii="Arial" w:hAnsi="Arial" w:cs="Arial"/>
          <w:b/>
          <w:sz w:val="20"/>
        </w:rPr>
        <w:t>hlížení</w:t>
      </w:r>
      <w:r w:rsidR="0006111E" w:rsidRPr="00932E35">
        <w:rPr>
          <w:rFonts w:ascii="Arial" w:hAnsi="Arial" w:cs="Arial"/>
          <w:b/>
          <w:sz w:val="20"/>
        </w:rPr>
        <w:t xml:space="preserve"> do</w:t>
      </w:r>
      <w:r w:rsidRPr="00932E35">
        <w:rPr>
          <w:rFonts w:ascii="Arial" w:hAnsi="Arial" w:cs="Arial"/>
          <w:b/>
          <w:sz w:val="20"/>
        </w:rPr>
        <w:t xml:space="preserve"> katalogů </w:t>
      </w:r>
      <w:r w:rsidR="003812FF" w:rsidRPr="00932E35">
        <w:rPr>
          <w:rFonts w:ascii="Arial" w:hAnsi="Arial" w:cs="Arial"/>
          <w:b/>
          <w:sz w:val="20"/>
        </w:rPr>
        <w:t>nebo</w:t>
      </w:r>
      <w:r w:rsidRPr="00932E35">
        <w:rPr>
          <w:rFonts w:ascii="Arial" w:hAnsi="Arial" w:cs="Arial"/>
          <w:b/>
          <w:sz w:val="20"/>
        </w:rPr>
        <w:t xml:space="preserve"> ceníků</w:t>
      </w:r>
      <w:r w:rsidRPr="00932E35">
        <w:rPr>
          <w:rFonts w:ascii="Arial" w:hAnsi="Arial" w:cs="Arial"/>
          <w:sz w:val="20"/>
        </w:rPr>
        <w:t xml:space="preserve"> nabízených výrobků a služeb. T</w:t>
      </w:r>
      <w:r w:rsidR="009C3EFC" w:rsidRPr="00932E35">
        <w:rPr>
          <w:rFonts w:ascii="Arial" w:hAnsi="Arial" w:cs="Arial"/>
          <w:sz w:val="20"/>
        </w:rPr>
        <w:t>uto</w:t>
      </w:r>
      <w:r w:rsidRPr="00932E35">
        <w:rPr>
          <w:rFonts w:ascii="Arial" w:hAnsi="Arial" w:cs="Arial"/>
          <w:sz w:val="20"/>
        </w:rPr>
        <w:t xml:space="preserve"> možnost</w:t>
      </w:r>
      <w:r w:rsidR="005E4081" w:rsidRPr="00932E35">
        <w:rPr>
          <w:rFonts w:ascii="Arial" w:hAnsi="Arial" w:cs="Arial"/>
          <w:sz w:val="20"/>
        </w:rPr>
        <w:t xml:space="preserve"> v roce 20</w:t>
      </w:r>
      <w:r w:rsidR="003812FF" w:rsidRPr="00932E35">
        <w:rPr>
          <w:rFonts w:ascii="Arial" w:hAnsi="Arial" w:cs="Arial"/>
          <w:sz w:val="20"/>
        </w:rPr>
        <w:t>20</w:t>
      </w:r>
      <w:r w:rsidR="005E4081" w:rsidRPr="00932E35">
        <w:rPr>
          <w:rFonts w:ascii="Arial" w:hAnsi="Arial" w:cs="Arial"/>
          <w:sz w:val="20"/>
        </w:rPr>
        <w:t xml:space="preserve"> </w:t>
      </w:r>
      <w:r w:rsidR="00582BA6" w:rsidRPr="00932E35">
        <w:rPr>
          <w:rFonts w:ascii="Arial" w:hAnsi="Arial" w:cs="Arial"/>
          <w:sz w:val="20"/>
        </w:rPr>
        <w:t>poskytova</w:t>
      </w:r>
      <w:r w:rsidR="003812FF" w:rsidRPr="00932E35">
        <w:rPr>
          <w:rFonts w:ascii="Arial" w:hAnsi="Arial" w:cs="Arial"/>
          <w:sz w:val="20"/>
        </w:rPr>
        <w:t>ly</w:t>
      </w:r>
      <w:r w:rsidRPr="00932E35">
        <w:rPr>
          <w:rFonts w:ascii="Arial" w:hAnsi="Arial" w:cs="Arial"/>
          <w:sz w:val="20"/>
        </w:rPr>
        <w:t xml:space="preserve"> </w:t>
      </w:r>
      <w:r w:rsidR="003812FF" w:rsidRPr="00932E35">
        <w:rPr>
          <w:rFonts w:ascii="Arial" w:hAnsi="Arial" w:cs="Arial"/>
          <w:sz w:val="20"/>
        </w:rPr>
        <w:t>téměř dvě třetiny</w:t>
      </w:r>
      <w:r w:rsidR="002F6063" w:rsidRPr="00932E35">
        <w:rPr>
          <w:rFonts w:ascii="Arial" w:hAnsi="Arial" w:cs="Arial"/>
          <w:sz w:val="20"/>
        </w:rPr>
        <w:t xml:space="preserve"> </w:t>
      </w:r>
      <w:r w:rsidR="003812FF" w:rsidRPr="00932E35">
        <w:rPr>
          <w:rFonts w:ascii="Arial" w:hAnsi="Arial" w:cs="Arial"/>
          <w:sz w:val="20"/>
        </w:rPr>
        <w:t xml:space="preserve">firem s </w:t>
      </w:r>
      <w:r w:rsidR="002F6063" w:rsidRPr="00932E35">
        <w:rPr>
          <w:rFonts w:ascii="Arial" w:hAnsi="Arial" w:cs="Arial"/>
          <w:sz w:val="20"/>
        </w:rPr>
        <w:t>webový</w:t>
      </w:r>
      <w:r w:rsidR="003812FF" w:rsidRPr="00932E35">
        <w:rPr>
          <w:rFonts w:ascii="Arial" w:hAnsi="Arial" w:cs="Arial"/>
          <w:sz w:val="20"/>
        </w:rPr>
        <w:t>mi</w:t>
      </w:r>
      <w:r w:rsidR="002F6063" w:rsidRPr="00932E35">
        <w:rPr>
          <w:rFonts w:ascii="Arial" w:hAnsi="Arial" w:cs="Arial"/>
          <w:sz w:val="20"/>
        </w:rPr>
        <w:t xml:space="preserve"> stránk</w:t>
      </w:r>
      <w:r w:rsidR="003812FF" w:rsidRPr="00932E35">
        <w:rPr>
          <w:rFonts w:ascii="Arial" w:hAnsi="Arial" w:cs="Arial"/>
          <w:sz w:val="20"/>
        </w:rPr>
        <w:t>ami</w:t>
      </w:r>
      <w:r w:rsidRPr="00932E35">
        <w:rPr>
          <w:rFonts w:ascii="Arial" w:hAnsi="Arial" w:cs="Arial"/>
          <w:sz w:val="20"/>
        </w:rPr>
        <w:t xml:space="preserve"> </w:t>
      </w:r>
      <w:r w:rsidR="00F0027D" w:rsidRPr="00932E35">
        <w:rPr>
          <w:rFonts w:ascii="Arial" w:hAnsi="Arial" w:cs="Arial"/>
          <w:sz w:val="20"/>
        </w:rPr>
        <w:t>(</w:t>
      </w:r>
      <w:r w:rsidR="003812FF" w:rsidRPr="00932E35">
        <w:rPr>
          <w:rFonts w:ascii="Arial" w:hAnsi="Arial" w:cs="Arial"/>
          <w:sz w:val="20"/>
        </w:rPr>
        <w:t>64</w:t>
      </w:r>
      <w:r w:rsidR="008B1764" w:rsidRPr="00932E35">
        <w:rPr>
          <w:rFonts w:ascii="Arial" w:hAnsi="Arial" w:cs="Arial"/>
          <w:sz w:val="20"/>
        </w:rPr>
        <w:t> </w:t>
      </w:r>
      <w:r w:rsidR="00F0027D" w:rsidRPr="00932E35">
        <w:rPr>
          <w:rFonts w:ascii="Arial" w:hAnsi="Arial" w:cs="Arial"/>
          <w:sz w:val="20"/>
        </w:rPr>
        <w:t>%)</w:t>
      </w:r>
      <w:r w:rsidRPr="00932E35">
        <w:rPr>
          <w:rFonts w:ascii="Arial" w:hAnsi="Arial" w:cs="Arial"/>
          <w:sz w:val="20"/>
        </w:rPr>
        <w:t xml:space="preserve">. </w:t>
      </w:r>
      <w:r w:rsidR="00F921BE" w:rsidRPr="00932E35">
        <w:rPr>
          <w:rFonts w:ascii="Arial" w:hAnsi="Arial" w:cs="Arial"/>
          <w:sz w:val="20"/>
        </w:rPr>
        <w:t>N</w:t>
      </w:r>
      <w:r w:rsidR="00FE7C69" w:rsidRPr="00932E35">
        <w:rPr>
          <w:rFonts w:ascii="Arial" w:hAnsi="Arial" w:cs="Arial"/>
          <w:sz w:val="20"/>
        </w:rPr>
        <w:t>a více než třetině webů (3</w:t>
      </w:r>
      <w:r w:rsidR="00F921BE" w:rsidRPr="00932E35">
        <w:rPr>
          <w:rFonts w:ascii="Arial" w:hAnsi="Arial" w:cs="Arial"/>
          <w:sz w:val="20"/>
        </w:rPr>
        <w:t>9</w:t>
      </w:r>
      <w:r w:rsidR="008B1764" w:rsidRPr="00932E35">
        <w:rPr>
          <w:rFonts w:ascii="Arial" w:hAnsi="Arial" w:cs="Arial"/>
          <w:sz w:val="20"/>
        </w:rPr>
        <w:t> </w:t>
      </w:r>
      <w:r w:rsidR="00FE7C69" w:rsidRPr="00932E35">
        <w:rPr>
          <w:rFonts w:ascii="Arial" w:hAnsi="Arial" w:cs="Arial"/>
          <w:sz w:val="20"/>
        </w:rPr>
        <w:t>%)</w:t>
      </w:r>
      <w:r w:rsidRPr="00932E35">
        <w:rPr>
          <w:rFonts w:ascii="Arial" w:hAnsi="Arial" w:cs="Arial"/>
          <w:sz w:val="20"/>
        </w:rPr>
        <w:t xml:space="preserve"> mohl zákazník </w:t>
      </w:r>
      <w:r w:rsidRPr="00932E35">
        <w:rPr>
          <w:rFonts w:ascii="Arial" w:hAnsi="Arial" w:cs="Arial"/>
          <w:b/>
          <w:sz w:val="20"/>
        </w:rPr>
        <w:t>objedn</w:t>
      </w:r>
      <w:r w:rsidR="001E09D8" w:rsidRPr="00932E35">
        <w:rPr>
          <w:rFonts w:ascii="Arial" w:hAnsi="Arial" w:cs="Arial"/>
          <w:b/>
          <w:sz w:val="20"/>
        </w:rPr>
        <w:t>ávat</w:t>
      </w:r>
      <w:r w:rsidRPr="00932E35">
        <w:rPr>
          <w:rFonts w:ascii="Arial" w:hAnsi="Arial" w:cs="Arial"/>
          <w:b/>
          <w:sz w:val="20"/>
        </w:rPr>
        <w:t xml:space="preserve"> či rezervovat</w:t>
      </w:r>
      <w:r w:rsidRPr="00932E35">
        <w:rPr>
          <w:rFonts w:ascii="Arial" w:hAnsi="Arial" w:cs="Arial"/>
          <w:sz w:val="20"/>
        </w:rPr>
        <w:t xml:space="preserve"> </w:t>
      </w:r>
      <w:r w:rsidR="00FE7C69" w:rsidRPr="00932E35">
        <w:rPr>
          <w:rFonts w:ascii="Arial" w:hAnsi="Arial" w:cs="Arial"/>
          <w:sz w:val="20"/>
        </w:rPr>
        <w:t>nabízené zboží/služby.</w:t>
      </w:r>
      <w:r w:rsidR="009E46BC" w:rsidRPr="00932E35">
        <w:rPr>
          <w:rFonts w:ascii="Arial" w:hAnsi="Arial" w:cs="Arial"/>
          <w:sz w:val="20"/>
        </w:rPr>
        <w:t xml:space="preserve"> </w:t>
      </w:r>
      <w:r w:rsidR="0071743B" w:rsidRPr="00932E35">
        <w:rPr>
          <w:rFonts w:ascii="Arial" w:hAnsi="Arial" w:cs="Arial"/>
          <w:sz w:val="20"/>
        </w:rPr>
        <w:t>V nabídce této možnosti byly</w:t>
      </w:r>
      <w:r w:rsidR="009E46BC" w:rsidRPr="00932E35">
        <w:rPr>
          <w:rFonts w:ascii="Arial" w:hAnsi="Arial" w:cs="Arial"/>
          <w:sz w:val="20"/>
        </w:rPr>
        <w:t xml:space="preserve"> české podniky</w:t>
      </w:r>
      <w:r w:rsidR="0071743B" w:rsidRPr="00932E35">
        <w:rPr>
          <w:rFonts w:ascii="Arial" w:hAnsi="Arial" w:cs="Arial"/>
          <w:sz w:val="20"/>
        </w:rPr>
        <w:t xml:space="preserve"> za rok 201</w:t>
      </w:r>
      <w:r w:rsidR="003812FF" w:rsidRPr="00932E35">
        <w:rPr>
          <w:rFonts w:ascii="Arial" w:hAnsi="Arial" w:cs="Arial"/>
          <w:sz w:val="20"/>
        </w:rPr>
        <w:t>9</w:t>
      </w:r>
      <w:r w:rsidR="009E46BC" w:rsidRPr="00932E35">
        <w:rPr>
          <w:rFonts w:ascii="Arial" w:hAnsi="Arial" w:cs="Arial"/>
          <w:sz w:val="20"/>
        </w:rPr>
        <w:t xml:space="preserve"> </w:t>
      </w:r>
      <w:r w:rsidR="00932E35" w:rsidRPr="00932E35">
        <w:rPr>
          <w:rFonts w:ascii="Arial" w:hAnsi="Arial" w:cs="Arial"/>
          <w:sz w:val="20"/>
        </w:rPr>
        <w:t xml:space="preserve">dokonce na čtvrtém </w:t>
      </w:r>
      <w:r w:rsidR="009E46BC" w:rsidRPr="00932E35">
        <w:rPr>
          <w:rFonts w:ascii="Arial" w:hAnsi="Arial" w:cs="Arial"/>
          <w:sz w:val="20"/>
        </w:rPr>
        <w:t>místě</w:t>
      </w:r>
      <w:r w:rsidR="00932E35" w:rsidRPr="00932E35">
        <w:rPr>
          <w:rFonts w:ascii="Arial" w:hAnsi="Arial" w:cs="Arial"/>
          <w:sz w:val="20"/>
        </w:rPr>
        <w:t xml:space="preserve"> evropského žebříčku</w:t>
      </w:r>
      <w:r w:rsidR="009E46BC" w:rsidRPr="00932E35">
        <w:rPr>
          <w:rFonts w:ascii="Arial" w:hAnsi="Arial" w:cs="Arial"/>
          <w:sz w:val="20"/>
        </w:rPr>
        <w:t xml:space="preserve">. </w:t>
      </w:r>
    </w:p>
    <w:p w:rsidR="001E09D8" w:rsidRPr="00932E35" w:rsidRDefault="00A34E5A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932E35">
        <w:rPr>
          <w:rFonts w:ascii="Arial" w:hAnsi="Arial" w:cs="Arial"/>
          <w:sz w:val="20"/>
        </w:rPr>
        <w:t>Mezi méně často</w:t>
      </w:r>
      <w:r w:rsidR="00932E35" w:rsidRPr="00932E35">
        <w:rPr>
          <w:rFonts w:ascii="Arial" w:hAnsi="Arial" w:cs="Arial"/>
          <w:sz w:val="20"/>
        </w:rPr>
        <w:t xml:space="preserve"> se</w:t>
      </w:r>
      <w:r w:rsidRPr="00932E35">
        <w:rPr>
          <w:rFonts w:ascii="Arial" w:hAnsi="Arial" w:cs="Arial"/>
          <w:sz w:val="20"/>
        </w:rPr>
        <w:t xml:space="preserve"> vyskytující </w:t>
      </w:r>
      <w:r w:rsidRPr="00932E35">
        <w:rPr>
          <w:rFonts w:ascii="Arial" w:hAnsi="Arial" w:cs="Arial"/>
          <w:b/>
          <w:sz w:val="20"/>
        </w:rPr>
        <w:t>funkcionality</w:t>
      </w:r>
      <w:r w:rsidRPr="00932E35">
        <w:rPr>
          <w:rFonts w:ascii="Arial" w:hAnsi="Arial" w:cs="Arial"/>
          <w:sz w:val="20"/>
        </w:rPr>
        <w:t xml:space="preserve"> webových stránek podniků patřila v </w:t>
      </w:r>
      <w:r w:rsidR="006C7086" w:rsidRPr="00932E35">
        <w:rPr>
          <w:rFonts w:ascii="Arial" w:hAnsi="Arial" w:cs="Arial"/>
          <w:sz w:val="20"/>
        </w:rPr>
        <w:t>roce</w:t>
      </w:r>
      <w:r w:rsidRPr="00932E35">
        <w:rPr>
          <w:rFonts w:ascii="Arial" w:hAnsi="Arial" w:cs="Arial"/>
          <w:sz w:val="20"/>
        </w:rPr>
        <w:t xml:space="preserve"> 20</w:t>
      </w:r>
      <w:r w:rsidR="00932E35" w:rsidRPr="00932E35">
        <w:rPr>
          <w:rFonts w:ascii="Arial" w:hAnsi="Arial" w:cs="Arial"/>
          <w:sz w:val="20"/>
        </w:rPr>
        <w:t>20</w:t>
      </w:r>
      <w:r w:rsidRPr="00932E35">
        <w:rPr>
          <w:rFonts w:ascii="Arial" w:hAnsi="Arial" w:cs="Arial"/>
          <w:sz w:val="20"/>
        </w:rPr>
        <w:t xml:space="preserve"> možnost </w:t>
      </w:r>
      <w:r w:rsidR="00FE7C69" w:rsidRPr="00932E35">
        <w:rPr>
          <w:rFonts w:ascii="Arial" w:hAnsi="Arial" w:cs="Arial"/>
          <w:b/>
          <w:sz w:val="20"/>
        </w:rPr>
        <w:t>přizpůsobit</w:t>
      </w:r>
      <w:r w:rsidRPr="00932E35">
        <w:rPr>
          <w:rFonts w:ascii="Arial" w:hAnsi="Arial" w:cs="Arial"/>
          <w:b/>
          <w:sz w:val="20"/>
        </w:rPr>
        <w:t xml:space="preserve"> produkt</w:t>
      </w:r>
      <w:r w:rsidR="00932E35" w:rsidRPr="00932E35">
        <w:rPr>
          <w:rFonts w:ascii="Arial" w:hAnsi="Arial" w:cs="Arial"/>
          <w:b/>
          <w:sz w:val="20"/>
        </w:rPr>
        <w:t xml:space="preserve"> na míru</w:t>
      </w:r>
      <w:r w:rsidRPr="00932E35">
        <w:rPr>
          <w:rFonts w:ascii="Arial" w:hAnsi="Arial" w:cs="Arial"/>
          <w:sz w:val="20"/>
        </w:rPr>
        <w:t xml:space="preserve"> podle vlastních požadavků</w:t>
      </w:r>
      <w:r w:rsidR="00932E35" w:rsidRPr="00932E35">
        <w:rPr>
          <w:rFonts w:ascii="Arial" w:hAnsi="Arial" w:cs="Arial"/>
          <w:sz w:val="20"/>
        </w:rPr>
        <w:t xml:space="preserve"> zákazníků</w:t>
      </w:r>
      <w:r w:rsidRPr="00932E35">
        <w:rPr>
          <w:rFonts w:ascii="Arial" w:hAnsi="Arial" w:cs="Arial"/>
          <w:sz w:val="20"/>
        </w:rPr>
        <w:t xml:space="preserve">. </w:t>
      </w:r>
      <w:r w:rsidR="00932E35" w:rsidRPr="00932E35">
        <w:rPr>
          <w:rFonts w:ascii="Arial" w:hAnsi="Arial" w:cs="Arial"/>
          <w:sz w:val="20"/>
        </w:rPr>
        <w:t xml:space="preserve">Tuto možnost nabízelo </w:t>
      </w:r>
      <w:r w:rsidRPr="00932E35">
        <w:rPr>
          <w:rFonts w:ascii="Arial" w:hAnsi="Arial" w:cs="Arial"/>
          <w:sz w:val="20"/>
        </w:rPr>
        <w:t xml:space="preserve"> svým zákazníkům </w:t>
      </w:r>
      <w:r w:rsidR="007D22B8" w:rsidRPr="00932E35">
        <w:rPr>
          <w:rFonts w:ascii="Arial" w:hAnsi="Arial" w:cs="Arial"/>
          <w:sz w:val="20"/>
        </w:rPr>
        <w:t>1</w:t>
      </w:r>
      <w:r w:rsidR="00932E35" w:rsidRPr="00932E35">
        <w:rPr>
          <w:rFonts w:ascii="Arial" w:hAnsi="Arial" w:cs="Arial"/>
          <w:sz w:val="20"/>
        </w:rPr>
        <w:t>8</w:t>
      </w:r>
      <w:r w:rsidR="008B1764" w:rsidRPr="00932E35">
        <w:rPr>
          <w:rFonts w:ascii="Arial" w:hAnsi="Arial" w:cs="Arial"/>
          <w:sz w:val="20"/>
        </w:rPr>
        <w:t> </w:t>
      </w:r>
      <w:r w:rsidRPr="00932E35">
        <w:rPr>
          <w:rFonts w:ascii="Arial" w:hAnsi="Arial" w:cs="Arial"/>
          <w:sz w:val="20"/>
        </w:rPr>
        <w:t xml:space="preserve">% </w:t>
      </w:r>
      <w:r w:rsidR="007D22B8" w:rsidRPr="00932E35">
        <w:rPr>
          <w:rFonts w:ascii="Arial" w:hAnsi="Arial" w:cs="Arial"/>
          <w:sz w:val="20"/>
        </w:rPr>
        <w:t>firem s webovými stránkami.</w:t>
      </w:r>
      <w:r w:rsidR="009E46BC" w:rsidRPr="00932E35">
        <w:rPr>
          <w:rFonts w:ascii="Arial" w:hAnsi="Arial" w:cs="Arial"/>
          <w:sz w:val="20"/>
        </w:rPr>
        <w:t xml:space="preserve"> Potěšující je, že v nabídce této možnosti </w:t>
      </w:r>
      <w:r w:rsidR="0071743B" w:rsidRPr="00932E35">
        <w:rPr>
          <w:rFonts w:ascii="Arial" w:hAnsi="Arial" w:cs="Arial"/>
          <w:sz w:val="20"/>
        </w:rPr>
        <w:t xml:space="preserve">byly </w:t>
      </w:r>
      <w:r w:rsidR="009E46BC" w:rsidRPr="00932E35">
        <w:rPr>
          <w:rFonts w:ascii="Arial" w:hAnsi="Arial" w:cs="Arial"/>
          <w:sz w:val="20"/>
        </w:rPr>
        <w:t>české podniky v evropském žebříčku</w:t>
      </w:r>
      <w:r w:rsidR="0071743B" w:rsidRPr="00932E35">
        <w:rPr>
          <w:rFonts w:ascii="Arial" w:hAnsi="Arial" w:cs="Arial"/>
          <w:sz w:val="20"/>
        </w:rPr>
        <w:t xml:space="preserve"> za rok 201</w:t>
      </w:r>
      <w:r w:rsidR="00932E35" w:rsidRPr="00932E35">
        <w:rPr>
          <w:rFonts w:ascii="Arial" w:hAnsi="Arial" w:cs="Arial"/>
          <w:sz w:val="20"/>
        </w:rPr>
        <w:t>9</w:t>
      </w:r>
      <w:r w:rsidR="009E46BC" w:rsidRPr="00932E35">
        <w:rPr>
          <w:rFonts w:ascii="Arial" w:hAnsi="Arial" w:cs="Arial"/>
          <w:sz w:val="20"/>
        </w:rPr>
        <w:t xml:space="preserve"> na třetí příčce</w:t>
      </w:r>
      <w:r w:rsidR="009E46BC" w:rsidRPr="00756A49">
        <w:rPr>
          <w:rFonts w:ascii="Arial" w:hAnsi="Arial" w:cs="Arial"/>
          <w:b/>
          <w:sz w:val="20"/>
        </w:rPr>
        <w:t>.</w:t>
      </w:r>
      <w:r w:rsidR="007D22B8" w:rsidRPr="00756A49">
        <w:rPr>
          <w:rFonts w:ascii="Arial" w:hAnsi="Arial" w:cs="Arial"/>
          <w:b/>
          <w:sz w:val="20"/>
        </w:rPr>
        <w:t xml:space="preserve"> </w:t>
      </w:r>
      <w:r w:rsidR="00932E35" w:rsidRPr="00756A49">
        <w:rPr>
          <w:rFonts w:ascii="Arial" w:hAnsi="Arial" w:cs="Arial"/>
          <w:b/>
          <w:sz w:val="20"/>
        </w:rPr>
        <w:t>Sledovat stav vyřizování objednávky</w:t>
      </w:r>
      <w:r w:rsidR="00932E35">
        <w:rPr>
          <w:rFonts w:ascii="Arial" w:hAnsi="Arial" w:cs="Arial"/>
          <w:sz w:val="20"/>
        </w:rPr>
        <w:t xml:space="preserve"> umožňovalo v roce 2020 12</w:t>
      </w:r>
      <w:r w:rsidR="00576CFB">
        <w:rPr>
          <w:rFonts w:ascii="Arial" w:hAnsi="Arial" w:cs="Arial"/>
          <w:sz w:val="20"/>
        </w:rPr>
        <w:t> </w:t>
      </w:r>
      <w:r w:rsidR="00932E35">
        <w:rPr>
          <w:rFonts w:ascii="Arial" w:hAnsi="Arial" w:cs="Arial"/>
          <w:sz w:val="20"/>
        </w:rPr>
        <w:t>% firem s vlastními webovými stránkami (nejčastěji firmy působící  v maloobchodě: 34</w:t>
      </w:r>
      <w:r w:rsidR="00576CFB">
        <w:rPr>
          <w:rFonts w:ascii="Arial" w:hAnsi="Arial" w:cs="Arial"/>
          <w:sz w:val="20"/>
        </w:rPr>
        <w:t> </w:t>
      </w:r>
      <w:r w:rsidR="00932E35">
        <w:rPr>
          <w:rFonts w:ascii="Arial" w:hAnsi="Arial" w:cs="Arial"/>
          <w:sz w:val="20"/>
        </w:rPr>
        <w:t xml:space="preserve">%) a </w:t>
      </w:r>
      <w:r w:rsidR="00932E35" w:rsidRPr="00756A49">
        <w:rPr>
          <w:rFonts w:ascii="Arial" w:hAnsi="Arial" w:cs="Arial"/>
          <w:b/>
          <w:sz w:val="20"/>
        </w:rPr>
        <w:t>možnost upravit vzhled webu nebo jeho zobrazovaný obsah</w:t>
      </w:r>
      <w:r w:rsidR="00932E35">
        <w:rPr>
          <w:rFonts w:ascii="Arial" w:hAnsi="Arial" w:cs="Arial"/>
          <w:sz w:val="20"/>
        </w:rPr>
        <w:t xml:space="preserve"> přihlášeným uživatelům nabízela 4 % firem s webovými stránkami, nejčastěji cestovní kanceláře (14 %).   </w:t>
      </w:r>
    </w:p>
    <w:p w:rsidR="00756A49" w:rsidRPr="00756A49" w:rsidRDefault="00756A49" w:rsidP="00756A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 w:rsidRPr="00756A49">
        <w:rPr>
          <w:rFonts w:ascii="Arial" w:hAnsi="Arial" w:cs="Arial"/>
          <w:sz w:val="20"/>
        </w:rPr>
        <w:t xml:space="preserve">Zveřejněnou nabídku zboží či služeb např. v podobě katalogů či ceníků mají na svých webových stránkách nejčastěji cestovní agentury či kanceláře, firmy působící v ubytování, v telekomunikacích, </w:t>
      </w:r>
      <w:r w:rsidR="00576CFB">
        <w:rPr>
          <w:rFonts w:ascii="Arial" w:hAnsi="Arial" w:cs="Arial"/>
          <w:sz w:val="20"/>
        </w:rPr>
        <w:t xml:space="preserve">nebo také </w:t>
      </w:r>
      <w:r>
        <w:rPr>
          <w:rFonts w:ascii="Arial" w:hAnsi="Arial" w:cs="Arial"/>
          <w:sz w:val="20"/>
        </w:rPr>
        <w:t>v</w:t>
      </w:r>
      <w:r w:rsidRPr="00756A49">
        <w:rPr>
          <w:rFonts w:ascii="Arial" w:hAnsi="Arial" w:cs="Arial"/>
          <w:sz w:val="20"/>
        </w:rPr>
        <w:t xml:space="preserve"> mediálním sektoru. </w:t>
      </w:r>
      <w:r>
        <w:rPr>
          <w:rFonts w:ascii="Arial" w:hAnsi="Arial" w:cs="Arial"/>
          <w:sz w:val="20"/>
        </w:rPr>
        <w:t xml:space="preserve">Možnost </w:t>
      </w:r>
      <w:r w:rsidRPr="00756A49">
        <w:rPr>
          <w:rFonts w:ascii="Arial" w:hAnsi="Arial" w:cs="Arial"/>
          <w:sz w:val="20"/>
        </w:rPr>
        <w:t xml:space="preserve">objednat či zarezervovat nabízené produkty/služby mají nejčastěji subjekty nabízející ubytování. Firmy působící v oblasti cestovního ruchu nabízí rovněž na svých webech nejčastěji  možnost </w:t>
      </w:r>
      <w:r>
        <w:rPr>
          <w:rFonts w:ascii="Arial" w:hAnsi="Arial" w:cs="Arial"/>
          <w:sz w:val="20"/>
        </w:rPr>
        <w:t>přizpůsobit</w:t>
      </w:r>
      <w:r w:rsidRPr="00756A49">
        <w:rPr>
          <w:rFonts w:ascii="Arial" w:hAnsi="Arial" w:cs="Arial"/>
          <w:sz w:val="20"/>
        </w:rPr>
        <w:t xml:space="preserve"> pod</w:t>
      </w:r>
      <w:r>
        <w:rPr>
          <w:rFonts w:ascii="Arial" w:hAnsi="Arial" w:cs="Arial"/>
          <w:sz w:val="20"/>
        </w:rPr>
        <w:t>oby nabízených produktů/služeb.</w:t>
      </w:r>
    </w:p>
    <w:p w:rsidR="00753A17" w:rsidRPr="00753A17" w:rsidRDefault="00753A17" w:rsidP="00756A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Správu a aktualizace webových stránek </w:t>
      </w:r>
      <w:r>
        <w:rPr>
          <w:rFonts w:ascii="Arial" w:hAnsi="Arial" w:cs="Arial"/>
          <w:sz w:val="20"/>
        </w:rPr>
        <w:t>provádějí častěji</w:t>
      </w:r>
      <w:r w:rsidR="00794A58">
        <w:rPr>
          <w:rFonts w:ascii="Arial" w:hAnsi="Arial" w:cs="Arial"/>
          <w:sz w:val="20"/>
        </w:rPr>
        <w:t xml:space="preserve"> ve</w:t>
      </w:r>
      <w:r w:rsidR="00576CFB">
        <w:rPr>
          <w:rFonts w:ascii="Arial" w:hAnsi="Arial" w:cs="Arial"/>
          <w:sz w:val="20"/>
        </w:rPr>
        <w:t xml:space="preserve"> sledovaných</w:t>
      </w:r>
      <w:r w:rsidR="00794A58">
        <w:rPr>
          <w:rFonts w:ascii="Arial" w:hAnsi="Arial" w:cs="Arial"/>
          <w:sz w:val="20"/>
        </w:rPr>
        <w:t xml:space="preserve"> firmách </w:t>
      </w:r>
      <w:r>
        <w:rPr>
          <w:rFonts w:ascii="Arial" w:hAnsi="Arial" w:cs="Arial"/>
          <w:sz w:val="20"/>
        </w:rPr>
        <w:t xml:space="preserve">vlastní zaměstnanci firem (případně zaměstnanci mateřských firem) než zaměstnanci jiného subjektu nebo živnostníci. Vlastním zaměstnancům svěřují úkony spojené se správou nebo s aktualizacemi obsahu webu především velké </w:t>
      </w:r>
      <w:r w:rsidR="0042172B">
        <w:rPr>
          <w:rFonts w:ascii="Arial" w:hAnsi="Arial" w:cs="Arial"/>
          <w:sz w:val="20"/>
        </w:rPr>
        <w:t xml:space="preserve">nebo středně velké </w:t>
      </w:r>
      <w:r>
        <w:rPr>
          <w:rFonts w:ascii="Arial" w:hAnsi="Arial" w:cs="Arial"/>
          <w:sz w:val="20"/>
        </w:rPr>
        <w:t>firmy (89 % velkých firem</w:t>
      </w:r>
      <w:r w:rsidR="0042172B">
        <w:rPr>
          <w:rFonts w:ascii="Arial" w:hAnsi="Arial" w:cs="Arial"/>
          <w:sz w:val="20"/>
        </w:rPr>
        <w:t xml:space="preserve"> a 74 % středně velkých firem</w:t>
      </w:r>
      <w:r>
        <w:rPr>
          <w:rFonts w:ascii="Arial" w:hAnsi="Arial" w:cs="Arial"/>
          <w:sz w:val="20"/>
        </w:rPr>
        <w:t xml:space="preserve"> s webovými stránkami)</w:t>
      </w:r>
      <w:r w:rsidR="0042172B">
        <w:rPr>
          <w:rFonts w:ascii="Arial" w:hAnsi="Arial" w:cs="Arial"/>
          <w:sz w:val="20"/>
        </w:rPr>
        <w:t xml:space="preserve">. </w:t>
      </w:r>
      <w:r w:rsidR="0042172B">
        <w:rPr>
          <w:rFonts w:ascii="Arial" w:hAnsi="Arial" w:cs="Arial"/>
          <w:sz w:val="20"/>
        </w:rPr>
        <w:lastRenderedPageBreak/>
        <w:t xml:space="preserve">Malé subjekty se stejně často obrací </w:t>
      </w:r>
      <w:r>
        <w:rPr>
          <w:rFonts w:ascii="Arial" w:hAnsi="Arial" w:cs="Arial"/>
          <w:sz w:val="20"/>
        </w:rPr>
        <w:t xml:space="preserve">na externisty </w:t>
      </w:r>
      <w:r w:rsidR="0042172B">
        <w:rPr>
          <w:rFonts w:ascii="Arial" w:hAnsi="Arial" w:cs="Arial"/>
          <w:sz w:val="20"/>
        </w:rPr>
        <w:t>i na vlastní zaměstnance (shodně 60 %)</w:t>
      </w:r>
      <w:r>
        <w:rPr>
          <w:rFonts w:ascii="Arial" w:hAnsi="Arial" w:cs="Arial"/>
          <w:sz w:val="20"/>
        </w:rPr>
        <w:t>. Vlastní zaměstnance upřednostňují pro správu webu nejčastěji firmy z IT odvětví</w:t>
      </w:r>
      <w:r w:rsidR="00D36158">
        <w:rPr>
          <w:rFonts w:ascii="Arial" w:hAnsi="Arial" w:cs="Arial"/>
          <w:sz w:val="20"/>
        </w:rPr>
        <w:t xml:space="preserve"> nebo z </w:t>
      </w:r>
      <w:r>
        <w:rPr>
          <w:rFonts w:ascii="Arial" w:hAnsi="Arial" w:cs="Arial"/>
          <w:sz w:val="20"/>
        </w:rPr>
        <w:t>telekomunika</w:t>
      </w:r>
      <w:r w:rsidR="00D36158">
        <w:rPr>
          <w:rFonts w:ascii="Arial" w:hAnsi="Arial" w:cs="Arial"/>
          <w:sz w:val="20"/>
        </w:rPr>
        <w:t>čních činností. Na externí subjekty nebo na živnostníky se častěji než na vlastní zaměstnance obracejí firmy působící ve stravování a pohostinství, v ubytování, dále také cestovní agentury a kanceláře nebo firmy působící ve stavebnictví.</w:t>
      </w:r>
    </w:p>
    <w:p w:rsidR="00756A49" w:rsidRPr="00794A58" w:rsidRDefault="00756A49" w:rsidP="00756A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 roce 2020 jsme se dotazovali také na to, jaké </w:t>
      </w:r>
      <w:r w:rsidR="00A961FE" w:rsidRPr="00A961FE">
        <w:rPr>
          <w:rFonts w:ascii="Arial" w:hAnsi="Arial" w:cs="Arial"/>
          <w:b/>
          <w:sz w:val="20"/>
        </w:rPr>
        <w:t xml:space="preserve">domény </w:t>
      </w:r>
      <w:r w:rsidRPr="00A961FE">
        <w:rPr>
          <w:rFonts w:ascii="Arial" w:hAnsi="Arial" w:cs="Arial"/>
          <w:b/>
          <w:sz w:val="20"/>
        </w:rPr>
        <w:t>mají firmy registrované</w:t>
      </w:r>
      <w:r w:rsidRPr="00A961FE">
        <w:rPr>
          <w:rFonts w:ascii="Arial" w:hAnsi="Arial" w:cs="Arial"/>
          <w:sz w:val="20"/>
        </w:rPr>
        <w:t xml:space="preserve"> pro jejich webové stránky</w:t>
      </w:r>
      <w:r>
        <w:rPr>
          <w:rFonts w:ascii="Arial" w:hAnsi="Arial" w:cs="Arial"/>
          <w:sz w:val="20"/>
        </w:rPr>
        <w:t xml:space="preserve">. Tři čtvrtiny firem měly v roce 2020 registrovanou </w:t>
      </w:r>
      <w:r w:rsidRPr="00A961FE">
        <w:rPr>
          <w:rFonts w:ascii="Arial" w:hAnsi="Arial" w:cs="Arial"/>
          <w:b/>
          <w:sz w:val="20"/>
        </w:rPr>
        <w:t>českou národní doménu</w:t>
      </w:r>
      <w:r>
        <w:rPr>
          <w:rFonts w:ascii="Arial" w:hAnsi="Arial" w:cs="Arial"/>
          <w:sz w:val="20"/>
        </w:rPr>
        <w:t>. Pouze českou doménu mělo 57</w:t>
      </w:r>
      <w:r w:rsidR="00A961F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českých firem</w:t>
      </w:r>
      <w:r w:rsidR="00A961FE">
        <w:rPr>
          <w:rFonts w:ascii="Arial" w:hAnsi="Arial" w:cs="Arial"/>
          <w:sz w:val="20"/>
        </w:rPr>
        <w:t xml:space="preserve">. Ostatní druhy domén jsou využívány výrazně méně často: generickou </w:t>
      </w:r>
      <w:r w:rsidR="00576CFB">
        <w:rPr>
          <w:rFonts w:ascii="Arial" w:hAnsi="Arial" w:cs="Arial"/>
          <w:sz w:val="20"/>
        </w:rPr>
        <w:t xml:space="preserve">nebo jinou </w:t>
      </w:r>
      <w:r w:rsidR="00A961FE">
        <w:rPr>
          <w:rFonts w:ascii="Arial" w:hAnsi="Arial" w:cs="Arial"/>
          <w:sz w:val="20"/>
        </w:rPr>
        <w:t>doménu (</w:t>
      </w:r>
      <w:proofErr w:type="gramStart"/>
      <w:r w:rsidR="00A961FE">
        <w:rPr>
          <w:rFonts w:ascii="Arial" w:hAnsi="Arial" w:cs="Arial"/>
          <w:sz w:val="20"/>
        </w:rPr>
        <w:t>např. .</w:t>
      </w:r>
      <w:proofErr w:type="spellStart"/>
      <w:r w:rsidR="00A961FE">
        <w:rPr>
          <w:rFonts w:ascii="Arial" w:hAnsi="Arial" w:cs="Arial"/>
          <w:sz w:val="20"/>
        </w:rPr>
        <w:t>com</w:t>
      </w:r>
      <w:proofErr w:type="spellEnd"/>
      <w:proofErr w:type="gramEnd"/>
      <w:r w:rsidR="00A961FE">
        <w:rPr>
          <w:rFonts w:ascii="Arial" w:hAnsi="Arial" w:cs="Arial"/>
          <w:sz w:val="20"/>
        </w:rPr>
        <w:t>) mělo 15 % subjektů, evropskou nadnárodní doménu (.</w:t>
      </w:r>
      <w:proofErr w:type="spellStart"/>
      <w:r w:rsidR="00A961FE">
        <w:rPr>
          <w:rFonts w:ascii="Arial" w:hAnsi="Arial" w:cs="Arial"/>
          <w:sz w:val="20"/>
        </w:rPr>
        <w:t>eu</w:t>
      </w:r>
      <w:proofErr w:type="spellEnd"/>
      <w:r w:rsidR="00A961FE">
        <w:rPr>
          <w:rFonts w:ascii="Arial" w:hAnsi="Arial" w:cs="Arial"/>
          <w:sz w:val="20"/>
        </w:rPr>
        <w:t>) 14 % firem a</w:t>
      </w:r>
      <w:r w:rsidR="00576CFB">
        <w:rPr>
          <w:rFonts w:ascii="Arial" w:hAnsi="Arial" w:cs="Arial"/>
          <w:sz w:val="20"/>
        </w:rPr>
        <w:t> </w:t>
      </w:r>
      <w:r w:rsidR="00A961FE">
        <w:rPr>
          <w:rFonts w:ascii="Arial" w:hAnsi="Arial" w:cs="Arial"/>
          <w:sz w:val="20"/>
        </w:rPr>
        <w:t>jinou národní doménu (např. .</w:t>
      </w:r>
      <w:proofErr w:type="spellStart"/>
      <w:r w:rsidR="00A961FE">
        <w:rPr>
          <w:rFonts w:ascii="Arial" w:hAnsi="Arial" w:cs="Arial"/>
          <w:sz w:val="20"/>
        </w:rPr>
        <w:t>sk</w:t>
      </w:r>
      <w:proofErr w:type="spellEnd"/>
      <w:r w:rsidR="00A961FE">
        <w:rPr>
          <w:rFonts w:ascii="Arial" w:hAnsi="Arial" w:cs="Arial"/>
          <w:sz w:val="20"/>
        </w:rPr>
        <w:t>, .de) měla registrován</w:t>
      </w:r>
      <w:r w:rsidR="00576CFB">
        <w:rPr>
          <w:rFonts w:ascii="Arial" w:hAnsi="Arial" w:cs="Arial"/>
          <w:sz w:val="20"/>
        </w:rPr>
        <w:t>u</w:t>
      </w:r>
      <w:r w:rsidR="00A961FE">
        <w:rPr>
          <w:rFonts w:ascii="Arial" w:hAnsi="Arial" w:cs="Arial"/>
          <w:sz w:val="20"/>
        </w:rPr>
        <w:t xml:space="preserve"> desetina subjektů. Velké firmy, mají nejčastěji registrovánu českou národní doménu. Druhou nejčastěji registrovanou doménou </w:t>
      </w:r>
      <w:r w:rsidR="00753A17">
        <w:rPr>
          <w:rFonts w:ascii="Arial" w:hAnsi="Arial" w:cs="Arial"/>
          <w:sz w:val="20"/>
        </w:rPr>
        <w:t xml:space="preserve">pro velké podniky </w:t>
      </w:r>
      <w:r w:rsidR="00A961FE">
        <w:rPr>
          <w:rFonts w:ascii="Arial" w:hAnsi="Arial" w:cs="Arial"/>
          <w:sz w:val="20"/>
        </w:rPr>
        <w:t>je generická ne</w:t>
      </w:r>
      <w:r w:rsidR="00753A17">
        <w:rPr>
          <w:rFonts w:ascii="Arial" w:hAnsi="Arial" w:cs="Arial"/>
          <w:sz w:val="20"/>
        </w:rPr>
        <w:t>bo jiná doména (</w:t>
      </w:r>
      <w:proofErr w:type="gramStart"/>
      <w:r w:rsidR="00753A17">
        <w:rPr>
          <w:rFonts w:ascii="Arial" w:hAnsi="Arial" w:cs="Arial"/>
          <w:sz w:val="20"/>
        </w:rPr>
        <w:t>např. .</w:t>
      </w:r>
      <w:proofErr w:type="spellStart"/>
      <w:r w:rsidR="00753A17">
        <w:rPr>
          <w:rFonts w:ascii="Arial" w:hAnsi="Arial" w:cs="Arial"/>
          <w:sz w:val="20"/>
        </w:rPr>
        <w:t>com</w:t>
      </w:r>
      <w:proofErr w:type="spellEnd"/>
      <w:proofErr w:type="gramEnd"/>
      <w:r w:rsidR="00753A17">
        <w:rPr>
          <w:rFonts w:ascii="Arial" w:hAnsi="Arial" w:cs="Arial"/>
          <w:sz w:val="20"/>
        </w:rPr>
        <w:t>, .net).</w:t>
      </w:r>
    </w:p>
    <w:p w:rsidR="00AA309A" w:rsidRPr="00AA309A" w:rsidRDefault="00794A58" w:rsidP="00756A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Zákaznickou podporu v podobě tzv. </w:t>
      </w:r>
      <w:r w:rsidRPr="00AA309A">
        <w:rPr>
          <w:rFonts w:ascii="Arial" w:hAnsi="Arial" w:cs="Arial"/>
          <w:b/>
          <w:sz w:val="20"/>
        </w:rPr>
        <w:t>webového online chatu</w:t>
      </w:r>
      <w:r>
        <w:rPr>
          <w:rFonts w:ascii="Arial" w:hAnsi="Arial" w:cs="Arial"/>
          <w:sz w:val="20"/>
        </w:rPr>
        <w:t xml:space="preserve"> poskyt</w:t>
      </w:r>
      <w:r w:rsidR="00AA309A">
        <w:rPr>
          <w:rFonts w:ascii="Arial" w:hAnsi="Arial" w:cs="Arial"/>
          <w:sz w:val="20"/>
        </w:rPr>
        <w:t xml:space="preserve">ovalo v roce 2020 </w:t>
      </w:r>
      <w:r>
        <w:rPr>
          <w:rFonts w:ascii="Arial" w:hAnsi="Arial" w:cs="Arial"/>
          <w:sz w:val="20"/>
        </w:rPr>
        <w:t>na webových stránkách nebo na sociálních médiích</w:t>
      </w:r>
      <w:r w:rsidR="00AA309A">
        <w:rPr>
          <w:rFonts w:ascii="Arial" w:hAnsi="Arial" w:cs="Arial"/>
          <w:sz w:val="20"/>
        </w:rPr>
        <w:t xml:space="preserve"> 8</w:t>
      </w:r>
      <w:r w:rsidR="00576CFB">
        <w:rPr>
          <w:rFonts w:ascii="Arial" w:hAnsi="Arial" w:cs="Arial"/>
          <w:sz w:val="20"/>
        </w:rPr>
        <w:t> </w:t>
      </w:r>
      <w:r w:rsidR="00AA309A">
        <w:rPr>
          <w:rFonts w:ascii="Arial" w:hAnsi="Arial" w:cs="Arial"/>
          <w:sz w:val="20"/>
        </w:rPr>
        <w:t xml:space="preserve">% firem s 10 a více zaměstnanci. Častěji tuto možnost poskytovaly velké firmy (12 %). Z odvětví dominují v poskytování zákaznické podpory v podobě webového online chatu cestovní agentury a kanceláře (35 %), telekomunikační firmy (32 %) a subjekty z mediálního sektoru (26 %). </w:t>
      </w:r>
    </w:p>
    <w:p w:rsidR="00794A58" w:rsidRPr="00756A49" w:rsidRDefault="00AA309A" w:rsidP="00756A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Zákaznická podpora v podobě webového online chatu byla v drtivé většině realizována tak, že </w:t>
      </w:r>
      <w:r w:rsidRPr="00AA309A">
        <w:rPr>
          <w:rFonts w:ascii="Arial" w:hAnsi="Arial" w:cs="Arial"/>
          <w:b/>
          <w:sz w:val="20"/>
        </w:rPr>
        <w:t>na otázky odpovídal člověk</w:t>
      </w:r>
      <w:r>
        <w:rPr>
          <w:rFonts w:ascii="Arial" w:hAnsi="Arial" w:cs="Arial"/>
          <w:sz w:val="20"/>
        </w:rPr>
        <w:t xml:space="preserve">, např. operátor péče o zákazníky. Využívání </w:t>
      </w:r>
      <w:r w:rsidRPr="00AA309A">
        <w:rPr>
          <w:rFonts w:ascii="Arial" w:hAnsi="Arial" w:cs="Arial"/>
          <w:b/>
          <w:sz w:val="20"/>
        </w:rPr>
        <w:t xml:space="preserve">chatovacích robotů, tzv. </w:t>
      </w:r>
      <w:proofErr w:type="spellStart"/>
      <w:r w:rsidRPr="00AA309A">
        <w:rPr>
          <w:rFonts w:ascii="Arial" w:hAnsi="Arial" w:cs="Arial"/>
          <w:b/>
          <w:sz w:val="20"/>
        </w:rPr>
        <w:t>chatbotů</w:t>
      </w:r>
      <w:proofErr w:type="spellEnd"/>
      <w:r>
        <w:rPr>
          <w:rFonts w:ascii="Arial" w:hAnsi="Arial" w:cs="Arial"/>
          <w:sz w:val="20"/>
        </w:rPr>
        <w:t>, není zatím v českém podnikatelském prostředí</w:t>
      </w:r>
      <w:r w:rsidR="00576CFB">
        <w:rPr>
          <w:rFonts w:ascii="Arial" w:hAnsi="Arial" w:cs="Arial"/>
          <w:sz w:val="20"/>
        </w:rPr>
        <w:t xml:space="preserve"> příliš</w:t>
      </w:r>
      <w:r>
        <w:rPr>
          <w:rFonts w:ascii="Arial" w:hAnsi="Arial" w:cs="Arial"/>
          <w:sz w:val="20"/>
        </w:rPr>
        <w:t xml:space="preserve"> rozšířeno. </w:t>
      </w:r>
      <w:proofErr w:type="spellStart"/>
      <w:r>
        <w:rPr>
          <w:rFonts w:ascii="Arial" w:hAnsi="Arial" w:cs="Arial"/>
          <w:sz w:val="20"/>
        </w:rPr>
        <w:t>Chatboty</w:t>
      </w:r>
      <w:proofErr w:type="spellEnd"/>
      <w:r>
        <w:rPr>
          <w:rFonts w:ascii="Arial" w:hAnsi="Arial" w:cs="Arial"/>
          <w:sz w:val="20"/>
        </w:rPr>
        <w:t>, resp. programy určené ke komunikaci se zákazníky využívalo v roce 2020 necelé 1 % firem s 10 a více zaměstnanci, 3 % velkých firem a</w:t>
      </w:r>
      <w:r w:rsidR="00576CF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 hlediska odvětví tuto možnost nacházíme nejčastěji v telekomunikacích (7 %).  </w:t>
      </w:r>
    </w:p>
    <w:p w:rsidR="003B3AAA" w:rsidRDefault="003B3AAA" w:rsidP="003E6ED3">
      <w:pPr>
        <w:tabs>
          <w:tab w:val="left" w:pos="360"/>
        </w:tabs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b/>
          <w:sz w:val="20"/>
        </w:rPr>
      </w:pPr>
      <w:r w:rsidRPr="00F921BE">
        <w:rPr>
          <w:rFonts w:ascii="Arial" w:hAnsi="Arial" w:cs="Arial"/>
          <w:b/>
          <w:sz w:val="20"/>
        </w:rPr>
        <w:t xml:space="preserve">Tab. 3.1: </w:t>
      </w:r>
      <w:r w:rsidR="005F77D7">
        <w:rPr>
          <w:rFonts w:ascii="Arial" w:hAnsi="Arial" w:cs="Arial"/>
          <w:b/>
          <w:sz w:val="20"/>
        </w:rPr>
        <w:t>Firmy s 10 a více zaměstnanci v ČR s webovými stránkami</w:t>
      </w:r>
      <w:r w:rsidR="006C7086" w:rsidRPr="00F921BE">
        <w:rPr>
          <w:rFonts w:ascii="Arial" w:hAnsi="Arial" w:cs="Arial"/>
          <w:b/>
          <w:sz w:val="20"/>
        </w:rPr>
        <w:t xml:space="preserve"> v roce</w:t>
      </w:r>
      <w:r w:rsidRPr="00F921BE">
        <w:rPr>
          <w:rFonts w:ascii="Arial" w:hAnsi="Arial" w:cs="Arial"/>
          <w:b/>
          <w:sz w:val="20"/>
        </w:rPr>
        <w:t xml:space="preserve"> 20</w:t>
      </w:r>
      <w:r w:rsidR="00303218">
        <w:rPr>
          <w:rFonts w:ascii="Arial" w:hAnsi="Arial" w:cs="Arial"/>
          <w:b/>
          <w:sz w:val="20"/>
        </w:rPr>
        <w:t>20</w:t>
      </w:r>
    </w:p>
    <w:tbl>
      <w:tblPr>
        <w:tblW w:w="101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00"/>
        <w:gridCol w:w="985"/>
        <w:gridCol w:w="992"/>
        <w:gridCol w:w="1044"/>
        <w:gridCol w:w="1083"/>
        <w:gridCol w:w="945"/>
        <w:gridCol w:w="1024"/>
      </w:tblGrid>
      <w:tr w:rsidR="00A914B0" w:rsidRPr="00A914B0" w:rsidTr="00F6313A">
        <w:trPr>
          <w:trHeight w:val="300"/>
        </w:trPr>
        <w:tc>
          <w:tcPr>
            <w:tcW w:w="3119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bookmarkStart w:id="0" w:name="RANGE!A2:E26"/>
            <w:r w:rsidRPr="00A914B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  <w:bookmarkEnd w:id="0"/>
          </w:p>
        </w:tc>
        <w:tc>
          <w:tcPr>
            <w:tcW w:w="100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 webovými stránkami celkem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přizpůsobenými </w:t>
            </w:r>
          </w:p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 mobilní zařízení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správu a aktualizaci </w:t>
            </w:r>
          </w:p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jejich obsahu provádí zaměstnanci firmy/ mateřské firmy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správu a aktualizaci </w:t>
            </w:r>
          </w:p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</w:t>
            </w: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ejich obsahu provádí zaměstnanci jiného subjektu/ živnostníci</w:t>
            </w:r>
          </w:p>
        </w:tc>
      </w:tr>
      <w:tr w:rsidR="00A914B0" w:rsidRPr="00A914B0" w:rsidTr="00F6313A">
        <w:trPr>
          <w:trHeight w:val="487"/>
        </w:trPr>
        <w:tc>
          <w:tcPr>
            <w:tcW w:w="3119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914B0" w:rsidRPr="00A914B0" w:rsidTr="00F6313A">
        <w:trPr>
          <w:trHeight w:val="595"/>
        </w:trPr>
        <w:tc>
          <w:tcPr>
            <w:tcW w:w="3119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</w:p>
          <w:p w:rsidR="00A914B0" w:rsidRPr="00A914B0" w:rsidRDefault="00A914B0" w:rsidP="00F631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 webovými stránkami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Default="00A914B0" w:rsidP="00A914B0">
            <w:pPr>
              <w:spacing w:after="0" w:line="240" w:lineRule="auto"/>
              <w:ind w:hanging="24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firem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 webovými stránkami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  <w:r w:rsidRPr="00A914B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s webovými stránkami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83,4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58,1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59,8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54,0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45,6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58,3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59,7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62,8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60,3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55,9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60,7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59,1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63,8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65,3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62,9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34,3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61,5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53,6</w:t>
            </w:r>
          </w:p>
        </w:tc>
      </w:tr>
      <w:tr w:rsidR="00A914B0" w:rsidRPr="00A914B0" w:rsidTr="00F6313A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A914B0" w:rsidRPr="00A914B0" w:rsidRDefault="00A914B0" w:rsidP="00A914B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9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</w:t>
            </w:r>
          </w:p>
        </w:tc>
      </w:tr>
    </w:tbl>
    <w:p w:rsidR="00A961FE" w:rsidRPr="00794A58" w:rsidRDefault="00A961FE" w:rsidP="00A961FE">
      <w:pPr>
        <w:spacing w:after="80" w:line="240" w:lineRule="auto"/>
        <w:rPr>
          <w:sz w:val="16"/>
          <w:szCs w:val="16"/>
        </w:rPr>
      </w:pPr>
    </w:p>
    <w:p w:rsidR="00A961FE" w:rsidRDefault="00A961FE" w:rsidP="00A961F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01DF4"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z w:val="18"/>
          <w:szCs w:val="18"/>
        </w:rPr>
        <w:t>oj: Český statistický úřad, 2020</w:t>
      </w:r>
    </w:p>
    <w:p w:rsidR="00794A58" w:rsidRDefault="00794A58" w:rsidP="00F6313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Graf</w:t>
      </w:r>
      <w:r w:rsidRPr="00D5493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 s 10 a více zaměstnanci v ČR s webovými stránkami</w:t>
      </w:r>
    </w:p>
    <w:p w:rsidR="00794A58" w:rsidRDefault="00794A58" w:rsidP="00794A58">
      <w:pPr>
        <w:spacing w:after="8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4C28E6A" wp14:editId="56DE4A41">
            <wp:extent cx="6474460" cy="1762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A58" w:rsidRPr="006C7086" w:rsidRDefault="00794A58" w:rsidP="00794A5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 v daném roce</w:t>
      </w:r>
    </w:p>
    <w:p w:rsidR="00794A58" w:rsidRDefault="00794A58" w:rsidP="00CA5C7D">
      <w:pPr>
        <w:spacing w:after="0" w:line="240" w:lineRule="auto"/>
        <w:rPr>
          <w:rFonts w:ascii="Arial" w:hAnsi="Arial" w:cs="Arial"/>
          <w:b/>
          <w:sz w:val="20"/>
        </w:rPr>
      </w:pPr>
    </w:p>
    <w:p w:rsidR="00CA5C7D" w:rsidRDefault="00CA5C7D" w:rsidP="00CA5C7D">
      <w:pPr>
        <w:spacing w:after="0" w:line="240" w:lineRule="auto"/>
        <w:rPr>
          <w:rFonts w:ascii="Arial" w:hAnsi="Arial" w:cs="Arial"/>
          <w:b/>
          <w:sz w:val="20"/>
        </w:rPr>
      </w:pPr>
      <w:r w:rsidRPr="0071743B">
        <w:rPr>
          <w:rFonts w:ascii="Arial" w:hAnsi="Arial" w:cs="Arial"/>
          <w:b/>
          <w:sz w:val="20"/>
        </w:rPr>
        <w:t>Graf 3.</w:t>
      </w:r>
      <w:r w:rsidR="00794A58">
        <w:rPr>
          <w:rFonts w:ascii="Arial" w:hAnsi="Arial" w:cs="Arial"/>
          <w:b/>
          <w:sz w:val="20"/>
        </w:rPr>
        <w:t>2</w:t>
      </w:r>
      <w:r w:rsidRPr="0071743B">
        <w:rPr>
          <w:rFonts w:ascii="Arial" w:hAnsi="Arial" w:cs="Arial"/>
          <w:b/>
          <w:sz w:val="20"/>
        </w:rPr>
        <w:t>: Firmy</w:t>
      </w:r>
      <w:r w:rsidR="005F77D7">
        <w:rPr>
          <w:rFonts w:ascii="Arial" w:hAnsi="Arial" w:cs="Arial"/>
          <w:b/>
          <w:sz w:val="20"/>
        </w:rPr>
        <w:t xml:space="preserve"> s 10 a více zaměstnanci</w:t>
      </w:r>
      <w:r w:rsidRPr="0071743B">
        <w:rPr>
          <w:rFonts w:ascii="Arial" w:hAnsi="Arial" w:cs="Arial"/>
          <w:b/>
          <w:sz w:val="20"/>
        </w:rPr>
        <w:t xml:space="preserve"> v zemích EU s webovými stránkami</w:t>
      </w:r>
      <w:r w:rsidR="006C7086" w:rsidRPr="0071743B">
        <w:rPr>
          <w:rFonts w:ascii="Arial" w:hAnsi="Arial" w:cs="Arial"/>
          <w:b/>
          <w:sz w:val="20"/>
        </w:rPr>
        <w:t xml:space="preserve"> v roce</w:t>
      </w:r>
      <w:r w:rsidRPr="0071743B">
        <w:rPr>
          <w:rFonts w:ascii="Arial" w:hAnsi="Arial" w:cs="Arial"/>
          <w:b/>
          <w:sz w:val="20"/>
        </w:rPr>
        <w:t xml:space="preserve"> 201</w:t>
      </w:r>
      <w:r w:rsidR="00890BB8">
        <w:rPr>
          <w:rFonts w:ascii="Arial" w:hAnsi="Arial" w:cs="Arial"/>
          <w:b/>
          <w:sz w:val="20"/>
        </w:rPr>
        <w:t>9</w:t>
      </w:r>
    </w:p>
    <w:p w:rsidR="003812FF" w:rsidRDefault="003812FF" w:rsidP="00CA5C7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E02464A">
            <wp:extent cx="6212205" cy="3091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C7D" w:rsidRDefault="00CA5C7D" w:rsidP="00CA5C7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 w:rsidR="006C7086">
        <w:rPr>
          <w:rFonts w:ascii="Arial" w:hAnsi="Arial" w:cs="Arial"/>
          <w:i/>
          <w:sz w:val="18"/>
          <w:szCs w:val="18"/>
        </w:rPr>
        <w:t xml:space="preserve">                    </w:t>
      </w:r>
      <w:r w:rsidRPr="006C7086">
        <w:rPr>
          <w:rFonts w:ascii="Arial" w:hAnsi="Arial" w:cs="Arial"/>
          <w:i/>
          <w:sz w:val="18"/>
          <w:szCs w:val="18"/>
        </w:rPr>
        <w:t xml:space="preserve">   </w:t>
      </w:r>
      <w:r w:rsidR="00890BB8">
        <w:rPr>
          <w:rFonts w:ascii="Arial" w:hAnsi="Arial" w:cs="Arial"/>
          <w:i/>
          <w:sz w:val="18"/>
          <w:szCs w:val="18"/>
        </w:rPr>
        <w:t xml:space="preserve">     </w:t>
      </w:r>
      <w:r w:rsidRPr="006C7086">
        <w:rPr>
          <w:rFonts w:ascii="Arial" w:hAnsi="Arial" w:cs="Arial"/>
          <w:i/>
          <w:sz w:val="18"/>
          <w:szCs w:val="18"/>
        </w:rPr>
        <w:t>z</w:t>
      </w:r>
      <w:r w:rsidRPr="006C7086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6C7086">
        <w:rPr>
          <w:rFonts w:ascii="Arial" w:hAnsi="Arial" w:cs="Arial"/>
          <w:sz w:val="18"/>
          <w:szCs w:val="18"/>
        </w:rPr>
        <w:t>Eurostat</w:t>
      </w:r>
      <w:proofErr w:type="spellEnd"/>
      <w:r w:rsidRPr="006C7086">
        <w:rPr>
          <w:rFonts w:ascii="Arial" w:hAnsi="Arial" w:cs="Arial"/>
          <w:sz w:val="18"/>
          <w:szCs w:val="18"/>
        </w:rPr>
        <w:t xml:space="preserve">, </w:t>
      </w:r>
      <w:r w:rsidR="00890BB8">
        <w:rPr>
          <w:rFonts w:ascii="Arial" w:hAnsi="Arial" w:cs="Arial"/>
          <w:sz w:val="18"/>
          <w:szCs w:val="18"/>
        </w:rPr>
        <w:t>leden 2020</w:t>
      </w:r>
    </w:p>
    <w:p w:rsidR="00794A58" w:rsidRDefault="00794A58" w:rsidP="00794A58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0"/>
        </w:rPr>
      </w:pPr>
    </w:p>
    <w:p w:rsidR="00794A58" w:rsidRDefault="00794A58" w:rsidP="00794A58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0"/>
        </w:rPr>
      </w:pPr>
      <w:r w:rsidRPr="003E3AF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3.</w:t>
      </w:r>
      <w:r w:rsidR="00A87565">
        <w:rPr>
          <w:rFonts w:ascii="Arial" w:hAnsi="Arial" w:cs="Arial"/>
          <w:b/>
          <w:sz w:val="20"/>
        </w:rPr>
        <w:t>3</w:t>
      </w:r>
      <w:r w:rsidRPr="003E3AFB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 xml:space="preserve"> poskytující zákaznickou podporu v podobě webového online chatu</w:t>
      </w:r>
      <w:r w:rsidRPr="003E3AFB">
        <w:rPr>
          <w:rFonts w:ascii="Arial" w:hAnsi="Arial" w:cs="Arial"/>
          <w:b/>
          <w:sz w:val="20"/>
        </w:rPr>
        <w:t> – top 5 odvětví</w:t>
      </w:r>
      <w:r>
        <w:rPr>
          <w:rFonts w:ascii="Arial" w:hAnsi="Arial" w:cs="Arial"/>
          <w:b/>
          <w:sz w:val="20"/>
        </w:rPr>
        <w:t xml:space="preserve"> v roce</w:t>
      </w:r>
      <w:r w:rsidRPr="003E3AFB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20</w:t>
      </w:r>
    </w:p>
    <w:p w:rsidR="00AA309A" w:rsidRDefault="00AA309A" w:rsidP="00794A58">
      <w:pPr>
        <w:autoSpaceDE w:val="0"/>
        <w:autoSpaceDN w:val="0"/>
        <w:adjustRightInd w:val="0"/>
        <w:spacing w:after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4D1B1CB">
            <wp:extent cx="6389370" cy="21824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A58" w:rsidRDefault="00794A58" w:rsidP="00794A5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odvětvové skupině </w:t>
      </w:r>
    </w:p>
    <w:p w:rsidR="00AA309A" w:rsidRDefault="00AA309A" w:rsidP="00AA309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01DF4"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z w:val="18"/>
          <w:szCs w:val="18"/>
        </w:rPr>
        <w:t>oj: Český statistický úřad, 2020</w:t>
      </w:r>
    </w:p>
    <w:p w:rsidR="00AA309A" w:rsidRDefault="00AA309A" w:rsidP="00AA309A">
      <w:pPr>
        <w:spacing w:before="240" w:after="80" w:line="240" w:lineRule="auto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3</w:t>
      </w:r>
      <w:r w:rsidRPr="00655177">
        <w:rPr>
          <w:rFonts w:ascii="Arial" w:hAnsi="Arial" w:cs="Arial"/>
          <w:b/>
          <w:sz w:val="20"/>
        </w:rPr>
        <w:t xml:space="preserve">.2: </w:t>
      </w:r>
      <w:r>
        <w:rPr>
          <w:rFonts w:ascii="Arial" w:hAnsi="Arial" w:cs="Arial"/>
          <w:b/>
          <w:sz w:val="20"/>
        </w:rPr>
        <w:t>Pokročilé funkcionality</w:t>
      </w:r>
      <w:r w:rsidRPr="00655177">
        <w:rPr>
          <w:rFonts w:ascii="Arial" w:hAnsi="Arial" w:cs="Arial"/>
          <w:b/>
          <w:sz w:val="20"/>
        </w:rPr>
        <w:t xml:space="preserve"> webových stránek firem</w:t>
      </w:r>
      <w:r>
        <w:rPr>
          <w:rFonts w:ascii="Arial" w:hAnsi="Arial" w:cs="Arial"/>
          <w:b/>
          <w:sz w:val="20"/>
        </w:rPr>
        <w:t xml:space="preserve"> s 10 a více zaměstnanci</w:t>
      </w:r>
      <w:r w:rsidRPr="00655177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 </w:t>
      </w:r>
      <w:r w:rsidRPr="00655177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 roce</w:t>
      </w:r>
      <w:r w:rsidRPr="0065517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2020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277"/>
        <w:gridCol w:w="1275"/>
        <w:gridCol w:w="1418"/>
        <w:gridCol w:w="1417"/>
      </w:tblGrid>
      <w:tr w:rsidR="00AA309A" w:rsidRPr="000E2E6F" w:rsidTr="000C3359">
        <w:trPr>
          <w:trHeight w:val="615"/>
        </w:trPr>
        <w:tc>
          <w:tcPr>
            <w:tcW w:w="3402" w:type="dxa"/>
            <w:vMerge w:val="restart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AA309A" w:rsidRPr="000E2E6F" w:rsidRDefault="00AA309A" w:rsidP="000C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0E2E6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AA309A" w:rsidRPr="000E2E6F" w:rsidRDefault="00AA309A" w:rsidP="00576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prohlíž</w:t>
            </w:r>
            <w:r w:rsidR="00576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ení</w:t>
            </w: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nabídk</w:t>
            </w:r>
            <w:r w:rsidR="00576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</w:t>
            </w: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produktů prostř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ednictvím </w:t>
            </w: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katalogů/ ceníků</w:t>
            </w:r>
          </w:p>
        </w:tc>
        <w:tc>
          <w:tcPr>
            <w:tcW w:w="1277" w:type="dxa"/>
            <w:vMerge w:val="restart"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AA309A" w:rsidRPr="000E2E6F" w:rsidRDefault="00AA309A" w:rsidP="00576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</w:t>
            </w:r>
            <w:r w:rsidR="00576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ení</w:t>
            </w: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produkt</w:t>
            </w:r>
            <w:r w:rsidR="00576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ů</w:t>
            </w: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na míru/ podle požadavků</w:t>
            </w:r>
          </w:p>
        </w:tc>
        <w:tc>
          <w:tcPr>
            <w:tcW w:w="1275" w:type="dxa"/>
            <w:vMerge w:val="restart"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AA309A" w:rsidRPr="000E2E6F" w:rsidRDefault="00576CFB" w:rsidP="00576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možnost udělat </w:t>
            </w:r>
            <w:r w:rsidR="00AA3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online 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objednávk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rezervac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AA309A" w:rsidRPr="000E2E6F" w:rsidRDefault="00576CFB" w:rsidP="00576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</w:t>
            </w:r>
            <w:bookmarkStart w:id="1" w:name="_GoBack"/>
            <w:bookmarkEnd w:id="1"/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ledov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ání 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objednávky/ zakázky</w:t>
            </w:r>
          </w:p>
        </w:tc>
        <w:tc>
          <w:tcPr>
            <w:tcW w:w="1417" w:type="dxa"/>
            <w:vMerge w:val="restart"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auto"/>
            <w:vAlign w:val="center"/>
            <w:hideMark/>
          </w:tcPr>
          <w:p w:rsidR="00AA309A" w:rsidRPr="000E2E6F" w:rsidRDefault="00576CFB" w:rsidP="000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úprava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vzhled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</w:t>
            </w:r>
            <w:r w:rsidR="00AA309A"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webu podle preferencí přihlášených uživatelů</w:t>
            </w:r>
          </w:p>
        </w:tc>
      </w:tr>
      <w:tr w:rsidR="00AA309A" w:rsidRPr="000E2E6F" w:rsidTr="000C3359">
        <w:trPr>
          <w:trHeight w:val="269"/>
        </w:trPr>
        <w:tc>
          <w:tcPr>
            <w:tcW w:w="3402" w:type="dxa"/>
            <w:vMerge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B2B2B2"/>
              <w:left w:val="single" w:sz="4" w:space="0" w:color="B2B2B2"/>
              <w:bottom w:val="single" w:sz="4" w:space="0" w:color="B2B2B2"/>
              <w:right w:val="nil"/>
            </w:tcBorders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4,4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3,9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3,2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6,1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14,2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8,8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</w:t>
            </w:r>
          </w:p>
        </w:tc>
      </w:tr>
      <w:tr w:rsidR="00AA309A" w:rsidRPr="000E2E6F" w:rsidTr="000C33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</w:t>
            </w:r>
          </w:p>
        </w:tc>
      </w:tr>
      <w:tr w:rsidR="00AA309A" w:rsidRPr="000E2E6F" w:rsidTr="000C3359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AA309A" w:rsidRPr="000E2E6F" w:rsidRDefault="00AA309A" w:rsidP="000C33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2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3,8</w:t>
            </w:r>
          </w:p>
        </w:tc>
      </w:tr>
    </w:tbl>
    <w:p w:rsidR="00AA309A" w:rsidRPr="006C7086" w:rsidRDefault="00AA309A" w:rsidP="00AA30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3812FF">
        <w:rPr>
          <w:rFonts w:ascii="Arial" w:hAnsi="Arial" w:cs="Arial"/>
          <w:i/>
          <w:sz w:val="18"/>
          <w:szCs w:val="18"/>
        </w:rPr>
        <w:t xml:space="preserve">firem s 10 a více zaměstnanci </w:t>
      </w:r>
      <w:r w:rsidRPr="006C7086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6C708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AA309A" w:rsidRPr="0042172B" w:rsidRDefault="00AA309A" w:rsidP="00AA309A">
      <w:pPr>
        <w:spacing w:after="120" w:line="240" w:lineRule="auto"/>
        <w:rPr>
          <w:rFonts w:ascii="Arial" w:hAnsi="Arial" w:cs="Arial"/>
          <w:b/>
          <w:sz w:val="10"/>
          <w:szCs w:val="10"/>
        </w:rPr>
      </w:pPr>
    </w:p>
    <w:p w:rsidR="00AA5FE5" w:rsidRDefault="00AA5FE5" w:rsidP="0042172B">
      <w:pPr>
        <w:spacing w:after="0" w:line="240" w:lineRule="auto"/>
        <w:rPr>
          <w:rFonts w:ascii="Arial" w:hAnsi="Arial" w:cs="Arial"/>
          <w:b/>
          <w:sz w:val="20"/>
        </w:rPr>
      </w:pPr>
      <w:r w:rsidRPr="003E3AF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3E3AFB">
        <w:rPr>
          <w:rFonts w:ascii="Arial" w:hAnsi="Arial" w:cs="Arial"/>
          <w:b/>
          <w:sz w:val="20"/>
        </w:rPr>
        <w:t>.</w:t>
      </w:r>
      <w:r w:rsidR="00A87565">
        <w:rPr>
          <w:rFonts w:ascii="Arial" w:hAnsi="Arial" w:cs="Arial"/>
          <w:b/>
          <w:sz w:val="20"/>
        </w:rPr>
        <w:t>4</w:t>
      </w:r>
      <w:r w:rsidRPr="003E3AFB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AA5FE5">
        <w:rPr>
          <w:rFonts w:ascii="Arial" w:hAnsi="Arial" w:cs="Arial"/>
          <w:b/>
          <w:sz w:val="20"/>
        </w:rPr>
        <w:t xml:space="preserve">Registrované domény pro webové stránky firem </w:t>
      </w:r>
      <w:r>
        <w:rPr>
          <w:rFonts w:ascii="Arial" w:hAnsi="Arial" w:cs="Arial"/>
          <w:b/>
          <w:sz w:val="20"/>
        </w:rPr>
        <w:t xml:space="preserve">s 10 a více zaměstnanci </w:t>
      </w:r>
      <w:r w:rsidRPr="00AA5FE5">
        <w:rPr>
          <w:rFonts w:ascii="Arial" w:hAnsi="Arial" w:cs="Arial"/>
          <w:b/>
          <w:sz w:val="20"/>
        </w:rPr>
        <w:t>v</w:t>
      </w:r>
      <w:r w:rsidR="00CC6599">
        <w:rPr>
          <w:rFonts w:ascii="Arial" w:hAnsi="Arial" w:cs="Arial"/>
          <w:b/>
          <w:sz w:val="20"/>
        </w:rPr>
        <w:t> </w:t>
      </w:r>
      <w:r w:rsidRPr="00AA5FE5">
        <w:rPr>
          <w:rFonts w:ascii="Arial" w:hAnsi="Arial" w:cs="Arial"/>
          <w:b/>
          <w:sz w:val="20"/>
        </w:rPr>
        <w:t>ČR</w:t>
      </w:r>
      <w:r w:rsidR="00CC6599">
        <w:rPr>
          <w:rFonts w:ascii="Arial" w:hAnsi="Arial" w:cs="Arial"/>
          <w:b/>
          <w:sz w:val="20"/>
        </w:rPr>
        <w:t xml:space="preserve"> v roce 2020</w:t>
      </w:r>
      <w:r w:rsidR="0042172B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CF22490">
            <wp:extent cx="6450330" cy="220091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462" w:rsidRPr="006C7086" w:rsidRDefault="00123462" w:rsidP="0012346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6C7086">
        <w:rPr>
          <w:rFonts w:ascii="Arial" w:hAnsi="Arial" w:cs="Arial"/>
          <w:i/>
          <w:sz w:val="18"/>
          <w:szCs w:val="18"/>
        </w:rPr>
        <w:t xml:space="preserve"> skupině </w:t>
      </w:r>
    </w:p>
    <w:p w:rsidR="00245B4E" w:rsidRPr="0042172B" w:rsidRDefault="00245B4E" w:rsidP="00245B4E">
      <w:pPr>
        <w:spacing w:after="120" w:line="240" w:lineRule="auto"/>
        <w:rPr>
          <w:rFonts w:ascii="Arial" w:hAnsi="Arial" w:cs="Arial"/>
          <w:b/>
          <w:sz w:val="10"/>
          <w:szCs w:val="10"/>
        </w:rPr>
      </w:pPr>
    </w:p>
    <w:p w:rsidR="00245B4E" w:rsidRDefault="00245B4E" w:rsidP="00245B4E">
      <w:pPr>
        <w:spacing w:after="120" w:line="240" w:lineRule="auto"/>
        <w:rPr>
          <w:rFonts w:ascii="Arial" w:hAnsi="Arial" w:cs="Arial"/>
          <w:b/>
          <w:sz w:val="20"/>
        </w:rPr>
      </w:pPr>
      <w:r w:rsidRPr="003E3AF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3.5</w:t>
      </w:r>
      <w:r w:rsidRPr="003E3AFB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Kdo ve firmách s 10 a více </w:t>
      </w:r>
      <w:proofErr w:type="spellStart"/>
      <w:r>
        <w:rPr>
          <w:rFonts w:ascii="Arial" w:hAnsi="Arial" w:cs="Arial"/>
          <w:b/>
          <w:sz w:val="20"/>
        </w:rPr>
        <w:t>zaměst</w:t>
      </w:r>
      <w:proofErr w:type="spellEnd"/>
      <w:r w:rsidR="0042172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AA5FE5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AA5FE5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prováděl správu a aktualizaci obsahu webu v</w:t>
      </w:r>
      <w:r w:rsidR="0042172B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r</w:t>
      </w:r>
      <w:r w:rsidR="0042172B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2020</w:t>
      </w:r>
      <w:r w:rsidR="0042172B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F2B4A4B">
            <wp:extent cx="6450330" cy="15119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B4E" w:rsidRPr="006C7086" w:rsidRDefault="00245B4E" w:rsidP="00245B4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>podíl na celkovém počtu firem s 10 a více zaměstnanci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45B4E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6C7086">
        <w:rPr>
          <w:rFonts w:ascii="Arial" w:hAnsi="Arial" w:cs="Arial"/>
          <w:i/>
          <w:sz w:val="18"/>
          <w:szCs w:val="18"/>
        </w:rPr>
        <w:t xml:space="preserve"> skupině </w:t>
      </w:r>
    </w:p>
    <w:p w:rsidR="00245B4E" w:rsidRDefault="00245B4E" w:rsidP="0042172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Z</w:t>
      </w:r>
      <w:r w:rsidRPr="00A01DF4"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z w:val="18"/>
          <w:szCs w:val="18"/>
        </w:rPr>
        <w:t>oj: Český statistický úřad, 2020</w:t>
      </w:r>
    </w:p>
    <w:sectPr w:rsidR="00245B4E" w:rsidSect="00161DA1">
      <w:pgSz w:w="11906" w:h="16838" w:code="9"/>
      <w:pgMar w:top="1134" w:right="991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D8" w:rsidRDefault="009C44D8" w:rsidP="00E71A58">
      <w:r>
        <w:separator/>
      </w:r>
    </w:p>
  </w:endnote>
  <w:endnote w:type="continuationSeparator" w:id="0">
    <w:p w:rsidR="009C44D8" w:rsidRDefault="009C44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D8" w:rsidRDefault="009C44D8" w:rsidP="00E71A58">
      <w:r>
        <w:separator/>
      </w:r>
    </w:p>
  </w:footnote>
  <w:footnote w:type="continuationSeparator" w:id="0">
    <w:p w:rsidR="009C44D8" w:rsidRDefault="009C44D8" w:rsidP="00E71A58">
      <w:r>
        <w:continuationSeparator/>
      </w:r>
    </w:p>
  </w:footnote>
  <w:footnote w:id="1">
    <w:p w:rsidR="00A961FE" w:rsidRPr="002C05D3" w:rsidRDefault="00A961FE" w:rsidP="00E74942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 xml:space="preserve">, která byla aktualizována na začátku roku </w:t>
      </w:r>
      <w:proofErr w:type="gramStart"/>
      <w:r>
        <w:rPr>
          <w:rFonts w:ascii="Arial" w:hAnsi="Arial" w:cs="Arial"/>
          <w:sz w:val="16"/>
          <w:szCs w:val="16"/>
        </w:rPr>
        <w:t>2020 a údaje</w:t>
      </w:r>
      <w:proofErr w:type="gramEnd"/>
      <w:r>
        <w:rPr>
          <w:rFonts w:ascii="Arial" w:hAnsi="Arial" w:cs="Arial"/>
          <w:sz w:val="16"/>
          <w:szCs w:val="16"/>
        </w:rPr>
        <w:t xml:space="preserve"> v ní se vztahují k roku 2019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23628"/>
    <w:rsid w:val="0004694F"/>
    <w:rsid w:val="00051D5A"/>
    <w:rsid w:val="0006111E"/>
    <w:rsid w:val="000621E4"/>
    <w:rsid w:val="00062EC5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E2E6F"/>
    <w:rsid w:val="000F4280"/>
    <w:rsid w:val="000F4CA8"/>
    <w:rsid w:val="00104DB3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85010"/>
    <w:rsid w:val="00194F66"/>
    <w:rsid w:val="001A552F"/>
    <w:rsid w:val="001B3110"/>
    <w:rsid w:val="001B494E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6443"/>
    <w:rsid w:val="002436BA"/>
    <w:rsid w:val="00244A15"/>
    <w:rsid w:val="00245B4E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31D3"/>
    <w:rsid w:val="002C43BD"/>
    <w:rsid w:val="002C458A"/>
    <w:rsid w:val="002C6BA4"/>
    <w:rsid w:val="002E02A1"/>
    <w:rsid w:val="002F44D7"/>
    <w:rsid w:val="002F6063"/>
    <w:rsid w:val="00302A41"/>
    <w:rsid w:val="00303218"/>
    <w:rsid w:val="00304771"/>
    <w:rsid w:val="00306C5B"/>
    <w:rsid w:val="003209D6"/>
    <w:rsid w:val="003259A3"/>
    <w:rsid w:val="00327C08"/>
    <w:rsid w:val="00343E00"/>
    <w:rsid w:val="003645AE"/>
    <w:rsid w:val="003657F3"/>
    <w:rsid w:val="00377AEE"/>
    <w:rsid w:val="003812FF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E1594"/>
    <w:rsid w:val="003E3AFB"/>
    <w:rsid w:val="003E6ED3"/>
    <w:rsid w:val="003F2A50"/>
    <w:rsid w:val="003F313C"/>
    <w:rsid w:val="00413550"/>
    <w:rsid w:val="00414240"/>
    <w:rsid w:val="0042172B"/>
    <w:rsid w:val="00427CE8"/>
    <w:rsid w:val="0043194A"/>
    <w:rsid w:val="00446C5D"/>
    <w:rsid w:val="00452C4B"/>
    <w:rsid w:val="004772F5"/>
    <w:rsid w:val="0048139F"/>
    <w:rsid w:val="00496EC4"/>
    <w:rsid w:val="004A6474"/>
    <w:rsid w:val="004A77DF"/>
    <w:rsid w:val="004B1FF3"/>
    <w:rsid w:val="004B2CB9"/>
    <w:rsid w:val="004B55B7"/>
    <w:rsid w:val="004B6543"/>
    <w:rsid w:val="004C2505"/>
    <w:rsid w:val="004C3867"/>
    <w:rsid w:val="004C38FD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53139"/>
    <w:rsid w:val="00576CFB"/>
    <w:rsid w:val="00576FCA"/>
    <w:rsid w:val="00582BA6"/>
    <w:rsid w:val="00583FFD"/>
    <w:rsid w:val="00585475"/>
    <w:rsid w:val="0059163A"/>
    <w:rsid w:val="00593152"/>
    <w:rsid w:val="005A21E0"/>
    <w:rsid w:val="005B4204"/>
    <w:rsid w:val="005B4655"/>
    <w:rsid w:val="005D5802"/>
    <w:rsid w:val="005E4081"/>
    <w:rsid w:val="005E7B2C"/>
    <w:rsid w:val="005F2537"/>
    <w:rsid w:val="005F419A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40061"/>
    <w:rsid w:val="0064036A"/>
    <w:rsid w:val="006404A7"/>
    <w:rsid w:val="00642921"/>
    <w:rsid w:val="00643526"/>
    <w:rsid w:val="006451E4"/>
    <w:rsid w:val="00655177"/>
    <w:rsid w:val="00656249"/>
    <w:rsid w:val="00657968"/>
    <w:rsid w:val="00657E87"/>
    <w:rsid w:val="006710C9"/>
    <w:rsid w:val="006724E5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13776"/>
    <w:rsid w:val="0071743B"/>
    <w:rsid w:val="007211F5"/>
    <w:rsid w:val="0073035F"/>
    <w:rsid w:val="00730AE8"/>
    <w:rsid w:val="0073322F"/>
    <w:rsid w:val="00741493"/>
    <w:rsid w:val="007419C4"/>
    <w:rsid w:val="0075144C"/>
    <w:rsid w:val="00752180"/>
    <w:rsid w:val="00753A17"/>
    <w:rsid w:val="00755D3A"/>
    <w:rsid w:val="0075639A"/>
    <w:rsid w:val="00756A49"/>
    <w:rsid w:val="007609C6"/>
    <w:rsid w:val="00761B3D"/>
    <w:rsid w:val="00770FB0"/>
    <w:rsid w:val="00776527"/>
    <w:rsid w:val="00785B2D"/>
    <w:rsid w:val="00794A58"/>
    <w:rsid w:val="0079553A"/>
    <w:rsid w:val="007A26E9"/>
    <w:rsid w:val="007A5C36"/>
    <w:rsid w:val="007B1723"/>
    <w:rsid w:val="007B39E7"/>
    <w:rsid w:val="007C3252"/>
    <w:rsid w:val="007C3F6A"/>
    <w:rsid w:val="007D22B8"/>
    <w:rsid w:val="007D7174"/>
    <w:rsid w:val="007E3D24"/>
    <w:rsid w:val="007E7E61"/>
    <w:rsid w:val="007F0845"/>
    <w:rsid w:val="00807FBF"/>
    <w:rsid w:val="00817313"/>
    <w:rsid w:val="0082034C"/>
    <w:rsid w:val="00821FF6"/>
    <w:rsid w:val="0083143E"/>
    <w:rsid w:val="00834FAA"/>
    <w:rsid w:val="00836086"/>
    <w:rsid w:val="00845467"/>
    <w:rsid w:val="00862335"/>
    <w:rsid w:val="00876086"/>
    <w:rsid w:val="00880C90"/>
    <w:rsid w:val="00883830"/>
    <w:rsid w:val="00884009"/>
    <w:rsid w:val="00886322"/>
    <w:rsid w:val="00890BB8"/>
    <w:rsid w:val="008B1764"/>
    <w:rsid w:val="008B3086"/>
    <w:rsid w:val="008B7C02"/>
    <w:rsid w:val="008C0E88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2E35"/>
    <w:rsid w:val="009354AF"/>
    <w:rsid w:val="0094427A"/>
    <w:rsid w:val="00953E93"/>
    <w:rsid w:val="0097254D"/>
    <w:rsid w:val="00974923"/>
    <w:rsid w:val="00976772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4D8"/>
    <w:rsid w:val="009C45AC"/>
    <w:rsid w:val="009C7745"/>
    <w:rsid w:val="009D0837"/>
    <w:rsid w:val="009D3FF2"/>
    <w:rsid w:val="009E46BC"/>
    <w:rsid w:val="009F4A9E"/>
    <w:rsid w:val="009F4B8A"/>
    <w:rsid w:val="00A01DF4"/>
    <w:rsid w:val="00A01E07"/>
    <w:rsid w:val="00A042F6"/>
    <w:rsid w:val="00A07F12"/>
    <w:rsid w:val="00A10D66"/>
    <w:rsid w:val="00A1359D"/>
    <w:rsid w:val="00A227E6"/>
    <w:rsid w:val="00A23E43"/>
    <w:rsid w:val="00A34E5A"/>
    <w:rsid w:val="00A42547"/>
    <w:rsid w:val="00A46DE0"/>
    <w:rsid w:val="00A53E51"/>
    <w:rsid w:val="00A62CE1"/>
    <w:rsid w:val="00A63582"/>
    <w:rsid w:val="00A75E40"/>
    <w:rsid w:val="00A857C0"/>
    <w:rsid w:val="00A87565"/>
    <w:rsid w:val="00A914B0"/>
    <w:rsid w:val="00A961FE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ED"/>
    <w:rsid w:val="00AD306C"/>
    <w:rsid w:val="00AD4894"/>
    <w:rsid w:val="00AD4F59"/>
    <w:rsid w:val="00AD76F0"/>
    <w:rsid w:val="00AF2A1B"/>
    <w:rsid w:val="00AF2FE6"/>
    <w:rsid w:val="00B10B10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61E79"/>
    <w:rsid w:val="00B6608F"/>
    <w:rsid w:val="00B76D1E"/>
    <w:rsid w:val="00B849FC"/>
    <w:rsid w:val="00B95940"/>
    <w:rsid w:val="00BB02B4"/>
    <w:rsid w:val="00BD258B"/>
    <w:rsid w:val="00BD366B"/>
    <w:rsid w:val="00BD4C80"/>
    <w:rsid w:val="00BD6D50"/>
    <w:rsid w:val="00C0475C"/>
    <w:rsid w:val="00C16BD2"/>
    <w:rsid w:val="00C21F94"/>
    <w:rsid w:val="00C2237E"/>
    <w:rsid w:val="00C23868"/>
    <w:rsid w:val="00C25284"/>
    <w:rsid w:val="00C45250"/>
    <w:rsid w:val="00C54084"/>
    <w:rsid w:val="00C67870"/>
    <w:rsid w:val="00C74DB5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F51EC"/>
    <w:rsid w:val="00D040DD"/>
    <w:rsid w:val="00D1416F"/>
    <w:rsid w:val="00D24A85"/>
    <w:rsid w:val="00D36158"/>
    <w:rsid w:val="00D54933"/>
    <w:rsid w:val="00D57B0B"/>
    <w:rsid w:val="00D63C8D"/>
    <w:rsid w:val="00D90E42"/>
    <w:rsid w:val="00D960FF"/>
    <w:rsid w:val="00DA25F4"/>
    <w:rsid w:val="00DA4974"/>
    <w:rsid w:val="00DB50D1"/>
    <w:rsid w:val="00DB6B38"/>
    <w:rsid w:val="00DC5B3B"/>
    <w:rsid w:val="00DD0B3A"/>
    <w:rsid w:val="00DE2403"/>
    <w:rsid w:val="00DF4018"/>
    <w:rsid w:val="00E01C0E"/>
    <w:rsid w:val="00E04694"/>
    <w:rsid w:val="00E06380"/>
    <w:rsid w:val="00E06638"/>
    <w:rsid w:val="00E20E07"/>
    <w:rsid w:val="00E357B8"/>
    <w:rsid w:val="00E4403F"/>
    <w:rsid w:val="00E47E88"/>
    <w:rsid w:val="00E66B7A"/>
    <w:rsid w:val="00E71A58"/>
    <w:rsid w:val="00E730CE"/>
    <w:rsid w:val="00E74942"/>
    <w:rsid w:val="00E8598E"/>
    <w:rsid w:val="00E92958"/>
    <w:rsid w:val="00E956B1"/>
    <w:rsid w:val="00EA0015"/>
    <w:rsid w:val="00EA0C68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15BEF"/>
    <w:rsid w:val="00F226D7"/>
    <w:rsid w:val="00F22D7D"/>
    <w:rsid w:val="00F24FAA"/>
    <w:rsid w:val="00F3364D"/>
    <w:rsid w:val="00F4274E"/>
    <w:rsid w:val="00F42C99"/>
    <w:rsid w:val="00F6313A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21BE"/>
    <w:rsid w:val="00F94198"/>
    <w:rsid w:val="00FA3FCC"/>
    <w:rsid w:val="00FB5C09"/>
    <w:rsid w:val="00FC0E5F"/>
    <w:rsid w:val="00FC2CAB"/>
    <w:rsid w:val="00FC2EF9"/>
    <w:rsid w:val="00FC4D25"/>
    <w:rsid w:val="00FC56DE"/>
    <w:rsid w:val="00FD18A2"/>
    <w:rsid w:val="00FD30C4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2C3D3B3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D1C3-FC0B-4707-94DD-D1C6CD5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2442</TotalTime>
  <Pages>1</Pages>
  <Words>1529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50</cp:revision>
  <cp:lastPrinted>2015-11-16T07:25:00Z</cp:lastPrinted>
  <dcterms:created xsi:type="dcterms:W3CDTF">2017-11-13T07:05:00Z</dcterms:created>
  <dcterms:modified xsi:type="dcterms:W3CDTF">2020-12-18T08:39:00Z</dcterms:modified>
</cp:coreProperties>
</file>