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7A915" w14:textId="7056C74B" w:rsidR="00BE6186" w:rsidRPr="00360DE3" w:rsidRDefault="00494549" w:rsidP="00BE6186">
      <w:pPr>
        <w:pStyle w:val="Nadpis1"/>
      </w:pPr>
      <w:bookmarkStart w:id="0" w:name="_Toc16089238"/>
      <w:r>
        <w:t>4</w:t>
      </w:r>
      <w:r w:rsidR="00BE6186" w:rsidRPr="00360DE3">
        <w:t xml:space="preserve">. </w:t>
      </w:r>
      <w:r w:rsidR="00B97434">
        <w:t>Investice</w:t>
      </w:r>
      <w:bookmarkEnd w:id="0"/>
    </w:p>
    <w:tbl>
      <w:tblPr>
        <w:tblW w:w="9644" w:type="dxa"/>
        <w:tblInd w:w="-15" w:type="dxa"/>
        <w:tblLayout w:type="fixed"/>
        <w:tblCellMar>
          <w:left w:w="0" w:type="dxa"/>
          <w:right w:w="0" w:type="dxa"/>
        </w:tblCellMar>
        <w:tblLook w:val="00A0" w:firstRow="1" w:lastRow="0" w:firstColumn="1" w:lastColumn="0" w:noHBand="0" w:noVBand="0"/>
      </w:tblPr>
      <w:tblGrid>
        <w:gridCol w:w="1976"/>
        <w:gridCol w:w="277"/>
        <w:gridCol w:w="7391"/>
      </w:tblGrid>
      <w:tr w:rsidR="00B97434" w:rsidRPr="00360DE3" w14:paraId="5ACE9009" w14:textId="77777777" w:rsidTr="00494549">
        <w:trPr>
          <w:trHeight w:val="145"/>
        </w:trPr>
        <w:tc>
          <w:tcPr>
            <w:tcW w:w="1976" w:type="dxa"/>
          </w:tcPr>
          <w:p w14:paraId="02CE6F43" w14:textId="77777777" w:rsidR="00B97434" w:rsidRDefault="00B97434" w:rsidP="00B97434">
            <w:pPr>
              <w:pStyle w:val="Marginlie"/>
            </w:pPr>
            <w:r>
              <w:t>Investiční aktivita v loňském roce silně rostla.</w:t>
            </w:r>
          </w:p>
        </w:tc>
        <w:tc>
          <w:tcPr>
            <w:tcW w:w="277" w:type="dxa"/>
          </w:tcPr>
          <w:p w14:paraId="448F0EB8" w14:textId="77777777" w:rsidR="00B97434" w:rsidRDefault="00B97434" w:rsidP="00B97434">
            <w:pPr>
              <w:pStyle w:val="Textpoznpodarou1"/>
              <w:jc w:val="both"/>
              <w:rPr>
                <w:spacing w:val="-4"/>
              </w:rPr>
            </w:pPr>
          </w:p>
        </w:tc>
        <w:tc>
          <w:tcPr>
            <w:tcW w:w="7391" w:type="dxa"/>
          </w:tcPr>
          <w:p w14:paraId="3F347739" w14:textId="632BE3DD" w:rsidR="00B97434" w:rsidRDefault="00B97434" w:rsidP="00D22038">
            <w:r>
              <w:t>Výdaje na tvorbu hrubého fixního kapitálu (THFK) v roce 2018 dosáhly 1 358,</w:t>
            </w:r>
            <w:r w:rsidR="00A32759">
              <w:t>4</w:t>
            </w:r>
            <w:r w:rsidR="00012408">
              <w:t> </w:t>
            </w:r>
            <w:r>
              <w:t>mld. korun. Meziročně se zvýšily o 108,1</w:t>
            </w:r>
            <w:r w:rsidR="001F138C">
              <w:t> mld.</w:t>
            </w:r>
            <w:r>
              <w:t xml:space="preserve"> Reálně investiční aktivita vzrostla o 7,2</w:t>
            </w:r>
            <w:r w:rsidR="001D51EB">
              <w:t> %</w:t>
            </w:r>
            <w:r>
              <w:t>. Jedná se o nejvyšší přírůstek od roku 2015</w:t>
            </w:r>
            <w:r>
              <w:rPr>
                <w:rStyle w:val="Znakapoznpodarou"/>
              </w:rPr>
              <w:footnoteReference w:id="1"/>
            </w:r>
            <w:r>
              <w:t>. Silná dynamika vedla také k navýšení podílu výdajů na tvorbu hrubého fixního kapitálu na hrubém domácím produktu (HDP). Ten loni dosáhl 25,5</w:t>
            </w:r>
            <w:r w:rsidR="001D51EB">
              <w:t> %</w:t>
            </w:r>
            <w:r>
              <w:t>, což je o 0,7</w:t>
            </w:r>
            <w:r w:rsidR="001F138C">
              <w:t> p. b.</w:t>
            </w:r>
            <w:r>
              <w:t xml:space="preserve"> více než v roce 2017. Ačkoli podíl investic</w:t>
            </w:r>
            <w:r w:rsidR="00D22038">
              <w:t xml:space="preserve"> do fixního kapitálu</w:t>
            </w:r>
            <w:r>
              <w:t xml:space="preserve"> na HDP v Česku v porovnání s přelomem tisíciletí klesl, v rámci Evropské unie dlouhodobě patří k nejvyšším. Loni se ČR společně s Maďarskem a Švédskem umístila na první příčce. Průměr EU činil 20,5</w:t>
            </w:r>
            <w:r w:rsidR="00012408">
              <w:t> </w:t>
            </w:r>
            <w:r>
              <w:t>%. Navzdory silné dynamice investic, kterou v posledních letech vykazují novější členské země, se však tato skupina ve srovnání se zbytkem EU drží spíše na nižší úrovni podílu investic na HDP. Česko mezi nimi mělo až do loňského roku tento ukazatel výjimečně silný. Nové umístění Maďarska nezvrátilo skutečnost, že investiční aktivita většiny zemí, které vstoupily do Unie po roce 2000, zůstává v pásmu podprůměrného podílu na</w:t>
            </w:r>
            <w:r w:rsidR="00F05E10">
              <w:t> </w:t>
            </w:r>
            <w:r>
              <w:t>HDP.</w:t>
            </w:r>
          </w:p>
        </w:tc>
      </w:tr>
      <w:tr w:rsidR="00744EE6" w:rsidRPr="00360DE3" w14:paraId="19296B53" w14:textId="77777777" w:rsidTr="00494549">
        <w:trPr>
          <w:trHeight w:val="160"/>
        </w:trPr>
        <w:tc>
          <w:tcPr>
            <w:tcW w:w="1976" w:type="dxa"/>
            <w:vMerge w:val="restart"/>
          </w:tcPr>
          <w:p w14:paraId="1E485FFC" w14:textId="77777777" w:rsidR="00744EE6" w:rsidRPr="00360DE3" w:rsidRDefault="00744EE6" w:rsidP="00744EE6">
            <w:pPr>
              <w:pStyle w:val="Marginlie"/>
              <w:rPr>
                <w:spacing w:val="0"/>
              </w:rPr>
            </w:pPr>
          </w:p>
        </w:tc>
        <w:tc>
          <w:tcPr>
            <w:tcW w:w="277" w:type="dxa"/>
            <w:vMerge w:val="restart"/>
          </w:tcPr>
          <w:p w14:paraId="5996FCF2" w14:textId="77777777" w:rsidR="00744EE6" w:rsidRPr="00360DE3" w:rsidRDefault="00744EE6" w:rsidP="00744EE6">
            <w:pPr>
              <w:pStyle w:val="Textpoznpodarou"/>
              <w:jc w:val="both"/>
            </w:pPr>
          </w:p>
        </w:tc>
        <w:tc>
          <w:tcPr>
            <w:tcW w:w="7391" w:type="dxa"/>
          </w:tcPr>
          <w:p w14:paraId="1072A4D0" w14:textId="77777777" w:rsidR="00744EE6" w:rsidRDefault="00744EE6" w:rsidP="00884A6F">
            <w:pPr>
              <w:spacing w:after="0"/>
              <w:rPr>
                <w:b/>
              </w:rPr>
            </w:pPr>
            <w:r>
              <w:rPr>
                <w:b/>
              </w:rPr>
              <w:t xml:space="preserve">Graf č. </w:t>
            </w:r>
            <w:r w:rsidR="00884A6F">
              <w:rPr>
                <w:b/>
              </w:rPr>
              <w:t>4</w:t>
            </w:r>
            <w:r>
              <w:rPr>
                <w:b/>
              </w:rPr>
              <w:t xml:space="preserve">  Tvorba hrubého fixního kapitálu, sektorové členění </w:t>
            </w:r>
            <w:r w:rsidRPr="00E03B0C">
              <w:t>(</w:t>
            </w:r>
            <w:r>
              <w:t>běžné ceny, meziroční změna v mld. korun</w:t>
            </w:r>
            <w:r w:rsidRPr="00E03B0C">
              <w:t>)</w:t>
            </w:r>
          </w:p>
        </w:tc>
      </w:tr>
      <w:tr w:rsidR="00744EE6" w:rsidRPr="00360DE3" w14:paraId="03FD98DC" w14:textId="77777777" w:rsidTr="00494549">
        <w:trPr>
          <w:trHeight w:val="160"/>
        </w:trPr>
        <w:tc>
          <w:tcPr>
            <w:tcW w:w="1976" w:type="dxa"/>
            <w:vMerge/>
          </w:tcPr>
          <w:p w14:paraId="650705A0" w14:textId="77777777" w:rsidR="00744EE6" w:rsidRPr="00360DE3" w:rsidRDefault="00744EE6" w:rsidP="00744EE6">
            <w:pPr>
              <w:pStyle w:val="Marginlie"/>
              <w:rPr>
                <w:spacing w:val="0"/>
              </w:rPr>
            </w:pPr>
          </w:p>
        </w:tc>
        <w:tc>
          <w:tcPr>
            <w:tcW w:w="277" w:type="dxa"/>
            <w:vMerge/>
          </w:tcPr>
          <w:p w14:paraId="596FA6FC" w14:textId="77777777" w:rsidR="00744EE6" w:rsidRPr="00360DE3" w:rsidRDefault="00744EE6" w:rsidP="00744EE6">
            <w:pPr>
              <w:pStyle w:val="Textpoznpodarou"/>
              <w:jc w:val="both"/>
            </w:pPr>
          </w:p>
        </w:tc>
        <w:tc>
          <w:tcPr>
            <w:tcW w:w="7391" w:type="dxa"/>
          </w:tcPr>
          <w:p w14:paraId="2B6605E9" w14:textId="77777777" w:rsidR="00744EE6" w:rsidRDefault="00744EE6" w:rsidP="00744EE6">
            <w:pPr>
              <w:spacing w:after="0"/>
            </w:pPr>
            <w:r>
              <w:rPr>
                <w:noProof/>
              </w:rPr>
              <w:drawing>
                <wp:inline distT="0" distB="0" distL="0" distR="0" wp14:anchorId="250F621B" wp14:editId="5C12665F">
                  <wp:extent cx="4737600" cy="3553200"/>
                  <wp:effectExtent l="0" t="0" r="6350"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744EE6" w:rsidRPr="00360DE3" w14:paraId="2146188A" w14:textId="77777777" w:rsidTr="00494549">
        <w:trPr>
          <w:trHeight w:val="160"/>
        </w:trPr>
        <w:tc>
          <w:tcPr>
            <w:tcW w:w="1976" w:type="dxa"/>
            <w:vMerge/>
          </w:tcPr>
          <w:p w14:paraId="32DDE1E6" w14:textId="77777777" w:rsidR="00744EE6" w:rsidRPr="00360DE3" w:rsidRDefault="00744EE6" w:rsidP="00744EE6">
            <w:pPr>
              <w:pStyle w:val="Marginlie"/>
              <w:rPr>
                <w:spacing w:val="0"/>
              </w:rPr>
            </w:pPr>
          </w:p>
        </w:tc>
        <w:tc>
          <w:tcPr>
            <w:tcW w:w="277" w:type="dxa"/>
            <w:vMerge/>
          </w:tcPr>
          <w:p w14:paraId="05301451" w14:textId="77777777" w:rsidR="00744EE6" w:rsidRPr="00360DE3" w:rsidRDefault="00744EE6" w:rsidP="00744EE6">
            <w:pPr>
              <w:pStyle w:val="Textpoznpodarou"/>
              <w:jc w:val="both"/>
            </w:pPr>
          </w:p>
        </w:tc>
        <w:tc>
          <w:tcPr>
            <w:tcW w:w="7391" w:type="dxa"/>
          </w:tcPr>
          <w:p w14:paraId="20882026" w14:textId="4BC432C0" w:rsidR="00744EE6" w:rsidRDefault="00744EE6" w:rsidP="00744EE6">
            <w:pPr>
              <w:rPr>
                <w:sz w:val="14"/>
                <w:szCs w:val="14"/>
              </w:rPr>
            </w:pPr>
            <w:r>
              <w:rPr>
                <w:sz w:val="14"/>
                <w:szCs w:val="14"/>
              </w:rPr>
              <w:t>Zdroj:</w:t>
            </w:r>
            <w:r w:rsidR="00F05E10">
              <w:rPr>
                <w:sz w:val="14"/>
                <w:szCs w:val="14"/>
              </w:rPr>
              <w:t xml:space="preserve"> </w:t>
            </w:r>
            <w:r>
              <w:rPr>
                <w:sz w:val="14"/>
                <w:szCs w:val="14"/>
              </w:rPr>
              <w:t>ČSÚ</w:t>
            </w:r>
          </w:p>
        </w:tc>
      </w:tr>
      <w:tr w:rsidR="00494549" w:rsidRPr="00360DE3" w14:paraId="4938FF37" w14:textId="77777777" w:rsidTr="00494549">
        <w:trPr>
          <w:trHeight w:val="170"/>
        </w:trPr>
        <w:tc>
          <w:tcPr>
            <w:tcW w:w="1976" w:type="dxa"/>
          </w:tcPr>
          <w:p w14:paraId="093CA2A8" w14:textId="478D9852" w:rsidR="00494549" w:rsidRDefault="00494549" w:rsidP="00494549">
            <w:pPr>
              <w:pStyle w:val="Marginlie"/>
            </w:pPr>
            <w:r>
              <w:t>S výjimkou finančních institucí rostly investice</w:t>
            </w:r>
            <w:r>
              <w:br/>
              <w:t>ve všech sektorech.</w:t>
            </w:r>
          </w:p>
        </w:tc>
        <w:tc>
          <w:tcPr>
            <w:tcW w:w="277" w:type="dxa"/>
          </w:tcPr>
          <w:p w14:paraId="7638AB4B" w14:textId="77777777" w:rsidR="00494549" w:rsidRDefault="00494549" w:rsidP="00494549">
            <w:pPr>
              <w:pStyle w:val="Textpoznpodarou1"/>
              <w:jc w:val="both"/>
              <w:rPr>
                <w:spacing w:val="-4"/>
              </w:rPr>
            </w:pPr>
          </w:p>
        </w:tc>
        <w:tc>
          <w:tcPr>
            <w:tcW w:w="7391" w:type="dxa"/>
          </w:tcPr>
          <w:p w14:paraId="77105926" w14:textId="1E196E10" w:rsidR="00494549" w:rsidRDefault="00494549" w:rsidP="00494549">
            <w:r>
              <w:t>Dominantní váhu v investiční aktivitě v národním hospodářství mají dlouhodobě nefinanční podniky. Loni od nich pocházelo 63,2 % výdajů na THFK. Investiční aktivita nefinančních podniků v porovnání s předchozím rokem posílila o 59,2 mld. korun. Jde o nejvyšší nominální nárůst od roku 2007. Druhý největší objem prostředků investovaly loni domácnosti a NISD</w:t>
            </w:r>
            <w:r>
              <w:rPr>
                <w:rStyle w:val="Znakapoznpodarou"/>
              </w:rPr>
              <w:footnoteReference w:id="2"/>
            </w:r>
            <w:r>
              <w:t xml:space="preserve">. Pozici si udržely, ačkoli jejich podíl na investicích loni klesl o 1 p. b. na 18,1 %. V jejich případě se objem výdajů meziročně navýšil o 6,6 mld. korun. Přírůstek tak výrazně zaostal za předchozími čtyřmi lety, kdy vždy přesáhl hranici 10 mld. Pokles podílu domácností na investicích je především důsledkem prudkého nárůstu investiční aktivity sektoru </w:t>
            </w:r>
            <w:r>
              <w:lastRenderedPageBreak/>
              <w:t>vládních institucí (o 47,4 mld. korun). Jejich podíl na kapitálových výdajích stoupl o 2,4 p. b. na 16,1 %. Podobně jako v roce 2015 se na aktivitě pozitivně projevil cyklus čerpání prostředků z evropských dotací. Nejmenším investorem z pohledu výdajů na tvorbu fixního kapitálu jsou finanční instituce (2,7 % z celkových investic v ekonomice). V jejich případě loni došlo k meziročnímu poklesu investičních výdajů o 5,0 mld. korun. Sektor finančních institucí tak nenavázal na roky 2016 a 2017, kdy zde byly investice neobvykle vysoké.</w:t>
            </w:r>
          </w:p>
        </w:tc>
      </w:tr>
      <w:tr w:rsidR="00494549" w:rsidRPr="00360DE3" w14:paraId="2B16CC50" w14:textId="77777777" w:rsidTr="00494549">
        <w:trPr>
          <w:trHeight w:val="170"/>
        </w:trPr>
        <w:tc>
          <w:tcPr>
            <w:tcW w:w="1976" w:type="dxa"/>
          </w:tcPr>
          <w:p w14:paraId="19282B98" w14:textId="0E8C4A9C" w:rsidR="00494549" w:rsidRDefault="00494549" w:rsidP="00494549">
            <w:pPr>
              <w:pStyle w:val="Marginlie"/>
            </w:pPr>
            <w:r>
              <w:lastRenderedPageBreak/>
              <w:t>Investice do strojů</w:t>
            </w:r>
            <w:r>
              <w:br/>
              <w:t>a zařízení reálně vzrostly o 8,5 %.</w:t>
            </w:r>
          </w:p>
        </w:tc>
        <w:tc>
          <w:tcPr>
            <w:tcW w:w="277" w:type="dxa"/>
          </w:tcPr>
          <w:p w14:paraId="351D284E" w14:textId="77777777" w:rsidR="00494549" w:rsidRDefault="00494549" w:rsidP="00494549">
            <w:pPr>
              <w:pStyle w:val="Textpoznpodarou1"/>
              <w:jc w:val="both"/>
              <w:rPr>
                <w:spacing w:val="-4"/>
              </w:rPr>
            </w:pPr>
          </w:p>
        </w:tc>
        <w:tc>
          <w:tcPr>
            <w:tcW w:w="7391" w:type="dxa"/>
          </w:tcPr>
          <w:p w14:paraId="3AA01A1E" w14:textId="17287891" w:rsidR="00494549" w:rsidRDefault="00494549" w:rsidP="00494549">
            <w:r>
              <w:t>Největší porce investičních prostředků každoročně míří do strojů a zařízení. V roce 2018 to bylo celkem 43,5 % z celkového objemu výdajů na THFK (591,3 mld. korun). Největším investorem do strojů a zařízení jsou nefinanční podniky. Menší část prostředků investují podnikatelé zařazení do sektoru domácností a vládní instituce. Meziroční nárůst investic do strojů a zařízení činil 38,9 mld. korun a v reálném vyjádření to bylo 8,5 %. Jde o nejvyšší reálný nárůst od roku 2015. Podrobnější členění této investiční položky ukazuje, že v loňském roce výrazně narostly výdaje na ostatní stroje a zařízení (o 29,9 mld. korun) a dále na dopravní prostředky a zařízení (o 16,0 mld. korun). Naopak meziročně poklesly investice do prostředků informačních a komunikačních technologií (o 6,9 mld. korun).</w:t>
            </w:r>
          </w:p>
        </w:tc>
      </w:tr>
      <w:tr w:rsidR="00494549" w:rsidRPr="00360DE3" w14:paraId="72D388D2" w14:textId="77777777" w:rsidTr="00494549">
        <w:trPr>
          <w:trHeight w:val="170"/>
        </w:trPr>
        <w:tc>
          <w:tcPr>
            <w:tcW w:w="1976" w:type="dxa"/>
          </w:tcPr>
          <w:p w14:paraId="24A8E39E" w14:textId="77777777" w:rsidR="00494549" w:rsidRDefault="00494549" w:rsidP="00494549">
            <w:pPr>
              <w:pStyle w:val="Marginlie"/>
            </w:pPr>
            <w:r>
              <w:t>Investice do ostatních staveb loni rostly mimořádně silně.</w:t>
            </w:r>
          </w:p>
        </w:tc>
        <w:tc>
          <w:tcPr>
            <w:tcW w:w="277" w:type="dxa"/>
          </w:tcPr>
          <w:p w14:paraId="7E30F3F8" w14:textId="77777777" w:rsidR="00494549" w:rsidRDefault="00494549" w:rsidP="00494549">
            <w:pPr>
              <w:pStyle w:val="Textpoznpodarou1"/>
              <w:jc w:val="both"/>
              <w:rPr>
                <w:spacing w:val="-4"/>
              </w:rPr>
            </w:pPr>
          </w:p>
        </w:tc>
        <w:tc>
          <w:tcPr>
            <w:tcW w:w="7391" w:type="dxa"/>
          </w:tcPr>
          <w:p w14:paraId="370C6D8D" w14:textId="06A622B4" w:rsidR="00494549" w:rsidRDefault="00494549" w:rsidP="00494549">
            <w:r>
              <w:t>Druhou největší investiční kategorií jsou ostatní budovy a stavby, které loni tvořily 24,4 % z celkového objemu investic. V kategorii ostatních budov a staveb má silnou úlohu sektor vládních institucí, který provádí investice do infrastruktury. Dynamika investic do ostatních staveb je tak více než jinde ovlivněna cyklem evropských dotací. To se projevilo i na vývoji v loňském roce, kdy se dočerpávala větší část dostupných prostředků. Meziročně se investiční výdaje na ostatní stavby zvýšily o 36,5 mld. korun. Reálný přírůstek dosáhl 6,7 %, což je nejvíce od roku 2003. Nominální přírůstek byl nejvyšší v posledních dvaceti letech.</w:t>
            </w:r>
          </w:p>
        </w:tc>
      </w:tr>
      <w:tr w:rsidR="00494549" w:rsidRPr="00360DE3" w14:paraId="27646E6A" w14:textId="77777777" w:rsidTr="00494549">
        <w:trPr>
          <w:trHeight w:val="160"/>
        </w:trPr>
        <w:tc>
          <w:tcPr>
            <w:tcW w:w="1976" w:type="dxa"/>
            <w:vMerge w:val="restart"/>
          </w:tcPr>
          <w:p w14:paraId="3834CEE2" w14:textId="77777777" w:rsidR="00494549" w:rsidRPr="00360DE3" w:rsidRDefault="00494549" w:rsidP="00494549">
            <w:pPr>
              <w:pStyle w:val="Marginlie"/>
              <w:rPr>
                <w:spacing w:val="0"/>
              </w:rPr>
            </w:pPr>
          </w:p>
        </w:tc>
        <w:tc>
          <w:tcPr>
            <w:tcW w:w="277" w:type="dxa"/>
            <w:vMerge w:val="restart"/>
          </w:tcPr>
          <w:p w14:paraId="5CF191D6" w14:textId="77777777" w:rsidR="00494549" w:rsidRPr="00360DE3" w:rsidRDefault="00494549" w:rsidP="00494549">
            <w:pPr>
              <w:pStyle w:val="Textpoznpodarou"/>
              <w:jc w:val="both"/>
            </w:pPr>
          </w:p>
        </w:tc>
        <w:tc>
          <w:tcPr>
            <w:tcW w:w="7391" w:type="dxa"/>
          </w:tcPr>
          <w:p w14:paraId="3A74A180" w14:textId="77777777" w:rsidR="00494549" w:rsidRDefault="00494549" w:rsidP="00494549">
            <w:pPr>
              <w:spacing w:after="0"/>
            </w:pPr>
            <w:r w:rsidRPr="007F4EFA">
              <w:rPr>
                <w:b/>
              </w:rPr>
              <w:t xml:space="preserve">Graf č. </w:t>
            </w:r>
            <w:r>
              <w:rPr>
                <w:b/>
              </w:rPr>
              <w:t xml:space="preserve">5  Tvorba hrubého fixního kapitálu a její věcná struktura </w:t>
            </w:r>
            <w:r w:rsidRPr="009313F9">
              <w:t>(</w:t>
            </w:r>
            <w:r>
              <w:t xml:space="preserve">běžné ceny, </w:t>
            </w:r>
            <w:r w:rsidRPr="009313F9">
              <w:t>meziroční změna v mld. korun)</w:t>
            </w:r>
          </w:p>
        </w:tc>
      </w:tr>
      <w:tr w:rsidR="00494549" w:rsidRPr="00360DE3" w14:paraId="4D29BCD0" w14:textId="77777777" w:rsidTr="00494549">
        <w:trPr>
          <w:trHeight w:val="160"/>
        </w:trPr>
        <w:tc>
          <w:tcPr>
            <w:tcW w:w="1976" w:type="dxa"/>
            <w:vMerge/>
          </w:tcPr>
          <w:p w14:paraId="52EC93DA" w14:textId="77777777" w:rsidR="00494549" w:rsidRPr="00360DE3" w:rsidRDefault="00494549" w:rsidP="00494549">
            <w:pPr>
              <w:pStyle w:val="Marginlie"/>
              <w:rPr>
                <w:spacing w:val="0"/>
              </w:rPr>
            </w:pPr>
          </w:p>
        </w:tc>
        <w:tc>
          <w:tcPr>
            <w:tcW w:w="277" w:type="dxa"/>
            <w:vMerge/>
          </w:tcPr>
          <w:p w14:paraId="58F0E6A3" w14:textId="77777777" w:rsidR="00494549" w:rsidRPr="00360DE3" w:rsidRDefault="00494549" w:rsidP="00494549">
            <w:pPr>
              <w:pStyle w:val="Textpoznpodarou"/>
              <w:jc w:val="both"/>
            </w:pPr>
          </w:p>
        </w:tc>
        <w:tc>
          <w:tcPr>
            <w:tcW w:w="7391" w:type="dxa"/>
          </w:tcPr>
          <w:p w14:paraId="2CCCF041" w14:textId="77777777" w:rsidR="00494549" w:rsidRDefault="00494549" w:rsidP="00494549">
            <w:pPr>
              <w:spacing w:after="0"/>
            </w:pPr>
            <w:r>
              <w:rPr>
                <w:noProof/>
              </w:rPr>
              <w:drawing>
                <wp:inline distT="0" distB="0" distL="0" distR="0" wp14:anchorId="7FA18F6E" wp14:editId="74085DA1">
                  <wp:extent cx="4737600" cy="3553200"/>
                  <wp:effectExtent l="0" t="0" r="635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494549" w:rsidRPr="00360DE3" w14:paraId="49F85A01" w14:textId="77777777" w:rsidTr="00494549">
        <w:trPr>
          <w:trHeight w:val="160"/>
        </w:trPr>
        <w:tc>
          <w:tcPr>
            <w:tcW w:w="1976" w:type="dxa"/>
            <w:vMerge/>
          </w:tcPr>
          <w:p w14:paraId="553D512D" w14:textId="77777777" w:rsidR="00494549" w:rsidRPr="00360DE3" w:rsidRDefault="00494549" w:rsidP="00494549">
            <w:pPr>
              <w:pStyle w:val="Marginlie"/>
              <w:rPr>
                <w:spacing w:val="0"/>
              </w:rPr>
            </w:pPr>
          </w:p>
        </w:tc>
        <w:tc>
          <w:tcPr>
            <w:tcW w:w="277" w:type="dxa"/>
            <w:vMerge/>
          </w:tcPr>
          <w:p w14:paraId="2C600E7B" w14:textId="77777777" w:rsidR="00494549" w:rsidRPr="00360DE3" w:rsidRDefault="00494549" w:rsidP="00494549">
            <w:pPr>
              <w:pStyle w:val="Textpoznpodarou"/>
              <w:jc w:val="both"/>
            </w:pPr>
          </w:p>
        </w:tc>
        <w:tc>
          <w:tcPr>
            <w:tcW w:w="7391" w:type="dxa"/>
          </w:tcPr>
          <w:p w14:paraId="7C184412" w14:textId="77777777" w:rsidR="00494549" w:rsidRDefault="00494549" w:rsidP="00494549">
            <w:pPr>
              <w:rPr>
                <w:sz w:val="14"/>
                <w:szCs w:val="14"/>
              </w:rPr>
            </w:pPr>
            <w:r>
              <w:rPr>
                <w:sz w:val="14"/>
                <w:szCs w:val="14"/>
              </w:rPr>
              <w:t>Zdroj: ČSÚ</w:t>
            </w:r>
          </w:p>
        </w:tc>
      </w:tr>
      <w:tr w:rsidR="00494549" w:rsidRPr="00360DE3" w14:paraId="18B3ED5E" w14:textId="77777777" w:rsidTr="00494549">
        <w:trPr>
          <w:trHeight w:val="170"/>
        </w:trPr>
        <w:tc>
          <w:tcPr>
            <w:tcW w:w="1976" w:type="dxa"/>
          </w:tcPr>
          <w:p w14:paraId="57A1AEC1" w14:textId="77777777" w:rsidR="00494549" w:rsidRDefault="00494549" w:rsidP="00494549">
            <w:pPr>
              <w:pStyle w:val="Marginlie"/>
            </w:pPr>
            <w:r>
              <w:t xml:space="preserve">Investice do obydlí i díky </w:t>
            </w:r>
            <w:r>
              <w:lastRenderedPageBreak/>
              <w:t>růstu příjmů domácností stabilně rostly.</w:t>
            </w:r>
          </w:p>
        </w:tc>
        <w:tc>
          <w:tcPr>
            <w:tcW w:w="277" w:type="dxa"/>
          </w:tcPr>
          <w:p w14:paraId="70BA0C82" w14:textId="77777777" w:rsidR="00494549" w:rsidRDefault="00494549" w:rsidP="00494549">
            <w:pPr>
              <w:pStyle w:val="Textpoznpodarou1"/>
              <w:jc w:val="both"/>
              <w:rPr>
                <w:spacing w:val="-4"/>
              </w:rPr>
            </w:pPr>
          </w:p>
        </w:tc>
        <w:tc>
          <w:tcPr>
            <w:tcW w:w="7391" w:type="dxa"/>
          </w:tcPr>
          <w:p w14:paraId="2C7ED4BC" w14:textId="6A49ADB2" w:rsidR="00494549" w:rsidRDefault="00494549" w:rsidP="00494549">
            <w:r>
              <w:t xml:space="preserve">Investice do obydlí loni tvořily 15,7 % z celkových výdajů na THFK. Je to stejně </w:t>
            </w:r>
            <w:r>
              <w:lastRenderedPageBreak/>
              <w:t>jako v předchozím roce a nejvíce od raných devadesátých let. Obydlí je hlavní investiční položkou domácností</w:t>
            </w:r>
            <w:r>
              <w:rPr>
                <w:rStyle w:val="Znakapoznpodarou"/>
              </w:rPr>
              <w:footnoteReference w:id="3"/>
            </w:r>
            <w:r>
              <w:t>. I díky solidnímu růstu příjmů domácností v posledních pěti letech je dynamika investic v této kategorii stabilnější než u ostatních položek. Loni vzrostl objem investic do obydlí o 18,1 mld. korun. Reálný nárůst činil 6,9 %.</w:t>
            </w:r>
          </w:p>
        </w:tc>
      </w:tr>
      <w:tr w:rsidR="00494549" w:rsidRPr="00360DE3" w14:paraId="68019C93" w14:textId="77777777" w:rsidTr="00494549">
        <w:trPr>
          <w:trHeight w:val="170"/>
        </w:trPr>
        <w:tc>
          <w:tcPr>
            <w:tcW w:w="1976" w:type="dxa"/>
          </w:tcPr>
          <w:p w14:paraId="49A5E40C" w14:textId="77777777" w:rsidR="00494549" w:rsidRDefault="00494549" w:rsidP="00494549">
            <w:pPr>
              <w:pStyle w:val="Marginlie"/>
            </w:pPr>
            <w:r>
              <w:lastRenderedPageBreak/>
              <w:t>Investice do produktů duševního vlastnictví nabývají na významu.</w:t>
            </w:r>
          </w:p>
        </w:tc>
        <w:tc>
          <w:tcPr>
            <w:tcW w:w="277" w:type="dxa"/>
          </w:tcPr>
          <w:p w14:paraId="7C2A8356" w14:textId="77777777" w:rsidR="00494549" w:rsidRDefault="00494549" w:rsidP="00494549">
            <w:pPr>
              <w:pStyle w:val="Textpoznpodarou1"/>
              <w:jc w:val="both"/>
              <w:rPr>
                <w:spacing w:val="-4"/>
              </w:rPr>
            </w:pPr>
          </w:p>
        </w:tc>
        <w:tc>
          <w:tcPr>
            <w:tcW w:w="7391" w:type="dxa"/>
          </w:tcPr>
          <w:p w14:paraId="05FD786D" w14:textId="30FECC64" w:rsidR="00494549" w:rsidRDefault="00494549" w:rsidP="00494549">
            <w:r>
              <w:t>Investiční výdaje na produkty duševního vlastnictví tvořily loni 16,1 % z celkových investic v ekonomice. Jejich podíl se v posledních třech letech navýšil, zejména ve formě softwaru a databází. Jde o investiční kategorii, která v současnosti tvoří podstatný díl investic u nefinančních podniků, vládních institucí a finančních institucí. Loni dosáhl nominální přírůstek výdajů v této oblasti 15,4 mld. korun, reálně 5,2 %. Rostly výše zmíněné investice do softwaru a databází (reálně o 9,6 %). Naopak výdaje na výzkum a vývoj reálně klesly o 1,1 %.</w:t>
            </w:r>
          </w:p>
        </w:tc>
      </w:tr>
      <w:tr w:rsidR="00494549" w:rsidRPr="00360DE3" w14:paraId="17A4FA13" w14:textId="77777777" w:rsidTr="00494549">
        <w:trPr>
          <w:trHeight w:val="170"/>
        </w:trPr>
        <w:tc>
          <w:tcPr>
            <w:tcW w:w="1976" w:type="dxa"/>
          </w:tcPr>
          <w:p w14:paraId="20E0AF56" w14:textId="77777777" w:rsidR="00494549" w:rsidRDefault="00494549" w:rsidP="00494549">
            <w:pPr>
              <w:pStyle w:val="Marginlie"/>
            </w:pPr>
            <w:r>
              <w:t>Investiční aktivita v EU stabilně rostla.</w:t>
            </w:r>
          </w:p>
        </w:tc>
        <w:tc>
          <w:tcPr>
            <w:tcW w:w="277" w:type="dxa"/>
          </w:tcPr>
          <w:p w14:paraId="66B33A5A" w14:textId="77777777" w:rsidR="00494549" w:rsidRDefault="00494549" w:rsidP="00494549">
            <w:pPr>
              <w:pStyle w:val="Textpoznpodarou1"/>
              <w:jc w:val="both"/>
              <w:rPr>
                <w:spacing w:val="-4"/>
              </w:rPr>
            </w:pPr>
          </w:p>
        </w:tc>
        <w:tc>
          <w:tcPr>
            <w:tcW w:w="7391" w:type="dxa"/>
          </w:tcPr>
          <w:p w14:paraId="04D26CCF" w14:textId="55479C05" w:rsidR="00494549" w:rsidRDefault="00494549" w:rsidP="00494549">
            <w:r>
              <w:t xml:space="preserve">Dynamika investiční aktivity v celé EU loni dosáhla 3,3 %. Podobně jako v minulém roce nejvíce rostla investiční aktivita novějších členů Unie. Nejsilněji rostly výdaje na THFK v Maďarsku (16,5 %), Lotyšsku (16,4 %) a Slovinsku (10,6 %). Česko mělo šestý nejrychlejší růst investic v EU. Zároveň je u některých zemí patrný i společný trend dynamiky, tedy prudký pokles či zpomalení v roce 2016, kdy začínalo nové programové období evropských dotací, a zrychlení v dalších dvou letech. Nutné dočerpání části prostředků do konce loňského roku zrychlilo v Česku růst investic v porovnání s rokem 2017. Podobný vývoj můžeme pozorovat i v Polsku, na Slovensku nebo v Bulharsku. Silný propad investičních výdajů loni postihl Řecko (–12,2 %) a Kypr (–7,1 %, zřejmě projev silné srovnávací základny). Výdaje ale klesly i v Rumunsku, Lucembursku, či na Maltě. </w:t>
            </w:r>
          </w:p>
        </w:tc>
      </w:tr>
      <w:tr w:rsidR="00494549" w:rsidRPr="00360DE3" w14:paraId="4DCE3D81" w14:textId="77777777" w:rsidTr="00494549">
        <w:trPr>
          <w:trHeight w:val="160"/>
        </w:trPr>
        <w:tc>
          <w:tcPr>
            <w:tcW w:w="1976" w:type="dxa"/>
            <w:vMerge w:val="restart"/>
          </w:tcPr>
          <w:p w14:paraId="2F1A5936" w14:textId="77777777" w:rsidR="00494549" w:rsidRPr="00360DE3" w:rsidRDefault="00494549" w:rsidP="00494549">
            <w:pPr>
              <w:pStyle w:val="Marginlie"/>
              <w:rPr>
                <w:spacing w:val="0"/>
              </w:rPr>
            </w:pPr>
          </w:p>
        </w:tc>
        <w:tc>
          <w:tcPr>
            <w:tcW w:w="277" w:type="dxa"/>
            <w:vMerge w:val="restart"/>
          </w:tcPr>
          <w:p w14:paraId="20DD29D6" w14:textId="77777777" w:rsidR="00494549" w:rsidRPr="00360DE3" w:rsidRDefault="00494549" w:rsidP="00494549">
            <w:pPr>
              <w:pStyle w:val="Textpoznpodarou"/>
              <w:jc w:val="both"/>
            </w:pPr>
          </w:p>
        </w:tc>
        <w:tc>
          <w:tcPr>
            <w:tcW w:w="7391" w:type="dxa"/>
          </w:tcPr>
          <w:p w14:paraId="5F9AB994" w14:textId="77777777" w:rsidR="00494549" w:rsidRDefault="00494549" w:rsidP="00494549">
            <w:pPr>
              <w:spacing w:after="0"/>
              <w:rPr>
                <w:b/>
              </w:rPr>
            </w:pPr>
            <w:r>
              <w:rPr>
                <w:b/>
              </w:rPr>
              <w:t xml:space="preserve">Graf č. 6  Výdaje na tvorbu hrubého fixního kapitálu </w:t>
            </w:r>
            <w:r w:rsidRPr="00623DBE">
              <w:t>(</w:t>
            </w:r>
            <w:r>
              <w:t xml:space="preserve">objemové indexy, </w:t>
            </w:r>
            <w:r w:rsidRPr="00623DBE">
              <w:t>meziroční změna v</w:t>
            </w:r>
            <w:r>
              <w:t> %</w:t>
            </w:r>
            <w:r w:rsidRPr="00623DBE">
              <w:t>)</w:t>
            </w:r>
          </w:p>
        </w:tc>
      </w:tr>
      <w:tr w:rsidR="00494549" w:rsidRPr="00360DE3" w14:paraId="58831E8A" w14:textId="77777777" w:rsidTr="00494549">
        <w:tblPrEx>
          <w:tblCellMar>
            <w:left w:w="70" w:type="dxa"/>
            <w:right w:w="70" w:type="dxa"/>
          </w:tblCellMar>
        </w:tblPrEx>
        <w:trPr>
          <w:trHeight w:val="160"/>
        </w:trPr>
        <w:tc>
          <w:tcPr>
            <w:tcW w:w="1976" w:type="dxa"/>
            <w:vMerge/>
          </w:tcPr>
          <w:p w14:paraId="7C1A566D" w14:textId="77777777" w:rsidR="00494549" w:rsidRPr="00360DE3" w:rsidRDefault="00494549" w:rsidP="00494549">
            <w:pPr>
              <w:pStyle w:val="Marginlie"/>
              <w:rPr>
                <w:spacing w:val="0"/>
              </w:rPr>
            </w:pPr>
          </w:p>
        </w:tc>
        <w:tc>
          <w:tcPr>
            <w:tcW w:w="277" w:type="dxa"/>
            <w:vMerge/>
          </w:tcPr>
          <w:p w14:paraId="19728844" w14:textId="77777777" w:rsidR="00494549" w:rsidRPr="00360DE3" w:rsidRDefault="00494549" w:rsidP="00494549">
            <w:pPr>
              <w:pStyle w:val="Textpoznpodarou"/>
              <w:jc w:val="both"/>
            </w:pPr>
          </w:p>
        </w:tc>
        <w:tc>
          <w:tcPr>
            <w:tcW w:w="7391" w:type="dxa"/>
          </w:tcPr>
          <w:p w14:paraId="59E24522" w14:textId="135E0A0D" w:rsidR="00494549" w:rsidRDefault="00494549" w:rsidP="00494549">
            <w:pPr>
              <w:spacing w:after="0"/>
            </w:pPr>
            <w:r>
              <w:rPr>
                <w:noProof/>
              </w:rPr>
              <w:drawing>
                <wp:inline distT="0" distB="0" distL="0" distR="0" wp14:anchorId="19B43EAF" wp14:editId="7989FB96">
                  <wp:extent cx="4693285" cy="351536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494549" w:rsidRPr="00360DE3" w14:paraId="2385B263" w14:textId="77777777" w:rsidTr="00494549">
        <w:trPr>
          <w:trHeight w:val="160"/>
        </w:trPr>
        <w:tc>
          <w:tcPr>
            <w:tcW w:w="1976" w:type="dxa"/>
            <w:vMerge/>
          </w:tcPr>
          <w:p w14:paraId="39377145" w14:textId="77777777" w:rsidR="00494549" w:rsidRPr="00360DE3" w:rsidRDefault="00494549" w:rsidP="00494549">
            <w:pPr>
              <w:pStyle w:val="Marginlie"/>
              <w:rPr>
                <w:spacing w:val="0"/>
              </w:rPr>
            </w:pPr>
          </w:p>
        </w:tc>
        <w:tc>
          <w:tcPr>
            <w:tcW w:w="277" w:type="dxa"/>
            <w:vMerge/>
          </w:tcPr>
          <w:p w14:paraId="1F013571" w14:textId="77777777" w:rsidR="00494549" w:rsidRPr="00360DE3" w:rsidRDefault="00494549" w:rsidP="00494549">
            <w:pPr>
              <w:pStyle w:val="Textpoznpodarou"/>
              <w:jc w:val="both"/>
            </w:pPr>
          </w:p>
        </w:tc>
        <w:tc>
          <w:tcPr>
            <w:tcW w:w="7391" w:type="dxa"/>
          </w:tcPr>
          <w:p w14:paraId="0C6BED92" w14:textId="77777777" w:rsidR="00494549" w:rsidRDefault="00494549" w:rsidP="00494549">
            <w:pPr>
              <w:rPr>
                <w:sz w:val="14"/>
                <w:szCs w:val="14"/>
              </w:rPr>
            </w:pPr>
            <w:r>
              <w:rPr>
                <w:sz w:val="14"/>
                <w:szCs w:val="14"/>
              </w:rPr>
              <w:t>Zdroj: Eurostat</w:t>
            </w:r>
          </w:p>
        </w:tc>
      </w:tr>
    </w:tbl>
    <w:p w14:paraId="671D54FC" w14:textId="1D063E29" w:rsidR="0060404F" w:rsidRDefault="0060404F" w:rsidP="00494549">
      <w:pPr>
        <w:pStyle w:val="Nadpis1"/>
        <w:rPr>
          <w:b w:val="0"/>
          <w:bCs w:val="0"/>
          <w:lang w:eastAsia="en-US"/>
        </w:rPr>
      </w:pPr>
      <w:bookmarkStart w:id="1" w:name="_GoBack"/>
      <w:bookmarkEnd w:id="1"/>
    </w:p>
    <w:sectPr w:rsidR="0060404F" w:rsidSect="00494549">
      <w:headerReference w:type="even" r:id="rId11"/>
      <w:headerReference w:type="default" r:id="rId12"/>
      <w:footerReference w:type="even" r:id="rId13"/>
      <w:footerReference w:type="default" r:id="rId14"/>
      <w:footnotePr>
        <w:pos w:val="beneathText"/>
      </w:footnotePr>
      <w:pgSz w:w="11906" w:h="16838" w:code="9"/>
      <w:pgMar w:top="1134" w:right="1134" w:bottom="1418" w:left="1134" w:header="680" w:footer="680" w:gutter="0"/>
      <w:pgNumType w:start="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619E2" w16cid:durableId="20F6CE05"/>
  <w16cid:commentId w16cid:paraId="734AC7CE" w16cid:durableId="20F6DCBD"/>
  <w16cid:commentId w16cid:paraId="6AF8D911" w16cid:durableId="20F7078E"/>
  <w16cid:commentId w16cid:paraId="50768BEC" w16cid:durableId="20F70A8B"/>
  <w16cid:commentId w16cid:paraId="15B0C836" w16cid:durableId="20F70CE2"/>
  <w16cid:commentId w16cid:paraId="413DE529" w16cid:durableId="20F82616"/>
  <w16cid:commentId w16cid:paraId="141B886B" w16cid:durableId="20F82A5A"/>
  <w16cid:commentId w16cid:paraId="29661C99" w16cid:durableId="20F92C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3124D" w14:textId="77777777" w:rsidR="00D11FC6" w:rsidRDefault="00D11FC6" w:rsidP="00E71A58">
      <w:r>
        <w:separator/>
      </w:r>
    </w:p>
  </w:endnote>
  <w:endnote w:type="continuationSeparator" w:id="0">
    <w:p w14:paraId="4151A14E" w14:textId="77777777" w:rsidR="00D11FC6" w:rsidRDefault="00D11FC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84EB" w14:textId="6BD93381" w:rsidR="00AD7D0B" w:rsidRPr="00932443" w:rsidRDefault="00AD7D0B" w:rsidP="00A418BC">
    <w:pPr>
      <w:pStyle w:val="Zpat"/>
      <w:rPr>
        <w:szCs w:val="16"/>
      </w:rPr>
    </w:pPr>
    <w:r>
      <w:rPr>
        <w:szCs w:val="16"/>
        <w:lang w:eastAsia="cs-CZ"/>
      </w:rPr>
      <w:drawing>
        <wp:anchor distT="0" distB="0" distL="114300" distR="114300" simplePos="0" relativeHeight="251658240" behindDoc="0" locked="0" layoutInCell="1" allowOverlap="1" wp14:anchorId="7BA63FD4" wp14:editId="33EBA599">
          <wp:simplePos x="0" y="0"/>
          <wp:positionH relativeFrom="column">
            <wp:align>right</wp:align>
          </wp:positionH>
          <wp:positionV relativeFrom="paragraph">
            <wp:posOffset>-64770</wp:posOffset>
          </wp:positionV>
          <wp:extent cx="428625" cy="201295"/>
          <wp:effectExtent l="0" t="0" r="3175" b="1905"/>
          <wp:wrapNone/>
          <wp:docPr id="113"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494549">
      <w:rPr>
        <w:szCs w:val="16"/>
      </w:rPr>
      <w:t>10</w:t>
    </w:r>
    <w:r w:rsidRPr="00932443">
      <w:rPr>
        <w:szCs w:val="16"/>
      </w:rPr>
      <w:fldChar w:fldCharType="end"/>
    </w:r>
    <w:r w:rsidRPr="00932443">
      <w:rPr>
        <w:szCs w:val="16"/>
      </w:rPr>
      <w:tab/>
    </w:r>
    <w:r>
      <w:rPr>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368E" w14:textId="3D31B602" w:rsidR="00AD7D0B" w:rsidRPr="00932443" w:rsidRDefault="00AD7D0B" w:rsidP="00A418BC">
    <w:pPr>
      <w:pStyle w:val="Zpat"/>
      <w:rPr>
        <w:szCs w:val="16"/>
      </w:rPr>
    </w:pPr>
    <w:r>
      <w:rPr>
        <w:szCs w:val="16"/>
        <w:lang w:eastAsia="cs-CZ"/>
      </w:rPr>
      <w:drawing>
        <wp:anchor distT="0" distB="0" distL="114300" distR="114300" simplePos="0" relativeHeight="251657216" behindDoc="0" locked="0" layoutInCell="1" allowOverlap="1" wp14:anchorId="723CA28A" wp14:editId="1B347EAC">
          <wp:simplePos x="0" y="0"/>
          <wp:positionH relativeFrom="column">
            <wp:align>left</wp:align>
          </wp:positionH>
          <wp:positionV relativeFrom="paragraph">
            <wp:posOffset>-122555</wp:posOffset>
          </wp:positionV>
          <wp:extent cx="510540" cy="272415"/>
          <wp:effectExtent l="0" t="0" r="0" b="6985"/>
          <wp:wrapNone/>
          <wp:docPr id="11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2018</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494549">
      <w:rPr>
        <w:rStyle w:val="ZpatChar"/>
        <w:szCs w:val="16"/>
      </w:rPr>
      <w:t>11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6BAA" w14:textId="77777777" w:rsidR="00D11FC6" w:rsidRDefault="00D11FC6" w:rsidP="0084727E">
      <w:pPr>
        <w:spacing w:after="0"/>
      </w:pPr>
      <w:r>
        <w:separator/>
      </w:r>
    </w:p>
  </w:footnote>
  <w:footnote w:type="continuationSeparator" w:id="0">
    <w:p w14:paraId="22C94564" w14:textId="77777777" w:rsidR="00D11FC6" w:rsidRDefault="00D11FC6" w:rsidP="00E71A58">
      <w:r>
        <w:continuationSeparator/>
      </w:r>
    </w:p>
  </w:footnote>
  <w:footnote w:id="1">
    <w:p w14:paraId="6E5E50B6" w14:textId="77777777" w:rsidR="00AD7D0B" w:rsidRPr="00FD29A2" w:rsidRDefault="00AD7D0B" w:rsidP="00B97434">
      <w:pPr>
        <w:pStyle w:val="Textpoznpodarou"/>
        <w:rPr>
          <w:sz w:val="16"/>
          <w:szCs w:val="16"/>
        </w:rPr>
      </w:pPr>
      <w:r w:rsidRPr="00FD29A2">
        <w:rPr>
          <w:rStyle w:val="Znakapoznpodarou"/>
        </w:rPr>
        <w:footnoteRef/>
      </w:r>
      <w:r w:rsidRPr="00FD29A2">
        <w:rPr>
          <w:sz w:val="16"/>
          <w:szCs w:val="16"/>
        </w:rPr>
        <w:t xml:space="preserve"> Nomináln</w:t>
      </w:r>
      <w:r>
        <w:rPr>
          <w:sz w:val="16"/>
          <w:szCs w:val="16"/>
        </w:rPr>
        <w:t>í nárůst byl</w:t>
      </w:r>
      <w:r w:rsidRPr="00FD29A2">
        <w:rPr>
          <w:sz w:val="16"/>
          <w:szCs w:val="16"/>
        </w:rPr>
        <w:t xml:space="preserve"> třetí největší nárůst v celé dostupné časové řadě od roku 199</w:t>
      </w:r>
      <w:r>
        <w:rPr>
          <w:sz w:val="16"/>
          <w:szCs w:val="16"/>
        </w:rPr>
        <w:t>0</w:t>
      </w:r>
      <w:r w:rsidRPr="00FD29A2">
        <w:rPr>
          <w:sz w:val="16"/>
          <w:szCs w:val="16"/>
        </w:rPr>
        <w:t xml:space="preserve"> (loňský rok předčila léta 2007 a 2015).</w:t>
      </w:r>
    </w:p>
  </w:footnote>
  <w:footnote w:id="2">
    <w:p w14:paraId="50A02158" w14:textId="77777777" w:rsidR="00494549" w:rsidRPr="00313C20" w:rsidRDefault="00494549" w:rsidP="00B97434">
      <w:pPr>
        <w:pStyle w:val="Textpoznpodarou"/>
        <w:rPr>
          <w:sz w:val="16"/>
          <w:szCs w:val="16"/>
        </w:rPr>
      </w:pPr>
      <w:r w:rsidRPr="00313C20">
        <w:rPr>
          <w:rStyle w:val="Znakapoznpodarou"/>
        </w:rPr>
        <w:footnoteRef/>
      </w:r>
      <w:r w:rsidRPr="00313C20">
        <w:rPr>
          <w:sz w:val="16"/>
          <w:szCs w:val="16"/>
        </w:rPr>
        <w:t xml:space="preserve"> Domácnosti včetně neziskových institucí sloužících domácnostem.</w:t>
      </w:r>
    </w:p>
  </w:footnote>
  <w:footnote w:id="3">
    <w:p w14:paraId="43379D81" w14:textId="3EE54E17" w:rsidR="00494549" w:rsidRPr="00DF317B" w:rsidRDefault="00494549">
      <w:pPr>
        <w:pStyle w:val="Textpoznpodarou"/>
        <w:rPr>
          <w:sz w:val="16"/>
          <w:szCs w:val="16"/>
        </w:rPr>
      </w:pPr>
      <w:r w:rsidRPr="00DF317B">
        <w:rPr>
          <w:rStyle w:val="Znakapoznpodarou"/>
          <w:sz w:val="16"/>
          <w:szCs w:val="16"/>
        </w:rPr>
        <w:footnoteRef/>
      </w:r>
      <w:r w:rsidRPr="00DF317B">
        <w:rPr>
          <w:sz w:val="16"/>
          <w:szCs w:val="16"/>
        </w:rPr>
        <w:t xml:space="preserve"> </w:t>
      </w:r>
      <w:r>
        <w:rPr>
          <w:sz w:val="16"/>
          <w:szCs w:val="16"/>
        </w:rPr>
        <w:t>P</w:t>
      </w:r>
      <w:r w:rsidRPr="00DF317B">
        <w:rPr>
          <w:sz w:val="16"/>
          <w:szCs w:val="16"/>
        </w:rPr>
        <w:t>rostředky</w:t>
      </w:r>
      <w:r>
        <w:rPr>
          <w:sz w:val="16"/>
          <w:szCs w:val="16"/>
        </w:rPr>
        <w:t xml:space="preserve"> domácností</w:t>
      </w:r>
      <w:r w:rsidRPr="00DF317B">
        <w:rPr>
          <w:sz w:val="16"/>
          <w:szCs w:val="16"/>
        </w:rPr>
        <w:t xml:space="preserve"> tvoří více než 95 % z celkového objemu investic do obydlí.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B81D" w14:textId="77777777" w:rsidR="00AD7D0B" w:rsidRPr="00601A2E" w:rsidRDefault="00AD7D0B" w:rsidP="00601A2E">
    <w:pPr>
      <w:pStyle w:val="Zhlav"/>
    </w:pPr>
    <w:r>
      <w:t>Analýza ekonomického vývoje v roce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7858" w14:textId="77777777" w:rsidR="00AD7D0B" w:rsidRDefault="00AD7D0B" w:rsidP="00937AE2">
    <w:pPr>
      <w:pStyle w:val="Zhlav"/>
    </w:pPr>
    <w:r>
      <w:t>Analýza ekonomického vývoje v roce 2018</w:t>
    </w:r>
  </w:p>
  <w:p w14:paraId="427F87BC" w14:textId="77777777" w:rsidR="00AD7D0B" w:rsidRPr="006F5416" w:rsidRDefault="00AD7D0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0"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6415AC1"/>
    <w:multiLevelType w:val="hybridMultilevel"/>
    <w:tmpl w:val="7464A696"/>
    <w:lvl w:ilvl="0" w:tplc="4246FC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0"/>
  </w:num>
  <w:num w:numId="14">
    <w:abstractNumId w:val="10"/>
  </w:num>
  <w:num w:numId="15">
    <w:abstractNumId w:val="16"/>
  </w:num>
  <w:num w:numId="16">
    <w:abstractNumId w:val="12"/>
  </w:num>
  <w:num w:numId="17">
    <w:abstractNumId w:val="21"/>
  </w:num>
  <w:num w:numId="18">
    <w:abstractNumId w:val="17"/>
  </w:num>
  <w:num w:numId="19">
    <w:abstractNumId w:val="22"/>
  </w:num>
  <w:num w:numId="20">
    <w:abstractNumId w:val="24"/>
  </w:num>
  <w:num w:numId="21">
    <w:abstractNumId w:val="19"/>
  </w:num>
  <w:num w:numId="22">
    <w:abstractNumId w:val="15"/>
  </w:num>
  <w:num w:numId="23">
    <w:abstractNumId w:val="13"/>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pos w:val="beneathText"/>
    <w:footnote w:id="-1"/>
    <w:footnote w:id="0"/>
  </w:footnotePr>
  <w:endnotePr>
    <w:endnote w:id="-1"/>
    <w:endnote w:id="0"/>
  </w:endnotePr>
  <w:compat>
    <w:compatSetting w:name="compatibilityMode" w:uri="http://schemas.microsoft.com/office/word" w:val="12"/>
  </w:compat>
  <w:rsids>
    <w:rsidRoot w:val="00F46502"/>
    <w:rsid w:val="0000209D"/>
    <w:rsid w:val="00004D5A"/>
    <w:rsid w:val="000056D5"/>
    <w:rsid w:val="00006ABD"/>
    <w:rsid w:val="0000767A"/>
    <w:rsid w:val="00007BEF"/>
    <w:rsid w:val="00010256"/>
    <w:rsid w:val="00010702"/>
    <w:rsid w:val="00011912"/>
    <w:rsid w:val="00012408"/>
    <w:rsid w:val="00014E7F"/>
    <w:rsid w:val="0002195D"/>
    <w:rsid w:val="000234D6"/>
    <w:rsid w:val="00023D29"/>
    <w:rsid w:val="00026389"/>
    <w:rsid w:val="00031AE0"/>
    <w:rsid w:val="000322EF"/>
    <w:rsid w:val="000333B9"/>
    <w:rsid w:val="00033FCD"/>
    <w:rsid w:val="00041CEC"/>
    <w:rsid w:val="0004694F"/>
    <w:rsid w:val="000500AB"/>
    <w:rsid w:val="000522E4"/>
    <w:rsid w:val="000610E1"/>
    <w:rsid w:val="00062EC5"/>
    <w:rsid w:val="00062F22"/>
    <w:rsid w:val="00067A82"/>
    <w:rsid w:val="000712B3"/>
    <w:rsid w:val="000748F2"/>
    <w:rsid w:val="0008263E"/>
    <w:rsid w:val="00082A55"/>
    <w:rsid w:val="00082C19"/>
    <w:rsid w:val="00085395"/>
    <w:rsid w:val="00087634"/>
    <w:rsid w:val="00087F2B"/>
    <w:rsid w:val="00093E3F"/>
    <w:rsid w:val="00093E53"/>
    <w:rsid w:val="00095135"/>
    <w:rsid w:val="00096085"/>
    <w:rsid w:val="000974D1"/>
    <w:rsid w:val="0009799E"/>
    <w:rsid w:val="000A1183"/>
    <w:rsid w:val="000A256D"/>
    <w:rsid w:val="000A3A2C"/>
    <w:rsid w:val="000B525B"/>
    <w:rsid w:val="000C1D78"/>
    <w:rsid w:val="000C3408"/>
    <w:rsid w:val="000C6AFD"/>
    <w:rsid w:val="000D5637"/>
    <w:rsid w:val="000E3D0E"/>
    <w:rsid w:val="000E6C04"/>
    <w:rsid w:val="000E6FBD"/>
    <w:rsid w:val="000F7084"/>
    <w:rsid w:val="00100F5C"/>
    <w:rsid w:val="0010106F"/>
    <w:rsid w:val="00101CDA"/>
    <w:rsid w:val="00104C4C"/>
    <w:rsid w:val="00117623"/>
    <w:rsid w:val="0012192F"/>
    <w:rsid w:val="00122BB3"/>
    <w:rsid w:val="00125A9C"/>
    <w:rsid w:val="00125D69"/>
    <w:rsid w:val="001405FA"/>
    <w:rsid w:val="00141782"/>
    <w:rsid w:val="001425C3"/>
    <w:rsid w:val="0014794C"/>
    <w:rsid w:val="001528B9"/>
    <w:rsid w:val="001612F4"/>
    <w:rsid w:val="00162312"/>
    <w:rsid w:val="0016256B"/>
    <w:rsid w:val="00163793"/>
    <w:rsid w:val="001671FF"/>
    <w:rsid w:val="001706D6"/>
    <w:rsid w:val="001714F2"/>
    <w:rsid w:val="00175B9F"/>
    <w:rsid w:val="00181BBC"/>
    <w:rsid w:val="00182799"/>
    <w:rsid w:val="00184B08"/>
    <w:rsid w:val="00185010"/>
    <w:rsid w:val="00186919"/>
    <w:rsid w:val="001916DB"/>
    <w:rsid w:val="00193818"/>
    <w:rsid w:val="001A0487"/>
    <w:rsid w:val="001A0D6B"/>
    <w:rsid w:val="001A5387"/>
    <w:rsid w:val="001A552F"/>
    <w:rsid w:val="001B28D3"/>
    <w:rsid w:val="001B2CA9"/>
    <w:rsid w:val="001B3110"/>
    <w:rsid w:val="001B4729"/>
    <w:rsid w:val="001B6310"/>
    <w:rsid w:val="001B6C09"/>
    <w:rsid w:val="001C05CD"/>
    <w:rsid w:val="001C1B66"/>
    <w:rsid w:val="001C487C"/>
    <w:rsid w:val="001D198A"/>
    <w:rsid w:val="001D463E"/>
    <w:rsid w:val="001D51EB"/>
    <w:rsid w:val="001D68B2"/>
    <w:rsid w:val="001D70E9"/>
    <w:rsid w:val="001E504C"/>
    <w:rsid w:val="001F138C"/>
    <w:rsid w:val="001F4063"/>
    <w:rsid w:val="001F4597"/>
    <w:rsid w:val="001F52D6"/>
    <w:rsid w:val="00203DA4"/>
    <w:rsid w:val="002052C6"/>
    <w:rsid w:val="002054B4"/>
    <w:rsid w:val="002118B9"/>
    <w:rsid w:val="00217C5B"/>
    <w:rsid w:val="0022139E"/>
    <w:rsid w:val="00222729"/>
    <w:rsid w:val="00222FFB"/>
    <w:rsid w:val="002252E0"/>
    <w:rsid w:val="002255F6"/>
    <w:rsid w:val="00227850"/>
    <w:rsid w:val="00227A53"/>
    <w:rsid w:val="00230C6E"/>
    <w:rsid w:val="00236443"/>
    <w:rsid w:val="00241035"/>
    <w:rsid w:val="00241B06"/>
    <w:rsid w:val="002436BA"/>
    <w:rsid w:val="00244A15"/>
    <w:rsid w:val="00247319"/>
    <w:rsid w:val="0024799E"/>
    <w:rsid w:val="00253C0F"/>
    <w:rsid w:val="002558C1"/>
    <w:rsid w:val="00260FC5"/>
    <w:rsid w:val="00271465"/>
    <w:rsid w:val="00274037"/>
    <w:rsid w:val="00285412"/>
    <w:rsid w:val="0028587B"/>
    <w:rsid w:val="00291640"/>
    <w:rsid w:val="002A16D4"/>
    <w:rsid w:val="002A230C"/>
    <w:rsid w:val="002A5D97"/>
    <w:rsid w:val="002A7679"/>
    <w:rsid w:val="002B2127"/>
    <w:rsid w:val="002B213A"/>
    <w:rsid w:val="002B4845"/>
    <w:rsid w:val="002B6B06"/>
    <w:rsid w:val="002C43BD"/>
    <w:rsid w:val="002D0E59"/>
    <w:rsid w:val="002E02A1"/>
    <w:rsid w:val="002E1A9C"/>
    <w:rsid w:val="002E4E4C"/>
    <w:rsid w:val="00303533"/>
    <w:rsid w:val="00304771"/>
    <w:rsid w:val="003052D4"/>
    <w:rsid w:val="00306C5B"/>
    <w:rsid w:val="00314A41"/>
    <w:rsid w:val="003209D6"/>
    <w:rsid w:val="00321924"/>
    <w:rsid w:val="0032656E"/>
    <w:rsid w:val="003268DD"/>
    <w:rsid w:val="00330060"/>
    <w:rsid w:val="00332190"/>
    <w:rsid w:val="0033250B"/>
    <w:rsid w:val="0034335E"/>
    <w:rsid w:val="00344668"/>
    <w:rsid w:val="003462D9"/>
    <w:rsid w:val="00347378"/>
    <w:rsid w:val="00347604"/>
    <w:rsid w:val="00357908"/>
    <w:rsid w:val="00360C86"/>
    <w:rsid w:val="00360DE3"/>
    <w:rsid w:val="00360FBC"/>
    <w:rsid w:val="00362E90"/>
    <w:rsid w:val="00364C32"/>
    <w:rsid w:val="00364FA0"/>
    <w:rsid w:val="003657F3"/>
    <w:rsid w:val="00376C3B"/>
    <w:rsid w:val="003818DC"/>
    <w:rsid w:val="00384327"/>
    <w:rsid w:val="00385D98"/>
    <w:rsid w:val="003870EE"/>
    <w:rsid w:val="003A2B4D"/>
    <w:rsid w:val="003A2D12"/>
    <w:rsid w:val="003A478C"/>
    <w:rsid w:val="003A5525"/>
    <w:rsid w:val="003A6B38"/>
    <w:rsid w:val="003B461F"/>
    <w:rsid w:val="003B5A32"/>
    <w:rsid w:val="003C3490"/>
    <w:rsid w:val="003C4BE8"/>
    <w:rsid w:val="003C7E62"/>
    <w:rsid w:val="003D6920"/>
    <w:rsid w:val="003E38BA"/>
    <w:rsid w:val="003E4C91"/>
    <w:rsid w:val="003F313C"/>
    <w:rsid w:val="003F37FC"/>
    <w:rsid w:val="003F3890"/>
    <w:rsid w:val="003F4B2C"/>
    <w:rsid w:val="003F551C"/>
    <w:rsid w:val="003F72ED"/>
    <w:rsid w:val="003F7D23"/>
    <w:rsid w:val="00407C13"/>
    <w:rsid w:val="00410638"/>
    <w:rsid w:val="0041501E"/>
    <w:rsid w:val="004159C3"/>
    <w:rsid w:val="00425F45"/>
    <w:rsid w:val="00432A58"/>
    <w:rsid w:val="00433C0C"/>
    <w:rsid w:val="00434617"/>
    <w:rsid w:val="00436778"/>
    <w:rsid w:val="00440900"/>
    <w:rsid w:val="00441BF6"/>
    <w:rsid w:val="004441A0"/>
    <w:rsid w:val="0045078A"/>
    <w:rsid w:val="0045086D"/>
    <w:rsid w:val="00460FB3"/>
    <w:rsid w:val="00467ABC"/>
    <w:rsid w:val="00476240"/>
    <w:rsid w:val="00476439"/>
    <w:rsid w:val="0047735C"/>
    <w:rsid w:val="004776BC"/>
    <w:rsid w:val="0048139F"/>
    <w:rsid w:val="00481E40"/>
    <w:rsid w:val="00484ECE"/>
    <w:rsid w:val="004915CB"/>
    <w:rsid w:val="004924DC"/>
    <w:rsid w:val="00494549"/>
    <w:rsid w:val="004A14E4"/>
    <w:rsid w:val="004A3212"/>
    <w:rsid w:val="004A5494"/>
    <w:rsid w:val="004A61C5"/>
    <w:rsid w:val="004A77DF"/>
    <w:rsid w:val="004B1417"/>
    <w:rsid w:val="004B48DF"/>
    <w:rsid w:val="004B55B7"/>
    <w:rsid w:val="004B6468"/>
    <w:rsid w:val="004B7125"/>
    <w:rsid w:val="004C26B0"/>
    <w:rsid w:val="004C384C"/>
    <w:rsid w:val="004C3867"/>
    <w:rsid w:val="004C4CD0"/>
    <w:rsid w:val="004C5FBF"/>
    <w:rsid w:val="004C70DC"/>
    <w:rsid w:val="004D0211"/>
    <w:rsid w:val="004D0794"/>
    <w:rsid w:val="004D3177"/>
    <w:rsid w:val="004E326C"/>
    <w:rsid w:val="004F06F5"/>
    <w:rsid w:val="004F16F7"/>
    <w:rsid w:val="004F33A0"/>
    <w:rsid w:val="004F6EDC"/>
    <w:rsid w:val="0050689D"/>
    <w:rsid w:val="005108C0"/>
    <w:rsid w:val="00511873"/>
    <w:rsid w:val="00512A2F"/>
    <w:rsid w:val="00513B7E"/>
    <w:rsid w:val="005152D9"/>
    <w:rsid w:val="00515C74"/>
    <w:rsid w:val="00515FFA"/>
    <w:rsid w:val="005173AF"/>
    <w:rsid w:val="0052007E"/>
    <w:rsid w:val="0052337A"/>
    <w:rsid w:val="00525137"/>
    <w:rsid w:val="005251DD"/>
    <w:rsid w:val="00532CE7"/>
    <w:rsid w:val="0053324C"/>
    <w:rsid w:val="00534A28"/>
    <w:rsid w:val="00541508"/>
    <w:rsid w:val="00543498"/>
    <w:rsid w:val="00551238"/>
    <w:rsid w:val="0055599F"/>
    <w:rsid w:val="00556D68"/>
    <w:rsid w:val="00561B03"/>
    <w:rsid w:val="00563EB8"/>
    <w:rsid w:val="005647BF"/>
    <w:rsid w:val="00564AF1"/>
    <w:rsid w:val="0057364B"/>
    <w:rsid w:val="00574773"/>
    <w:rsid w:val="00581AC8"/>
    <w:rsid w:val="00583FFD"/>
    <w:rsid w:val="005911BE"/>
    <w:rsid w:val="00593152"/>
    <w:rsid w:val="00596F92"/>
    <w:rsid w:val="005A10F2"/>
    <w:rsid w:val="005A21E0"/>
    <w:rsid w:val="005A28FF"/>
    <w:rsid w:val="005A2A19"/>
    <w:rsid w:val="005A2C7B"/>
    <w:rsid w:val="005A3DF8"/>
    <w:rsid w:val="005A5549"/>
    <w:rsid w:val="005A5D45"/>
    <w:rsid w:val="005A655B"/>
    <w:rsid w:val="005A7666"/>
    <w:rsid w:val="005B121D"/>
    <w:rsid w:val="005C06ED"/>
    <w:rsid w:val="005C2609"/>
    <w:rsid w:val="005C35A1"/>
    <w:rsid w:val="005D3386"/>
    <w:rsid w:val="005D5802"/>
    <w:rsid w:val="005D7119"/>
    <w:rsid w:val="005D7890"/>
    <w:rsid w:val="005E2A7C"/>
    <w:rsid w:val="005E7C78"/>
    <w:rsid w:val="005F18C5"/>
    <w:rsid w:val="005F3EB1"/>
    <w:rsid w:val="005F46D8"/>
    <w:rsid w:val="005F5469"/>
    <w:rsid w:val="00600079"/>
    <w:rsid w:val="006003D1"/>
    <w:rsid w:val="00601A2E"/>
    <w:rsid w:val="0060404F"/>
    <w:rsid w:val="00604307"/>
    <w:rsid w:val="0060487F"/>
    <w:rsid w:val="00604EAD"/>
    <w:rsid w:val="006104FB"/>
    <w:rsid w:val="0061249B"/>
    <w:rsid w:val="00612A2F"/>
    <w:rsid w:val="00616E05"/>
    <w:rsid w:val="00624093"/>
    <w:rsid w:val="006254CB"/>
    <w:rsid w:val="0063201A"/>
    <w:rsid w:val="006350D5"/>
    <w:rsid w:val="006404A7"/>
    <w:rsid w:val="006451E4"/>
    <w:rsid w:val="00645B33"/>
    <w:rsid w:val="00650330"/>
    <w:rsid w:val="006516CB"/>
    <w:rsid w:val="006558BD"/>
    <w:rsid w:val="00657E87"/>
    <w:rsid w:val="00664803"/>
    <w:rsid w:val="00665BA4"/>
    <w:rsid w:val="00666D91"/>
    <w:rsid w:val="00667AF2"/>
    <w:rsid w:val="006710C9"/>
    <w:rsid w:val="00674D89"/>
    <w:rsid w:val="00675E37"/>
    <w:rsid w:val="00680001"/>
    <w:rsid w:val="0068174E"/>
    <w:rsid w:val="00681DCE"/>
    <w:rsid w:val="0068260E"/>
    <w:rsid w:val="006863B2"/>
    <w:rsid w:val="00695BEF"/>
    <w:rsid w:val="006977F6"/>
    <w:rsid w:val="00697A13"/>
    <w:rsid w:val="006A109C"/>
    <w:rsid w:val="006A3E08"/>
    <w:rsid w:val="006A73A6"/>
    <w:rsid w:val="006B0F92"/>
    <w:rsid w:val="006B344A"/>
    <w:rsid w:val="006B4B7B"/>
    <w:rsid w:val="006B78D8"/>
    <w:rsid w:val="006C113F"/>
    <w:rsid w:val="006C123E"/>
    <w:rsid w:val="006C1752"/>
    <w:rsid w:val="006C33B2"/>
    <w:rsid w:val="006C56D4"/>
    <w:rsid w:val="006C6924"/>
    <w:rsid w:val="006C7CA6"/>
    <w:rsid w:val="006D3E8A"/>
    <w:rsid w:val="006D61F6"/>
    <w:rsid w:val="006D64C2"/>
    <w:rsid w:val="006E279A"/>
    <w:rsid w:val="006E313B"/>
    <w:rsid w:val="006E7227"/>
    <w:rsid w:val="006F2595"/>
    <w:rsid w:val="006F438E"/>
    <w:rsid w:val="006F5416"/>
    <w:rsid w:val="00705242"/>
    <w:rsid w:val="00706AD4"/>
    <w:rsid w:val="00707150"/>
    <w:rsid w:val="007140BE"/>
    <w:rsid w:val="00716E3F"/>
    <w:rsid w:val="007211F5"/>
    <w:rsid w:val="007240E2"/>
    <w:rsid w:val="00725BB5"/>
    <w:rsid w:val="00730AE8"/>
    <w:rsid w:val="00730F1B"/>
    <w:rsid w:val="00740575"/>
    <w:rsid w:val="00741493"/>
    <w:rsid w:val="0074369B"/>
    <w:rsid w:val="00744EE6"/>
    <w:rsid w:val="00745062"/>
    <w:rsid w:val="007506A5"/>
    <w:rsid w:val="00750EF8"/>
    <w:rsid w:val="00752180"/>
    <w:rsid w:val="00753CAB"/>
    <w:rsid w:val="00755202"/>
    <w:rsid w:val="00755D3A"/>
    <w:rsid w:val="007578D3"/>
    <w:rsid w:val="007609C6"/>
    <w:rsid w:val="0076175D"/>
    <w:rsid w:val="00763B85"/>
    <w:rsid w:val="0076521E"/>
    <w:rsid w:val="007661E9"/>
    <w:rsid w:val="00775F45"/>
    <w:rsid w:val="00776169"/>
    <w:rsid w:val="00776527"/>
    <w:rsid w:val="00780EF1"/>
    <w:rsid w:val="00785232"/>
    <w:rsid w:val="00790764"/>
    <w:rsid w:val="0079453C"/>
    <w:rsid w:val="00794677"/>
    <w:rsid w:val="007A38F2"/>
    <w:rsid w:val="007A516D"/>
    <w:rsid w:val="007B0750"/>
    <w:rsid w:val="007B6689"/>
    <w:rsid w:val="007C13A4"/>
    <w:rsid w:val="007C6BBD"/>
    <w:rsid w:val="007C7BAE"/>
    <w:rsid w:val="007D0C24"/>
    <w:rsid w:val="007D40DF"/>
    <w:rsid w:val="007E29B4"/>
    <w:rsid w:val="007E435A"/>
    <w:rsid w:val="007E7E61"/>
    <w:rsid w:val="007F0845"/>
    <w:rsid w:val="007F661C"/>
    <w:rsid w:val="007F708D"/>
    <w:rsid w:val="00801E13"/>
    <w:rsid w:val="00805381"/>
    <w:rsid w:val="00807674"/>
    <w:rsid w:val="00807C82"/>
    <w:rsid w:val="00816905"/>
    <w:rsid w:val="00821FF6"/>
    <w:rsid w:val="00822574"/>
    <w:rsid w:val="00825C4D"/>
    <w:rsid w:val="0083143E"/>
    <w:rsid w:val="00831CDE"/>
    <w:rsid w:val="00833BF2"/>
    <w:rsid w:val="00834304"/>
    <w:rsid w:val="00834FAA"/>
    <w:rsid w:val="00836086"/>
    <w:rsid w:val="008364D5"/>
    <w:rsid w:val="00846121"/>
    <w:rsid w:val="0084708F"/>
    <w:rsid w:val="0084727E"/>
    <w:rsid w:val="008477C8"/>
    <w:rsid w:val="00847931"/>
    <w:rsid w:val="0085114D"/>
    <w:rsid w:val="00852217"/>
    <w:rsid w:val="00855408"/>
    <w:rsid w:val="00856D65"/>
    <w:rsid w:val="00861B41"/>
    <w:rsid w:val="00861BE3"/>
    <w:rsid w:val="00863434"/>
    <w:rsid w:val="008637A2"/>
    <w:rsid w:val="00865E4C"/>
    <w:rsid w:val="008701E4"/>
    <w:rsid w:val="00875A32"/>
    <w:rsid w:val="00876086"/>
    <w:rsid w:val="00884A6F"/>
    <w:rsid w:val="008856A3"/>
    <w:rsid w:val="008873D4"/>
    <w:rsid w:val="0089296D"/>
    <w:rsid w:val="00893E85"/>
    <w:rsid w:val="00894031"/>
    <w:rsid w:val="00895508"/>
    <w:rsid w:val="008B7C02"/>
    <w:rsid w:val="008B7D2B"/>
    <w:rsid w:val="008C0049"/>
    <w:rsid w:val="008C0E88"/>
    <w:rsid w:val="008D0DBD"/>
    <w:rsid w:val="008D1E6A"/>
    <w:rsid w:val="008D2A16"/>
    <w:rsid w:val="008E0DC9"/>
    <w:rsid w:val="008E2C57"/>
    <w:rsid w:val="008E31FF"/>
    <w:rsid w:val="008E6F06"/>
    <w:rsid w:val="008E7FC9"/>
    <w:rsid w:val="008F029B"/>
    <w:rsid w:val="008F3FC9"/>
    <w:rsid w:val="008F585B"/>
    <w:rsid w:val="009003A8"/>
    <w:rsid w:val="00902500"/>
    <w:rsid w:val="00902EFF"/>
    <w:rsid w:val="00906401"/>
    <w:rsid w:val="0091155E"/>
    <w:rsid w:val="00912A92"/>
    <w:rsid w:val="00915CF4"/>
    <w:rsid w:val="0091728D"/>
    <w:rsid w:val="0092180B"/>
    <w:rsid w:val="00921F14"/>
    <w:rsid w:val="00924AC8"/>
    <w:rsid w:val="0092597A"/>
    <w:rsid w:val="00930FB1"/>
    <w:rsid w:val="0093139F"/>
    <w:rsid w:val="00932443"/>
    <w:rsid w:val="00937AE2"/>
    <w:rsid w:val="00942C19"/>
    <w:rsid w:val="0094427A"/>
    <w:rsid w:val="00945245"/>
    <w:rsid w:val="00953F28"/>
    <w:rsid w:val="009540B7"/>
    <w:rsid w:val="0095759C"/>
    <w:rsid w:val="0096154D"/>
    <w:rsid w:val="0096221A"/>
    <w:rsid w:val="00974923"/>
    <w:rsid w:val="00976BAF"/>
    <w:rsid w:val="00980D3D"/>
    <w:rsid w:val="00987A30"/>
    <w:rsid w:val="00992CF3"/>
    <w:rsid w:val="009942B6"/>
    <w:rsid w:val="00994868"/>
    <w:rsid w:val="009968D6"/>
    <w:rsid w:val="009A1CAB"/>
    <w:rsid w:val="009A4901"/>
    <w:rsid w:val="009A60D1"/>
    <w:rsid w:val="009B6FD3"/>
    <w:rsid w:val="009B7C82"/>
    <w:rsid w:val="009C03C8"/>
    <w:rsid w:val="009C1750"/>
    <w:rsid w:val="009C1EEA"/>
    <w:rsid w:val="009C2E29"/>
    <w:rsid w:val="009C554B"/>
    <w:rsid w:val="009C719E"/>
    <w:rsid w:val="009D3ACD"/>
    <w:rsid w:val="009E5273"/>
    <w:rsid w:val="009E5DDB"/>
    <w:rsid w:val="009F46EA"/>
    <w:rsid w:val="009F4CA7"/>
    <w:rsid w:val="00A10D66"/>
    <w:rsid w:val="00A1260E"/>
    <w:rsid w:val="00A14114"/>
    <w:rsid w:val="00A16413"/>
    <w:rsid w:val="00A16E1D"/>
    <w:rsid w:val="00A17D5B"/>
    <w:rsid w:val="00A20028"/>
    <w:rsid w:val="00A230A8"/>
    <w:rsid w:val="00A23E43"/>
    <w:rsid w:val="00A25216"/>
    <w:rsid w:val="00A27420"/>
    <w:rsid w:val="00A27C85"/>
    <w:rsid w:val="00A30F65"/>
    <w:rsid w:val="00A32759"/>
    <w:rsid w:val="00A329DF"/>
    <w:rsid w:val="00A35142"/>
    <w:rsid w:val="00A35EA6"/>
    <w:rsid w:val="00A40EAC"/>
    <w:rsid w:val="00A416D4"/>
    <w:rsid w:val="00A418BC"/>
    <w:rsid w:val="00A46DE0"/>
    <w:rsid w:val="00A4750C"/>
    <w:rsid w:val="00A50D73"/>
    <w:rsid w:val="00A51F19"/>
    <w:rsid w:val="00A52CAD"/>
    <w:rsid w:val="00A537F0"/>
    <w:rsid w:val="00A53FC7"/>
    <w:rsid w:val="00A54250"/>
    <w:rsid w:val="00A55161"/>
    <w:rsid w:val="00A55593"/>
    <w:rsid w:val="00A62B23"/>
    <w:rsid w:val="00A62CE1"/>
    <w:rsid w:val="00A66A11"/>
    <w:rsid w:val="00A6741E"/>
    <w:rsid w:val="00A75E40"/>
    <w:rsid w:val="00A77D1D"/>
    <w:rsid w:val="00A84923"/>
    <w:rsid w:val="00A857C0"/>
    <w:rsid w:val="00A90FED"/>
    <w:rsid w:val="00AA2996"/>
    <w:rsid w:val="00AA52BF"/>
    <w:rsid w:val="00AA559A"/>
    <w:rsid w:val="00AB2AF1"/>
    <w:rsid w:val="00AB5421"/>
    <w:rsid w:val="00AC45BD"/>
    <w:rsid w:val="00AD168E"/>
    <w:rsid w:val="00AD306C"/>
    <w:rsid w:val="00AD68C4"/>
    <w:rsid w:val="00AD7D0B"/>
    <w:rsid w:val="00AE09B3"/>
    <w:rsid w:val="00AE1A83"/>
    <w:rsid w:val="00AE7FB2"/>
    <w:rsid w:val="00B00913"/>
    <w:rsid w:val="00B01593"/>
    <w:rsid w:val="00B023F2"/>
    <w:rsid w:val="00B10A4D"/>
    <w:rsid w:val="00B120A1"/>
    <w:rsid w:val="00B12AA6"/>
    <w:rsid w:val="00B14BC1"/>
    <w:rsid w:val="00B17E71"/>
    <w:rsid w:val="00B17FDE"/>
    <w:rsid w:val="00B20632"/>
    <w:rsid w:val="00B23055"/>
    <w:rsid w:val="00B2379C"/>
    <w:rsid w:val="00B2687D"/>
    <w:rsid w:val="00B32DDB"/>
    <w:rsid w:val="00B34528"/>
    <w:rsid w:val="00B34CC9"/>
    <w:rsid w:val="00B366E5"/>
    <w:rsid w:val="00B402FC"/>
    <w:rsid w:val="00B40FF9"/>
    <w:rsid w:val="00B42470"/>
    <w:rsid w:val="00B439DA"/>
    <w:rsid w:val="00B46604"/>
    <w:rsid w:val="00B530CD"/>
    <w:rsid w:val="00B53AB0"/>
    <w:rsid w:val="00B55F5E"/>
    <w:rsid w:val="00B57338"/>
    <w:rsid w:val="00B5752E"/>
    <w:rsid w:val="00B57E25"/>
    <w:rsid w:val="00B619A9"/>
    <w:rsid w:val="00B63A11"/>
    <w:rsid w:val="00B64C24"/>
    <w:rsid w:val="00B6608F"/>
    <w:rsid w:val="00B679FB"/>
    <w:rsid w:val="00B76D1E"/>
    <w:rsid w:val="00B80EC6"/>
    <w:rsid w:val="00B84CF6"/>
    <w:rsid w:val="00B86F03"/>
    <w:rsid w:val="00B9200E"/>
    <w:rsid w:val="00B92D1D"/>
    <w:rsid w:val="00B938C5"/>
    <w:rsid w:val="00B95940"/>
    <w:rsid w:val="00B97434"/>
    <w:rsid w:val="00BA0DD3"/>
    <w:rsid w:val="00BA6C2B"/>
    <w:rsid w:val="00BA76E6"/>
    <w:rsid w:val="00BB2F03"/>
    <w:rsid w:val="00BB46F3"/>
    <w:rsid w:val="00BB4CB1"/>
    <w:rsid w:val="00BB4F98"/>
    <w:rsid w:val="00BC0E31"/>
    <w:rsid w:val="00BC5C12"/>
    <w:rsid w:val="00BC7075"/>
    <w:rsid w:val="00BC7154"/>
    <w:rsid w:val="00BC731E"/>
    <w:rsid w:val="00BD163C"/>
    <w:rsid w:val="00BD2991"/>
    <w:rsid w:val="00BD366B"/>
    <w:rsid w:val="00BD6D50"/>
    <w:rsid w:val="00BE18B9"/>
    <w:rsid w:val="00BE2495"/>
    <w:rsid w:val="00BE468E"/>
    <w:rsid w:val="00BE6186"/>
    <w:rsid w:val="00BF1578"/>
    <w:rsid w:val="00BF45D9"/>
    <w:rsid w:val="00C024B1"/>
    <w:rsid w:val="00C21405"/>
    <w:rsid w:val="00C21F94"/>
    <w:rsid w:val="00C27913"/>
    <w:rsid w:val="00C33B68"/>
    <w:rsid w:val="00C36A79"/>
    <w:rsid w:val="00C401D2"/>
    <w:rsid w:val="00C405D4"/>
    <w:rsid w:val="00C4513B"/>
    <w:rsid w:val="00C466D2"/>
    <w:rsid w:val="00C5390B"/>
    <w:rsid w:val="00C54697"/>
    <w:rsid w:val="00C60191"/>
    <w:rsid w:val="00C6152B"/>
    <w:rsid w:val="00C73885"/>
    <w:rsid w:val="00C747B1"/>
    <w:rsid w:val="00C82191"/>
    <w:rsid w:val="00C83134"/>
    <w:rsid w:val="00C8418E"/>
    <w:rsid w:val="00C85545"/>
    <w:rsid w:val="00C86B84"/>
    <w:rsid w:val="00C90CF4"/>
    <w:rsid w:val="00C92EB6"/>
    <w:rsid w:val="00C93389"/>
    <w:rsid w:val="00C936C3"/>
    <w:rsid w:val="00C96D08"/>
    <w:rsid w:val="00CA28BC"/>
    <w:rsid w:val="00CA6668"/>
    <w:rsid w:val="00CA6AB4"/>
    <w:rsid w:val="00CB259D"/>
    <w:rsid w:val="00CB4930"/>
    <w:rsid w:val="00CC2E7D"/>
    <w:rsid w:val="00CC71EC"/>
    <w:rsid w:val="00CD10A5"/>
    <w:rsid w:val="00CD2076"/>
    <w:rsid w:val="00CD29B5"/>
    <w:rsid w:val="00CD6331"/>
    <w:rsid w:val="00CE153B"/>
    <w:rsid w:val="00CE670B"/>
    <w:rsid w:val="00CF1C4C"/>
    <w:rsid w:val="00CF4908"/>
    <w:rsid w:val="00CF51EC"/>
    <w:rsid w:val="00CF73AE"/>
    <w:rsid w:val="00D040DD"/>
    <w:rsid w:val="00D050F8"/>
    <w:rsid w:val="00D075BE"/>
    <w:rsid w:val="00D1005A"/>
    <w:rsid w:val="00D11854"/>
    <w:rsid w:val="00D11FC6"/>
    <w:rsid w:val="00D120FA"/>
    <w:rsid w:val="00D13986"/>
    <w:rsid w:val="00D21D83"/>
    <w:rsid w:val="00D22038"/>
    <w:rsid w:val="00D235B7"/>
    <w:rsid w:val="00D25F28"/>
    <w:rsid w:val="00D26071"/>
    <w:rsid w:val="00D27973"/>
    <w:rsid w:val="00D32F90"/>
    <w:rsid w:val="00D35E1A"/>
    <w:rsid w:val="00D50F46"/>
    <w:rsid w:val="00D52BE2"/>
    <w:rsid w:val="00D57677"/>
    <w:rsid w:val="00D64227"/>
    <w:rsid w:val="00D66223"/>
    <w:rsid w:val="00D67375"/>
    <w:rsid w:val="00D73384"/>
    <w:rsid w:val="00D8084C"/>
    <w:rsid w:val="00D915EA"/>
    <w:rsid w:val="00D92FD1"/>
    <w:rsid w:val="00D93CE2"/>
    <w:rsid w:val="00D943C6"/>
    <w:rsid w:val="00D965EC"/>
    <w:rsid w:val="00DA0BBD"/>
    <w:rsid w:val="00DA7C0C"/>
    <w:rsid w:val="00DB08A9"/>
    <w:rsid w:val="00DB2EC8"/>
    <w:rsid w:val="00DC37E3"/>
    <w:rsid w:val="00DC5B3B"/>
    <w:rsid w:val="00DD129F"/>
    <w:rsid w:val="00DD6B52"/>
    <w:rsid w:val="00DE0F63"/>
    <w:rsid w:val="00DE4C19"/>
    <w:rsid w:val="00DF317B"/>
    <w:rsid w:val="00DF42FF"/>
    <w:rsid w:val="00DF7AD4"/>
    <w:rsid w:val="00E01C0E"/>
    <w:rsid w:val="00E03F9A"/>
    <w:rsid w:val="00E04694"/>
    <w:rsid w:val="00E04F27"/>
    <w:rsid w:val="00E102BD"/>
    <w:rsid w:val="00E10A2E"/>
    <w:rsid w:val="00E11DE1"/>
    <w:rsid w:val="00E12B1E"/>
    <w:rsid w:val="00E17262"/>
    <w:rsid w:val="00E212C9"/>
    <w:rsid w:val="00E253A2"/>
    <w:rsid w:val="00E3309D"/>
    <w:rsid w:val="00E333BA"/>
    <w:rsid w:val="00E453F9"/>
    <w:rsid w:val="00E47EBA"/>
    <w:rsid w:val="00E50156"/>
    <w:rsid w:val="00E53470"/>
    <w:rsid w:val="00E539F6"/>
    <w:rsid w:val="00E6519D"/>
    <w:rsid w:val="00E67696"/>
    <w:rsid w:val="00E711D1"/>
    <w:rsid w:val="00E71A58"/>
    <w:rsid w:val="00E72A7A"/>
    <w:rsid w:val="00E733C7"/>
    <w:rsid w:val="00E75C94"/>
    <w:rsid w:val="00E76E61"/>
    <w:rsid w:val="00E8168E"/>
    <w:rsid w:val="00E924B2"/>
    <w:rsid w:val="00E93820"/>
    <w:rsid w:val="00E94A86"/>
    <w:rsid w:val="00E96143"/>
    <w:rsid w:val="00E972A9"/>
    <w:rsid w:val="00EA0840"/>
    <w:rsid w:val="00EA0C68"/>
    <w:rsid w:val="00EA17B0"/>
    <w:rsid w:val="00EA32BC"/>
    <w:rsid w:val="00EA405F"/>
    <w:rsid w:val="00EB4511"/>
    <w:rsid w:val="00EC03D7"/>
    <w:rsid w:val="00EC25F0"/>
    <w:rsid w:val="00ED62C6"/>
    <w:rsid w:val="00ED64C1"/>
    <w:rsid w:val="00ED7B65"/>
    <w:rsid w:val="00EE3446"/>
    <w:rsid w:val="00EE3E78"/>
    <w:rsid w:val="00EE466C"/>
    <w:rsid w:val="00EE4B1B"/>
    <w:rsid w:val="00EE50DB"/>
    <w:rsid w:val="00EF150D"/>
    <w:rsid w:val="00EF1F5A"/>
    <w:rsid w:val="00EF348D"/>
    <w:rsid w:val="00EF47BF"/>
    <w:rsid w:val="00F04811"/>
    <w:rsid w:val="00F0488C"/>
    <w:rsid w:val="00F05E10"/>
    <w:rsid w:val="00F10F11"/>
    <w:rsid w:val="00F13819"/>
    <w:rsid w:val="00F13C9C"/>
    <w:rsid w:val="00F15AAA"/>
    <w:rsid w:val="00F15BEF"/>
    <w:rsid w:val="00F160CE"/>
    <w:rsid w:val="00F162B3"/>
    <w:rsid w:val="00F231AE"/>
    <w:rsid w:val="00F24407"/>
    <w:rsid w:val="00F24FAA"/>
    <w:rsid w:val="00F3364D"/>
    <w:rsid w:val="00F33E56"/>
    <w:rsid w:val="00F433FE"/>
    <w:rsid w:val="00F437CC"/>
    <w:rsid w:val="00F44537"/>
    <w:rsid w:val="00F4530D"/>
    <w:rsid w:val="00F46502"/>
    <w:rsid w:val="00F47067"/>
    <w:rsid w:val="00F525EB"/>
    <w:rsid w:val="00F55E08"/>
    <w:rsid w:val="00F63DDE"/>
    <w:rsid w:val="00F63FB7"/>
    <w:rsid w:val="00F6421B"/>
    <w:rsid w:val="00F649D2"/>
    <w:rsid w:val="00F6602B"/>
    <w:rsid w:val="00F73A0C"/>
    <w:rsid w:val="00F73D08"/>
    <w:rsid w:val="00F756DB"/>
    <w:rsid w:val="00F84E7D"/>
    <w:rsid w:val="00F85066"/>
    <w:rsid w:val="00F853A9"/>
    <w:rsid w:val="00F859D0"/>
    <w:rsid w:val="00F87A4D"/>
    <w:rsid w:val="00FA5D4D"/>
    <w:rsid w:val="00FB0EE2"/>
    <w:rsid w:val="00FB542E"/>
    <w:rsid w:val="00FC0359"/>
    <w:rsid w:val="00FC0E5F"/>
    <w:rsid w:val="00FC1A95"/>
    <w:rsid w:val="00FC56DE"/>
    <w:rsid w:val="00FC684B"/>
    <w:rsid w:val="00FD3265"/>
    <w:rsid w:val="00FD4916"/>
    <w:rsid w:val="00FE2F78"/>
    <w:rsid w:val="00FF3EEC"/>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359FC93"/>
  <w15:docId w15:val="{A4C7AF56-5B51-4067-BDB9-17A6C364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qFormat/>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EA0840"/>
    <w:rPr>
      <w:noProof/>
      <w:lang w:eastAsia="en-US"/>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F46502"/>
    <w:pPr>
      <w:keepNext/>
      <w:keepLines/>
      <w:spacing w:after="100"/>
      <w:contextualSpacing/>
      <w:jc w:val="left"/>
      <w:outlineLvl w:val="0"/>
    </w:pPr>
    <w:rPr>
      <w:rFonts w:eastAsia="MS Gothic"/>
      <w:b/>
      <w:bCs/>
      <w:color w:val="71818C"/>
      <w:sz w:val="32"/>
      <w:szCs w:val="28"/>
    </w:rPr>
  </w:style>
  <w:style w:type="paragraph" w:customStyle="1" w:styleId="Nadpis21">
    <w:name w:val="Nadpis 21"/>
    <w:basedOn w:val="Normln"/>
    <w:uiPriority w:val="9"/>
    <w:qFormat/>
    <w:rsid w:val="00F46502"/>
    <w:pPr>
      <w:keepNext/>
      <w:keepLines/>
      <w:spacing w:after="0"/>
      <w:jc w:val="left"/>
      <w:outlineLvl w:val="1"/>
    </w:pPr>
    <w:rPr>
      <w:rFonts w:eastAsia="MS Gothic"/>
      <w:b/>
      <w:bCs/>
      <w:color w:val="71818C"/>
      <w:sz w:val="28"/>
      <w:szCs w:val="26"/>
    </w:rPr>
  </w:style>
  <w:style w:type="paragraph" w:customStyle="1" w:styleId="Textpoznpodarou1">
    <w:name w:val="Text pozn. pod čarou1"/>
    <w:basedOn w:val="Normln"/>
    <w:rsid w:val="00F46502"/>
    <w:pPr>
      <w:spacing w:after="0" w:line="240" w:lineRule="auto"/>
      <w:jc w:val="left"/>
    </w:pPr>
    <w:rPr>
      <w:rFonts w:eastAsia="Calibri"/>
      <w:color w:val="00000A"/>
      <w:szCs w:val="20"/>
    </w:rPr>
  </w:style>
  <w:style w:type="character" w:customStyle="1" w:styleId="TextpoznpodarouChar1">
    <w:name w:val="Text pozn. pod čarou Char1"/>
    <w:aliases w:val="Text pozn. pod čarou_martin_ang Char1"/>
    <w:basedOn w:val="Standardnpsmoodstavce"/>
    <w:semiHidden/>
    <w:rsid w:val="00F46502"/>
    <w:rPr>
      <w:rFonts w:ascii="Arial" w:eastAsia="Times New Roman" w:hAnsi="Arial" w:cs="Times New Roman"/>
      <w:color w:val="00000A"/>
      <w:szCs w:val="20"/>
      <w:lang w:eastAsia="cs-CZ"/>
    </w:rPr>
  </w:style>
  <w:style w:type="character" w:styleId="Znakapoznpodarou">
    <w:name w:val="footnote reference"/>
    <w:basedOn w:val="Standardnpsmoodstavce"/>
    <w:rsid w:val="00F46502"/>
    <w:rPr>
      <w:rFonts w:cs="Times New Roman"/>
      <w:vertAlign w:val="superscript"/>
    </w:rPr>
  </w:style>
  <w:style w:type="character" w:customStyle="1" w:styleId="odkaz-style-wrapper">
    <w:name w:val="odkaz-style-wrapper"/>
    <w:basedOn w:val="Standardnpsmoodstavce"/>
    <w:rsid w:val="00BE6186"/>
  </w:style>
  <w:style w:type="paragraph" w:customStyle="1" w:styleId="Nadpis110">
    <w:name w:val="Nadpis 11"/>
    <w:basedOn w:val="Normln"/>
    <w:uiPriority w:val="9"/>
    <w:qFormat/>
    <w:rsid w:val="00BE6186"/>
    <w:pPr>
      <w:keepNext/>
      <w:keepLines/>
      <w:spacing w:after="100"/>
      <w:contextualSpacing/>
      <w:jc w:val="left"/>
      <w:outlineLvl w:val="0"/>
    </w:pPr>
    <w:rPr>
      <w:rFonts w:eastAsia="MS Gothic"/>
      <w:b/>
      <w:bCs/>
      <w:color w:val="71818C"/>
      <w:sz w:val="32"/>
      <w:szCs w:val="28"/>
    </w:rPr>
  </w:style>
  <w:style w:type="paragraph" w:customStyle="1" w:styleId="Nadpis210">
    <w:name w:val="Nadpis 21"/>
    <w:basedOn w:val="Normln"/>
    <w:uiPriority w:val="9"/>
    <w:qFormat/>
    <w:rsid w:val="00BE6186"/>
    <w:pPr>
      <w:keepNext/>
      <w:keepLines/>
      <w:spacing w:after="0"/>
      <w:jc w:val="left"/>
      <w:outlineLvl w:val="1"/>
    </w:pPr>
    <w:rPr>
      <w:rFonts w:eastAsia="MS Gothic"/>
      <w:b/>
      <w:bCs/>
      <w:color w:val="71818C"/>
      <w:sz w:val="28"/>
      <w:szCs w:val="26"/>
    </w:rPr>
  </w:style>
  <w:style w:type="paragraph" w:customStyle="1" w:styleId="Textpoznpodarou10">
    <w:name w:val="Text pozn. pod čarou1"/>
    <w:basedOn w:val="Normln"/>
    <w:rsid w:val="00BE6186"/>
    <w:pPr>
      <w:spacing w:after="0" w:line="240" w:lineRule="auto"/>
      <w:jc w:val="left"/>
    </w:pPr>
    <w:rPr>
      <w:rFonts w:eastAsia="Calibri"/>
      <w:color w:val="00000A"/>
      <w:szCs w:val="20"/>
    </w:rPr>
  </w:style>
  <w:style w:type="paragraph" w:styleId="Normlnweb">
    <w:name w:val="Normal (Web)"/>
    <w:basedOn w:val="Normln"/>
    <w:uiPriority w:val="99"/>
    <w:unhideWhenUsed/>
    <w:rsid w:val="00C96D08"/>
    <w:pPr>
      <w:spacing w:before="100" w:beforeAutospacing="1" w:after="100" w:afterAutospacing="1" w:line="240" w:lineRule="auto"/>
      <w:jc w:val="left"/>
    </w:pPr>
    <w:rPr>
      <w:rFonts w:ascii="Times New Roman" w:hAnsi="Times New Roman"/>
      <w:sz w:val="24"/>
    </w:rPr>
  </w:style>
  <w:style w:type="paragraph" w:styleId="Zkladntext">
    <w:name w:val="Body Text"/>
    <w:basedOn w:val="Normln"/>
    <w:link w:val="ZkladntextChar"/>
    <w:semiHidden/>
    <w:rsid w:val="004C5FBF"/>
    <w:pPr>
      <w:widowControl w:val="0"/>
      <w:suppressAutoHyphens/>
      <w:autoSpaceDE w:val="0"/>
      <w:autoSpaceDN w:val="0"/>
      <w:adjustRightInd w:val="0"/>
      <w:spacing w:before="120" w:after="0" w:line="215" w:lineRule="exact"/>
    </w:pPr>
    <w:rPr>
      <w:rFonts w:ascii="Times New Roman CE obyèejné" w:hAnsi="Times New Roman CE obyèejné"/>
      <w:szCs w:val="20"/>
    </w:rPr>
  </w:style>
  <w:style w:type="character" w:customStyle="1" w:styleId="ZkladntextChar">
    <w:name w:val="Základní text Char"/>
    <w:basedOn w:val="Standardnpsmoodstavce"/>
    <w:link w:val="Zkladntext"/>
    <w:semiHidden/>
    <w:rsid w:val="004C5FBF"/>
    <w:rPr>
      <w:rFonts w:ascii="Times New Roman CE obyèejné" w:eastAsia="Times New Roman" w:hAnsi="Times New Roman CE obyèejné"/>
      <w:lang w:eastAsia="cs-CZ"/>
    </w:rPr>
  </w:style>
  <w:style w:type="character" w:customStyle="1" w:styleId="content">
    <w:name w:val="content"/>
    <w:basedOn w:val="Standardnpsmoodstavce"/>
    <w:rsid w:val="003C4BE8"/>
  </w:style>
  <w:style w:type="paragraph" w:styleId="Textvysvtlivek">
    <w:name w:val="endnote text"/>
    <w:basedOn w:val="Normln"/>
    <w:link w:val="TextvysvtlivekChar"/>
    <w:uiPriority w:val="99"/>
    <w:semiHidden/>
    <w:unhideWhenUsed/>
    <w:rsid w:val="00744EE6"/>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744EE6"/>
    <w:rPr>
      <w:rFonts w:ascii="Arial" w:eastAsia="Times New Roman" w:hAnsi="Arial"/>
      <w:lang w:eastAsia="cs-CZ"/>
    </w:rPr>
  </w:style>
  <w:style w:type="character" w:styleId="Odkaznavysvtlivky">
    <w:name w:val="endnote reference"/>
    <w:basedOn w:val="Standardnpsmoodstavce"/>
    <w:uiPriority w:val="99"/>
    <w:semiHidden/>
    <w:unhideWhenUsed/>
    <w:rsid w:val="00744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615720">
      <w:bodyDiv w:val="1"/>
      <w:marLeft w:val="60"/>
      <w:marRight w:val="60"/>
      <w:marTop w:val="60"/>
      <w:marBottom w:val="15"/>
      <w:divBdr>
        <w:top w:val="none" w:sz="0" w:space="0" w:color="auto"/>
        <w:left w:val="none" w:sz="0" w:space="0" w:color="auto"/>
        <w:bottom w:val="none" w:sz="0" w:space="0" w:color="auto"/>
        <w:right w:val="none" w:sz="0" w:space="0" w:color="auto"/>
      </w:divBdr>
      <w:divsChild>
        <w:div w:id="658968227">
          <w:marLeft w:val="0"/>
          <w:marRight w:val="0"/>
          <w:marTop w:val="0"/>
          <w:marBottom w:val="0"/>
          <w:divBdr>
            <w:top w:val="none" w:sz="0" w:space="0" w:color="auto"/>
            <w:left w:val="none" w:sz="0" w:space="0" w:color="auto"/>
            <w:bottom w:val="none" w:sz="0" w:space="0" w:color="auto"/>
            <w:right w:val="none" w:sz="0" w:space="0" w:color="auto"/>
          </w:divBdr>
        </w:div>
      </w:divsChild>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3535664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2060051">
          <w:marLeft w:val="0"/>
          <w:marRight w:val="0"/>
          <w:marTop w:val="0"/>
          <w:marBottom w:val="0"/>
          <w:divBdr>
            <w:top w:val="none" w:sz="0" w:space="0" w:color="auto"/>
            <w:left w:val="none" w:sz="0" w:space="0" w:color="auto"/>
            <w:bottom w:val="none" w:sz="0" w:space="0" w:color="auto"/>
            <w:right w:val="none" w:sz="0" w:space="0" w:color="auto"/>
          </w:divBdr>
          <w:divsChild>
            <w:div w:id="1352418194">
              <w:marLeft w:val="0"/>
              <w:marRight w:val="0"/>
              <w:marTop w:val="0"/>
              <w:marBottom w:val="0"/>
              <w:divBdr>
                <w:top w:val="none" w:sz="0" w:space="0" w:color="auto"/>
                <w:left w:val="none" w:sz="0" w:space="0" w:color="auto"/>
                <w:bottom w:val="none" w:sz="0" w:space="0" w:color="auto"/>
                <w:right w:val="none" w:sz="0" w:space="0" w:color="auto"/>
              </w:divBdr>
            </w:div>
            <w:div w:id="1419256889">
              <w:marLeft w:val="0"/>
              <w:marRight w:val="0"/>
              <w:marTop w:val="0"/>
              <w:marBottom w:val="0"/>
              <w:divBdr>
                <w:top w:val="none" w:sz="0" w:space="0" w:color="auto"/>
                <w:left w:val="none" w:sz="0" w:space="0" w:color="auto"/>
                <w:bottom w:val="none" w:sz="0" w:space="0" w:color="auto"/>
                <w:right w:val="none" w:sz="0" w:space="0" w:color="auto"/>
              </w:divBdr>
            </w:div>
            <w:div w:id="1012336419">
              <w:marLeft w:val="0"/>
              <w:marRight w:val="0"/>
              <w:marTop w:val="0"/>
              <w:marBottom w:val="0"/>
              <w:divBdr>
                <w:top w:val="none" w:sz="0" w:space="0" w:color="auto"/>
                <w:left w:val="none" w:sz="0" w:space="0" w:color="auto"/>
                <w:bottom w:val="none" w:sz="0" w:space="0" w:color="auto"/>
                <w:right w:val="none" w:sz="0" w:space="0" w:color="auto"/>
              </w:divBdr>
            </w:div>
            <w:div w:id="1187673128">
              <w:marLeft w:val="0"/>
              <w:marRight w:val="0"/>
              <w:marTop w:val="0"/>
              <w:marBottom w:val="0"/>
              <w:divBdr>
                <w:top w:val="none" w:sz="0" w:space="0" w:color="auto"/>
                <w:left w:val="none" w:sz="0" w:space="0" w:color="auto"/>
                <w:bottom w:val="none" w:sz="0" w:space="0" w:color="auto"/>
                <w:right w:val="none" w:sz="0" w:space="0" w:color="auto"/>
              </w:divBdr>
            </w:div>
            <w:div w:id="13251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2266825">
      <w:bodyDiv w:val="1"/>
      <w:marLeft w:val="60"/>
      <w:marRight w:val="60"/>
      <w:marTop w:val="60"/>
      <w:marBottom w:val="15"/>
      <w:divBdr>
        <w:top w:val="none" w:sz="0" w:space="0" w:color="auto"/>
        <w:left w:val="none" w:sz="0" w:space="0" w:color="auto"/>
        <w:bottom w:val="none" w:sz="0" w:space="0" w:color="auto"/>
        <w:right w:val="none" w:sz="0" w:space="0" w:color="auto"/>
      </w:divBdr>
      <w:divsChild>
        <w:div w:id="1418138374">
          <w:marLeft w:val="0"/>
          <w:marRight w:val="0"/>
          <w:marTop w:val="0"/>
          <w:marBottom w:val="0"/>
          <w:divBdr>
            <w:top w:val="none" w:sz="0" w:space="0" w:color="auto"/>
            <w:left w:val="none" w:sz="0" w:space="0" w:color="auto"/>
            <w:bottom w:val="none" w:sz="0" w:space="0" w:color="auto"/>
            <w:right w:val="none" w:sz="0" w:space="0" w:color="auto"/>
          </w:divBdr>
        </w:div>
      </w:divsChild>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Ro&#269;n&#237;%20anal&#253;za%202018\Ana&#253;za%20ekonomick&#233;ho%20v&#253;voje%20v%20roce%202017.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Dokumenty\Anal&#253;za\Ro&#269;n&#237;%20publikace%202019\Investice\Investic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okumenty\Anal&#253;za\Ro&#269;n&#237;%20publikace%202019\Investice\THFK_V_iscpr_CZ.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Anal&#253;za\Ro&#269;n&#237;%20publikace%202019\Investice\nama_10_gdp%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800869638635598E-2"/>
          <c:y val="3.9316672295395698E-2"/>
          <c:w val="0.89171162613981758"/>
          <c:h val="0.72839468647979289"/>
        </c:manualLayout>
      </c:layout>
      <c:barChart>
        <c:barDir val="col"/>
        <c:grouping val="stacked"/>
        <c:varyColors val="0"/>
        <c:ser>
          <c:idx val="3"/>
          <c:order val="1"/>
          <c:tx>
            <c:strRef>
              <c:f>List1!$AF$6</c:f>
              <c:strCache>
                <c:ptCount val="1"/>
                <c:pt idx="0">
                  <c:v>Vládní instituce</c:v>
                </c:pt>
              </c:strCache>
            </c:strRef>
          </c:tx>
          <c:spPr>
            <a:solidFill>
              <a:srgbClr val="92D050"/>
            </a:solidFill>
            <a:ln>
              <a:noFill/>
            </a:ln>
            <a:effectLst/>
          </c:spPr>
          <c:invertIfNegative val="0"/>
          <c:cat>
            <c:numRef>
              <c:f>List1!$AB$15:$AB$25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List1!$AF$15:$AF$25</c:f>
              <c:numCache>
                <c:formatCode>0.0</c:formatCode>
                <c:ptCount val="11"/>
                <c:pt idx="0">
                  <c:v>29.742999999999999</c:v>
                </c:pt>
                <c:pt idx="1">
                  <c:v>24.873000000000001</c:v>
                </c:pt>
                <c:pt idx="2">
                  <c:v>-34.633000000000003</c:v>
                </c:pt>
                <c:pt idx="3">
                  <c:v>-21.411999999999999</c:v>
                </c:pt>
                <c:pt idx="4">
                  <c:v>-11.676</c:v>
                </c:pt>
                <c:pt idx="5">
                  <c:v>-16.986999999999998</c:v>
                </c:pt>
                <c:pt idx="6">
                  <c:v>25.594000000000001</c:v>
                </c:pt>
                <c:pt idx="7">
                  <c:v>58.33</c:v>
                </c:pt>
                <c:pt idx="8">
                  <c:v>-81.111000000000004</c:v>
                </c:pt>
                <c:pt idx="9">
                  <c:v>15.912000000000001</c:v>
                </c:pt>
                <c:pt idx="10">
                  <c:v>47.371000000000002</c:v>
                </c:pt>
              </c:numCache>
            </c:numRef>
          </c:val>
          <c:extLst>
            <c:ext xmlns:c16="http://schemas.microsoft.com/office/drawing/2014/chart" uri="{C3380CC4-5D6E-409C-BE32-E72D297353CC}">
              <c16:uniqueId val="{00000000-AF15-4259-84D5-713F1BF2021F}"/>
            </c:ext>
          </c:extLst>
        </c:ser>
        <c:ser>
          <c:idx val="4"/>
          <c:order val="2"/>
          <c:tx>
            <c:strRef>
              <c:f>List1!$AG$6</c:f>
              <c:strCache>
                <c:ptCount val="1"/>
                <c:pt idx="0">
                  <c:v>Domácnosti a NISD</c:v>
                </c:pt>
              </c:strCache>
            </c:strRef>
          </c:tx>
          <c:spPr>
            <a:solidFill>
              <a:srgbClr val="FF0000"/>
            </a:solidFill>
            <a:ln>
              <a:noFill/>
            </a:ln>
            <a:effectLst/>
          </c:spPr>
          <c:invertIfNegative val="0"/>
          <c:cat>
            <c:numRef>
              <c:f>List1!$AB$15:$AB$25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List1!$AG$15:$AG$25</c:f>
              <c:numCache>
                <c:formatCode>0.0</c:formatCode>
                <c:ptCount val="11"/>
                <c:pt idx="0">
                  <c:v>-2.6019999999999999</c:v>
                </c:pt>
                <c:pt idx="1">
                  <c:v>-7.4870000000000001</c:v>
                </c:pt>
                <c:pt idx="2">
                  <c:v>25.92</c:v>
                </c:pt>
                <c:pt idx="3">
                  <c:v>-30.218</c:v>
                </c:pt>
                <c:pt idx="4">
                  <c:v>-17.670000000000002</c:v>
                </c:pt>
                <c:pt idx="5">
                  <c:v>-2.36</c:v>
                </c:pt>
                <c:pt idx="6">
                  <c:v>13.192</c:v>
                </c:pt>
                <c:pt idx="7">
                  <c:v>13.599</c:v>
                </c:pt>
                <c:pt idx="8">
                  <c:v>19.302</c:v>
                </c:pt>
                <c:pt idx="9">
                  <c:v>12.445</c:v>
                </c:pt>
                <c:pt idx="10">
                  <c:v>6.556</c:v>
                </c:pt>
              </c:numCache>
            </c:numRef>
          </c:val>
          <c:extLst>
            <c:ext xmlns:c16="http://schemas.microsoft.com/office/drawing/2014/chart" uri="{C3380CC4-5D6E-409C-BE32-E72D297353CC}">
              <c16:uniqueId val="{00000001-AF15-4259-84D5-713F1BF2021F}"/>
            </c:ext>
          </c:extLst>
        </c:ser>
        <c:ser>
          <c:idx val="1"/>
          <c:order val="3"/>
          <c:tx>
            <c:strRef>
              <c:f>List1!$AD$6</c:f>
              <c:strCache>
                <c:ptCount val="1"/>
                <c:pt idx="0">
                  <c:v>Nefinanční podniky</c:v>
                </c:pt>
              </c:strCache>
            </c:strRef>
          </c:tx>
          <c:spPr>
            <a:solidFill>
              <a:srgbClr val="0070C0"/>
            </a:solidFill>
            <a:ln>
              <a:noFill/>
            </a:ln>
            <a:effectLst/>
          </c:spPr>
          <c:invertIfNegative val="0"/>
          <c:cat>
            <c:numRef>
              <c:f>List1!$AB$15:$AB$25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List1!$AD$15:$AD$25</c:f>
              <c:numCache>
                <c:formatCode>0.0</c:formatCode>
                <c:ptCount val="11"/>
                <c:pt idx="0">
                  <c:v>-0.498</c:v>
                </c:pt>
                <c:pt idx="1">
                  <c:v>-111.627</c:v>
                </c:pt>
                <c:pt idx="2">
                  <c:v>10.872999999999999</c:v>
                </c:pt>
                <c:pt idx="3">
                  <c:v>51.347999999999999</c:v>
                </c:pt>
                <c:pt idx="4">
                  <c:v>14.047000000000001</c:v>
                </c:pt>
                <c:pt idx="5">
                  <c:v>-3.5430000000000001</c:v>
                </c:pt>
                <c:pt idx="6">
                  <c:v>17.420999999999999</c:v>
                </c:pt>
                <c:pt idx="7">
                  <c:v>57.622</c:v>
                </c:pt>
                <c:pt idx="8">
                  <c:v>27.331</c:v>
                </c:pt>
                <c:pt idx="9">
                  <c:v>27.83</c:v>
                </c:pt>
                <c:pt idx="10">
                  <c:v>59.192</c:v>
                </c:pt>
              </c:numCache>
            </c:numRef>
          </c:val>
          <c:extLst>
            <c:ext xmlns:c16="http://schemas.microsoft.com/office/drawing/2014/chart" uri="{C3380CC4-5D6E-409C-BE32-E72D297353CC}">
              <c16:uniqueId val="{00000002-AF15-4259-84D5-713F1BF2021F}"/>
            </c:ext>
          </c:extLst>
        </c:ser>
        <c:ser>
          <c:idx val="2"/>
          <c:order val="4"/>
          <c:tx>
            <c:strRef>
              <c:f>List1!$AE$6</c:f>
              <c:strCache>
                <c:ptCount val="1"/>
                <c:pt idx="0">
                  <c:v>Finanční instituce</c:v>
                </c:pt>
              </c:strCache>
            </c:strRef>
          </c:tx>
          <c:spPr>
            <a:solidFill>
              <a:srgbClr val="00B0F0"/>
            </a:solidFill>
            <a:ln>
              <a:noFill/>
            </a:ln>
            <a:effectLst/>
          </c:spPr>
          <c:invertIfNegative val="0"/>
          <c:cat>
            <c:numRef>
              <c:f>List1!$AB$15:$AB$25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List1!$AE$15:$AE$25</c:f>
              <c:numCache>
                <c:formatCode>0.0</c:formatCode>
                <c:ptCount val="11"/>
                <c:pt idx="0">
                  <c:v>6.2569999999999997</c:v>
                </c:pt>
                <c:pt idx="1">
                  <c:v>-7.665</c:v>
                </c:pt>
                <c:pt idx="2">
                  <c:v>0.73099999999999998</c:v>
                </c:pt>
                <c:pt idx="3">
                  <c:v>1.1140000000000001</c:v>
                </c:pt>
                <c:pt idx="4">
                  <c:v>0.22500000000000001</c:v>
                </c:pt>
                <c:pt idx="5">
                  <c:v>-1.964</c:v>
                </c:pt>
                <c:pt idx="6">
                  <c:v>0.77900000000000003</c:v>
                </c:pt>
                <c:pt idx="7">
                  <c:v>2.68</c:v>
                </c:pt>
                <c:pt idx="8">
                  <c:v>6.8879999999999999</c:v>
                </c:pt>
                <c:pt idx="9">
                  <c:v>5.375</c:v>
                </c:pt>
                <c:pt idx="10">
                  <c:v>-4.9880000000000004</c:v>
                </c:pt>
              </c:numCache>
            </c:numRef>
          </c:val>
          <c:extLst>
            <c:ext xmlns:c16="http://schemas.microsoft.com/office/drawing/2014/chart" uri="{C3380CC4-5D6E-409C-BE32-E72D297353CC}">
              <c16:uniqueId val="{00000003-AF15-4259-84D5-713F1BF2021F}"/>
            </c:ext>
          </c:extLst>
        </c:ser>
        <c:dLbls>
          <c:showLegendKey val="0"/>
          <c:showVal val="0"/>
          <c:showCatName val="0"/>
          <c:showSerName val="0"/>
          <c:showPercent val="0"/>
          <c:showBubbleSize val="0"/>
        </c:dLbls>
        <c:gapWidth val="94"/>
        <c:overlap val="100"/>
        <c:axId val="115033616"/>
        <c:axId val="115032784"/>
      </c:barChart>
      <c:lineChart>
        <c:grouping val="standard"/>
        <c:varyColors val="0"/>
        <c:ser>
          <c:idx val="0"/>
          <c:order val="0"/>
          <c:tx>
            <c:strRef>
              <c:f>List1!$AC$6</c:f>
              <c:strCache>
                <c:ptCount val="1"/>
                <c:pt idx="0">
                  <c:v>Výdaje na tvorbu hrubého fixního kapitálu</c:v>
                </c:pt>
              </c:strCache>
            </c:strRef>
          </c:tx>
          <c:spPr>
            <a:ln w="28575" cap="rnd">
              <a:solidFill>
                <a:schemeClr val="tx1"/>
              </a:solidFill>
              <a:round/>
            </a:ln>
            <a:effectLst/>
          </c:spPr>
          <c:marker>
            <c:symbol val="none"/>
          </c:marker>
          <c:cat>
            <c:numRef>
              <c:f>List1!$AB$15:$AB$25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List1!$AC$15:$AC$25</c:f>
              <c:numCache>
                <c:formatCode>0.0</c:formatCode>
                <c:ptCount val="11"/>
                <c:pt idx="0">
                  <c:v>32.9</c:v>
                </c:pt>
                <c:pt idx="1">
                  <c:v>-101.90600000000001</c:v>
                </c:pt>
                <c:pt idx="2">
                  <c:v>2.891</c:v>
                </c:pt>
                <c:pt idx="3">
                  <c:v>0.83199999999999996</c:v>
                </c:pt>
                <c:pt idx="4">
                  <c:v>-15.074</c:v>
                </c:pt>
                <c:pt idx="5">
                  <c:v>-24.853999999999999</c:v>
                </c:pt>
                <c:pt idx="6">
                  <c:v>56.985999999999997</c:v>
                </c:pt>
                <c:pt idx="7">
                  <c:v>132.23099999999999</c:v>
                </c:pt>
                <c:pt idx="8">
                  <c:v>-27.59</c:v>
                </c:pt>
                <c:pt idx="9">
                  <c:v>61.561999999999998</c:v>
                </c:pt>
                <c:pt idx="10">
                  <c:v>108.131</c:v>
                </c:pt>
              </c:numCache>
            </c:numRef>
          </c:val>
          <c:smooth val="0"/>
          <c:extLst>
            <c:ext xmlns:c16="http://schemas.microsoft.com/office/drawing/2014/chart" uri="{C3380CC4-5D6E-409C-BE32-E72D297353CC}">
              <c16:uniqueId val="{00000004-AF15-4259-84D5-713F1BF2021F}"/>
            </c:ext>
          </c:extLst>
        </c:ser>
        <c:dLbls>
          <c:showLegendKey val="0"/>
          <c:showVal val="0"/>
          <c:showCatName val="0"/>
          <c:showSerName val="0"/>
          <c:showPercent val="0"/>
          <c:showBubbleSize val="0"/>
        </c:dLbls>
        <c:marker val="1"/>
        <c:smooth val="0"/>
        <c:axId val="115033616"/>
        <c:axId val="115032784"/>
      </c:lineChart>
      <c:catAx>
        <c:axId val="1150336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15032784"/>
        <c:crosses val="autoZero"/>
        <c:auto val="1"/>
        <c:lblAlgn val="ctr"/>
        <c:lblOffset val="100"/>
        <c:noMultiLvlLbl val="0"/>
      </c:catAx>
      <c:valAx>
        <c:axId val="115032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15033616"/>
        <c:crosses val="autoZero"/>
        <c:crossBetween val="between"/>
      </c:valAx>
      <c:spPr>
        <a:noFill/>
        <a:ln>
          <a:noFill/>
        </a:ln>
        <a:effectLst/>
      </c:spPr>
    </c:plotArea>
    <c:legend>
      <c:legendPos val="b"/>
      <c:layout>
        <c:manualLayout>
          <c:xMode val="edge"/>
          <c:yMode val="edge"/>
          <c:x val="5.870525160418779E-2"/>
          <c:y val="0.82940870201508499"/>
          <c:w val="0.93084177642688282"/>
          <c:h val="0.1491458403692445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65507436570428E-2"/>
          <c:y val="5.0925925925925923E-2"/>
          <c:w val="0.88778937007874015"/>
          <c:h val="0.73935914260717406"/>
        </c:manualLayout>
      </c:layout>
      <c:barChart>
        <c:barDir val="col"/>
        <c:grouping val="stacked"/>
        <c:varyColors val="0"/>
        <c:ser>
          <c:idx val="1"/>
          <c:order val="1"/>
          <c:tx>
            <c:strRef>
              <c:f>THFK_V_iscpr_CZ!$A$84:$B$84</c:f>
              <c:strCache>
                <c:ptCount val="2"/>
                <c:pt idx="0">
                  <c:v>Obydlí</c:v>
                </c:pt>
              </c:strCache>
            </c:strRef>
          </c:tx>
          <c:spPr>
            <a:solidFill>
              <a:srgbClr val="FF0000"/>
            </a:solidFill>
            <a:ln>
              <a:noFill/>
            </a:ln>
            <a:effectLst/>
          </c:spPr>
          <c:invertIfNegative val="0"/>
          <c:cat>
            <c:numRef>
              <c:f>THFK_V_iscpr_CZ!$C$82:$M$82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THFK_V_iscpr_CZ!$C$84:$M$84</c:f>
              <c:numCache>
                <c:formatCode>General</c:formatCode>
                <c:ptCount val="11"/>
                <c:pt idx="0">
                  <c:v>2.7829999999999999</c:v>
                </c:pt>
                <c:pt idx="1">
                  <c:v>-11.798</c:v>
                </c:pt>
                <c:pt idx="2">
                  <c:v>12.31</c:v>
                </c:pt>
                <c:pt idx="3">
                  <c:v>-12.42</c:v>
                </c:pt>
                <c:pt idx="4">
                  <c:v>1.35</c:v>
                </c:pt>
                <c:pt idx="5">
                  <c:v>-16.372</c:v>
                </c:pt>
                <c:pt idx="6">
                  <c:v>11.922000000000001</c:v>
                </c:pt>
                <c:pt idx="7">
                  <c:v>19.391999999999999</c:v>
                </c:pt>
                <c:pt idx="8">
                  <c:v>11.276999999999999</c:v>
                </c:pt>
                <c:pt idx="9">
                  <c:v>20.248999999999999</c:v>
                </c:pt>
                <c:pt idx="10">
                  <c:v>18.067</c:v>
                </c:pt>
              </c:numCache>
            </c:numRef>
          </c:val>
          <c:extLst>
            <c:ext xmlns:c16="http://schemas.microsoft.com/office/drawing/2014/chart" uri="{C3380CC4-5D6E-409C-BE32-E72D297353CC}">
              <c16:uniqueId val="{00000000-2EB5-4ABC-BFAF-F7D1718E7551}"/>
            </c:ext>
          </c:extLst>
        </c:ser>
        <c:ser>
          <c:idx val="2"/>
          <c:order val="2"/>
          <c:tx>
            <c:strRef>
              <c:f>THFK_V_iscpr_CZ!$A$85:$B$85</c:f>
              <c:strCache>
                <c:ptCount val="2"/>
                <c:pt idx="0">
                  <c:v>Ostatní budovy a stavby</c:v>
                </c:pt>
              </c:strCache>
            </c:strRef>
          </c:tx>
          <c:spPr>
            <a:solidFill>
              <a:srgbClr val="FFC5C5"/>
            </a:solidFill>
            <a:ln>
              <a:noFill/>
            </a:ln>
            <a:effectLst/>
          </c:spPr>
          <c:invertIfNegative val="0"/>
          <c:cat>
            <c:numRef>
              <c:f>THFK_V_iscpr_CZ!$C$82:$M$82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THFK_V_iscpr_CZ!$C$85:$M$85</c:f>
              <c:numCache>
                <c:formatCode>General</c:formatCode>
                <c:ptCount val="11"/>
                <c:pt idx="0">
                  <c:v>12.631</c:v>
                </c:pt>
                <c:pt idx="1">
                  <c:v>-12.271000000000001</c:v>
                </c:pt>
                <c:pt idx="2">
                  <c:v>-18.803000000000001</c:v>
                </c:pt>
                <c:pt idx="3">
                  <c:v>-9.2609999999999992</c:v>
                </c:pt>
                <c:pt idx="4">
                  <c:v>-16.933</c:v>
                </c:pt>
                <c:pt idx="5">
                  <c:v>-10.499000000000001</c:v>
                </c:pt>
                <c:pt idx="6">
                  <c:v>-3.92</c:v>
                </c:pt>
                <c:pt idx="7">
                  <c:v>28.265999999999998</c:v>
                </c:pt>
                <c:pt idx="8">
                  <c:v>-38.122999999999998</c:v>
                </c:pt>
                <c:pt idx="9">
                  <c:v>14.3</c:v>
                </c:pt>
                <c:pt idx="10">
                  <c:v>36.54</c:v>
                </c:pt>
              </c:numCache>
            </c:numRef>
          </c:val>
          <c:extLst>
            <c:ext xmlns:c16="http://schemas.microsoft.com/office/drawing/2014/chart" uri="{C3380CC4-5D6E-409C-BE32-E72D297353CC}">
              <c16:uniqueId val="{00000001-2EB5-4ABC-BFAF-F7D1718E7551}"/>
            </c:ext>
          </c:extLst>
        </c:ser>
        <c:ser>
          <c:idx val="3"/>
          <c:order val="3"/>
          <c:tx>
            <c:strRef>
              <c:f>THFK_V_iscpr_CZ!$A$86:$B$86</c:f>
              <c:strCache>
                <c:ptCount val="2"/>
                <c:pt idx="0">
                  <c:v>Stroje a zařízení</c:v>
                </c:pt>
              </c:strCache>
            </c:strRef>
          </c:tx>
          <c:spPr>
            <a:solidFill>
              <a:srgbClr val="0070C0"/>
            </a:solidFill>
            <a:ln>
              <a:noFill/>
            </a:ln>
            <a:effectLst/>
          </c:spPr>
          <c:invertIfNegative val="0"/>
          <c:cat>
            <c:numRef>
              <c:f>THFK_V_iscpr_CZ!$C$82:$M$82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THFK_V_iscpr_CZ!$C$86:$M$86</c:f>
              <c:numCache>
                <c:formatCode>General</c:formatCode>
                <c:ptCount val="11"/>
                <c:pt idx="0">
                  <c:v>9.452</c:v>
                </c:pt>
                <c:pt idx="1">
                  <c:v>-79.405000000000001</c:v>
                </c:pt>
                <c:pt idx="2">
                  <c:v>20.170000000000002</c:v>
                </c:pt>
                <c:pt idx="3">
                  <c:v>7.827</c:v>
                </c:pt>
                <c:pt idx="4">
                  <c:v>-14.247999999999999</c:v>
                </c:pt>
                <c:pt idx="5">
                  <c:v>6.3620000000000001</c:v>
                </c:pt>
                <c:pt idx="6">
                  <c:v>42.829000000000001</c:v>
                </c:pt>
                <c:pt idx="7">
                  <c:v>50.643999999999998</c:v>
                </c:pt>
                <c:pt idx="8">
                  <c:v>-3.1240000000000001</c:v>
                </c:pt>
                <c:pt idx="9">
                  <c:v>12.696</c:v>
                </c:pt>
                <c:pt idx="10">
                  <c:v>38.905000000000001</c:v>
                </c:pt>
              </c:numCache>
            </c:numRef>
          </c:val>
          <c:extLst>
            <c:ext xmlns:c16="http://schemas.microsoft.com/office/drawing/2014/chart" uri="{C3380CC4-5D6E-409C-BE32-E72D297353CC}">
              <c16:uniqueId val="{00000002-2EB5-4ABC-BFAF-F7D1718E7551}"/>
            </c:ext>
          </c:extLst>
        </c:ser>
        <c:ser>
          <c:idx val="4"/>
          <c:order val="4"/>
          <c:tx>
            <c:strRef>
              <c:f>THFK_V_iscpr_CZ!$A$87:$B$87</c:f>
              <c:strCache>
                <c:ptCount val="2"/>
                <c:pt idx="0">
                  <c:v>Produkty duševního vlastnictví</c:v>
                </c:pt>
              </c:strCache>
            </c:strRef>
          </c:tx>
          <c:spPr>
            <a:solidFill>
              <a:srgbClr val="00B0F0"/>
            </a:solidFill>
            <a:ln>
              <a:noFill/>
            </a:ln>
            <a:effectLst/>
          </c:spPr>
          <c:invertIfNegative val="0"/>
          <c:cat>
            <c:numRef>
              <c:f>THFK_V_iscpr_CZ!$C$82:$M$82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THFK_V_iscpr_CZ!$C$87:$M$87</c:f>
              <c:numCache>
                <c:formatCode>General</c:formatCode>
                <c:ptCount val="11"/>
                <c:pt idx="0">
                  <c:v>8.7680000000000007</c:v>
                </c:pt>
                <c:pt idx="1">
                  <c:v>0.65900000000000003</c:v>
                </c:pt>
                <c:pt idx="2">
                  <c:v>-12.013999999999999</c:v>
                </c:pt>
                <c:pt idx="3">
                  <c:v>13.474</c:v>
                </c:pt>
                <c:pt idx="4">
                  <c:v>15.11</c:v>
                </c:pt>
                <c:pt idx="5">
                  <c:v>-1.1659999999999999</c:v>
                </c:pt>
                <c:pt idx="6">
                  <c:v>7.0679999999999996</c:v>
                </c:pt>
                <c:pt idx="7">
                  <c:v>24.143000000000001</c:v>
                </c:pt>
                <c:pt idx="8">
                  <c:v>11.579000000000001</c:v>
                </c:pt>
                <c:pt idx="9">
                  <c:v>14.231999999999999</c:v>
                </c:pt>
                <c:pt idx="10">
                  <c:v>15.433</c:v>
                </c:pt>
              </c:numCache>
            </c:numRef>
          </c:val>
          <c:extLst>
            <c:ext xmlns:c16="http://schemas.microsoft.com/office/drawing/2014/chart" uri="{C3380CC4-5D6E-409C-BE32-E72D297353CC}">
              <c16:uniqueId val="{00000003-2EB5-4ABC-BFAF-F7D1718E7551}"/>
            </c:ext>
          </c:extLst>
        </c:ser>
        <c:ser>
          <c:idx val="5"/>
          <c:order val="5"/>
          <c:tx>
            <c:strRef>
              <c:f>THFK_V_iscpr_CZ!$A$88:$B$88</c:f>
              <c:strCache>
                <c:ptCount val="2"/>
                <c:pt idx="0">
                  <c:v>Ostatní investice</c:v>
                </c:pt>
              </c:strCache>
            </c:strRef>
          </c:tx>
          <c:spPr>
            <a:solidFill>
              <a:schemeClr val="accent3"/>
            </a:solidFill>
            <a:ln>
              <a:noFill/>
            </a:ln>
            <a:effectLst/>
          </c:spPr>
          <c:invertIfNegative val="0"/>
          <c:cat>
            <c:numRef>
              <c:f>THFK_V_iscpr_CZ!$C$82:$M$82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THFK_V_iscpr_CZ!$C$88:$M$88</c:f>
              <c:numCache>
                <c:formatCode>General</c:formatCode>
                <c:ptCount val="11"/>
                <c:pt idx="0">
                  <c:v>-0.73399999999999999</c:v>
                </c:pt>
                <c:pt idx="1">
                  <c:v>0.90899999999999992</c:v>
                </c:pt>
                <c:pt idx="2">
                  <c:v>1.228</c:v>
                </c:pt>
                <c:pt idx="3">
                  <c:v>1.212</c:v>
                </c:pt>
                <c:pt idx="4">
                  <c:v>-0.35299999999999998</c:v>
                </c:pt>
                <c:pt idx="5">
                  <c:v>-3.1789999999999994</c:v>
                </c:pt>
                <c:pt idx="6">
                  <c:v>-0.91300000000000003</c:v>
                </c:pt>
                <c:pt idx="7">
                  <c:v>9.7859999999999996</c:v>
                </c:pt>
                <c:pt idx="8">
                  <c:v>-9.1989999999999998</c:v>
                </c:pt>
                <c:pt idx="9">
                  <c:v>8.4999999999999964E-2</c:v>
                </c:pt>
                <c:pt idx="10">
                  <c:v>-0.81399999999999995</c:v>
                </c:pt>
              </c:numCache>
            </c:numRef>
          </c:val>
          <c:extLst>
            <c:ext xmlns:c16="http://schemas.microsoft.com/office/drawing/2014/chart" uri="{C3380CC4-5D6E-409C-BE32-E72D297353CC}">
              <c16:uniqueId val="{00000004-2EB5-4ABC-BFAF-F7D1718E7551}"/>
            </c:ext>
          </c:extLst>
        </c:ser>
        <c:dLbls>
          <c:showLegendKey val="0"/>
          <c:showVal val="0"/>
          <c:showCatName val="0"/>
          <c:showSerName val="0"/>
          <c:showPercent val="0"/>
          <c:showBubbleSize val="0"/>
        </c:dLbls>
        <c:gapWidth val="96"/>
        <c:overlap val="100"/>
        <c:axId val="424882992"/>
        <c:axId val="424884656"/>
      </c:barChart>
      <c:lineChart>
        <c:grouping val="standard"/>
        <c:varyColors val="0"/>
        <c:ser>
          <c:idx val="0"/>
          <c:order val="0"/>
          <c:tx>
            <c:strRef>
              <c:f>THFK_V_iscpr_CZ!$A$83:$B$83</c:f>
              <c:strCache>
                <c:ptCount val="2"/>
                <c:pt idx="0">
                  <c:v>Celkem</c:v>
                </c:pt>
              </c:strCache>
            </c:strRef>
          </c:tx>
          <c:spPr>
            <a:ln w="28575" cap="rnd">
              <a:solidFill>
                <a:schemeClr val="tx1"/>
              </a:solidFill>
              <a:round/>
            </a:ln>
            <a:effectLst/>
          </c:spPr>
          <c:marker>
            <c:symbol val="none"/>
          </c:marker>
          <c:cat>
            <c:numRef>
              <c:f>THFK_V_iscpr_CZ!$C$82:$M$82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THFK_V_iscpr_CZ!$C$83:$M$83</c:f>
              <c:numCache>
                <c:formatCode>General</c:formatCode>
                <c:ptCount val="11"/>
                <c:pt idx="0">
                  <c:v>32.9</c:v>
                </c:pt>
                <c:pt idx="1">
                  <c:v>-101.90600000000001</c:v>
                </c:pt>
                <c:pt idx="2">
                  <c:v>2.891</c:v>
                </c:pt>
                <c:pt idx="3">
                  <c:v>0.83199999999999996</c:v>
                </c:pt>
                <c:pt idx="4">
                  <c:v>-15.074</c:v>
                </c:pt>
                <c:pt idx="5">
                  <c:v>-24.853999999999999</c:v>
                </c:pt>
                <c:pt idx="6">
                  <c:v>56.985999999999997</c:v>
                </c:pt>
                <c:pt idx="7">
                  <c:v>132.23099999999999</c:v>
                </c:pt>
                <c:pt idx="8">
                  <c:v>-27.59</c:v>
                </c:pt>
                <c:pt idx="9">
                  <c:v>61.561999999999998</c:v>
                </c:pt>
                <c:pt idx="10">
                  <c:v>108.131</c:v>
                </c:pt>
              </c:numCache>
            </c:numRef>
          </c:val>
          <c:smooth val="0"/>
          <c:extLst>
            <c:ext xmlns:c16="http://schemas.microsoft.com/office/drawing/2014/chart" uri="{C3380CC4-5D6E-409C-BE32-E72D297353CC}">
              <c16:uniqueId val="{00000005-2EB5-4ABC-BFAF-F7D1718E7551}"/>
            </c:ext>
          </c:extLst>
        </c:ser>
        <c:dLbls>
          <c:showLegendKey val="0"/>
          <c:showVal val="0"/>
          <c:showCatName val="0"/>
          <c:showSerName val="0"/>
          <c:showPercent val="0"/>
          <c:showBubbleSize val="0"/>
        </c:dLbls>
        <c:marker val="1"/>
        <c:smooth val="0"/>
        <c:axId val="424882992"/>
        <c:axId val="424884656"/>
      </c:lineChart>
      <c:catAx>
        <c:axId val="4248829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424884656"/>
        <c:crosses val="autoZero"/>
        <c:auto val="1"/>
        <c:lblAlgn val="ctr"/>
        <c:lblOffset val="100"/>
        <c:noMultiLvlLbl val="0"/>
      </c:catAx>
      <c:valAx>
        <c:axId val="424884656"/>
        <c:scaling>
          <c:orientation val="minMax"/>
          <c:min val="-1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424882992"/>
        <c:crosses val="autoZero"/>
        <c:crossBetween val="between"/>
        <c:majorUnit val="30"/>
      </c:valAx>
      <c:spPr>
        <a:noFill/>
        <a:ln>
          <a:noFill/>
        </a:ln>
        <a:effectLst/>
      </c:spPr>
    </c:plotArea>
    <c:legend>
      <c:legendPos val="b"/>
      <c:layout>
        <c:manualLayout>
          <c:xMode val="edge"/>
          <c:yMode val="edge"/>
          <c:x val="8.0346019247594061E-2"/>
          <c:y val="0.8563112423447069"/>
          <c:w val="0.88930796150481195"/>
          <c:h val="0.1159109798775153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latin typeface="Arial" panose="020B0604020202020204" pitchFamily="34"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Data!$E$47</c:f>
              <c:strCache>
                <c:ptCount val="1"/>
                <c:pt idx="0">
                  <c:v>2017</c:v>
                </c:pt>
              </c:strCache>
            </c:strRef>
          </c:tx>
          <c:spPr>
            <a:solidFill>
              <a:srgbClr val="0070C0"/>
            </a:solidFill>
            <a:ln>
              <a:noFill/>
            </a:ln>
            <a:effectLst/>
          </c:spPr>
          <c:invertIfNegative val="0"/>
          <c:cat>
            <c:strRef>
              <c:f>Data!$A$48:$A$76</c:f>
              <c:strCache>
                <c:ptCount val="29"/>
                <c:pt idx="0">
                  <c:v>Maďarsko</c:v>
                </c:pt>
                <c:pt idx="1">
                  <c:v>Lotyšsko</c:v>
                </c:pt>
                <c:pt idx="2">
                  <c:v>Slovinsko</c:v>
                </c:pt>
                <c:pt idx="3">
                  <c:v>Irsko</c:v>
                </c:pt>
                <c:pt idx="4">
                  <c:v>Polsko</c:v>
                </c:pt>
                <c:pt idx="5">
                  <c:v>Česko</c:v>
                </c:pt>
                <c:pt idx="6">
                  <c:v>Slovensko</c:v>
                </c:pt>
                <c:pt idx="7">
                  <c:v>Bulharsko</c:v>
                </c:pt>
                <c:pt idx="8">
                  <c:v>Dánsko</c:v>
                </c:pt>
                <c:pt idx="9">
                  <c:v>Litva</c:v>
                </c:pt>
                <c:pt idx="10">
                  <c:v>Španělsko</c:v>
                </c:pt>
                <c:pt idx="11">
                  <c:v>Portugalsko</c:v>
                </c:pt>
                <c:pt idx="12">
                  <c:v>Chorvatsko</c:v>
                </c:pt>
                <c:pt idx="13">
                  <c:v>Švédsko</c:v>
                </c:pt>
                <c:pt idx="14">
                  <c:v>Itálie</c:v>
                </c:pt>
                <c:pt idx="15">
                  <c:v>EU 28</c:v>
                </c:pt>
                <c:pt idx="16">
                  <c:v>Estonsko</c:v>
                </c:pt>
                <c:pt idx="17">
                  <c:v>Rakousko</c:v>
                </c:pt>
                <c:pt idx="18">
                  <c:v>Nizozemsko</c:v>
                </c:pt>
                <c:pt idx="19">
                  <c:v>Finsko</c:v>
                </c:pt>
                <c:pt idx="20">
                  <c:v>Belgie</c:v>
                </c:pt>
                <c:pt idx="21">
                  <c:v>Francie</c:v>
                </c:pt>
                <c:pt idx="22">
                  <c:v>Německo</c:v>
                </c:pt>
                <c:pt idx="23">
                  <c:v>Velká Británie</c:v>
                </c:pt>
                <c:pt idx="24">
                  <c:v>Malta</c:v>
                </c:pt>
                <c:pt idx="25">
                  <c:v>Lucembursko</c:v>
                </c:pt>
                <c:pt idx="26">
                  <c:v>Rumunsko</c:v>
                </c:pt>
                <c:pt idx="27">
                  <c:v>Kypr</c:v>
                </c:pt>
                <c:pt idx="28">
                  <c:v>Řecko</c:v>
                </c:pt>
              </c:strCache>
            </c:strRef>
          </c:cat>
          <c:val>
            <c:numRef>
              <c:f>Data!$E$48:$E$76</c:f>
              <c:numCache>
                <c:formatCode>#\ ##0.0</c:formatCode>
                <c:ptCount val="29"/>
                <c:pt idx="0">
                  <c:v>18.2</c:v>
                </c:pt>
                <c:pt idx="1">
                  <c:v>13.1</c:v>
                </c:pt>
                <c:pt idx="2">
                  <c:v>10.7</c:v>
                </c:pt>
                <c:pt idx="3">
                  <c:v>-31</c:v>
                </c:pt>
                <c:pt idx="4">
                  <c:v>4</c:v>
                </c:pt>
                <c:pt idx="5">
                  <c:v>3.7</c:v>
                </c:pt>
                <c:pt idx="6">
                  <c:v>3.4</c:v>
                </c:pt>
                <c:pt idx="7">
                  <c:v>3.2</c:v>
                </c:pt>
                <c:pt idx="8">
                  <c:v>4.5999999999999996</c:v>
                </c:pt>
                <c:pt idx="9">
                  <c:v>6.8</c:v>
                </c:pt>
                <c:pt idx="10">
                  <c:v>4.8</c:v>
                </c:pt>
                <c:pt idx="11">
                  <c:v>9.1999999999999993</c:v>
                </c:pt>
                <c:pt idx="12">
                  <c:v>3.8</c:v>
                </c:pt>
                <c:pt idx="13">
                  <c:v>6</c:v>
                </c:pt>
                <c:pt idx="14">
                  <c:v>4.3</c:v>
                </c:pt>
                <c:pt idx="15">
                  <c:v>3.1</c:v>
                </c:pt>
                <c:pt idx="16">
                  <c:v>12.5</c:v>
                </c:pt>
                <c:pt idx="17">
                  <c:v>3.9</c:v>
                </c:pt>
                <c:pt idx="18">
                  <c:v>4.2</c:v>
                </c:pt>
                <c:pt idx="19">
                  <c:v>5.2</c:v>
                </c:pt>
                <c:pt idx="20">
                  <c:v>1.8</c:v>
                </c:pt>
                <c:pt idx="21">
                  <c:v>4.7</c:v>
                </c:pt>
                <c:pt idx="22">
                  <c:v>2.9</c:v>
                </c:pt>
                <c:pt idx="23">
                  <c:v>3.5</c:v>
                </c:pt>
                <c:pt idx="24">
                  <c:v>-7.5</c:v>
                </c:pt>
                <c:pt idx="25">
                  <c:v>4</c:v>
                </c:pt>
                <c:pt idx="26">
                  <c:v>3.5</c:v>
                </c:pt>
                <c:pt idx="27">
                  <c:v>29</c:v>
                </c:pt>
                <c:pt idx="28">
                  <c:v>9.1</c:v>
                </c:pt>
              </c:numCache>
            </c:numRef>
          </c:val>
          <c:extLst>
            <c:ext xmlns:c16="http://schemas.microsoft.com/office/drawing/2014/chart" uri="{C3380CC4-5D6E-409C-BE32-E72D297353CC}">
              <c16:uniqueId val="{00000000-D2F9-4B23-8F82-9D880A03BDC8}"/>
            </c:ext>
          </c:extLst>
        </c:ser>
        <c:ser>
          <c:idx val="1"/>
          <c:order val="1"/>
          <c:tx>
            <c:strRef>
              <c:f>Data!$F$47</c:f>
              <c:strCache>
                <c:ptCount val="1"/>
                <c:pt idx="0">
                  <c:v>2018</c:v>
                </c:pt>
              </c:strCache>
            </c:strRef>
          </c:tx>
          <c:spPr>
            <a:solidFill>
              <a:srgbClr val="FF0000"/>
            </a:solidFill>
            <a:ln>
              <a:noFill/>
            </a:ln>
            <a:effectLst/>
          </c:spPr>
          <c:invertIfNegative val="0"/>
          <c:cat>
            <c:strRef>
              <c:f>Data!$A$48:$A$76</c:f>
              <c:strCache>
                <c:ptCount val="29"/>
                <c:pt idx="0">
                  <c:v>Maďarsko</c:v>
                </c:pt>
                <c:pt idx="1">
                  <c:v>Lotyšsko</c:v>
                </c:pt>
                <c:pt idx="2">
                  <c:v>Slovinsko</c:v>
                </c:pt>
                <c:pt idx="3">
                  <c:v>Irsko</c:v>
                </c:pt>
                <c:pt idx="4">
                  <c:v>Polsko</c:v>
                </c:pt>
                <c:pt idx="5">
                  <c:v>Česko</c:v>
                </c:pt>
                <c:pt idx="6">
                  <c:v>Slovensko</c:v>
                </c:pt>
                <c:pt idx="7">
                  <c:v>Bulharsko</c:v>
                </c:pt>
                <c:pt idx="8">
                  <c:v>Dánsko</c:v>
                </c:pt>
                <c:pt idx="9">
                  <c:v>Litva</c:v>
                </c:pt>
                <c:pt idx="10">
                  <c:v>Španělsko</c:v>
                </c:pt>
                <c:pt idx="11">
                  <c:v>Portugalsko</c:v>
                </c:pt>
                <c:pt idx="12">
                  <c:v>Chorvatsko</c:v>
                </c:pt>
                <c:pt idx="13">
                  <c:v>Švédsko</c:v>
                </c:pt>
                <c:pt idx="14">
                  <c:v>Itálie</c:v>
                </c:pt>
                <c:pt idx="15">
                  <c:v>EU 28</c:v>
                </c:pt>
                <c:pt idx="16">
                  <c:v>Estonsko</c:v>
                </c:pt>
                <c:pt idx="17">
                  <c:v>Rakousko</c:v>
                </c:pt>
                <c:pt idx="18">
                  <c:v>Nizozemsko</c:v>
                </c:pt>
                <c:pt idx="19">
                  <c:v>Finsko</c:v>
                </c:pt>
                <c:pt idx="20">
                  <c:v>Belgie</c:v>
                </c:pt>
                <c:pt idx="21">
                  <c:v>Francie</c:v>
                </c:pt>
                <c:pt idx="22">
                  <c:v>Německo</c:v>
                </c:pt>
                <c:pt idx="23">
                  <c:v>Velká Británie</c:v>
                </c:pt>
                <c:pt idx="24">
                  <c:v>Malta</c:v>
                </c:pt>
                <c:pt idx="25">
                  <c:v>Lucembursko</c:v>
                </c:pt>
                <c:pt idx="26">
                  <c:v>Rumunsko</c:v>
                </c:pt>
                <c:pt idx="27">
                  <c:v>Kypr</c:v>
                </c:pt>
                <c:pt idx="28">
                  <c:v>Řecko</c:v>
                </c:pt>
              </c:strCache>
            </c:strRef>
          </c:cat>
          <c:val>
            <c:numRef>
              <c:f>Data!$F$48:$F$76</c:f>
              <c:numCache>
                <c:formatCode>#\ ##0.0</c:formatCode>
                <c:ptCount val="29"/>
                <c:pt idx="0">
                  <c:v>16.5</c:v>
                </c:pt>
                <c:pt idx="1">
                  <c:v>16.399999999999999</c:v>
                </c:pt>
                <c:pt idx="2">
                  <c:v>10.6</c:v>
                </c:pt>
                <c:pt idx="3">
                  <c:v>9.6999999999999993</c:v>
                </c:pt>
                <c:pt idx="4">
                  <c:v>8.6999999999999993</c:v>
                </c:pt>
                <c:pt idx="5">
                  <c:v>7.2</c:v>
                </c:pt>
                <c:pt idx="6">
                  <c:v>6.8</c:v>
                </c:pt>
                <c:pt idx="7">
                  <c:v>6.5</c:v>
                </c:pt>
                <c:pt idx="8">
                  <c:v>6.5</c:v>
                </c:pt>
                <c:pt idx="9">
                  <c:v>6.5</c:v>
                </c:pt>
                <c:pt idx="10">
                  <c:v>5.3</c:v>
                </c:pt>
                <c:pt idx="11">
                  <c:v>4.5</c:v>
                </c:pt>
                <c:pt idx="12">
                  <c:v>4.0999999999999996</c:v>
                </c:pt>
                <c:pt idx="13">
                  <c:v>4</c:v>
                </c:pt>
                <c:pt idx="14">
                  <c:v>3.4</c:v>
                </c:pt>
                <c:pt idx="15">
                  <c:v>3.3</c:v>
                </c:pt>
                <c:pt idx="16">
                  <c:v>3.3</c:v>
                </c:pt>
                <c:pt idx="17">
                  <c:v>3.3</c:v>
                </c:pt>
                <c:pt idx="18">
                  <c:v>3.2</c:v>
                </c:pt>
                <c:pt idx="19">
                  <c:v>3.1</c:v>
                </c:pt>
                <c:pt idx="20">
                  <c:v>2.9</c:v>
                </c:pt>
                <c:pt idx="21">
                  <c:v>2.8</c:v>
                </c:pt>
                <c:pt idx="22">
                  <c:v>2.6</c:v>
                </c:pt>
                <c:pt idx="23">
                  <c:v>0.2</c:v>
                </c:pt>
                <c:pt idx="24">
                  <c:v>-1.6</c:v>
                </c:pt>
                <c:pt idx="25">
                  <c:v>-2.7</c:v>
                </c:pt>
                <c:pt idx="26">
                  <c:v>-3.2</c:v>
                </c:pt>
                <c:pt idx="27">
                  <c:v>-7.1</c:v>
                </c:pt>
                <c:pt idx="28">
                  <c:v>-12.2</c:v>
                </c:pt>
              </c:numCache>
            </c:numRef>
          </c:val>
          <c:extLst>
            <c:ext xmlns:c16="http://schemas.microsoft.com/office/drawing/2014/chart" uri="{C3380CC4-5D6E-409C-BE32-E72D297353CC}">
              <c16:uniqueId val="{00000001-D2F9-4B23-8F82-9D880A03BDC8}"/>
            </c:ext>
          </c:extLst>
        </c:ser>
        <c:dLbls>
          <c:showLegendKey val="0"/>
          <c:showVal val="0"/>
          <c:showCatName val="0"/>
          <c:showSerName val="0"/>
          <c:showPercent val="0"/>
          <c:showBubbleSize val="0"/>
        </c:dLbls>
        <c:gapWidth val="97"/>
        <c:overlap val="-27"/>
        <c:axId val="103354352"/>
        <c:axId val="1"/>
      </c:barChart>
      <c:catAx>
        <c:axId val="1033543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1"/>
        <c:crosses val="autoZero"/>
        <c:auto val="1"/>
        <c:lblAlgn val="ctr"/>
        <c:lblOffset val="100"/>
        <c:noMultiLvlLbl val="0"/>
      </c:catAx>
      <c:valAx>
        <c:axId val="1"/>
        <c:scaling>
          <c:orientation val="minMax"/>
          <c:max val="30"/>
          <c:min val="-3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103354352"/>
        <c:crosses val="autoZero"/>
        <c:crossBetween val="between"/>
        <c:majorUnit val="5"/>
      </c:valAx>
      <c:spPr>
        <a:noFill/>
        <a:ln w="25400">
          <a:noFill/>
        </a:ln>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legend>
    <c:plotVisOnly val="1"/>
    <c:dispBlanksAs val="gap"/>
    <c:showDLblsOverMax val="0"/>
  </c:chart>
  <c:spPr>
    <a:noFill/>
    <a:ln w="9525" cap="flat" cmpd="sng" algn="ctr">
      <a:noFill/>
      <a:round/>
    </a:ln>
    <a:effectLst/>
  </c:spPr>
  <c:txPr>
    <a:bodyPr/>
    <a:lstStyle/>
    <a:p>
      <a:pPr>
        <a:defRPr sz="800" baseline="0">
          <a:latin typeface="Arial" panose="020B0604020202020204" pitchFamily="34" charset="0"/>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589C-C78E-401D-815A-CDE87760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Anaýza ekonomického vývoje v roce 2017.dotx</Template>
  <TotalTime>117</TotalTime>
  <Pages>3</Pages>
  <Words>924</Words>
  <Characters>5457</Characters>
  <Application>Microsoft Office Word</Application>
  <DocSecurity>0</DocSecurity>
  <Lines>45</Lines>
  <Paragraphs>12</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6369</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12</cp:revision>
  <cp:lastPrinted>2014-07-17T14:07:00Z</cp:lastPrinted>
  <dcterms:created xsi:type="dcterms:W3CDTF">2019-08-12T08:04:00Z</dcterms:created>
  <dcterms:modified xsi:type="dcterms:W3CDTF">2019-08-13T09:03:00Z</dcterms:modified>
</cp:coreProperties>
</file>