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A4756" w14:textId="6CFC08E0" w:rsidR="005152D9" w:rsidRDefault="00A319AF" w:rsidP="005152D9">
      <w:pPr>
        <w:pStyle w:val="Nadpis1"/>
      </w:pPr>
      <w:bookmarkStart w:id="0" w:name="_Toc16089242"/>
      <w:r>
        <w:rPr>
          <w:lang w:eastAsia="en-US"/>
        </w:rPr>
        <w:t>7</w:t>
      </w:r>
      <w:r w:rsidR="00141782" w:rsidRPr="00360DE3">
        <w:rPr>
          <w:lang w:eastAsia="en-US"/>
        </w:rPr>
        <w:t xml:space="preserve">. </w:t>
      </w:r>
      <w:r w:rsidR="005152D9">
        <w:t>Hospodaření vládních institucí</w:t>
      </w:r>
      <w:bookmarkEnd w:id="0"/>
    </w:p>
    <w:tbl>
      <w:tblPr>
        <w:tblW w:w="9644" w:type="dxa"/>
        <w:tblInd w:w="-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6"/>
        <w:gridCol w:w="277"/>
        <w:gridCol w:w="7391"/>
      </w:tblGrid>
      <w:tr w:rsidR="005152D9" w:rsidRPr="00157A87" w14:paraId="614824A3" w14:textId="77777777" w:rsidTr="00A54250">
        <w:trPr>
          <w:trHeight w:val="145"/>
        </w:trPr>
        <w:tc>
          <w:tcPr>
            <w:tcW w:w="1976" w:type="dxa"/>
          </w:tcPr>
          <w:p w14:paraId="6F4F9724" w14:textId="77777777" w:rsidR="005152D9" w:rsidRPr="00157A87" w:rsidRDefault="005152D9" w:rsidP="00A54250">
            <w:pPr>
              <w:pStyle w:val="Marginlie"/>
            </w:pPr>
            <w:r>
              <w:t>Sektor vládních institucí loni hospodařil s přebytkem.</w:t>
            </w:r>
          </w:p>
        </w:tc>
        <w:tc>
          <w:tcPr>
            <w:tcW w:w="277" w:type="dxa"/>
          </w:tcPr>
          <w:p w14:paraId="5B66254E" w14:textId="77777777" w:rsidR="005152D9" w:rsidRPr="00157A87" w:rsidRDefault="005152D9" w:rsidP="00A5425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78B20A75" w14:textId="77777777" w:rsidR="005152D9" w:rsidRPr="00157A87" w:rsidRDefault="005152D9" w:rsidP="00A54250">
            <w:r>
              <w:t>Hospodaření sektoru vládních institucí v roce 2018 skončilo v přebytku 47,4</w:t>
            </w:r>
            <w:r w:rsidR="001F138C">
              <w:t> mld.</w:t>
            </w:r>
            <w:r>
              <w:t xml:space="preserve"> korun. Kladné saldo se meziročně snížilo o 31,3</w:t>
            </w:r>
            <w:r w:rsidR="001F138C">
              <w:t> mld.</w:t>
            </w:r>
            <w:r>
              <w:t xml:space="preserve"> Přebytkového hospodaření dosáhly vládní instituce potřetí v řadě, poprvé od roku 2014 však dynamika výdajů překročila příjmy, což bylo také důvodem poklesu salda. Relativní ukazatel salda vůči HDP loni dosáhl 0,9</w:t>
            </w:r>
            <w:r w:rsidR="001D51EB">
              <w:t> %</w:t>
            </w:r>
            <w:r>
              <w:t xml:space="preserve"> a meziročně se snížil o 0,7</w:t>
            </w:r>
            <w:r w:rsidR="001F138C">
              <w:t> p. b.</w:t>
            </w:r>
            <w:r>
              <w:t xml:space="preserve"> Mezi ostatními zeměmi EU si však Česko z hlediska hospodaření vládního sektoru zatím drží přední pozici. </w:t>
            </w:r>
          </w:p>
        </w:tc>
      </w:tr>
      <w:tr w:rsidR="005152D9" w:rsidRPr="00157A87" w14:paraId="2C427AFD" w14:textId="77777777" w:rsidTr="00A54250">
        <w:trPr>
          <w:trHeight w:val="145"/>
        </w:trPr>
        <w:tc>
          <w:tcPr>
            <w:tcW w:w="1976" w:type="dxa"/>
          </w:tcPr>
          <w:p w14:paraId="27B25E0E" w14:textId="21429A90" w:rsidR="005152D9" w:rsidRDefault="005152D9" w:rsidP="00A54250">
            <w:pPr>
              <w:pStyle w:val="Marginlie"/>
            </w:pPr>
            <w:r>
              <w:t>Přebytku dosáhlo rovněž 13</w:t>
            </w:r>
            <w:r w:rsidR="00B366E5">
              <w:t> </w:t>
            </w:r>
            <w:r>
              <w:t>zemí EU.</w:t>
            </w:r>
          </w:p>
        </w:tc>
        <w:tc>
          <w:tcPr>
            <w:tcW w:w="277" w:type="dxa"/>
          </w:tcPr>
          <w:p w14:paraId="00CEF497" w14:textId="77777777" w:rsidR="005152D9" w:rsidRPr="00157A87" w:rsidRDefault="005152D9" w:rsidP="00A5425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1E89EC7F" w14:textId="3F913A64" w:rsidR="005152D9" w:rsidRPr="00157A87" w:rsidRDefault="005152D9" w:rsidP="00A62B23">
            <w:r>
              <w:t>Celkem 13 států Evropské unie loni dosáhlo přebytku hospodaření vládních institucí a jedna</w:t>
            </w:r>
            <w:r w:rsidR="00A62B23">
              <w:t xml:space="preserve"> země</w:t>
            </w:r>
            <w:r>
              <w:t xml:space="preserve"> měla rozpočet vyrovnaný. Při ohlédnutí zpět se to jeví jako výjimečný výsledek i ve srovnání s obdobím vrcholící konjunktury let 2005 až 2007 nebo </w:t>
            </w:r>
            <w:r w:rsidR="00B366E5">
              <w:t>s </w:t>
            </w:r>
            <w:r>
              <w:t>devadesátými lety, kdy byl</w:t>
            </w:r>
            <w:r w:rsidR="00A62B23">
              <w:t>o</w:t>
            </w:r>
            <w:r>
              <w:t xml:space="preserve"> přebytkové </w:t>
            </w:r>
            <w:r w:rsidR="00A62B23">
              <w:t>hospodaření</w:t>
            </w:r>
            <w:r>
              <w:t xml:space="preserve"> poměrně časté. Například v roce 2007 (vrchol konjunktury před </w:t>
            </w:r>
            <w:r w:rsidR="00D73384">
              <w:t>V</w:t>
            </w:r>
            <w:r w:rsidR="00B366E5">
              <w:t xml:space="preserve">elkou </w:t>
            </w:r>
            <w:r>
              <w:t>recesí) mělo přebytkový rozpočet 11 zemí a šlo o třetí nejlepší výsledek v celé dostupné řadě od roku 1995 (po</w:t>
            </w:r>
            <w:r w:rsidR="00B366E5">
              <w:t> </w:t>
            </w:r>
            <w:r>
              <w:t>letech 2018 a 2017). U většiny zemí také došlo k meziročnímu zlepšení salda hospodaření. Nejvyššího relativního přebytku loni dosáhlo Lucembursko (2,4</w:t>
            </w:r>
            <w:r w:rsidR="001D51EB">
              <w:t> %</w:t>
            </w:r>
            <w:r>
              <w:t xml:space="preserve"> HDP) a shodně 2</w:t>
            </w:r>
            <w:r w:rsidR="001D51EB">
              <w:t> %</w:t>
            </w:r>
            <w:r>
              <w:t xml:space="preserve"> HDP Bulharsko a Malta. Naopak na Kypru došlo k výraznému zhoršení hospodaření a saldo skončilo na </w:t>
            </w:r>
            <w:r w:rsidR="001F138C">
              <w:t>–</w:t>
            </w:r>
            <w:r>
              <w:t>4,8</w:t>
            </w:r>
            <w:r w:rsidR="001D51EB">
              <w:t> %</w:t>
            </w:r>
            <w:r>
              <w:t xml:space="preserve"> HDP. Jde o jedinou zemi, která </w:t>
            </w:r>
            <w:r w:rsidR="00A62B23">
              <w:t>loni</w:t>
            </w:r>
            <w:r>
              <w:t xml:space="preserve"> výrazně nedodržela </w:t>
            </w:r>
            <w:r w:rsidR="00A62B23">
              <w:t xml:space="preserve">maastrichtské </w:t>
            </w:r>
            <w:r>
              <w:t>kritérium maximálně 3%</w:t>
            </w:r>
            <w:r w:rsidR="00B366E5">
              <w:t> </w:t>
            </w:r>
            <w:r>
              <w:t xml:space="preserve">deficitu. Rumunsko se udrželo přesně na této hranici. Shodně 2,5% deficitu vůči HDP </w:t>
            </w:r>
            <w:r w:rsidR="00DD6B52">
              <w:t xml:space="preserve">dosáhly </w:t>
            </w:r>
            <w:r>
              <w:t>Francie a Španělsko.</w:t>
            </w:r>
          </w:p>
        </w:tc>
      </w:tr>
      <w:tr w:rsidR="005152D9" w:rsidRPr="00894C66" w14:paraId="5F6013A4" w14:textId="77777777" w:rsidTr="00A54250">
        <w:tc>
          <w:tcPr>
            <w:tcW w:w="1976" w:type="dxa"/>
            <w:vMerge w:val="restart"/>
          </w:tcPr>
          <w:p w14:paraId="0D74F964" w14:textId="77777777" w:rsidR="005152D9" w:rsidRDefault="005152D9" w:rsidP="00A54250">
            <w:pPr>
              <w:pStyle w:val="Marginlie"/>
            </w:pPr>
          </w:p>
        </w:tc>
        <w:tc>
          <w:tcPr>
            <w:tcW w:w="277" w:type="dxa"/>
            <w:vMerge w:val="restart"/>
          </w:tcPr>
          <w:p w14:paraId="5B90395F" w14:textId="77777777" w:rsidR="005152D9" w:rsidRPr="005E4483" w:rsidRDefault="005152D9" w:rsidP="00A5425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46F5D102" w14:textId="0CF7CD15" w:rsidR="005152D9" w:rsidRPr="004454DC" w:rsidRDefault="005152D9" w:rsidP="00884A6F">
            <w:pPr>
              <w:spacing w:after="0"/>
              <w:rPr>
                <w:b/>
              </w:rPr>
            </w:pPr>
            <w:r>
              <w:rPr>
                <w:b/>
              </w:rPr>
              <w:t xml:space="preserve">Graf č. </w:t>
            </w:r>
            <w:r w:rsidR="00884A6F">
              <w:rPr>
                <w:b/>
              </w:rPr>
              <w:t>8</w:t>
            </w:r>
            <w:r>
              <w:rPr>
                <w:b/>
              </w:rPr>
              <w:t xml:space="preserve">  </w:t>
            </w:r>
            <w:r w:rsidRPr="005263D4">
              <w:rPr>
                <w:b/>
                <w:lang w:eastAsia="en-US"/>
              </w:rPr>
              <w:t xml:space="preserve">Čisté půjčky/výpůjčky </w:t>
            </w:r>
            <w:r>
              <w:rPr>
                <w:b/>
                <w:lang w:eastAsia="en-US"/>
              </w:rPr>
              <w:t xml:space="preserve">sektoru </w:t>
            </w:r>
            <w:r w:rsidRPr="005263D4">
              <w:rPr>
                <w:b/>
                <w:lang w:eastAsia="en-US"/>
              </w:rPr>
              <w:t>vládních institucí</w:t>
            </w:r>
            <w:r w:rsidRPr="00ED61AD">
              <w:rPr>
                <w:lang w:eastAsia="en-US"/>
              </w:rPr>
              <w:t xml:space="preserve"> (v %</w:t>
            </w:r>
            <w:r w:rsidR="00B366E5">
              <w:rPr>
                <w:lang w:eastAsia="en-US"/>
              </w:rPr>
              <w:t> </w:t>
            </w:r>
            <w:r w:rsidRPr="00ED61AD">
              <w:rPr>
                <w:lang w:eastAsia="en-US"/>
              </w:rPr>
              <w:t>HDP, z údajů v běžných cenách)</w:t>
            </w:r>
          </w:p>
        </w:tc>
      </w:tr>
      <w:tr w:rsidR="005152D9" w:rsidRPr="00894C66" w14:paraId="7EE47672" w14:textId="77777777" w:rsidTr="00A54250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976" w:type="dxa"/>
            <w:vMerge/>
          </w:tcPr>
          <w:p w14:paraId="03DE5339" w14:textId="77777777" w:rsidR="005152D9" w:rsidRDefault="005152D9" w:rsidP="00A54250">
            <w:pPr>
              <w:pStyle w:val="Marginlie"/>
            </w:pPr>
          </w:p>
        </w:tc>
        <w:tc>
          <w:tcPr>
            <w:tcW w:w="277" w:type="dxa"/>
            <w:vMerge/>
          </w:tcPr>
          <w:p w14:paraId="032B609E" w14:textId="77777777" w:rsidR="005152D9" w:rsidRPr="005E4483" w:rsidRDefault="005152D9" w:rsidP="00A5425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322635A3" w14:textId="77777777" w:rsidR="005152D9" w:rsidRDefault="005152D9" w:rsidP="00A54250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7E14203D" wp14:editId="6525C9AE">
                  <wp:extent cx="4686935" cy="3515360"/>
                  <wp:effectExtent l="0" t="0" r="0" b="0"/>
                  <wp:docPr id="2" name="Graf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5152D9" w:rsidRPr="00894C66" w14:paraId="3FD05272" w14:textId="77777777" w:rsidTr="00A54250">
        <w:trPr>
          <w:trHeight w:val="170"/>
        </w:trPr>
        <w:tc>
          <w:tcPr>
            <w:tcW w:w="1976" w:type="dxa"/>
            <w:vMerge/>
          </w:tcPr>
          <w:p w14:paraId="1DA0E828" w14:textId="77777777" w:rsidR="005152D9" w:rsidRDefault="005152D9" w:rsidP="00A54250">
            <w:pPr>
              <w:pStyle w:val="Marginlie"/>
            </w:pPr>
          </w:p>
        </w:tc>
        <w:tc>
          <w:tcPr>
            <w:tcW w:w="277" w:type="dxa"/>
            <w:vMerge/>
          </w:tcPr>
          <w:p w14:paraId="40F6FA02" w14:textId="77777777" w:rsidR="005152D9" w:rsidRPr="005E4483" w:rsidRDefault="005152D9" w:rsidP="00A5425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5DE1F066" w14:textId="77777777" w:rsidR="005152D9" w:rsidRPr="00A1151F" w:rsidRDefault="005152D9" w:rsidP="00A542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Eurostat</w:t>
            </w:r>
          </w:p>
        </w:tc>
      </w:tr>
      <w:tr w:rsidR="005152D9" w:rsidRPr="00894C66" w14:paraId="2A1D1298" w14:textId="77777777" w:rsidTr="00A54250">
        <w:trPr>
          <w:trHeight w:val="145"/>
        </w:trPr>
        <w:tc>
          <w:tcPr>
            <w:tcW w:w="1976" w:type="dxa"/>
          </w:tcPr>
          <w:p w14:paraId="35F7ADA4" w14:textId="77777777" w:rsidR="005152D9" w:rsidRDefault="005152D9" w:rsidP="00A54250">
            <w:pPr>
              <w:pStyle w:val="Marginlie"/>
            </w:pPr>
            <w:r>
              <w:t>Příjmy vládních institucí rostly zejména díky daním z příjmů, které odrážely silný růst mezd a platů.</w:t>
            </w:r>
          </w:p>
        </w:tc>
        <w:tc>
          <w:tcPr>
            <w:tcW w:w="277" w:type="dxa"/>
          </w:tcPr>
          <w:p w14:paraId="79CD3854" w14:textId="77777777" w:rsidR="005152D9" w:rsidRPr="005E4483" w:rsidRDefault="005152D9" w:rsidP="00A5425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50F6E0DB" w14:textId="7E347553" w:rsidR="005152D9" w:rsidRPr="007834C9" w:rsidRDefault="005152D9" w:rsidP="00A54250">
            <w:r>
              <w:t>Příjmy sektoru vládních institucí loni dosáhly 2 210,8</w:t>
            </w:r>
            <w:r w:rsidR="001F138C">
              <w:t> mld.</w:t>
            </w:r>
            <w:r>
              <w:t xml:space="preserve"> korun a meziročně narostly o 166,5</w:t>
            </w:r>
            <w:r w:rsidR="001F138C">
              <w:t> mld.</w:t>
            </w:r>
            <w:r>
              <w:t xml:space="preserve"> (8,1</w:t>
            </w:r>
            <w:r w:rsidR="001D51EB">
              <w:t> %</w:t>
            </w:r>
            <w:r>
              <w:t>). To je nejvíce od roku 2015. Vysoký přírůstek souvisí především se zvýšením výnosů daní z příjmů (o 7,0</w:t>
            </w:r>
            <w:r w:rsidR="001D51EB">
              <w:t> %</w:t>
            </w:r>
            <w:r>
              <w:t>) a také čistých sociálních příspěvků (9,8</w:t>
            </w:r>
            <w:r w:rsidR="001D51EB">
              <w:t> %</w:t>
            </w:r>
            <w:r>
              <w:t>). Dynamika obou zdrojů je přímo navázána na růst mezd a platů. Objem přijatých daní z výroby a z dovozu se zvyšoval mírněji (4,8</w:t>
            </w:r>
            <w:r w:rsidR="001D51EB">
              <w:t> %</w:t>
            </w:r>
            <w:r>
              <w:t xml:space="preserve">). Uvedené příjmy jsou klíčovou součástí zdrojů sektoru vládních institucí. V roce 2018 tvořily </w:t>
            </w:r>
            <w:r>
              <w:lastRenderedPageBreak/>
              <w:t>86,4</w:t>
            </w:r>
            <w:r w:rsidR="001D51EB">
              <w:t> %</w:t>
            </w:r>
            <w:r>
              <w:t xml:space="preserve"> z celkových příjmů. Jejich podíl také přímo odráží vývoj hospodářského cyklu. V období 2016</w:t>
            </w:r>
            <w:r w:rsidR="001F138C">
              <w:t>–</w:t>
            </w:r>
            <w:r>
              <w:t>2018 tak překračoval 86</w:t>
            </w:r>
            <w:r w:rsidR="001D51EB">
              <w:t> %</w:t>
            </w:r>
            <w:r>
              <w:t>, zatímco v letech 2009</w:t>
            </w:r>
            <w:r w:rsidR="001F138C">
              <w:t>–</w:t>
            </w:r>
            <w:r>
              <w:t>2014 se pohyboval mezi 82 až 84</w:t>
            </w:r>
            <w:r w:rsidR="001D51EB">
              <w:t> %</w:t>
            </w:r>
            <w:r>
              <w:t>. Dalším zdrojem je hodnota tržní produkce, produkce pro vlastní užití a plateb za ostatní netržní produkci. Ta loni dosáhla 172,6</w:t>
            </w:r>
            <w:r w:rsidR="001F138C">
              <w:t> mld.</w:t>
            </w:r>
            <w:r>
              <w:t xml:space="preserve"> korun a meziročně se zvýšila o 5,7</w:t>
            </w:r>
            <w:r w:rsidR="001D51EB">
              <w:t> %</w:t>
            </w:r>
            <w:r>
              <w:t xml:space="preserve">. </w:t>
            </w:r>
            <w:r w:rsidR="00B366E5">
              <w:t xml:space="preserve">Přijaté </w:t>
            </w:r>
            <w:r>
              <w:t>ostatní běžné transfery loni dosáhly 50,3</w:t>
            </w:r>
            <w:r w:rsidR="001F138C">
              <w:t> mld.</w:t>
            </w:r>
            <w:r>
              <w:t xml:space="preserve"> korun a zvýšily se o 24,8</w:t>
            </w:r>
            <w:r w:rsidR="001D51EB">
              <w:t> %</w:t>
            </w:r>
            <w:r>
              <w:t>. Kapitálové transfery, které mají často kolísavý charakter, protože jejich významnou částí jsou příjmy z evropských fondů, se loni zvýšily o 10,7</w:t>
            </w:r>
            <w:r w:rsidR="001F138C">
              <w:t> mld.</w:t>
            </w:r>
            <w:r>
              <w:t xml:space="preserve"> korun (32,9</w:t>
            </w:r>
            <w:r w:rsidR="001D51EB">
              <w:t> %</w:t>
            </w:r>
            <w:r>
              <w:t>) a dosáhly 43,2</w:t>
            </w:r>
            <w:r w:rsidR="001F138C">
              <w:t> mld.</w:t>
            </w:r>
            <w:r>
              <w:t xml:space="preserve"> Nejmenší součástí příjmů vládních institucí byly důchody z</w:t>
            </w:r>
            <w:r w:rsidR="00A62B23">
              <w:t> </w:t>
            </w:r>
            <w:r>
              <w:t>vlastnictví</w:t>
            </w:r>
            <w:r w:rsidR="00A62B23">
              <w:t xml:space="preserve"> (např.</w:t>
            </w:r>
            <w:r w:rsidR="00B366E5">
              <w:t> </w:t>
            </w:r>
            <w:r w:rsidR="00A62B23">
              <w:t>dividendy)</w:t>
            </w:r>
            <w:r>
              <w:t>. Ty loni činily 35,3</w:t>
            </w:r>
            <w:r w:rsidR="001F138C">
              <w:t> mld.</w:t>
            </w:r>
            <w:r>
              <w:t xml:space="preserve"> korun a meziročně narostly o</w:t>
            </w:r>
            <w:r w:rsidR="00B366E5">
              <w:t> </w:t>
            </w:r>
            <w:r>
              <w:t>15,2</w:t>
            </w:r>
            <w:r w:rsidR="001D51EB">
              <w:t> %</w:t>
            </w:r>
            <w:r>
              <w:t>.</w:t>
            </w:r>
          </w:p>
        </w:tc>
      </w:tr>
      <w:tr w:rsidR="005152D9" w:rsidRPr="00894C66" w14:paraId="5DB16A65" w14:textId="77777777" w:rsidTr="00A54250">
        <w:trPr>
          <w:trHeight w:val="145"/>
        </w:trPr>
        <w:tc>
          <w:tcPr>
            <w:tcW w:w="1976" w:type="dxa"/>
          </w:tcPr>
          <w:p w14:paraId="385F0D50" w14:textId="77777777" w:rsidR="005152D9" w:rsidRDefault="005152D9" w:rsidP="00A54250">
            <w:pPr>
              <w:pStyle w:val="Marginlie"/>
            </w:pPr>
            <w:r>
              <w:t>Mzdové náklady ale tížily výdajovou stránku rozpočtu.</w:t>
            </w:r>
          </w:p>
        </w:tc>
        <w:tc>
          <w:tcPr>
            <w:tcW w:w="277" w:type="dxa"/>
          </w:tcPr>
          <w:p w14:paraId="318E8377" w14:textId="77777777" w:rsidR="005152D9" w:rsidRPr="005E4483" w:rsidRDefault="005152D9" w:rsidP="00A5425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4356380F" w14:textId="21EDF788" w:rsidR="005152D9" w:rsidRPr="007834C9" w:rsidRDefault="005152D9" w:rsidP="00A62B23">
            <w:r>
              <w:t>Důvodem meziročního snížení přebytku hospodaření vládního sektoru byl prudký nárůst výdajů. Ty se zvýšily o 197,8</w:t>
            </w:r>
            <w:r w:rsidR="001F138C">
              <w:t> mld.</w:t>
            </w:r>
            <w:r>
              <w:t xml:space="preserve"> korun (10,1</w:t>
            </w:r>
            <w:r w:rsidR="001D51EB">
              <w:t> %</w:t>
            </w:r>
            <w:r>
              <w:t>, největší přírůstek od roku 2003) na 2 163,4</w:t>
            </w:r>
            <w:r w:rsidR="001F138C">
              <w:t> mld.</w:t>
            </w:r>
            <w:r>
              <w:t xml:space="preserve"> Poprvé tak výdaje překročily 2</w:t>
            </w:r>
            <w:r w:rsidR="0014794C">
              <w:t> </w:t>
            </w:r>
            <w:r>
              <w:t>biliony korun. Největší část tvořily vyplacené sociální dávky a naturální sociální transfery. V roce 2018 to bylo 791,3</w:t>
            </w:r>
            <w:r w:rsidR="001F138C">
              <w:t> mld.</w:t>
            </w:r>
            <w:r>
              <w:t xml:space="preserve"> korun a meziročně se částka zvýšila o 5,5</w:t>
            </w:r>
            <w:r w:rsidR="001D51EB">
              <w:t> %</w:t>
            </w:r>
            <w:r>
              <w:t>. Prudké navýšení celkových výdajů má však původ v náhradách zaměstnancům, které vzrostly o</w:t>
            </w:r>
            <w:r w:rsidR="0014794C">
              <w:t> </w:t>
            </w:r>
            <w:r>
              <w:t>12,7</w:t>
            </w:r>
            <w:r w:rsidR="00A62B23">
              <w:t> </w:t>
            </w:r>
            <w:r>
              <w:t>% na 520,6</w:t>
            </w:r>
            <w:r w:rsidR="001F138C">
              <w:t> mld.</w:t>
            </w:r>
            <w:r>
              <w:t xml:space="preserve"> korun. Více než 10% byl jejich nárůst i v roce 2017, takže celkový objem se za poslední dva roky zvýšil téměř o čtvrtinu. Zvýšil se také jejich podíl na celkových výdajích vládního sektoru. Zatímco v roce 2015 to bylo 20,8</w:t>
            </w:r>
            <w:r w:rsidR="001D51EB">
              <w:t> %</w:t>
            </w:r>
            <w:r>
              <w:t>, loni už činil podíl 24,1</w:t>
            </w:r>
            <w:r w:rsidR="001D51EB">
              <w:t> %</w:t>
            </w:r>
            <w:r>
              <w:t xml:space="preserve">. </w:t>
            </w:r>
            <w:r w:rsidR="00A62B23">
              <w:t>Výrazně se zvýšila také mezispotřeba</w:t>
            </w:r>
            <w:r>
              <w:t xml:space="preserve"> – o</w:t>
            </w:r>
            <w:r w:rsidR="0014794C">
              <w:t> </w:t>
            </w:r>
            <w:r>
              <w:t>9,7</w:t>
            </w:r>
            <w:r w:rsidR="001D51EB">
              <w:t> %</w:t>
            </w:r>
            <w:r>
              <w:t xml:space="preserve"> na 325,0</w:t>
            </w:r>
            <w:r w:rsidR="00A62B23">
              <w:t> </w:t>
            </w:r>
            <w:r>
              <w:t xml:space="preserve">mld. korun. Nejvíce od roku 2011 vzrostl objem vyplacených dotací </w:t>
            </w:r>
            <w:r w:rsidR="0014794C">
              <w:br/>
            </w:r>
            <w:r>
              <w:t>– o</w:t>
            </w:r>
            <w:r w:rsidR="0014794C">
              <w:t> </w:t>
            </w:r>
            <w:r>
              <w:t>10,0</w:t>
            </w:r>
            <w:r w:rsidR="00A62B23">
              <w:t> </w:t>
            </w:r>
            <w:r>
              <w:t>% na 120,7</w:t>
            </w:r>
            <w:r w:rsidR="001F138C">
              <w:t> mld.</w:t>
            </w:r>
            <w:r>
              <w:t xml:space="preserve"> korun. K výše jmenovaným faktorům přispívajícím k růstu výdajů vládních institucí se loni přidala také investiční aktivita – výdaje na tvorbu hrubého fixního kapitálu dosáhly 218,5</w:t>
            </w:r>
            <w:r w:rsidR="001F138C">
              <w:t> mld.</w:t>
            </w:r>
            <w:r>
              <w:t xml:space="preserve"> korun a meziročně se zvýšily o</w:t>
            </w:r>
            <w:r w:rsidR="0014794C">
              <w:t> </w:t>
            </w:r>
            <w:r>
              <w:t>47,4</w:t>
            </w:r>
            <w:r w:rsidR="00A62B23">
              <w:t> </w:t>
            </w:r>
            <w:r>
              <w:t>mld. (27,7</w:t>
            </w:r>
            <w:r w:rsidR="001D51EB">
              <w:t> %</w:t>
            </w:r>
            <w:r>
              <w:t>).</w:t>
            </w:r>
          </w:p>
        </w:tc>
      </w:tr>
      <w:tr w:rsidR="005152D9" w:rsidRPr="00894C66" w14:paraId="5F3C0C09" w14:textId="77777777" w:rsidTr="00A54250">
        <w:trPr>
          <w:trHeight w:val="170"/>
        </w:trPr>
        <w:tc>
          <w:tcPr>
            <w:tcW w:w="1976" w:type="dxa"/>
            <w:vMerge w:val="restart"/>
          </w:tcPr>
          <w:p w14:paraId="7A4B8173" w14:textId="77777777" w:rsidR="005152D9" w:rsidRDefault="005152D9" w:rsidP="00A54250">
            <w:pPr>
              <w:pStyle w:val="Marginlie"/>
            </w:pPr>
          </w:p>
        </w:tc>
        <w:tc>
          <w:tcPr>
            <w:tcW w:w="277" w:type="dxa"/>
            <w:vMerge w:val="restart"/>
          </w:tcPr>
          <w:p w14:paraId="3DB21409" w14:textId="77777777" w:rsidR="005152D9" w:rsidRPr="005E4483" w:rsidRDefault="005152D9" w:rsidP="00A5425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73B76F77" w14:textId="77777777" w:rsidR="005152D9" w:rsidRPr="007834C9" w:rsidRDefault="005152D9" w:rsidP="00884A6F">
            <w:pPr>
              <w:spacing w:after="0"/>
            </w:pPr>
            <w:r w:rsidRPr="002A0077">
              <w:rPr>
                <w:b/>
              </w:rPr>
              <w:t xml:space="preserve">Graf č. </w:t>
            </w:r>
            <w:r w:rsidR="00884A6F">
              <w:rPr>
                <w:b/>
              </w:rPr>
              <w:t>9</w:t>
            </w:r>
            <w:r w:rsidRPr="004F6EDC">
              <w:rPr>
                <w:b/>
                <w:bCs/>
              </w:rPr>
              <w:t xml:space="preserve">  </w:t>
            </w:r>
            <w:r>
              <w:rPr>
                <w:b/>
                <w:lang w:eastAsia="en-US"/>
              </w:rPr>
              <w:t xml:space="preserve">Příjmy, výdaje </w:t>
            </w:r>
            <w:r w:rsidRPr="00E76E49">
              <w:rPr>
                <w:lang w:eastAsia="en-US"/>
              </w:rPr>
              <w:t>(levá osa)</w:t>
            </w:r>
            <w:r>
              <w:rPr>
                <w:b/>
                <w:lang w:eastAsia="en-US"/>
              </w:rPr>
              <w:t xml:space="preserve"> a č</w:t>
            </w:r>
            <w:r w:rsidRPr="005263D4">
              <w:rPr>
                <w:b/>
                <w:lang w:eastAsia="en-US"/>
              </w:rPr>
              <w:t>isté půjčky/výpůjčky</w:t>
            </w:r>
            <w:r>
              <w:rPr>
                <w:b/>
                <w:lang w:eastAsia="en-US"/>
              </w:rPr>
              <w:t xml:space="preserve"> </w:t>
            </w:r>
            <w:r w:rsidRPr="00E76E49">
              <w:rPr>
                <w:lang w:eastAsia="en-US"/>
              </w:rPr>
              <w:t xml:space="preserve">(pravá osa) </w:t>
            </w:r>
            <w:r>
              <w:rPr>
                <w:b/>
                <w:lang w:eastAsia="en-US"/>
              </w:rPr>
              <w:t xml:space="preserve">vládních institucí </w:t>
            </w:r>
            <w:r w:rsidRPr="00E76E49">
              <w:rPr>
                <w:lang w:eastAsia="en-US"/>
              </w:rPr>
              <w:t>(v</w:t>
            </w:r>
            <w:r w:rsidR="001F138C">
              <w:rPr>
                <w:lang w:eastAsia="en-US"/>
              </w:rPr>
              <w:t> mld.</w:t>
            </w:r>
            <w:r w:rsidRPr="00E76E49">
              <w:rPr>
                <w:lang w:eastAsia="en-US"/>
              </w:rPr>
              <w:t xml:space="preserve"> korun</w:t>
            </w:r>
            <w:r>
              <w:rPr>
                <w:spacing w:val="-2"/>
                <w:lang w:eastAsia="en-US"/>
              </w:rPr>
              <w:t>)</w:t>
            </w:r>
          </w:p>
        </w:tc>
      </w:tr>
      <w:tr w:rsidR="005152D9" w:rsidRPr="00894C66" w14:paraId="71F72178" w14:textId="77777777" w:rsidTr="00A54250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976" w:type="dxa"/>
            <w:vMerge/>
          </w:tcPr>
          <w:p w14:paraId="1DA68D03" w14:textId="77777777" w:rsidR="005152D9" w:rsidRDefault="005152D9" w:rsidP="00A54250">
            <w:pPr>
              <w:pStyle w:val="Marginlie"/>
            </w:pPr>
          </w:p>
        </w:tc>
        <w:tc>
          <w:tcPr>
            <w:tcW w:w="277" w:type="dxa"/>
            <w:vMerge/>
          </w:tcPr>
          <w:p w14:paraId="197C7A78" w14:textId="77777777" w:rsidR="005152D9" w:rsidRPr="005E4483" w:rsidRDefault="005152D9" w:rsidP="00A5425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577300EB" w14:textId="77777777" w:rsidR="005152D9" w:rsidRPr="007834C9" w:rsidRDefault="005152D9" w:rsidP="00A54250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75B70C6C" wp14:editId="1A219DFA">
                  <wp:extent cx="4686935" cy="3515360"/>
                  <wp:effectExtent l="0" t="0" r="0" b="0"/>
                  <wp:docPr id="115" name="Graf 1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5152D9" w:rsidRPr="00894C66" w14:paraId="71530EBE" w14:textId="77777777" w:rsidTr="00A54250">
        <w:trPr>
          <w:trHeight w:val="170"/>
        </w:trPr>
        <w:tc>
          <w:tcPr>
            <w:tcW w:w="1976" w:type="dxa"/>
            <w:vMerge/>
          </w:tcPr>
          <w:p w14:paraId="30CBDA3A" w14:textId="77777777" w:rsidR="005152D9" w:rsidRDefault="005152D9" w:rsidP="00A54250">
            <w:pPr>
              <w:pStyle w:val="Marginlie"/>
            </w:pPr>
          </w:p>
        </w:tc>
        <w:tc>
          <w:tcPr>
            <w:tcW w:w="277" w:type="dxa"/>
            <w:vMerge/>
          </w:tcPr>
          <w:p w14:paraId="177FB0A0" w14:textId="77777777" w:rsidR="005152D9" w:rsidRPr="005E4483" w:rsidRDefault="005152D9" w:rsidP="00A5425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18A79D87" w14:textId="77777777" w:rsidR="005152D9" w:rsidRPr="002A0077" w:rsidRDefault="005152D9" w:rsidP="00A54250">
            <w:pPr>
              <w:rPr>
                <w:sz w:val="14"/>
                <w:szCs w:val="14"/>
              </w:rPr>
            </w:pPr>
            <w:r w:rsidRPr="002A0077">
              <w:rPr>
                <w:sz w:val="14"/>
                <w:szCs w:val="14"/>
              </w:rPr>
              <w:t>Zdroj: ČSÚ</w:t>
            </w:r>
          </w:p>
        </w:tc>
      </w:tr>
      <w:tr w:rsidR="005152D9" w:rsidRPr="00894C66" w14:paraId="388BB1AB" w14:textId="77777777" w:rsidTr="00A54250">
        <w:trPr>
          <w:trHeight w:val="145"/>
        </w:trPr>
        <w:tc>
          <w:tcPr>
            <w:tcW w:w="1976" w:type="dxa"/>
          </w:tcPr>
          <w:p w14:paraId="1A6992E6" w14:textId="77777777" w:rsidR="005152D9" w:rsidRDefault="005152D9" w:rsidP="00A54250">
            <w:pPr>
              <w:pStyle w:val="Marginlie"/>
            </w:pPr>
            <w:r>
              <w:t>Kladného salda hospodaření dosáhly všechny subsektory.</w:t>
            </w:r>
          </w:p>
        </w:tc>
        <w:tc>
          <w:tcPr>
            <w:tcW w:w="277" w:type="dxa"/>
          </w:tcPr>
          <w:p w14:paraId="5F354F67" w14:textId="77777777" w:rsidR="005152D9" w:rsidRPr="005E4483" w:rsidRDefault="005152D9" w:rsidP="00A5425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1B34180F" w14:textId="37B01347" w:rsidR="005152D9" w:rsidRPr="007834C9" w:rsidRDefault="005152D9" w:rsidP="00125A9C">
            <w:r>
              <w:t>Podobně jako v roce 2017 i loni všechny subsektory dosáhly přebytkového hospodaření. Kladné saldo ústředních vládních institucí se zmírnilo o</w:t>
            </w:r>
            <w:r w:rsidR="00B9200E">
              <w:t> </w:t>
            </w:r>
            <w:r>
              <w:t>16,6</w:t>
            </w:r>
            <w:r w:rsidR="001F138C">
              <w:t> mld.</w:t>
            </w:r>
            <w:r>
              <w:t xml:space="preserve"> </w:t>
            </w:r>
            <w:r>
              <w:lastRenderedPageBreak/>
              <w:t>korun a dosáhlo 12,0</w:t>
            </w:r>
            <w:r w:rsidR="001F138C">
              <w:t> mld.</w:t>
            </w:r>
            <w:r>
              <w:t xml:space="preserve"> Zhoršení salda způsobil prudký nárůst celkových výdajů (8,2</w:t>
            </w:r>
            <w:r w:rsidR="001D51EB">
              <w:t> %</w:t>
            </w:r>
            <w:r>
              <w:t>), zejména pod vlivem růstu náhrad zaměstnancům o 11,7</w:t>
            </w:r>
            <w:r w:rsidR="001D51EB">
              <w:t> %</w:t>
            </w:r>
            <w:r>
              <w:t>. Výrazně se zvýšila rovněž investiční aktivita (17,1</w:t>
            </w:r>
            <w:r w:rsidR="001D51EB">
              <w:t> %</w:t>
            </w:r>
            <w:r>
              <w:t>) a prudce se navýšily vyplacené dotace (12,6</w:t>
            </w:r>
            <w:r w:rsidR="001D51EB">
              <w:t> %</w:t>
            </w:r>
            <w:r>
              <w:t>). Na příjmové stránce došlo ke zvýšení o 6,9</w:t>
            </w:r>
            <w:r w:rsidR="001D51EB">
              <w:t> %</w:t>
            </w:r>
            <w:r>
              <w:t>. Subsektor čerpal zejména z růstu mezd a platů</w:t>
            </w:r>
            <w:r w:rsidR="00A62B23">
              <w:t xml:space="preserve"> ve všech sektorech</w:t>
            </w:r>
            <w:r>
              <w:t xml:space="preserve"> (přijaté daně z důchodů vzrostly o</w:t>
            </w:r>
            <w:r w:rsidR="00B9200E">
              <w:t> </w:t>
            </w:r>
            <w:r>
              <w:t>7,0</w:t>
            </w:r>
            <w:r w:rsidR="001D51EB">
              <w:t> %</w:t>
            </w:r>
            <w:r>
              <w:t>, čisté sociální příspěvky o 9,8</w:t>
            </w:r>
            <w:r w:rsidR="001D51EB">
              <w:t> %</w:t>
            </w:r>
            <w:r>
              <w:t xml:space="preserve">). Výběr daní z výroby a dovozu rostl mírněji </w:t>
            </w:r>
            <w:r w:rsidR="00B9200E">
              <w:br/>
            </w:r>
            <w:r>
              <w:t>– o</w:t>
            </w:r>
            <w:r w:rsidR="00B9200E">
              <w:t> </w:t>
            </w:r>
            <w:r>
              <w:t>3,5</w:t>
            </w:r>
            <w:r w:rsidR="00A62B23">
              <w:t> </w:t>
            </w:r>
            <w:r>
              <w:t>%. Rovněž místní vládní instituce zaznamenaly pokles přebytku o</w:t>
            </w:r>
            <w:r w:rsidR="00B9200E">
              <w:t> </w:t>
            </w:r>
            <w:r>
              <w:t>22,9</w:t>
            </w:r>
            <w:r w:rsidR="001F138C">
              <w:t> mld.</w:t>
            </w:r>
            <w:r>
              <w:t xml:space="preserve"> korun na 19,0</w:t>
            </w:r>
            <w:r w:rsidR="001F138C">
              <w:t> mld.</w:t>
            </w:r>
            <w:r>
              <w:t xml:space="preserve"> Jejich výdaje rostly o 15,2</w:t>
            </w:r>
            <w:r w:rsidR="001D51EB">
              <w:t> %</w:t>
            </w:r>
            <w:r>
              <w:t>. Kromě náhrad zaměstnancům (navýšení o 13,9</w:t>
            </w:r>
            <w:r w:rsidR="001D51EB">
              <w:t> %</w:t>
            </w:r>
            <w:r>
              <w:t>) se ve výdajích projevilo posílení tvorby hrubého fixního kapitálu o 39,3</w:t>
            </w:r>
            <w:r w:rsidR="001D51EB">
              <w:t> %</w:t>
            </w:r>
            <w:r>
              <w:t xml:space="preserve">. </w:t>
            </w:r>
            <w:r w:rsidR="00125A9C">
              <w:t>M</w:t>
            </w:r>
            <w:r>
              <w:t>ístn</w:t>
            </w:r>
            <w:r w:rsidR="00125A9C">
              <w:t>í</w:t>
            </w:r>
            <w:r>
              <w:t xml:space="preserve"> vládní</w:t>
            </w:r>
            <w:r w:rsidR="00125A9C">
              <w:t xml:space="preserve"> instituce zaznamenaly také silný růst příjmů</w:t>
            </w:r>
            <w:r>
              <w:t xml:space="preserve"> </w:t>
            </w:r>
            <w:r w:rsidR="00B9200E">
              <w:br/>
            </w:r>
            <w:r>
              <w:t>– o</w:t>
            </w:r>
            <w:r w:rsidR="00B9200E">
              <w:t> </w:t>
            </w:r>
            <w:r>
              <w:t>10,1</w:t>
            </w:r>
            <w:r w:rsidR="001D51EB">
              <w:t> %</w:t>
            </w:r>
            <w:r>
              <w:t>. To lze připsat i vyššímu nárůstu příjmů z daní z výroby a dovozu (o</w:t>
            </w:r>
            <w:r w:rsidR="00B9200E">
              <w:t> </w:t>
            </w:r>
            <w:r>
              <w:t>9,5</w:t>
            </w:r>
            <w:r w:rsidR="001D51EB">
              <w:t> %</w:t>
            </w:r>
            <w:r>
              <w:t>). Fondy sociálního zabezpečení</w:t>
            </w:r>
            <w:r>
              <w:rPr>
                <w:rStyle w:val="Znakapoznpodarou"/>
              </w:rPr>
              <w:footnoteReference w:id="1"/>
            </w:r>
            <w:r>
              <w:t xml:space="preserve"> si přebytek udržely již čtvrtým rokem a</w:t>
            </w:r>
            <w:r w:rsidR="00B9200E">
              <w:t> </w:t>
            </w:r>
            <w:r w:rsidR="00A62B23">
              <w:t xml:space="preserve">navíc </w:t>
            </w:r>
            <w:r>
              <w:t>jej loni zdvojnásobily na 16,4</w:t>
            </w:r>
            <w:r w:rsidR="001F138C">
              <w:t> mld.</w:t>
            </w:r>
            <w:r>
              <w:t xml:space="preserve"> korun. Ačkoli u nich růst výdajů také posílil (6,8</w:t>
            </w:r>
            <w:r w:rsidR="001D51EB">
              <w:t> %</w:t>
            </w:r>
            <w:r>
              <w:t xml:space="preserve">), příjmová stránka zcela </w:t>
            </w:r>
            <w:r w:rsidR="00A62B23">
              <w:t>odrážela</w:t>
            </w:r>
            <w:r>
              <w:t xml:space="preserve"> vývoj v oblasti mezd a platů (nárůst příjmů o 9,5</w:t>
            </w:r>
            <w:r w:rsidR="00125A9C">
              <w:t> </w:t>
            </w:r>
            <w:r>
              <w:t>%). Téměř většinovým zdrojem příjmů subsektoru jsou totiž přijaté čisté sociální příspěvky. Ty se zvýšily o</w:t>
            </w:r>
            <w:r w:rsidR="00B9200E">
              <w:t> </w:t>
            </w:r>
            <w:r>
              <w:t>9,7</w:t>
            </w:r>
            <w:r w:rsidR="001D51EB">
              <w:t> %</w:t>
            </w:r>
            <w:r>
              <w:t>.</w:t>
            </w:r>
          </w:p>
        </w:tc>
      </w:tr>
      <w:tr w:rsidR="005152D9" w:rsidRPr="00894C66" w14:paraId="5CCBEC65" w14:textId="77777777" w:rsidTr="00A54250">
        <w:trPr>
          <w:trHeight w:val="170"/>
        </w:trPr>
        <w:tc>
          <w:tcPr>
            <w:tcW w:w="1976" w:type="dxa"/>
            <w:vMerge w:val="restart"/>
          </w:tcPr>
          <w:p w14:paraId="622BCC21" w14:textId="77777777" w:rsidR="005152D9" w:rsidRDefault="005152D9" w:rsidP="00A54250">
            <w:pPr>
              <w:pStyle w:val="Marginlie"/>
            </w:pPr>
          </w:p>
        </w:tc>
        <w:tc>
          <w:tcPr>
            <w:tcW w:w="277" w:type="dxa"/>
            <w:vMerge w:val="restart"/>
          </w:tcPr>
          <w:p w14:paraId="4542F41E" w14:textId="77777777" w:rsidR="005152D9" w:rsidRPr="005E4483" w:rsidRDefault="005152D9" w:rsidP="00A5425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349BEC7B" w14:textId="021221D9" w:rsidR="005152D9" w:rsidRPr="007834C9" w:rsidRDefault="005152D9" w:rsidP="00884A6F">
            <w:pPr>
              <w:spacing w:after="0"/>
            </w:pPr>
            <w:r w:rsidRPr="002A0077">
              <w:rPr>
                <w:b/>
              </w:rPr>
              <w:t xml:space="preserve">Graf č. </w:t>
            </w:r>
            <w:r w:rsidR="00884A6F">
              <w:rPr>
                <w:b/>
              </w:rPr>
              <w:t>10</w:t>
            </w:r>
            <w:r w:rsidRPr="004F6EDC">
              <w:rPr>
                <w:b/>
                <w:bCs/>
              </w:rPr>
              <w:t xml:space="preserve">  </w:t>
            </w:r>
            <w:r w:rsidRPr="005263D4">
              <w:rPr>
                <w:b/>
                <w:lang w:eastAsia="en-US"/>
              </w:rPr>
              <w:t>Čisté půjčky</w:t>
            </w:r>
            <w:r w:rsidR="00B9200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(+)</w:t>
            </w:r>
            <w:r w:rsidR="00B9200E">
              <w:rPr>
                <w:b/>
                <w:lang w:eastAsia="en-US"/>
              </w:rPr>
              <w:t xml:space="preserve"> </w:t>
            </w:r>
            <w:r w:rsidRPr="005263D4">
              <w:rPr>
                <w:b/>
                <w:lang w:eastAsia="en-US"/>
              </w:rPr>
              <w:t>/</w:t>
            </w:r>
            <w:r w:rsidR="00B9200E">
              <w:rPr>
                <w:b/>
                <w:lang w:eastAsia="en-US"/>
              </w:rPr>
              <w:t xml:space="preserve"> </w:t>
            </w:r>
            <w:r w:rsidRPr="005263D4">
              <w:rPr>
                <w:b/>
                <w:lang w:eastAsia="en-US"/>
              </w:rPr>
              <w:t>výpůjčky</w:t>
            </w:r>
            <w:r w:rsidR="00B9200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</w:t>
            </w:r>
            <w:r w:rsidR="001F138C">
              <w:rPr>
                <w:b/>
                <w:lang w:eastAsia="en-US"/>
              </w:rPr>
              <w:t>–</w:t>
            </w:r>
            <w:r>
              <w:rPr>
                <w:b/>
                <w:lang w:eastAsia="en-US"/>
              </w:rPr>
              <w:t>)</w:t>
            </w:r>
            <w:r w:rsidRPr="005263D4">
              <w:rPr>
                <w:b/>
                <w:lang w:eastAsia="en-US"/>
              </w:rPr>
              <w:t xml:space="preserve"> vládních institucí v členění na subsektory </w:t>
            </w:r>
            <w:r w:rsidRPr="00ED61AD">
              <w:rPr>
                <w:lang w:eastAsia="en-US"/>
              </w:rPr>
              <w:t>(</w:t>
            </w:r>
            <w:r w:rsidRPr="005263D4">
              <w:rPr>
                <w:spacing w:val="-2"/>
                <w:lang w:eastAsia="en-US"/>
              </w:rPr>
              <w:t>v</w:t>
            </w:r>
            <w:r w:rsidR="001F138C">
              <w:rPr>
                <w:spacing w:val="-2"/>
                <w:lang w:eastAsia="en-US"/>
              </w:rPr>
              <w:t> mld.</w:t>
            </w:r>
            <w:r w:rsidRPr="005263D4">
              <w:rPr>
                <w:spacing w:val="-2"/>
                <w:lang w:eastAsia="en-US"/>
              </w:rPr>
              <w:t xml:space="preserve"> korun, b</w:t>
            </w:r>
            <w:r>
              <w:rPr>
                <w:spacing w:val="-2"/>
                <w:lang w:eastAsia="en-US"/>
              </w:rPr>
              <w:t>ěžné ceny</w:t>
            </w:r>
            <w:r w:rsidRPr="00ED61AD">
              <w:rPr>
                <w:lang w:eastAsia="en-US"/>
              </w:rPr>
              <w:t>)</w:t>
            </w:r>
          </w:p>
        </w:tc>
      </w:tr>
      <w:tr w:rsidR="005152D9" w:rsidRPr="00894C66" w14:paraId="06270549" w14:textId="77777777" w:rsidTr="00A54250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976" w:type="dxa"/>
            <w:vMerge/>
          </w:tcPr>
          <w:p w14:paraId="1638C3FF" w14:textId="77777777" w:rsidR="005152D9" w:rsidRDefault="005152D9" w:rsidP="00A54250">
            <w:pPr>
              <w:pStyle w:val="Marginlie"/>
            </w:pPr>
          </w:p>
        </w:tc>
        <w:tc>
          <w:tcPr>
            <w:tcW w:w="277" w:type="dxa"/>
            <w:vMerge/>
          </w:tcPr>
          <w:p w14:paraId="1AC3D74B" w14:textId="77777777" w:rsidR="005152D9" w:rsidRPr="005E4483" w:rsidRDefault="005152D9" w:rsidP="00A5425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662720ED" w14:textId="77777777" w:rsidR="005152D9" w:rsidRPr="007834C9" w:rsidRDefault="005152D9" w:rsidP="00A54250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4CB0CBBE" wp14:editId="358524F8">
                  <wp:extent cx="4686935" cy="3515360"/>
                  <wp:effectExtent l="0" t="0" r="0" b="0"/>
                  <wp:docPr id="116" name="Graf 1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5152D9" w:rsidRPr="00894C66" w14:paraId="15E7A1CD" w14:textId="77777777" w:rsidTr="00A54250">
        <w:trPr>
          <w:trHeight w:val="170"/>
        </w:trPr>
        <w:tc>
          <w:tcPr>
            <w:tcW w:w="1976" w:type="dxa"/>
            <w:vMerge/>
          </w:tcPr>
          <w:p w14:paraId="22026530" w14:textId="77777777" w:rsidR="005152D9" w:rsidRDefault="005152D9" w:rsidP="00A54250">
            <w:pPr>
              <w:pStyle w:val="Marginlie"/>
            </w:pPr>
          </w:p>
        </w:tc>
        <w:tc>
          <w:tcPr>
            <w:tcW w:w="277" w:type="dxa"/>
            <w:vMerge/>
          </w:tcPr>
          <w:p w14:paraId="50F0A798" w14:textId="77777777" w:rsidR="005152D9" w:rsidRPr="005E4483" w:rsidRDefault="005152D9" w:rsidP="00A5425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3B5A6529" w14:textId="77777777" w:rsidR="005152D9" w:rsidRPr="002A0077" w:rsidRDefault="005152D9" w:rsidP="00A542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</w:tc>
      </w:tr>
      <w:tr w:rsidR="005152D9" w:rsidRPr="00894C66" w14:paraId="5ED5D06B" w14:textId="77777777" w:rsidTr="00A54250">
        <w:trPr>
          <w:trHeight w:val="145"/>
        </w:trPr>
        <w:tc>
          <w:tcPr>
            <w:tcW w:w="1976" w:type="dxa"/>
          </w:tcPr>
          <w:p w14:paraId="7236E905" w14:textId="151A78E0" w:rsidR="005152D9" w:rsidRDefault="005152D9" w:rsidP="00A54250">
            <w:pPr>
              <w:pStyle w:val="Marginlie"/>
            </w:pPr>
            <w:r>
              <w:t>Celkový dluh vládních institucí klesl.</w:t>
            </w:r>
          </w:p>
        </w:tc>
        <w:tc>
          <w:tcPr>
            <w:tcW w:w="277" w:type="dxa"/>
          </w:tcPr>
          <w:p w14:paraId="3F9663D2" w14:textId="77777777" w:rsidR="005152D9" w:rsidRPr="005E4483" w:rsidRDefault="005152D9" w:rsidP="00A5425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078044A3" w14:textId="1E898D81" w:rsidR="005152D9" w:rsidRPr="007834C9" w:rsidRDefault="005152D9" w:rsidP="00740575">
            <w:r>
              <w:t>Celkový dluh sektoru vládních institucí ke konci roku 2018 činil 1 735,1</w:t>
            </w:r>
            <w:r w:rsidR="001F138C">
              <w:t> mld.</w:t>
            </w:r>
            <w:r>
              <w:t xml:space="preserve"> korun. Meziročně se snížil o 14,5</w:t>
            </w:r>
            <w:r w:rsidR="001F138C">
              <w:t> mld.</w:t>
            </w:r>
            <w:r>
              <w:t xml:space="preserve"> korun a k poklesu došlo potřetí v řadě. Z pohledu struktury nedošlo k fundamentálním změnám. I nadále tvořily naprostou většinu dluhové cenné papíry (89,6</w:t>
            </w:r>
            <w:r w:rsidR="001D51EB">
              <w:t> %</w:t>
            </w:r>
            <w:r>
              <w:t>) následované půjčkami (9,9</w:t>
            </w:r>
            <w:r w:rsidR="001D51EB">
              <w:t> %</w:t>
            </w:r>
            <w:r>
              <w:t>) a vklady (0,5 %). Ve směru poklesu dluhu ke konci roku působily zejména krátkodobé dluhové cenné papíry, kterých ubylo o 39,6</w:t>
            </w:r>
            <w:r w:rsidR="001F138C">
              <w:t> mld.</w:t>
            </w:r>
            <w:r>
              <w:t xml:space="preserve"> korun. Jde však o téměř stejný objem, který v roce 2017 v portfoliu přibyl. Mírně ubylo také dlouhodobých dluhových cenných papírů (o 8,2</w:t>
            </w:r>
            <w:r w:rsidR="001F138C">
              <w:t> mld.</w:t>
            </w:r>
            <w:r>
              <w:t xml:space="preserve"> korun). Pošesté v řadě se snížil objem dlouhodobých půjček (o 11,9</w:t>
            </w:r>
            <w:r w:rsidR="001F138C">
              <w:t> mld.</w:t>
            </w:r>
            <w:r>
              <w:t xml:space="preserve"> korun). Naopak objem krátkodobých půjček byl ke konci roku 2018 meziročně o 42,4</w:t>
            </w:r>
            <w:r w:rsidR="001F138C">
              <w:t> mld.</w:t>
            </w:r>
            <w:r>
              <w:t xml:space="preserve"> vyšší. Krátkodobé půjčky v portfoliu dluhu narostly ve </w:t>
            </w:r>
            <w:r>
              <w:lastRenderedPageBreak/>
              <w:t>2.</w:t>
            </w:r>
            <w:r w:rsidR="00125A9C">
              <w:t> </w:t>
            </w:r>
            <w:r>
              <w:t>čtvrtletí 2018 a ke konci roku objem činil 45,4</w:t>
            </w:r>
            <w:r w:rsidR="001F138C">
              <w:t> mld.</w:t>
            </w:r>
            <w:r>
              <w:t xml:space="preserve"> Naposledy byla hranice 30</w:t>
            </w:r>
            <w:r w:rsidR="001F138C">
              <w:t> mld.</w:t>
            </w:r>
            <w:r>
              <w:t xml:space="preserve"> překonána v roce 2003.</w:t>
            </w:r>
          </w:p>
        </w:tc>
      </w:tr>
      <w:tr w:rsidR="005152D9" w:rsidRPr="00894C66" w14:paraId="224A362C" w14:textId="77777777" w:rsidTr="00A54250">
        <w:trPr>
          <w:trHeight w:val="170"/>
        </w:trPr>
        <w:tc>
          <w:tcPr>
            <w:tcW w:w="1976" w:type="dxa"/>
            <w:vMerge w:val="restart"/>
          </w:tcPr>
          <w:p w14:paraId="4BA98358" w14:textId="77777777" w:rsidR="005152D9" w:rsidRDefault="005152D9" w:rsidP="00A54250">
            <w:pPr>
              <w:pStyle w:val="Marginlie"/>
            </w:pPr>
          </w:p>
        </w:tc>
        <w:tc>
          <w:tcPr>
            <w:tcW w:w="277" w:type="dxa"/>
            <w:vMerge w:val="restart"/>
          </w:tcPr>
          <w:p w14:paraId="4120A514" w14:textId="77777777" w:rsidR="005152D9" w:rsidRPr="005E4483" w:rsidRDefault="005152D9" w:rsidP="00A5425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1C69CF81" w14:textId="77777777" w:rsidR="005152D9" w:rsidRPr="00D25CDB" w:rsidRDefault="005152D9" w:rsidP="00884A6F">
            <w:pPr>
              <w:spacing w:after="0"/>
              <w:rPr>
                <w:b/>
              </w:rPr>
            </w:pPr>
            <w:r>
              <w:rPr>
                <w:b/>
                <w:lang w:eastAsia="en-US"/>
              </w:rPr>
              <w:t xml:space="preserve">Graf č. </w:t>
            </w:r>
            <w:r w:rsidR="00884A6F">
              <w:rPr>
                <w:b/>
                <w:lang w:eastAsia="en-US"/>
              </w:rPr>
              <w:t>11</w:t>
            </w:r>
            <w:r>
              <w:rPr>
                <w:b/>
                <w:lang w:eastAsia="en-US"/>
              </w:rPr>
              <w:t xml:space="preserve">  Meziroční změna h</w:t>
            </w:r>
            <w:r w:rsidRPr="005263D4">
              <w:rPr>
                <w:b/>
                <w:lang w:eastAsia="en-US"/>
              </w:rPr>
              <w:t>rub</w:t>
            </w:r>
            <w:r>
              <w:rPr>
                <w:b/>
                <w:lang w:eastAsia="en-US"/>
              </w:rPr>
              <w:t>ého</w:t>
            </w:r>
            <w:r w:rsidRPr="005263D4">
              <w:rPr>
                <w:b/>
                <w:lang w:eastAsia="en-US"/>
              </w:rPr>
              <w:t xml:space="preserve"> konsolidovan</w:t>
            </w:r>
            <w:r>
              <w:rPr>
                <w:b/>
                <w:lang w:eastAsia="en-US"/>
              </w:rPr>
              <w:t>ého</w:t>
            </w:r>
            <w:r w:rsidRPr="005263D4">
              <w:rPr>
                <w:b/>
                <w:lang w:eastAsia="en-US"/>
              </w:rPr>
              <w:t xml:space="preserve"> dluh</w:t>
            </w:r>
            <w:r>
              <w:rPr>
                <w:b/>
                <w:lang w:eastAsia="en-US"/>
              </w:rPr>
              <w:t>u</w:t>
            </w:r>
            <w:r w:rsidRPr="005263D4">
              <w:rPr>
                <w:b/>
                <w:lang w:eastAsia="en-US"/>
              </w:rPr>
              <w:t xml:space="preserve"> sektoru vládních institucí </w:t>
            </w:r>
            <w:r w:rsidRPr="00ED61AD">
              <w:rPr>
                <w:lang w:eastAsia="en-US"/>
              </w:rPr>
              <w:t>(</w:t>
            </w:r>
            <w:r w:rsidRPr="005263D4">
              <w:rPr>
                <w:spacing w:val="-2"/>
                <w:lang w:eastAsia="en-US"/>
              </w:rPr>
              <w:t>v</w:t>
            </w:r>
            <w:r w:rsidR="001F138C">
              <w:rPr>
                <w:spacing w:val="-2"/>
                <w:lang w:eastAsia="en-US"/>
              </w:rPr>
              <w:t> mld.</w:t>
            </w:r>
            <w:r w:rsidRPr="005263D4">
              <w:rPr>
                <w:spacing w:val="-2"/>
                <w:lang w:eastAsia="en-US"/>
              </w:rPr>
              <w:t xml:space="preserve"> korun, běžné ceny</w:t>
            </w:r>
            <w:r w:rsidRPr="00ED61AD">
              <w:rPr>
                <w:lang w:eastAsia="en-US"/>
              </w:rPr>
              <w:t>)</w:t>
            </w:r>
          </w:p>
        </w:tc>
      </w:tr>
      <w:tr w:rsidR="005152D9" w:rsidRPr="00894C66" w14:paraId="71D4B543" w14:textId="77777777" w:rsidTr="00A54250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976" w:type="dxa"/>
            <w:vMerge/>
          </w:tcPr>
          <w:p w14:paraId="140CF334" w14:textId="77777777" w:rsidR="005152D9" w:rsidRDefault="005152D9" w:rsidP="00A54250">
            <w:pPr>
              <w:pStyle w:val="Marginlie"/>
            </w:pPr>
          </w:p>
        </w:tc>
        <w:tc>
          <w:tcPr>
            <w:tcW w:w="277" w:type="dxa"/>
            <w:vMerge/>
          </w:tcPr>
          <w:p w14:paraId="4FDAD4BA" w14:textId="77777777" w:rsidR="005152D9" w:rsidRPr="005E4483" w:rsidRDefault="005152D9" w:rsidP="00A5425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191FBE50" w14:textId="77777777" w:rsidR="005152D9" w:rsidRDefault="005152D9" w:rsidP="00A54250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4FE81BFA" wp14:editId="16863684">
                  <wp:extent cx="4686935" cy="3515360"/>
                  <wp:effectExtent l="0" t="0" r="0" b="0"/>
                  <wp:docPr id="117" name="Graf 1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5152D9" w:rsidRPr="00894C66" w14:paraId="2846F7FB" w14:textId="77777777" w:rsidTr="00A54250">
        <w:trPr>
          <w:trHeight w:val="170"/>
        </w:trPr>
        <w:tc>
          <w:tcPr>
            <w:tcW w:w="1976" w:type="dxa"/>
            <w:vMerge/>
          </w:tcPr>
          <w:p w14:paraId="083AC002" w14:textId="77777777" w:rsidR="005152D9" w:rsidRDefault="005152D9" w:rsidP="00A54250">
            <w:pPr>
              <w:pStyle w:val="Marginlie"/>
            </w:pPr>
          </w:p>
        </w:tc>
        <w:tc>
          <w:tcPr>
            <w:tcW w:w="277" w:type="dxa"/>
            <w:vMerge/>
          </w:tcPr>
          <w:p w14:paraId="50E4B929" w14:textId="77777777" w:rsidR="005152D9" w:rsidRPr="005E4483" w:rsidRDefault="005152D9" w:rsidP="00A5425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71A028B7" w14:textId="77777777" w:rsidR="005152D9" w:rsidRPr="00D25CDB" w:rsidRDefault="005152D9" w:rsidP="00A542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</w:tc>
      </w:tr>
      <w:tr w:rsidR="005152D9" w:rsidRPr="00894C66" w14:paraId="0B05CF03" w14:textId="77777777" w:rsidTr="00A54250">
        <w:trPr>
          <w:trHeight w:val="170"/>
        </w:trPr>
        <w:tc>
          <w:tcPr>
            <w:tcW w:w="1976" w:type="dxa"/>
          </w:tcPr>
          <w:p w14:paraId="45A429A1" w14:textId="77777777" w:rsidR="005152D9" w:rsidRPr="00557670" w:rsidRDefault="005152D9" w:rsidP="00A54250">
            <w:pPr>
              <w:pStyle w:val="Marginlie"/>
            </w:pPr>
            <w:r>
              <w:t>Relativní dluh se snižoval v Česku i Evropské unii.</w:t>
            </w:r>
          </w:p>
        </w:tc>
        <w:tc>
          <w:tcPr>
            <w:tcW w:w="277" w:type="dxa"/>
          </w:tcPr>
          <w:p w14:paraId="45DDF056" w14:textId="77777777" w:rsidR="005152D9" w:rsidRPr="00557670" w:rsidRDefault="005152D9" w:rsidP="00A5425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6E59EDD4" w14:textId="46B2A816" w:rsidR="005152D9" w:rsidRPr="00557670" w:rsidRDefault="005152D9" w:rsidP="00BF45D9">
            <w:pPr>
              <w:rPr>
                <w:szCs w:val="20"/>
              </w:rPr>
            </w:pPr>
            <w:r>
              <w:t>Podíl dluhu vládních institucí na HDP (relativní dluh) klesl na 32,7</w:t>
            </w:r>
            <w:r w:rsidR="001D51EB">
              <w:t> %</w:t>
            </w:r>
            <w:r>
              <w:t xml:space="preserve"> a byl nejnižší od roku 2008</w:t>
            </w:r>
            <w:r w:rsidR="00A62B23">
              <w:t xml:space="preserve"> (meziročně klesl o</w:t>
            </w:r>
            <w:r w:rsidR="007B0750">
              <w:t> </w:t>
            </w:r>
            <w:r w:rsidR="00A62B23">
              <w:t>2</w:t>
            </w:r>
            <w:r w:rsidR="001F138C">
              <w:t> p. b.</w:t>
            </w:r>
            <w:r w:rsidR="00A62B23">
              <w:t>)</w:t>
            </w:r>
            <w:r>
              <w:t xml:space="preserve">. Relativní dluh poklesl již popáté v řadě, vydatně mu ale pomáhalo několik let příznivého hospodářského růstu. </w:t>
            </w:r>
            <w:r>
              <w:rPr>
                <w:szCs w:val="20"/>
              </w:rPr>
              <w:t>Zadlužení vůči HDP v evropské osmadvacítce loni rovněž kleslo a dosáhlo 80,0</w:t>
            </w:r>
            <w:r w:rsidR="001D51EB">
              <w:rPr>
                <w:szCs w:val="20"/>
              </w:rPr>
              <w:t> %</w:t>
            </w:r>
            <w:r>
              <w:rPr>
                <w:szCs w:val="20"/>
              </w:rPr>
              <w:t>. Ke snížení relativního dluhu došlo u naprosté většiny zemí. Výjimkou bylo Řecko (nárůst o</w:t>
            </w:r>
            <w:r w:rsidR="007B0750">
              <w:rPr>
                <w:szCs w:val="20"/>
              </w:rPr>
              <w:t> </w:t>
            </w:r>
            <w:r>
              <w:rPr>
                <w:szCs w:val="20"/>
              </w:rPr>
              <w:t>4,9</w:t>
            </w:r>
            <w:r w:rsidR="001F138C">
              <w:rPr>
                <w:szCs w:val="20"/>
              </w:rPr>
              <w:t> p. b.</w:t>
            </w:r>
            <w:r>
              <w:rPr>
                <w:szCs w:val="20"/>
              </w:rPr>
              <w:t>), Itálie (+0,8 p.</w:t>
            </w:r>
            <w:r w:rsidR="007B0750">
              <w:rPr>
                <w:szCs w:val="20"/>
              </w:rPr>
              <w:t> </w:t>
            </w:r>
            <w:r>
              <w:rPr>
                <w:szCs w:val="20"/>
              </w:rPr>
              <w:t>b.), Kypr (+6,7</w:t>
            </w:r>
            <w:r w:rsidR="001F138C">
              <w:rPr>
                <w:szCs w:val="20"/>
              </w:rPr>
              <w:t> p. b.</w:t>
            </w:r>
            <w:r>
              <w:rPr>
                <w:szCs w:val="20"/>
              </w:rPr>
              <w:t>) a Francie, u které nedošlo ke změně. Největší pokles relativního dluhu zaznamenaly Litva (</w:t>
            </w:r>
            <w:r w:rsidR="001F138C">
              <w:rPr>
                <w:szCs w:val="20"/>
              </w:rPr>
              <w:t>–</w:t>
            </w:r>
            <w:r>
              <w:rPr>
                <w:szCs w:val="20"/>
              </w:rPr>
              <w:t>5,2</w:t>
            </w:r>
            <w:r w:rsidR="001F138C">
              <w:rPr>
                <w:szCs w:val="20"/>
              </w:rPr>
              <w:t> p. b.</w:t>
            </w:r>
            <w:r>
              <w:rPr>
                <w:szCs w:val="20"/>
              </w:rPr>
              <w:t xml:space="preserve">), </w:t>
            </w:r>
            <w:r w:rsidR="007B0750">
              <w:rPr>
                <w:szCs w:val="20"/>
              </w:rPr>
              <w:t xml:space="preserve">Nizozemsko </w:t>
            </w:r>
            <w:r>
              <w:rPr>
                <w:szCs w:val="20"/>
              </w:rPr>
              <w:t>(</w:t>
            </w:r>
            <w:r w:rsidR="001F138C">
              <w:rPr>
                <w:szCs w:val="20"/>
              </w:rPr>
              <w:t>–</w:t>
            </w:r>
            <w:r>
              <w:rPr>
                <w:szCs w:val="20"/>
              </w:rPr>
              <w:t>4,6</w:t>
            </w:r>
            <w:r w:rsidR="001F138C">
              <w:rPr>
                <w:szCs w:val="20"/>
              </w:rPr>
              <w:t> p. b.</w:t>
            </w:r>
            <w:r>
              <w:rPr>
                <w:szCs w:val="20"/>
              </w:rPr>
              <w:t>) a Rakousko (</w:t>
            </w:r>
            <w:r w:rsidR="001F138C">
              <w:rPr>
                <w:szCs w:val="20"/>
              </w:rPr>
              <w:t>–</w:t>
            </w:r>
            <w:r>
              <w:rPr>
                <w:szCs w:val="20"/>
              </w:rPr>
              <w:t>4,4</w:t>
            </w:r>
            <w:r w:rsidR="001D51EB">
              <w:rPr>
                <w:szCs w:val="20"/>
              </w:rPr>
              <w:t> </w:t>
            </w:r>
            <w:r w:rsidR="00BF45D9">
              <w:rPr>
                <w:szCs w:val="20"/>
              </w:rPr>
              <w:t>p. b.</w:t>
            </w:r>
            <w:r>
              <w:rPr>
                <w:szCs w:val="20"/>
              </w:rPr>
              <w:t>). Hranici 60</w:t>
            </w:r>
            <w:r w:rsidR="001D51EB">
              <w:rPr>
                <w:szCs w:val="20"/>
              </w:rPr>
              <w:t> %</w:t>
            </w:r>
            <w:r>
              <w:rPr>
                <w:szCs w:val="20"/>
              </w:rPr>
              <w:t xml:space="preserve"> dluhu vůči HDP překročilo 14</w:t>
            </w:r>
            <w:r w:rsidR="007B0750">
              <w:rPr>
                <w:szCs w:val="20"/>
              </w:rPr>
              <w:t> </w:t>
            </w:r>
            <w:r>
              <w:rPr>
                <w:szCs w:val="20"/>
              </w:rPr>
              <w:t xml:space="preserve">zemí. Finsku se ale podařilo po čtyřech letech dostat pod ni. Nejvyšší relativní dluh </w:t>
            </w:r>
            <w:r w:rsidR="007B0750">
              <w:rPr>
                <w:szCs w:val="20"/>
              </w:rPr>
              <w:t xml:space="preserve">měly </w:t>
            </w:r>
            <w:r>
              <w:rPr>
                <w:szCs w:val="20"/>
              </w:rPr>
              <w:t>loni Řecko (181,1</w:t>
            </w:r>
            <w:r w:rsidR="001D51EB">
              <w:rPr>
                <w:szCs w:val="20"/>
              </w:rPr>
              <w:t> %</w:t>
            </w:r>
            <w:r>
              <w:rPr>
                <w:szCs w:val="20"/>
              </w:rPr>
              <w:t>), Itálie (132,2</w:t>
            </w:r>
            <w:r w:rsidR="001D51EB">
              <w:rPr>
                <w:szCs w:val="20"/>
              </w:rPr>
              <w:t> %</w:t>
            </w:r>
            <w:r>
              <w:rPr>
                <w:szCs w:val="20"/>
              </w:rPr>
              <w:t>) a Portugalsko (121,5</w:t>
            </w:r>
            <w:r w:rsidR="001D51EB">
              <w:rPr>
                <w:szCs w:val="20"/>
              </w:rPr>
              <w:t> %</w:t>
            </w:r>
            <w:r>
              <w:rPr>
                <w:szCs w:val="20"/>
              </w:rPr>
              <w:t>). Více než 100</w:t>
            </w:r>
            <w:r w:rsidR="001D51EB">
              <w:rPr>
                <w:szCs w:val="20"/>
              </w:rPr>
              <w:t> %</w:t>
            </w:r>
            <w:r>
              <w:rPr>
                <w:szCs w:val="20"/>
              </w:rPr>
              <w:t xml:space="preserve"> měl</w:t>
            </w:r>
            <w:r w:rsidR="007B0750">
              <w:rPr>
                <w:szCs w:val="20"/>
              </w:rPr>
              <w:t>y</w:t>
            </w:r>
            <w:r>
              <w:rPr>
                <w:szCs w:val="20"/>
              </w:rPr>
              <w:t xml:space="preserve"> Kypr (102,5</w:t>
            </w:r>
            <w:r w:rsidR="001D51EB">
              <w:rPr>
                <w:szCs w:val="20"/>
              </w:rPr>
              <w:t> %</w:t>
            </w:r>
            <w:r>
              <w:rPr>
                <w:szCs w:val="20"/>
              </w:rPr>
              <w:t>) a Belgie (102,0</w:t>
            </w:r>
            <w:r w:rsidR="001D51EB">
              <w:rPr>
                <w:szCs w:val="20"/>
              </w:rPr>
              <w:t> %</w:t>
            </w:r>
            <w:r>
              <w:rPr>
                <w:szCs w:val="20"/>
              </w:rPr>
              <w:t>). Nejnižší relativní dluh v EU mělo Estonsko (8,4</w:t>
            </w:r>
            <w:r w:rsidR="001D51EB">
              <w:rPr>
                <w:szCs w:val="20"/>
              </w:rPr>
              <w:t> %</w:t>
            </w:r>
            <w:r>
              <w:rPr>
                <w:szCs w:val="20"/>
              </w:rPr>
              <w:t>), dále Lucembursko (21,4</w:t>
            </w:r>
            <w:r w:rsidR="001D51EB">
              <w:rPr>
                <w:szCs w:val="20"/>
              </w:rPr>
              <w:t> %</w:t>
            </w:r>
            <w:r>
              <w:rPr>
                <w:szCs w:val="20"/>
              </w:rPr>
              <w:t>) a Bulharsko (22,6</w:t>
            </w:r>
            <w:r w:rsidR="001D51EB">
              <w:rPr>
                <w:szCs w:val="20"/>
              </w:rPr>
              <w:t> %</w:t>
            </w:r>
            <w:r>
              <w:rPr>
                <w:szCs w:val="20"/>
              </w:rPr>
              <w:t>). Česko mělo čtvrtý nejnižší relativní dluh v EU.</w:t>
            </w:r>
          </w:p>
        </w:tc>
      </w:tr>
    </w:tbl>
    <w:p w14:paraId="78E35644" w14:textId="77777777" w:rsidR="005152D9" w:rsidRDefault="005152D9" w:rsidP="00C96D08">
      <w:pPr>
        <w:pStyle w:val="Nadpis11"/>
        <w:rPr>
          <w:lang w:eastAsia="en-US"/>
        </w:rPr>
      </w:pPr>
    </w:p>
    <w:p w14:paraId="671D54FC" w14:textId="22643B85" w:rsidR="0060404F" w:rsidRDefault="0060404F">
      <w:pPr>
        <w:spacing w:after="0" w:line="240" w:lineRule="auto"/>
        <w:jc w:val="left"/>
        <w:rPr>
          <w:rFonts w:eastAsia="MS Gothic"/>
          <w:b/>
          <w:bCs/>
          <w:color w:val="71818C"/>
          <w:sz w:val="32"/>
          <w:szCs w:val="28"/>
          <w:lang w:eastAsia="en-US"/>
        </w:rPr>
      </w:pPr>
      <w:bookmarkStart w:id="1" w:name="_GoBack"/>
      <w:bookmarkEnd w:id="1"/>
    </w:p>
    <w:sectPr w:rsidR="0060404F" w:rsidSect="00A319AF">
      <w:headerReference w:type="even" r:id="rId12"/>
      <w:headerReference w:type="default" r:id="rId13"/>
      <w:footerReference w:type="even" r:id="rId14"/>
      <w:footerReference w:type="default" r:id="rId15"/>
      <w:footnotePr>
        <w:pos w:val="beneathText"/>
      </w:footnotePr>
      <w:pgSz w:w="11906" w:h="16838" w:code="9"/>
      <w:pgMar w:top="1134" w:right="1134" w:bottom="1418" w:left="1134" w:header="680" w:footer="680" w:gutter="0"/>
      <w:pgNumType w:start="16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1619E2" w16cid:durableId="20F6CE05"/>
  <w16cid:commentId w16cid:paraId="734AC7CE" w16cid:durableId="20F6DCBD"/>
  <w16cid:commentId w16cid:paraId="6AF8D911" w16cid:durableId="20F7078E"/>
  <w16cid:commentId w16cid:paraId="50768BEC" w16cid:durableId="20F70A8B"/>
  <w16cid:commentId w16cid:paraId="15B0C836" w16cid:durableId="20F70CE2"/>
  <w16cid:commentId w16cid:paraId="413DE529" w16cid:durableId="20F82616"/>
  <w16cid:commentId w16cid:paraId="141B886B" w16cid:durableId="20F82A5A"/>
  <w16cid:commentId w16cid:paraId="29661C99" w16cid:durableId="20F92C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AAD15" w14:textId="77777777" w:rsidR="00553CEB" w:rsidRDefault="00553CEB" w:rsidP="00E71A58">
      <w:r>
        <w:separator/>
      </w:r>
    </w:p>
  </w:endnote>
  <w:endnote w:type="continuationSeparator" w:id="0">
    <w:p w14:paraId="2EF3F78F" w14:textId="77777777" w:rsidR="00553CEB" w:rsidRDefault="00553CE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984EB" w14:textId="054858C4" w:rsidR="00AD7D0B" w:rsidRPr="00932443" w:rsidRDefault="00AD7D0B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7BA63FD4" wp14:editId="33EBA599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3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A319AF">
      <w:rPr>
        <w:szCs w:val="16"/>
      </w:rPr>
      <w:t>16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2368E" w14:textId="7707B234" w:rsidR="00AD7D0B" w:rsidRPr="00932443" w:rsidRDefault="00AD7D0B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723CA28A" wp14:editId="1B347EAC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1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2018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A319AF">
      <w:rPr>
        <w:rStyle w:val="ZpatChar"/>
        <w:szCs w:val="16"/>
      </w:rPr>
      <w:t>17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4FB2A" w14:textId="77777777" w:rsidR="00553CEB" w:rsidRDefault="00553CEB" w:rsidP="0084727E">
      <w:pPr>
        <w:spacing w:after="0"/>
      </w:pPr>
      <w:r>
        <w:separator/>
      </w:r>
    </w:p>
  </w:footnote>
  <w:footnote w:type="continuationSeparator" w:id="0">
    <w:p w14:paraId="1FCC031D" w14:textId="77777777" w:rsidR="00553CEB" w:rsidRDefault="00553CEB" w:rsidP="00E71A58">
      <w:r>
        <w:continuationSeparator/>
      </w:r>
    </w:p>
  </w:footnote>
  <w:footnote w:id="1">
    <w:p w14:paraId="36B2DA16" w14:textId="77777777" w:rsidR="00AD7D0B" w:rsidRPr="00233DA3" w:rsidRDefault="00AD7D0B" w:rsidP="005152D9">
      <w:pPr>
        <w:pStyle w:val="Textpoznpodarou"/>
        <w:rPr>
          <w:sz w:val="16"/>
          <w:szCs w:val="16"/>
        </w:rPr>
      </w:pPr>
      <w:r w:rsidRPr="00233DA3">
        <w:rPr>
          <w:rStyle w:val="Znakapoznpodarou"/>
          <w:sz w:val="16"/>
          <w:szCs w:val="16"/>
        </w:rPr>
        <w:footnoteRef/>
      </w:r>
      <w:r w:rsidRPr="00233DA3">
        <w:rPr>
          <w:sz w:val="16"/>
          <w:szCs w:val="16"/>
        </w:rPr>
        <w:t xml:space="preserve"> Zahrnuje především zdravotní pojišťovny.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5B81D" w14:textId="77777777" w:rsidR="00AD7D0B" w:rsidRPr="00601A2E" w:rsidRDefault="00AD7D0B" w:rsidP="00601A2E">
    <w:pPr>
      <w:pStyle w:val="Zhlav"/>
    </w:pPr>
    <w:r>
      <w:t>Analýza ekonomického vývoje v roce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7858" w14:textId="77777777" w:rsidR="00AD7D0B" w:rsidRDefault="00AD7D0B" w:rsidP="00937AE2">
    <w:pPr>
      <w:pStyle w:val="Zhlav"/>
    </w:pPr>
    <w:r>
      <w:t>Analýza ekonomického vývoje v roce 2018</w:t>
    </w:r>
  </w:p>
  <w:p w14:paraId="427F87BC" w14:textId="77777777" w:rsidR="00AD7D0B" w:rsidRPr="006F5416" w:rsidRDefault="00AD7D0B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55pt;height:11.5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15AC1"/>
    <w:multiLevelType w:val="hybridMultilevel"/>
    <w:tmpl w:val="7464A696"/>
    <w:lvl w:ilvl="0" w:tplc="4246FC1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20"/>
  </w:num>
  <w:num w:numId="14">
    <w:abstractNumId w:val="10"/>
  </w:num>
  <w:num w:numId="15">
    <w:abstractNumId w:val="16"/>
  </w:num>
  <w:num w:numId="16">
    <w:abstractNumId w:val="12"/>
  </w:num>
  <w:num w:numId="17">
    <w:abstractNumId w:val="21"/>
  </w:num>
  <w:num w:numId="18">
    <w:abstractNumId w:val="17"/>
  </w:num>
  <w:num w:numId="19">
    <w:abstractNumId w:val="22"/>
  </w:num>
  <w:num w:numId="20">
    <w:abstractNumId w:val="24"/>
  </w:num>
  <w:num w:numId="21">
    <w:abstractNumId w:val="19"/>
  </w:num>
  <w:num w:numId="22">
    <w:abstractNumId w:val="15"/>
  </w:num>
  <w:num w:numId="23">
    <w:abstractNumId w:val="13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502"/>
    <w:rsid w:val="0000209D"/>
    <w:rsid w:val="00004D5A"/>
    <w:rsid w:val="000056D5"/>
    <w:rsid w:val="00006ABD"/>
    <w:rsid w:val="0000767A"/>
    <w:rsid w:val="00007BEF"/>
    <w:rsid w:val="00010256"/>
    <w:rsid w:val="00010702"/>
    <w:rsid w:val="00011912"/>
    <w:rsid w:val="00012408"/>
    <w:rsid w:val="00014E7F"/>
    <w:rsid w:val="0002195D"/>
    <w:rsid w:val="000234D6"/>
    <w:rsid w:val="00023D29"/>
    <w:rsid w:val="00026389"/>
    <w:rsid w:val="00031AE0"/>
    <w:rsid w:val="000322EF"/>
    <w:rsid w:val="000333B9"/>
    <w:rsid w:val="00033FCD"/>
    <w:rsid w:val="00041CEC"/>
    <w:rsid w:val="0004694F"/>
    <w:rsid w:val="000500AB"/>
    <w:rsid w:val="000522E4"/>
    <w:rsid w:val="000610E1"/>
    <w:rsid w:val="00062EC5"/>
    <w:rsid w:val="00062F22"/>
    <w:rsid w:val="00067A82"/>
    <w:rsid w:val="000712B3"/>
    <w:rsid w:val="000748F2"/>
    <w:rsid w:val="0008263E"/>
    <w:rsid w:val="00082A55"/>
    <w:rsid w:val="00082C19"/>
    <w:rsid w:val="00085395"/>
    <w:rsid w:val="00087634"/>
    <w:rsid w:val="00087F2B"/>
    <w:rsid w:val="00093E3F"/>
    <w:rsid w:val="00093E53"/>
    <w:rsid w:val="00095135"/>
    <w:rsid w:val="00096085"/>
    <w:rsid w:val="000974D1"/>
    <w:rsid w:val="0009799E"/>
    <w:rsid w:val="000A1183"/>
    <w:rsid w:val="000A256D"/>
    <w:rsid w:val="000A3A2C"/>
    <w:rsid w:val="000B525B"/>
    <w:rsid w:val="000C1D78"/>
    <w:rsid w:val="000C3408"/>
    <w:rsid w:val="000C6AFD"/>
    <w:rsid w:val="000D5637"/>
    <w:rsid w:val="000E3D0E"/>
    <w:rsid w:val="000E6C04"/>
    <w:rsid w:val="000E6FBD"/>
    <w:rsid w:val="000F7084"/>
    <w:rsid w:val="00100F5C"/>
    <w:rsid w:val="0010106F"/>
    <w:rsid w:val="00101CDA"/>
    <w:rsid w:val="00104C4C"/>
    <w:rsid w:val="00117623"/>
    <w:rsid w:val="0012192F"/>
    <w:rsid w:val="00122BB3"/>
    <w:rsid w:val="00125A9C"/>
    <w:rsid w:val="00125D69"/>
    <w:rsid w:val="001405FA"/>
    <w:rsid w:val="00141782"/>
    <w:rsid w:val="001425C3"/>
    <w:rsid w:val="0014794C"/>
    <w:rsid w:val="001528B9"/>
    <w:rsid w:val="001612F4"/>
    <w:rsid w:val="00162312"/>
    <w:rsid w:val="0016256B"/>
    <w:rsid w:val="00163793"/>
    <w:rsid w:val="001671FF"/>
    <w:rsid w:val="001706D6"/>
    <w:rsid w:val="001714F2"/>
    <w:rsid w:val="00175B9F"/>
    <w:rsid w:val="00181BBC"/>
    <w:rsid w:val="00182799"/>
    <w:rsid w:val="00184B08"/>
    <w:rsid w:val="00185010"/>
    <w:rsid w:val="00186919"/>
    <w:rsid w:val="001916DB"/>
    <w:rsid w:val="00193818"/>
    <w:rsid w:val="001A0487"/>
    <w:rsid w:val="001A0D6B"/>
    <w:rsid w:val="001A5387"/>
    <w:rsid w:val="001A552F"/>
    <w:rsid w:val="001B28D3"/>
    <w:rsid w:val="001B2CA9"/>
    <w:rsid w:val="001B3110"/>
    <w:rsid w:val="001B4729"/>
    <w:rsid w:val="001B6310"/>
    <w:rsid w:val="001B6C09"/>
    <w:rsid w:val="001C05CD"/>
    <w:rsid w:val="001C1B66"/>
    <w:rsid w:val="001C487C"/>
    <w:rsid w:val="001D198A"/>
    <w:rsid w:val="001D463E"/>
    <w:rsid w:val="001D51EB"/>
    <w:rsid w:val="001D68B2"/>
    <w:rsid w:val="001D70E9"/>
    <w:rsid w:val="001E504C"/>
    <w:rsid w:val="001F138C"/>
    <w:rsid w:val="001F4063"/>
    <w:rsid w:val="001F4597"/>
    <w:rsid w:val="001F52D6"/>
    <w:rsid w:val="00203DA4"/>
    <w:rsid w:val="002052C6"/>
    <w:rsid w:val="002054B4"/>
    <w:rsid w:val="002118B9"/>
    <w:rsid w:val="00217C5B"/>
    <w:rsid w:val="0022139E"/>
    <w:rsid w:val="00222729"/>
    <w:rsid w:val="00222FFB"/>
    <w:rsid w:val="002252E0"/>
    <w:rsid w:val="002255F6"/>
    <w:rsid w:val="00227850"/>
    <w:rsid w:val="00227A53"/>
    <w:rsid w:val="00230C6E"/>
    <w:rsid w:val="00236443"/>
    <w:rsid w:val="00241035"/>
    <w:rsid w:val="00241B06"/>
    <w:rsid w:val="002436BA"/>
    <w:rsid w:val="00244A15"/>
    <w:rsid w:val="00247319"/>
    <w:rsid w:val="0024799E"/>
    <w:rsid w:val="00253C0F"/>
    <w:rsid w:val="002558C1"/>
    <w:rsid w:val="00260FC5"/>
    <w:rsid w:val="00271465"/>
    <w:rsid w:val="00274037"/>
    <w:rsid w:val="00285412"/>
    <w:rsid w:val="0028587B"/>
    <w:rsid w:val="00291640"/>
    <w:rsid w:val="002A16D4"/>
    <w:rsid w:val="002A230C"/>
    <w:rsid w:val="002A5D97"/>
    <w:rsid w:val="002A7679"/>
    <w:rsid w:val="002B2127"/>
    <w:rsid w:val="002B213A"/>
    <w:rsid w:val="002B4845"/>
    <w:rsid w:val="002B6B06"/>
    <w:rsid w:val="002C43BD"/>
    <w:rsid w:val="002D0E59"/>
    <w:rsid w:val="002E02A1"/>
    <w:rsid w:val="002E1A9C"/>
    <w:rsid w:val="002E4E4C"/>
    <w:rsid w:val="00303533"/>
    <w:rsid w:val="00304771"/>
    <w:rsid w:val="003052D4"/>
    <w:rsid w:val="00306C5B"/>
    <w:rsid w:val="00314A41"/>
    <w:rsid w:val="003209D6"/>
    <w:rsid w:val="00321924"/>
    <w:rsid w:val="0032656E"/>
    <w:rsid w:val="003268DD"/>
    <w:rsid w:val="00330060"/>
    <w:rsid w:val="00332190"/>
    <w:rsid w:val="0033250B"/>
    <w:rsid w:val="0034335E"/>
    <w:rsid w:val="00344668"/>
    <w:rsid w:val="003462D9"/>
    <w:rsid w:val="00347378"/>
    <w:rsid w:val="00347604"/>
    <w:rsid w:val="00357908"/>
    <w:rsid w:val="00360C86"/>
    <w:rsid w:val="00360DE3"/>
    <w:rsid w:val="00360FBC"/>
    <w:rsid w:val="00362E90"/>
    <w:rsid w:val="00364C32"/>
    <w:rsid w:val="00364FA0"/>
    <w:rsid w:val="003657F3"/>
    <w:rsid w:val="00376C3B"/>
    <w:rsid w:val="003818DC"/>
    <w:rsid w:val="00384327"/>
    <w:rsid w:val="00385D98"/>
    <w:rsid w:val="003870EE"/>
    <w:rsid w:val="003A2B4D"/>
    <w:rsid w:val="003A2D12"/>
    <w:rsid w:val="003A478C"/>
    <w:rsid w:val="003A5525"/>
    <w:rsid w:val="003A6B38"/>
    <w:rsid w:val="003B461F"/>
    <w:rsid w:val="003B5A32"/>
    <w:rsid w:val="003C3490"/>
    <w:rsid w:val="003C4BE8"/>
    <w:rsid w:val="003C7E62"/>
    <w:rsid w:val="003D6920"/>
    <w:rsid w:val="003E38BA"/>
    <w:rsid w:val="003E4C91"/>
    <w:rsid w:val="003F313C"/>
    <w:rsid w:val="003F37FC"/>
    <w:rsid w:val="003F3890"/>
    <w:rsid w:val="003F4B2C"/>
    <w:rsid w:val="003F551C"/>
    <w:rsid w:val="003F72ED"/>
    <w:rsid w:val="003F7D23"/>
    <w:rsid w:val="00407C13"/>
    <w:rsid w:val="00410638"/>
    <w:rsid w:val="0041501E"/>
    <w:rsid w:val="004159C3"/>
    <w:rsid w:val="00425F45"/>
    <w:rsid w:val="00432A58"/>
    <w:rsid w:val="00433C0C"/>
    <w:rsid w:val="00434617"/>
    <w:rsid w:val="00436778"/>
    <w:rsid w:val="00440900"/>
    <w:rsid w:val="00441BF6"/>
    <w:rsid w:val="004441A0"/>
    <w:rsid w:val="0045078A"/>
    <w:rsid w:val="0045086D"/>
    <w:rsid w:val="00460FB3"/>
    <w:rsid w:val="00467ABC"/>
    <w:rsid w:val="00476240"/>
    <w:rsid w:val="00476439"/>
    <w:rsid w:val="0047735C"/>
    <w:rsid w:val="004776BC"/>
    <w:rsid w:val="0048139F"/>
    <w:rsid w:val="00481E40"/>
    <w:rsid w:val="00484ECE"/>
    <w:rsid w:val="004915CB"/>
    <w:rsid w:val="004924DC"/>
    <w:rsid w:val="004A14E4"/>
    <w:rsid w:val="004A3212"/>
    <w:rsid w:val="004A5494"/>
    <w:rsid w:val="004A61C5"/>
    <w:rsid w:val="004A77DF"/>
    <w:rsid w:val="004B1417"/>
    <w:rsid w:val="004B48DF"/>
    <w:rsid w:val="004B55B7"/>
    <w:rsid w:val="004B6468"/>
    <w:rsid w:val="004B7125"/>
    <w:rsid w:val="004C26B0"/>
    <w:rsid w:val="004C384C"/>
    <w:rsid w:val="004C3867"/>
    <w:rsid w:val="004C4CD0"/>
    <w:rsid w:val="004C5FBF"/>
    <w:rsid w:val="004C70DC"/>
    <w:rsid w:val="004D0211"/>
    <w:rsid w:val="004D0794"/>
    <w:rsid w:val="004D3177"/>
    <w:rsid w:val="004E326C"/>
    <w:rsid w:val="004F06F5"/>
    <w:rsid w:val="004F16F7"/>
    <w:rsid w:val="004F33A0"/>
    <w:rsid w:val="004F6EDC"/>
    <w:rsid w:val="0050689D"/>
    <w:rsid w:val="005108C0"/>
    <w:rsid w:val="00511873"/>
    <w:rsid w:val="00512A2F"/>
    <w:rsid w:val="00513B7E"/>
    <w:rsid w:val="005152D9"/>
    <w:rsid w:val="00515C74"/>
    <w:rsid w:val="00515FFA"/>
    <w:rsid w:val="005173AF"/>
    <w:rsid w:val="0052007E"/>
    <w:rsid w:val="0052337A"/>
    <w:rsid w:val="00525137"/>
    <w:rsid w:val="005251DD"/>
    <w:rsid w:val="00532CE7"/>
    <w:rsid w:val="0053324C"/>
    <w:rsid w:val="00534A28"/>
    <w:rsid w:val="00541508"/>
    <w:rsid w:val="00543498"/>
    <w:rsid w:val="00551238"/>
    <w:rsid w:val="00553CEB"/>
    <w:rsid w:val="0055599F"/>
    <w:rsid w:val="00556D68"/>
    <w:rsid w:val="00561B03"/>
    <w:rsid w:val="00563EB8"/>
    <w:rsid w:val="005647BF"/>
    <w:rsid w:val="00564AF1"/>
    <w:rsid w:val="0057364B"/>
    <w:rsid w:val="00574773"/>
    <w:rsid w:val="00581AC8"/>
    <w:rsid w:val="00583FFD"/>
    <w:rsid w:val="005911BE"/>
    <w:rsid w:val="00593152"/>
    <w:rsid w:val="00596F92"/>
    <w:rsid w:val="005A10F2"/>
    <w:rsid w:val="005A21E0"/>
    <w:rsid w:val="005A28FF"/>
    <w:rsid w:val="005A2A19"/>
    <w:rsid w:val="005A2C7B"/>
    <w:rsid w:val="005A3DF8"/>
    <w:rsid w:val="005A5549"/>
    <w:rsid w:val="005A5D45"/>
    <w:rsid w:val="005A655B"/>
    <w:rsid w:val="005A7666"/>
    <w:rsid w:val="005B121D"/>
    <w:rsid w:val="005C06ED"/>
    <w:rsid w:val="005C2609"/>
    <w:rsid w:val="005C35A1"/>
    <w:rsid w:val="005D3386"/>
    <w:rsid w:val="005D5802"/>
    <w:rsid w:val="005D7119"/>
    <w:rsid w:val="005D7890"/>
    <w:rsid w:val="005E2A7C"/>
    <w:rsid w:val="005E7C78"/>
    <w:rsid w:val="005F18C5"/>
    <w:rsid w:val="005F3EB1"/>
    <w:rsid w:val="005F46D8"/>
    <w:rsid w:val="005F5469"/>
    <w:rsid w:val="00600079"/>
    <w:rsid w:val="006003D1"/>
    <w:rsid w:val="00601A2E"/>
    <w:rsid w:val="0060404F"/>
    <w:rsid w:val="00604307"/>
    <w:rsid w:val="0060487F"/>
    <w:rsid w:val="00604EAD"/>
    <w:rsid w:val="006104FB"/>
    <w:rsid w:val="0061249B"/>
    <w:rsid w:val="00612A2F"/>
    <w:rsid w:val="00616E05"/>
    <w:rsid w:val="00624093"/>
    <w:rsid w:val="006254CB"/>
    <w:rsid w:val="0063201A"/>
    <w:rsid w:val="006350D5"/>
    <w:rsid w:val="006404A7"/>
    <w:rsid w:val="006451E4"/>
    <w:rsid w:val="00645B33"/>
    <w:rsid w:val="00650330"/>
    <w:rsid w:val="006516CB"/>
    <w:rsid w:val="006558BD"/>
    <w:rsid w:val="00657E87"/>
    <w:rsid w:val="00664803"/>
    <w:rsid w:val="00665BA4"/>
    <w:rsid w:val="00666D91"/>
    <w:rsid w:val="00667AF2"/>
    <w:rsid w:val="006710C9"/>
    <w:rsid w:val="00674D89"/>
    <w:rsid w:val="00675E37"/>
    <w:rsid w:val="00680001"/>
    <w:rsid w:val="0068174E"/>
    <w:rsid w:val="00681DCE"/>
    <w:rsid w:val="0068260E"/>
    <w:rsid w:val="006863B2"/>
    <w:rsid w:val="00695BEF"/>
    <w:rsid w:val="006977F6"/>
    <w:rsid w:val="00697A13"/>
    <w:rsid w:val="006A109C"/>
    <w:rsid w:val="006A3E08"/>
    <w:rsid w:val="006A73A6"/>
    <w:rsid w:val="006B0F92"/>
    <w:rsid w:val="006B344A"/>
    <w:rsid w:val="006B4B7B"/>
    <w:rsid w:val="006B78D8"/>
    <w:rsid w:val="006C113F"/>
    <w:rsid w:val="006C123E"/>
    <w:rsid w:val="006C1752"/>
    <w:rsid w:val="006C33B2"/>
    <w:rsid w:val="006C56D4"/>
    <w:rsid w:val="006C6924"/>
    <w:rsid w:val="006C7CA6"/>
    <w:rsid w:val="006D3E8A"/>
    <w:rsid w:val="006D61F6"/>
    <w:rsid w:val="006D64C2"/>
    <w:rsid w:val="006E279A"/>
    <w:rsid w:val="006E313B"/>
    <w:rsid w:val="006E7227"/>
    <w:rsid w:val="006F2595"/>
    <w:rsid w:val="006F438E"/>
    <w:rsid w:val="006F5416"/>
    <w:rsid w:val="00705242"/>
    <w:rsid w:val="00706AD4"/>
    <w:rsid w:val="00707150"/>
    <w:rsid w:val="007140BE"/>
    <w:rsid w:val="00716E3F"/>
    <w:rsid w:val="007211F5"/>
    <w:rsid w:val="007240E2"/>
    <w:rsid w:val="00725BB5"/>
    <w:rsid w:val="00730AE8"/>
    <w:rsid w:val="00730F1B"/>
    <w:rsid w:val="00740575"/>
    <w:rsid w:val="00741493"/>
    <w:rsid w:val="0074369B"/>
    <w:rsid w:val="00744EE6"/>
    <w:rsid w:val="00745062"/>
    <w:rsid w:val="007506A5"/>
    <w:rsid w:val="00750EF8"/>
    <w:rsid w:val="00752180"/>
    <w:rsid w:val="00753CAB"/>
    <w:rsid w:val="00755202"/>
    <w:rsid w:val="00755D3A"/>
    <w:rsid w:val="007578D3"/>
    <w:rsid w:val="007609C6"/>
    <w:rsid w:val="0076175D"/>
    <w:rsid w:val="00763B85"/>
    <w:rsid w:val="0076521E"/>
    <w:rsid w:val="007661E9"/>
    <w:rsid w:val="00775F45"/>
    <w:rsid w:val="00776169"/>
    <w:rsid w:val="00776527"/>
    <w:rsid w:val="00780EF1"/>
    <w:rsid w:val="00785232"/>
    <w:rsid w:val="00790764"/>
    <w:rsid w:val="0079453C"/>
    <w:rsid w:val="00794677"/>
    <w:rsid w:val="007A38F2"/>
    <w:rsid w:val="007A516D"/>
    <w:rsid w:val="007B0750"/>
    <w:rsid w:val="007B6689"/>
    <w:rsid w:val="007C13A4"/>
    <w:rsid w:val="007C6BBD"/>
    <w:rsid w:val="007C7BAE"/>
    <w:rsid w:val="007D0C24"/>
    <w:rsid w:val="007D40DF"/>
    <w:rsid w:val="007E29B4"/>
    <w:rsid w:val="007E435A"/>
    <w:rsid w:val="007E7E61"/>
    <w:rsid w:val="007F0845"/>
    <w:rsid w:val="007F661C"/>
    <w:rsid w:val="007F708D"/>
    <w:rsid w:val="00801E13"/>
    <w:rsid w:val="00805381"/>
    <w:rsid w:val="00807674"/>
    <w:rsid w:val="00807C82"/>
    <w:rsid w:val="00816905"/>
    <w:rsid w:val="00821FF6"/>
    <w:rsid w:val="00822574"/>
    <w:rsid w:val="00825C4D"/>
    <w:rsid w:val="0083143E"/>
    <w:rsid w:val="00831CDE"/>
    <w:rsid w:val="00833BF2"/>
    <w:rsid w:val="00834304"/>
    <w:rsid w:val="00834FAA"/>
    <w:rsid w:val="00836086"/>
    <w:rsid w:val="008364D5"/>
    <w:rsid w:val="00846121"/>
    <w:rsid w:val="0084708F"/>
    <w:rsid w:val="0084727E"/>
    <w:rsid w:val="008477C8"/>
    <w:rsid w:val="00847931"/>
    <w:rsid w:val="0085114D"/>
    <w:rsid w:val="00852217"/>
    <w:rsid w:val="00855408"/>
    <w:rsid w:val="00856D65"/>
    <w:rsid w:val="00861B41"/>
    <w:rsid w:val="00861BE3"/>
    <w:rsid w:val="00863434"/>
    <w:rsid w:val="008637A2"/>
    <w:rsid w:val="00865E4C"/>
    <w:rsid w:val="008701E4"/>
    <w:rsid w:val="00875A32"/>
    <w:rsid w:val="00876086"/>
    <w:rsid w:val="00884A6F"/>
    <w:rsid w:val="008856A3"/>
    <w:rsid w:val="008873D4"/>
    <w:rsid w:val="0089296D"/>
    <w:rsid w:val="00893E85"/>
    <w:rsid w:val="00894031"/>
    <w:rsid w:val="00895508"/>
    <w:rsid w:val="008B7C02"/>
    <w:rsid w:val="008B7D2B"/>
    <w:rsid w:val="008C0049"/>
    <w:rsid w:val="008C0E88"/>
    <w:rsid w:val="008D0DBD"/>
    <w:rsid w:val="008D1E6A"/>
    <w:rsid w:val="008D2A16"/>
    <w:rsid w:val="008E0DC9"/>
    <w:rsid w:val="008E2C57"/>
    <w:rsid w:val="008E31FF"/>
    <w:rsid w:val="008E6F06"/>
    <w:rsid w:val="008E7FC9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5CF4"/>
    <w:rsid w:val="0091728D"/>
    <w:rsid w:val="0092180B"/>
    <w:rsid w:val="00921F14"/>
    <w:rsid w:val="00924AC8"/>
    <w:rsid w:val="0092597A"/>
    <w:rsid w:val="00930FB1"/>
    <w:rsid w:val="0093139F"/>
    <w:rsid w:val="00932443"/>
    <w:rsid w:val="00937AE2"/>
    <w:rsid w:val="00942C19"/>
    <w:rsid w:val="0094427A"/>
    <w:rsid w:val="00945245"/>
    <w:rsid w:val="00953F28"/>
    <w:rsid w:val="009540B7"/>
    <w:rsid w:val="0095759C"/>
    <w:rsid w:val="0096154D"/>
    <w:rsid w:val="0096221A"/>
    <w:rsid w:val="00974923"/>
    <w:rsid w:val="00976BAF"/>
    <w:rsid w:val="00980D3D"/>
    <w:rsid w:val="00987A30"/>
    <w:rsid w:val="00992CF3"/>
    <w:rsid w:val="009942B6"/>
    <w:rsid w:val="00994868"/>
    <w:rsid w:val="009968D6"/>
    <w:rsid w:val="009A1CAB"/>
    <w:rsid w:val="009A4901"/>
    <w:rsid w:val="009A60D1"/>
    <w:rsid w:val="009B6FD3"/>
    <w:rsid w:val="009B7C82"/>
    <w:rsid w:val="009C03C8"/>
    <w:rsid w:val="009C1750"/>
    <w:rsid w:val="009C1EEA"/>
    <w:rsid w:val="009C2E29"/>
    <w:rsid w:val="009C554B"/>
    <w:rsid w:val="009C719E"/>
    <w:rsid w:val="009D3ACD"/>
    <w:rsid w:val="009E5273"/>
    <w:rsid w:val="009E5DDB"/>
    <w:rsid w:val="009F46EA"/>
    <w:rsid w:val="009F4CA7"/>
    <w:rsid w:val="00A10D66"/>
    <w:rsid w:val="00A1260E"/>
    <w:rsid w:val="00A14114"/>
    <w:rsid w:val="00A16413"/>
    <w:rsid w:val="00A16E1D"/>
    <w:rsid w:val="00A17D5B"/>
    <w:rsid w:val="00A20028"/>
    <w:rsid w:val="00A230A8"/>
    <w:rsid w:val="00A23E43"/>
    <w:rsid w:val="00A25216"/>
    <w:rsid w:val="00A27420"/>
    <w:rsid w:val="00A27C85"/>
    <w:rsid w:val="00A30F65"/>
    <w:rsid w:val="00A319AF"/>
    <w:rsid w:val="00A32759"/>
    <w:rsid w:val="00A329DF"/>
    <w:rsid w:val="00A35142"/>
    <w:rsid w:val="00A35EA6"/>
    <w:rsid w:val="00A40EAC"/>
    <w:rsid w:val="00A416D4"/>
    <w:rsid w:val="00A418BC"/>
    <w:rsid w:val="00A46DE0"/>
    <w:rsid w:val="00A4750C"/>
    <w:rsid w:val="00A50D73"/>
    <w:rsid w:val="00A51F19"/>
    <w:rsid w:val="00A52CAD"/>
    <w:rsid w:val="00A537F0"/>
    <w:rsid w:val="00A53FC7"/>
    <w:rsid w:val="00A54250"/>
    <w:rsid w:val="00A55161"/>
    <w:rsid w:val="00A55593"/>
    <w:rsid w:val="00A62B23"/>
    <w:rsid w:val="00A62CE1"/>
    <w:rsid w:val="00A66A11"/>
    <w:rsid w:val="00A6741E"/>
    <w:rsid w:val="00A75E40"/>
    <w:rsid w:val="00A77D1D"/>
    <w:rsid w:val="00A84923"/>
    <w:rsid w:val="00A857C0"/>
    <w:rsid w:val="00A90FED"/>
    <w:rsid w:val="00AA2996"/>
    <w:rsid w:val="00AA52BF"/>
    <w:rsid w:val="00AA559A"/>
    <w:rsid w:val="00AB2AF1"/>
    <w:rsid w:val="00AB5421"/>
    <w:rsid w:val="00AC45BD"/>
    <w:rsid w:val="00AD168E"/>
    <w:rsid w:val="00AD306C"/>
    <w:rsid w:val="00AD68C4"/>
    <w:rsid w:val="00AD7D0B"/>
    <w:rsid w:val="00AE09B3"/>
    <w:rsid w:val="00AE1A83"/>
    <w:rsid w:val="00AE7FB2"/>
    <w:rsid w:val="00B00913"/>
    <w:rsid w:val="00B01593"/>
    <w:rsid w:val="00B023F2"/>
    <w:rsid w:val="00B10A4D"/>
    <w:rsid w:val="00B120A1"/>
    <w:rsid w:val="00B12AA6"/>
    <w:rsid w:val="00B14BC1"/>
    <w:rsid w:val="00B17E71"/>
    <w:rsid w:val="00B17FDE"/>
    <w:rsid w:val="00B20632"/>
    <w:rsid w:val="00B23055"/>
    <w:rsid w:val="00B2379C"/>
    <w:rsid w:val="00B2687D"/>
    <w:rsid w:val="00B32DDB"/>
    <w:rsid w:val="00B34528"/>
    <w:rsid w:val="00B34CC9"/>
    <w:rsid w:val="00B366E5"/>
    <w:rsid w:val="00B402FC"/>
    <w:rsid w:val="00B40FF9"/>
    <w:rsid w:val="00B42470"/>
    <w:rsid w:val="00B439DA"/>
    <w:rsid w:val="00B46604"/>
    <w:rsid w:val="00B530CD"/>
    <w:rsid w:val="00B53AB0"/>
    <w:rsid w:val="00B55F5E"/>
    <w:rsid w:val="00B57338"/>
    <w:rsid w:val="00B5752E"/>
    <w:rsid w:val="00B57E25"/>
    <w:rsid w:val="00B619A9"/>
    <w:rsid w:val="00B63A11"/>
    <w:rsid w:val="00B64C24"/>
    <w:rsid w:val="00B6608F"/>
    <w:rsid w:val="00B679FB"/>
    <w:rsid w:val="00B76D1E"/>
    <w:rsid w:val="00B80EC6"/>
    <w:rsid w:val="00B84CF6"/>
    <w:rsid w:val="00B86F03"/>
    <w:rsid w:val="00B9200E"/>
    <w:rsid w:val="00B92D1D"/>
    <w:rsid w:val="00B938C5"/>
    <w:rsid w:val="00B95940"/>
    <w:rsid w:val="00B97434"/>
    <w:rsid w:val="00BA0DD3"/>
    <w:rsid w:val="00BA6C2B"/>
    <w:rsid w:val="00BA76E6"/>
    <w:rsid w:val="00BB2F03"/>
    <w:rsid w:val="00BB46F3"/>
    <w:rsid w:val="00BB4CB1"/>
    <w:rsid w:val="00BB4F98"/>
    <w:rsid w:val="00BC0E31"/>
    <w:rsid w:val="00BC5C12"/>
    <w:rsid w:val="00BC7075"/>
    <w:rsid w:val="00BC7154"/>
    <w:rsid w:val="00BC731E"/>
    <w:rsid w:val="00BD163C"/>
    <w:rsid w:val="00BD2991"/>
    <w:rsid w:val="00BD366B"/>
    <w:rsid w:val="00BD6D50"/>
    <w:rsid w:val="00BE18B9"/>
    <w:rsid w:val="00BE2495"/>
    <w:rsid w:val="00BE468E"/>
    <w:rsid w:val="00BE6186"/>
    <w:rsid w:val="00BF1578"/>
    <w:rsid w:val="00BF45D9"/>
    <w:rsid w:val="00C024B1"/>
    <w:rsid w:val="00C21405"/>
    <w:rsid w:val="00C21F94"/>
    <w:rsid w:val="00C27913"/>
    <w:rsid w:val="00C33B68"/>
    <w:rsid w:val="00C36A79"/>
    <w:rsid w:val="00C401D2"/>
    <w:rsid w:val="00C405D4"/>
    <w:rsid w:val="00C4513B"/>
    <w:rsid w:val="00C466D2"/>
    <w:rsid w:val="00C5390B"/>
    <w:rsid w:val="00C54697"/>
    <w:rsid w:val="00C60191"/>
    <w:rsid w:val="00C6152B"/>
    <w:rsid w:val="00C73885"/>
    <w:rsid w:val="00C747B1"/>
    <w:rsid w:val="00C82191"/>
    <w:rsid w:val="00C83134"/>
    <w:rsid w:val="00C8418E"/>
    <w:rsid w:val="00C85545"/>
    <w:rsid w:val="00C86B84"/>
    <w:rsid w:val="00C90CF4"/>
    <w:rsid w:val="00C92EB6"/>
    <w:rsid w:val="00C93389"/>
    <w:rsid w:val="00C936C3"/>
    <w:rsid w:val="00C96D08"/>
    <w:rsid w:val="00CA28BC"/>
    <w:rsid w:val="00CA6668"/>
    <w:rsid w:val="00CA6AB4"/>
    <w:rsid w:val="00CB259D"/>
    <w:rsid w:val="00CB4930"/>
    <w:rsid w:val="00CC2E7D"/>
    <w:rsid w:val="00CC71EC"/>
    <w:rsid w:val="00CD10A5"/>
    <w:rsid w:val="00CD2076"/>
    <w:rsid w:val="00CD29B5"/>
    <w:rsid w:val="00CD6331"/>
    <w:rsid w:val="00CE153B"/>
    <w:rsid w:val="00CE670B"/>
    <w:rsid w:val="00CF1C4C"/>
    <w:rsid w:val="00CF4908"/>
    <w:rsid w:val="00CF51EC"/>
    <w:rsid w:val="00CF73AE"/>
    <w:rsid w:val="00D040DD"/>
    <w:rsid w:val="00D050F8"/>
    <w:rsid w:val="00D075BE"/>
    <w:rsid w:val="00D1005A"/>
    <w:rsid w:val="00D11854"/>
    <w:rsid w:val="00D120FA"/>
    <w:rsid w:val="00D13986"/>
    <w:rsid w:val="00D21D83"/>
    <w:rsid w:val="00D22038"/>
    <w:rsid w:val="00D235B7"/>
    <w:rsid w:val="00D25F28"/>
    <w:rsid w:val="00D26071"/>
    <w:rsid w:val="00D27973"/>
    <w:rsid w:val="00D32F90"/>
    <w:rsid w:val="00D35E1A"/>
    <w:rsid w:val="00D50F46"/>
    <w:rsid w:val="00D52BE2"/>
    <w:rsid w:val="00D57677"/>
    <w:rsid w:val="00D64227"/>
    <w:rsid w:val="00D66223"/>
    <w:rsid w:val="00D67375"/>
    <w:rsid w:val="00D73384"/>
    <w:rsid w:val="00D8084C"/>
    <w:rsid w:val="00D915EA"/>
    <w:rsid w:val="00D92FD1"/>
    <w:rsid w:val="00D93CE2"/>
    <w:rsid w:val="00D943C6"/>
    <w:rsid w:val="00D965EC"/>
    <w:rsid w:val="00DA0BBD"/>
    <w:rsid w:val="00DA7C0C"/>
    <w:rsid w:val="00DB08A9"/>
    <w:rsid w:val="00DB2EC8"/>
    <w:rsid w:val="00DC37E3"/>
    <w:rsid w:val="00DC5B3B"/>
    <w:rsid w:val="00DD129F"/>
    <w:rsid w:val="00DD6B52"/>
    <w:rsid w:val="00DE0F63"/>
    <w:rsid w:val="00DE4C19"/>
    <w:rsid w:val="00DF317B"/>
    <w:rsid w:val="00DF42FF"/>
    <w:rsid w:val="00DF7AD4"/>
    <w:rsid w:val="00E01C0E"/>
    <w:rsid w:val="00E03F9A"/>
    <w:rsid w:val="00E04694"/>
    <w:rsid w:val="00E04F27"/>
    <w:rsid w:val="00E102BD"/>
    <w:rsid w:val="00E10A2E"/>
    <w:rsid w:val="00E11DE1"/>
    <w:rsid w:val="00E12B1E"/>
    <w:rsid w:val="00E17262"/>
    <w:rsid w:val="00E212C9"/>
    <w:rsid w:val="00E253A2"/>
    <w:rsid w:val="00E3309D"/>
    <w:rsid w:val="00E333BA"/>
    <w:rsid w:val="00E453F9"/>
    <w:rsid w:val="00E47EBA"/>
    <w:rsid w:val="00E50156"/>
    <w:rsid w:val="00E53470"/>
    <w:rsid w:val="00E539F6"/>
    <w:rsid w:val="00E6519D"/>
    <w:rsid w:val="00E67696"/>
    <w:rsid w:val="00E711D1"/>
    <w:rsid w:val="00E71A58"/>
    <w:rsid w:val="00E72A7A"/>
    <w:rsid w:val="00E733C7"/>
    <w:rsid w:val="00E75C94"/>
    <w:rsid w:val="00E76E61"/>
    <w:rsid w:val="00E8168E"/>
    <w:rsid w:val="00E924B2"/>
    <w:rsid w:val="00E93820"/>
    <w:rsid w:val="00E94A86"/>
    <w:rsid w:val="00E96143"/>
    <w:rsid w:val="00E972A9"/>
    <w:rsid w:val="00EA0840"/>
    <w:rsid w:val="00EA0C68"/>
    <w:rsid w:val="00EA17B0"/>
    <w:rsid w:val="00EA32BC"/>
    <w:rsid w:val="00EA405F"/>
    <w:rsid w:val="00EB4511"/>
    <w:rsid w:val="00EC03D7"/>
    <w:rsid w:val="00EC25F0"/>
    <w:rsid w:val="00ED62C6"/>
    <w:rsid w:val="00ED64C1"/>
    <w:rsid w:val="00ED7B65"/>
    <w:rsid w:val="00EE3446"/>
    <w:rsid w:val="00EE3E78"/>
    <w:rsid w:val="00EE466C"/>
    <w:rsid w:val="00EE4B1B"/>
    <w:rsid w:val="00EE50DB"/>
    <w:rsid w:val="00EF150D"/>
    <w:rsid w:val="00EF1F5A"/>
    <w:rsid w:val="00EF348D"/>
    <w:rsid w:val="00EF47BF"/>
    <w:rsid w:val="00F04811"/>
    <w:rsid w:val="00F0488C"/>
    <w:rsid w:val="00F05E10"/>
    <w:rsid w:val="00F10F11"/>
    <w:rsid w:val="00F13819"/>
    <w:rsid w:val="00F13C9C"/>
    <w:rsid w:val="00F15AAA"/>
    <w:rsid w:val="00F15BEF"/>
    <w:rsid w:val="00F160CE"/>
    <w:rsid w:val="00F162B3"/>
    <w:rsid w:val="00F231AE"/>
    <w:rsid w:val="00F24407"/>
    <w:rsid w:val="00F24FAA"/>
    <w:rsid w:val="00F3364D"/>
    <w:rsid w:val="00F33E56"/>
    <w:rsid w:val="00F433FE"/>
    <w:rsid w:val="00F437CC"/>
    <w:rsid w:val="00F44537"/>
    <w:rsid w:val="00F4530D"/>
    <w:rsid w:val="00F46502"/>
    <w:rsid w:val="00F47067"/>
    <w:rsid w:val="00F525EB"/>
    <w:rsid w:val="00F55E08"/>
    <w:rsid w:val="00F63DDE"/>
    <w:rsid w:val="00F63FB7"/>
    <w:rsid w:val="00F6421B"/>
    <w:rsid w:val="00F649D2"/>
    <w:rsid w:val="00F6602B"/>
    <w:rsid w:val="00F73A0C"/>
    <w:rsid w:val="00F73D08"/>
    <w:rsid w:val="00F756DB"/>
    <w:rsid w:val="00F84E7D"/>
    <w:rsid w:val="00F85066"/>
    <w:rsid w:val="00F853A9"/>
    <w:rsid w:val="00F859D0"/>
    <w:rsid w:val="00F87A4D"/>
    <w:rsid w:val="00FA5D4D"/>
    <w:rsid w:val="00FB0EE2"/>
    <w:rsid w:val="00FB542E"/>
    <w:rsid w:val="00FC0359"/>
    <w:rsid w:val="00FC0E5F"/>
    <w:rsid w:val="00FC1A95"/>
    <w:rsid w:val="00FC56DE"/>
    <w:rsid w:val="00FC684B"/>
    <w:rsid w:val="00FD3265"/>
    <w:rsid w:val="00FD4916"/>
    <w:rsid w:val="00FE2F78"/>
    <w:rsid w:val="00FF3EE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359FC93"/>
  <w15:docId w15:val="{A4C7AF56-5B51-4067-BDB9-17A6C364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qFormat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EA0840"/>
    <w:rPr>
      <w:noProof/>
      <w:lang w:eastAsia="en-US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F46502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">
    <w:name w:val="Nadpis 21"/>
    <w:basedOn w:val="Normln"/>
    <w:uiPriority w:val="9"/>
    <w:qFormat/>
    <w:rsid w:val="00F46502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">
    <w:name w:val="Text pozn. pod čarou1"/>
    <w:basedOn w:val="Normln"/>
    <w:rsid w:val="00F46502"/>
    <w:pPr>
      <w:spacing w:after="0" w:line="240" w:lineRule="auto"/>
      <w:jc w:val="left"/>
    </w:pPr>
    <w:rPr>
      <w:rFonts w:eastAsia="Calibri"/>
      <w:color w:val="00000A"/>
      <w:szCs w:val="20"/>
    </w:rPr>
  </w:style>
  <w:style w:type="character" w:customStyle="1" w:styleId="TextpoznpodarouChar1">
    <w:name w:val="Text pozn. pod čarou Char1"/>
    <w:aliases w:val="Text pozn. pod čarou_martin_ang Char1"/>
    <w:basedOn w:val="Standardnpsmoodstavce"/>
    <w:semiHidden/>
    <w:rsid w:val="00F46502"/>
    <w:rPr>
      <w:rFonts w:ascii="Arial" w:eastAsia="Times New Roman" w:hAnsi="Arial" w:cs="Times New Roman"/>
      <w:color w:val="00000A"/>
      <w:szCs w:val="20"/>
      <w:lang w:eastAsia="cs-CZ"/>
    </w:rPr>
  </w:style>
  <w:style w:type="character" w:styleId="Znakapoznpodarou">
    <w:name w:val="footnote reference"/>
    <w:basedOn w:val="Standardnpsmoodstavce"/>
    <w:rsid w:val="00F46502"/>
    <w:rPr>
      <w:rFonts w:cs="Times New Roman"/>
      <w:vertAlign w:val="superscript"/>
    </w:rPr>
  </w:style>
  <w:style w:type="character" w:customStyle="1" w:styleId="odkaz-style-wrapper">
    <w:name w:val="odkaz-style-wrapper"/>
    <w:basedOn w:val="Standardnpsmoodstavce"/>
    <w:rsid w:val="00BE6186"/>
  </w:style>
  <w:style w:type="paragraph" w:customStyle="1" w:styleId="Nadpis110">
    <w:name w:val="Nadpis 11"/>
    <w:basedOn w:val="Normln"/>
    <w:uiPriority w:val="9"/>
    <w:qFormat/>
    <w:rsid w:val="00BE6186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0">
    <w:name w:val="Nadpis 21"/>
    <w:basedOn w:val="Normln"/>
    <w:uiPriority w:val="9"/>
    <w:qFormat/>
    <w:rsid w:val="00BE6186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0">
    <w:name w:val="Text pozn. pod čarou1"/>
    <w:basedOn w:val="Normln"/>
    <w:rsid w:val="00BE6186"/>
    <w:pPr>
      <w:spacing w:after="0" w:line="240" w:lineRule="auto"/>
      <w:jc w:val="left"/>
    </w:pPr>
    <w:rPr>
      <w:rFonts w:eastAsia="Calibri"/>
      <w:color w:val="00000A"/>
      <w:szCs w:val="20"/>
    </w:rPr>
  </w:style>
  <w:style w:type="paragraph" w:styleId="Normlnweb">
    <w:name w:val="Normal (Web)"/>
    <w:basedOn w:val="Normln"/>
    <w:uiPriority w:val="99"/>
    <w:unhideWhenUsed/>
    <w:rsid w:val="00C96D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4C5FBF"/>
    <w:pPr>
      <w:widowControl w:val="0"/>
      <w:suppressAutoHyphens/>
      <w:autoSpaceDE w:val="0"/>
      <w:autoSpaceDN w:val="0"/>
      <w:adjustRightInd w:val="0"/>
      <w:spacing w:before="120" w:after="0" w:line="215" w:lineRule="exact"/>
    </w:pPr>
    <w:rPr>
      <w:rFonts w:ascii="Times New Roman CE obyèejné" w:hAnsi="Times New Roman CE obyèejné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C5FBF"/>
    <w:rPr>
      <w:rFonts w:ascii="Times New Roman CE obyèejné" w:eastAsia="Times New Roman" w:hAnsi="Times New Roman CE obyèejné"/>
      <w:lang w:eastAsia="cs-CZ"/>
    </w:rPr>
  </w:style>
  <w:style w:type="character" w:customStyle="1" w:styleId="content">
    <w:name w:val="content"/>
    <w:basedOn w:val="Standardnpsmoodstavce"/>
    <w:rsid w:val="003C4BE8"/>
  </w:style>
  <w:style w:type="paragraph" w:styleId="Textvysvtlivek">
    <w:name w:val="endnote text"/>
    <w:basedOn w:val="Normln"/>
    <w:link w:val="TextvysvtlivekChar"/>
    <w:uiPriority w:val="99"/>
    <w:semiHidden/>
    <w:unhideWhenUsed/>
    <w:rsid w:val="00744EE6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44EE6"/>
    <w:rPr>
      <w:rFonts w:ascii="Arial" w:eastAsia="Times New Roman" w:hAnsi="Arial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744E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64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8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Ro&#269;n&#237;%20anal&#253;za%202018\Ana&#253;za%20ekonomick&#233;ho%20v&#253;voje%20v%20roce%202017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y\Anal&#253;za\Ro&#269;n&#237;%20publikace%202019\Hospoda&#345;en&#237;%20vl&#225;dn&#237;ho%20sektoru\gov_10dd_edpt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y\Anal&#253;za\Ro&#269;n&#237;%20publikace%202019\Hospoda&#345;en&#237;%20vl&#225;dn&#237;ho%20sektoru\hospoda&#345;en&#237;%20vl&#225;dn&#237;ch%20instituc&#237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y\Anal&#253;za\Ro&#269;n&#237;%20publikace%202019\Hospoda&#345;en&#237;%20vl&#225;dn&#237;ho%20sektoru\hospoda&#345;en&#237;%20vl&#225;dn&#237;ch%20instituc&#237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y\Anal&#253;za\Ro&#269;n&#237;%20publikace%202019\Hospoda&#345;en&#237;%20vl&#225;dn&#237;ho%20sektoru\dluh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Data!$K$11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Pt>
            <c:idx val="6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280-4D1F-8997-2E09724B64BF}"/>
              </c:ext>
            </c:extLst>
          </c:dPt>
          <c:cat>
            <c:strRef>
              <c:f>Data!$A$12:$A$40</c:f>
              <c:strCache>
                <c:ptCount val="29"/>
                <c:pt idx="0">
                  <c:v>Lucembursko</c:v>
                </c:pt>
                <c:pt idx="1">
                  <c:v>Bulharsko</c:v>
                </c:pt>
                <c:pt idx="2">
                  <c:v>Malta</c:v>
                </c:pt>
                <c:pt idx="3">
                  <c:v>Německo</c:v>
                </c:pt>
                <c:pt idx="4">
                  <c:v>Nizozemsko</c:v>
                </c:pt>
                <c:pt idx="5">
                  <c:v>Řecko</c:v>
                </c:pt>
                <c:pt idx="6">
                  <c:v>Česko</c:v>
                </c:pt>
                <c:pt idx="7">
                  <c:v>Švédsko</c:v>
                </c:pt>
                <c:pt idx="8">
                  <c:v>Litva</c:v>
                </c:pt>
                <c:pt idx="9">
                  <c:v>Slovinsko</c:v>
                </c:pt>
                <c:pt idx="10">
                  <c:v>Dánsko</c:v>
                </c:pt>
                <c:pt idx="11">
                  <c:v>Chorvatsko</c:v>
                </c:pt>
                <c:pt idx="12">
                  <c:v>Rakousko</c:v>
                </c:pt>
                <c:pt idx="13">
                  <c:v>Irsko</c:v>
                </c:pt>
                <c:pt idx="14">
                  <c:v>Polsko</c:v>
                </c:pt>
                <c:pt idx="15">
                  <c:v>Portugalsko</c:v>
                </c:pt>
                <c:pt idx="16">
                  <c:v>EU 28</c:v>
                </c:pt>
                <c:pt idx="17">
                  <c:v>Estonsko</c:v>
                </c:pt>
                <c:pt idx="18">
                  <c:v>Belgie</c:v>
                </c:pt>
                <c:pt idx="19">
                  <c:v>Slovensko</c:v>
                </c:pt>
                <c:pt idx="20">
                  <c:v>Finsko</c:v>
                </c:pt>
                <c:pt idx="21">
                  <c:v>Lotyšsko</c:v>
                </c:pt>
                <c:pt idx="22">
                  <c:v>Velká Británie</c:v>
                </c:pt>
                <c:pt idx="23">
                  <c:v>Itálie</c:v>
                </c:pt>
                <c:pt idx="24">
                  <c:v>Maďarsko</c:v>
                </c:pt>
                <c:pt idx="25">
                  <c:v>Španělsko</c:v>
                </c:pt>
                <c:pt idx="26">
                  <c:v>Francie</c:v>
                </c:pt>
                <c:pt idx="27">
                  <c:v>Rumunsko</c:v>
                </c:pt>
                <c:pt idx="28">
                  <c:v>Kypr</c:v>
                </c:pt>
              </c:strCache>
            </c:strRef>
          </c:cat>
          <c:val>
            <c:numRef>
              <c:f>Data!$K$12:$K$40</c:f>
              <c:numCache>
                <c:formatCode>#\ ##0.0_ ;[Red]\-#\ ##0.0\ </c:formatCode>
                <c:ptCount val="29"/>
                <c:pt idx="0">
                  <c:v>1.4</c:v>
                </c:pt>
                <c:pt idx="1">
                  <c:v>1.2</c:v>
                </c:pt>
                <c:pt idx="2">
                  <c:v>3.4</c:v>
                </c:pt>
                <c:pt idx="3">
                  <c:v>1</c:v>
                </c:pt>
                <c:pt idx="4">
                  <c:v>1.2</c:v>
                </c:pt>
                <c:pt idx="5">
                  <c:v>0.7</c:v>
                </c:pt>
                <c:pt idx="6">
                  <c:v>1.6</c:v>
                </c:pt>
                <c:pt idx="7">
                  <c:v>1.4</c:v>
                </c:pt>
                <c:pt idx="8">
                  <c:v>0.5</c:v>
                </c:pt>
                <c:pt idx="9">
                  <c:v>0</c:v>
                </c:pt>
                <c:pt idx="10">
                  <c:v>1.4</c:v>
                </c:pt>
                <c:pt idx="11">
                  <c:v>0.8</c:v>
                </c:pt>
                <c:pt idx="12">
                  <c:v>-0.8</c:v>
                </c:pt>
                <c:pt idx="13">
                  <c:v>-0.3</c:v>
                </c:pt>
                <c:pt idx="14">
                  <c:v>-1.5</c:v>
                </c:pt>
                <c:pt idx="15">
                  <c:v>-3</c:v>
                </c:pt>
                <c:pt idx="16">
                  <c:v>-1</c:v>
                </c:pt>
                <c:pt idx="17">
                  <c:v>-0.4</c:v>
                </c:pt>
                <c:pt idx="18">
                  <c:v>-0.8</c:v>
                </c:pt>
                <c:pt idx="19">
                  <c:v>-0.8</c:v>
                </c:pt>
                <c:pt idx="20">
                  <c:v>-0.8</c:v>
                </c:pt>
                <c:pt idx="21">
                  <c:v>-0.6</c:v>
                </c:pt>
                <c:pt idx="22">
                  <c:v>-1.9</c:v>
                </c:pt>
                <c:pt idx="23">
                  <c:v>-2.4</c:v>
                </c:pt>
                <c:pt idx="24">
                  <c:v>-2.2000000000000002</c:v>
                </c:pt>
                <c:pt idx="25">
                  <c:v>-3.1</c:v>
                </c:pt>
                <c:pt idx="26">
                  <c:v>-2.8</c:v>
                </c:pt>
                <c:pt idx="27">
                  <c:v>-2.7</c:v>
                </c:pt>
                <c:pt idx="28">
                  <c:v>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80-4D1F-8997-2E09724B64BF}"/>
            </c:ext>
          </c:extLst>
        </c:ser>
        <c:ser>
          <c:idx val="1"/>
          <c:order val="1"/>
          <c:tx>
            <c:strRef>
              <c:f>Data!$L$11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C280-4D1F-8997-2E09724B64BF}"/>
              </c:ext>
            </c:extLst>
          </c:dPt>
          <c:cat>
            <c:strRef>
              <c:f>Data!$A$12:$A$40</c:f>
              <c:strCache>
                <c:ptCount val="29"/>
                <c:pt idx="0">
                  <c:v>Lucembursko</c:v>
                </c:pt>
                <c:pt idx="1">
                  <c:v>Bulharsko</c:v>
                </c:pt>
                <c:pt idx="2">
                  <c:v>Malta</c:v>
                </c:pt>
                <c:pt idx="3">
                  <c:v>Německo</c:v>
                </c:pt>
                <c:pt idx="4">
                  <c:v>Nizozemsko</c:v>
                </c:pt>
                <c:pt idx="5">
                  <c:v>Řecko</c:v>
                </c:pt>
                <c:pt idx="6">
                  <c:v>Česko</c:v>
                </c:pt>
                <c:pt idx="7">
                  <c:v>Švédsko</c:v>
                </c:pt>
                <c:pt idx="8">
                  <c:v>Litva</c:v>
                </c:pt>
                <c:pt idx="9">
                  <c:v>Slovinsko</c:v>
                </c:pt>
                <c:pt idx="10">
                  <c:v>Dánsko</c:v>
                </c:pt>
                <c:pt idx="11">
                  <c:v>Chorvatsko</c:v>
                </c:pt>
                <c:pt idx="12">
                  <c:v>Rakousko</c:v>
                </c:pt>
                <c:pt idx="13">
                  <c:v>Irsko</c:v>
                </c:pt>
                <c:pt idx="14">
                  <c:v>Polsko</c:v>
                </c:pt>
                <c:pt idx="15">
                  <c:v>Portugalsko</c:v>
                </c:pt>
                <c:pt idx="16">
                  <c:v>EU 28</c:v>
                </c:pt>
                <c:pt idx="17">
                  <c:v>Estonsko</c:v>
                </c:pt>
                <c:pt idx="18">
                  <c:v>Belgie</c:v>
                </c:pt>
                <c:pt idx="19">
                  <c:v>Slovensko</c:v>
                </c:pt>
                <c:pt idx="20">
                  <c:v>Finsko</c:v>
                </c:pt>
                <c:pt idx="21">
                  <c:v>Lotyšsko</c:v>
                </c:pt>
                <c:pt idx="22">
                  <c:v>Velká Británie</c:v>
                </c:pt>
                <c:pt idx="23">
                  <c:v>Itálie</c:v>
                </c:pt>
                <c:pt idx="24">
                  <c:v>Maďarsko</c:v>
                </c:pt>
                <c:pt idx="25">
                  <c:v>Španělsko</c:v>
                </c:pt>
                <c:pt idx="26">
                  <c:v>Francie</c:v>
                </c:pt>
                <c:pt idx="27">
                  <c:v>Rumunsko</c:v>
                </c:pt>
                <c:pt idx="28">
                  <c:v>Kypr</c:v>
                </c:pt>
              </c:strCache>
            </c:strRef>
          </c:cat>
          <c:val>
            <c:numRef>
              <c:f>Data!$L$12:$L$40</c:f>
              <c:numCache>
                <c:formatCode>#\ ##0.0_ ;[Red]\-#\ ##0.0\ </c:formatCode>
                <c:ptCount val="29"/>
                <c:pt idx="0">
                  <c:v>2.4</c:v>
                </c:pt>
                <c:pt idx="1">
                  <c:v>2</c:v>
                </c:pt>
                <c:pt idx="2">
                  <c:v>2</c:v>
                </c:pt>
                <c:pt idx="3">
                  <c:v>1.7</c:v>
                </c:pt>
                <c:pt idx="4">
                  <c:v>1.5</c:v>
                </c:pt>
                <c:pt idx="5">
                  <c:v>1.1000000000000001</c:v>
                </c:pt>
                <c:pt idx="6">
                  <c:v>0.9</c:v>
                </c:pt>
                <c:pt idx="7">
                  <c:v>0.9</c:v>
                </c:pt>
                <c:pt idx="8">
                  <c:v>0.7</c:v>
                </c:pt>
                <c:pt idx="9">
                  <c:v>0.7</c:v>
                </c:pt>
                <c:pt idx="10">
                  <c:v>0.5</c:v>
                </c:pt>
                <c:pt idx="11">
                  <c:v>0.2</c:v>
                </c:pt>
                <c:pt idx="12">
                  <c:v>0.1</c:v>
                </c:pt>
                <c:pt idx="13">
                  <c:v>0</c:v>
                </c:pt>
                <c:pt idx="14">
                  <c:v>-0.4</c:v>
                </c:pt>
                <c:pt idx="15">
                  <c:v>-0.5</c:v>
                </c:pt>
                <c:pt idx="16">
                  <c:v>-0.6</c:v>
                </c:pt>
                <c:pt idx="17">
                  <c:v>-0.6</c:v>
                </c:pt>
                <c:pt idx="18">
                  <c:v>-0.7</c:v>
                </c:pt>
                <c:pt idx="19">
                  <c:v>-0.7</c:v>
                </c:pt>
                <c:pt idx="20">
                  <c:v>-0.7</c:v>
                </c:pt>
                <c:pt idx="21">
                  <c:v>-1</c:v>
                </c:pt>
                <c:pt idx="22">
                  <c:v>-1.5</c:v>
                </c:pt>
                <c:pt idx="23">
                  <c:v>-2.1</c:v>
                </c:pt>
                <c:pt idx="24">
                  <c:v>-2.2000000000000002</c:v>
                </c:pt>
                <c:pt idx="25">
                  <c:v>-2.5</c:v>
                </c:pt>
                <c:pt idx="26">
                  <c:v>-2.5</c:v>
                </c:pt>
                <c:pt idx="27">
                  <c:v>-3</c:v>
                </c:pt>
                <c:pt idx="28">
                  <c:v>-4.8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280-4D1F-8997-2E09724B64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9"/>
        <c:overlap val="-27"/>
        <c:axId val="211071232"/>
        <c:axId val="211068736"/>
      </c:barChart>
      <c:catAx>
        <c:axId val="211071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211068736"/>
        <c:crosses val="autoZero"/>
        <c:auto val="1"/>
        <c:lblAlgn val="ctr"/>
        <c:lblOffset val="100"/>
        <c:noMultiLvlLbl val="0"/>
      </c:catAx>
      <c:valAx>
        <c:axId val="211068736"/>
        <c:scaling>
          <c:orientation val="minMax"/>
          <c:min val="-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211071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List1!$N$4</c:f>
              <c:strCache>
                <c:ptCount val="1"/>
                <c:pt idx="0">
                  <c:v>Čisté půjčky (-) / výpujčky (+)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numRef>
              <c:f>List1!$M$5:$M$15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List1!$N$5:$N$15</c:f>
              <c:numCache>
                <c:formatCode>General</c:formatCode>
                <c:ptCount val="11"/>
                <c:pt idx="0">
                  <c:v>-79.665000000000006</c:v>
                </c:pt>
                <c:pt idx="1">
                  <c:v>-214.21100000000001</c:v>
                </c:pt>
                <c:pt idx="2">
                  <c:v>-166.017</c:v>
                </c:pt>
                <c:pt idx="3">
                  <c:v>-109.896</c:v>
                </c:pt>
                <c:pt idx="4">
                  <c:v>-159.55199999999999</c:v>
                </c:pt>
                <c:pt idx="5">
                  <c:v>-51.128999999999998</c:v>
                </c:pt>
                <c:pt idx="6">
                  <c:v>-90.561000000000007</c:v>
                </c:pt>
                <c:pt idx="7">
                  <c:v>-28.26</c:v>
                </c:pt>
                <c:pt idx="8">
                  <c:v>34.274000000000001</c:v>
                </c:pt>
                <c:pt idx="9">
                  <c:v>78.765000000000001</c:v>
                </c:pt>
                <c:pt idx="10">
                  <c:v>47.427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EB-415C-8215-87C5F91794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06027488"/>
        <c:axId val="319039552"/>
      </c:barChart>
      <c:lineChart>
        <c:grouping val="standard"/>
        <c:varyColors val="0"/>
        <c:ser>
          <c:idx val="1"/>
          <c:order val="1"/>
          <c:tx>
            <c:strRef>
              <c:f>List1!$O$4</c:f>
              <c:strCache>
                <c:ptCount val="1"/>
                <c:pt idx="0">
                  <c:v>Výdaje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List1!$M$5:$M$15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List1!$O$5:$O$15</c:f>
              <c:numCache>
                <c:formatCode>General</c:formatCode>
                <c:ptCount val="11"/>
                <c:pt idx="0">
                  <c:v>1635.279</c:v>
                </c:pt>
                <c:pt idx="1">
                  <c:v>1737.2329999999999</c:v>
                </c:pt>
                <c:pt idx="2">
                  <c:v>1724.241</c:v>
                </c:pt>
                <c:pt idx="3">
                  <c:v>1735.9159999999999</c:v>
                </c:pt>
                <c:pt idx="4">
                  <c:v>1805.836</c:v>
                </c:pt>
                <c:pt idx="5">
                  <c:v>1745.9079999999999</c:v>
                </c:pt>
                <c:pt idx="6">
                  <c:v>1830.5139999999999</c:v>
                </c:pt>
                <c:pt idx="7">
                  <c:v>1916.39</c:v>
                </c:pt>
                <c:pt idx="8">
                  <c:v>1882.5250000000001</c:v>
                </c:pt>
                <c:pt idx="9">
                  <c:v>1965.604</c:v>
                </c:pt>
                <c:pt idx="10">
                  <c:v>2163.395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CEB-415C-8215-87C5F91794F9}"/>
            </c:ext>
          </c:extLst>
        </c:ser>
        <c:ser>
          <c:idx val="2"/>
          <c:order val="2"/>
          <c:tx>
            <c:strRef>
              <c:f>List1!$P$4</c:f>
              <c:strCache>
                <c:ptCount val="1"/>
                <c:pt idx="0">
                  <c:v>Příjmy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cat>
            <c:numRef>
              <c:f>List1!$M$5:$M$15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List1!$P$5:$P$15</c:f>
              <c:numCache>
                <c:formatCode>General</c:formatCode>
                <c:ptCount val="11"/>
                <c:pt idx="0">
                  <c:v>1555.614</c:v>
                </c:pt>
                <c:pt idx="1">
                  <c:v>1523.0219999999999</c:v>
                </c:pt>
                <c:pt idx="2">
                  <c:v>1558.2239999999999</c:v>
                </c:pt>
                <c:pt idx="3">
                  <c:v>1626.02</c:v>
                </c:pt>
                <c:pt idx="4">
                  <c:v>1646.2840000000001</c:v>
                </c:pt>
                <c:pt idx="5">
                  <c:v>1694.779</c:v>
                </c:pt>
                <c:pt idx="6">
                  <c:v>1739.953</c:v>
                </c:pt>
                <c:pt idx="7">
                  <c:v>1888.13</c:v>
                </c:pt>
                <c:pt idx="8">
                  <c:v>1916.799</c:v>
                </c:pt>
                <c:pt idx="9">
                  <c:v>2044.3689999999999</c:v>
                </c:pt>
                <c:pt idx="10">
                  <c:v>2210.8220000000001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CEB-415C-8215-87C5F91794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1936320"/>
        <c:axId val="451936736"/>
      </c:lineChart>
      <c:catAx>
        <c:axId val="451936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451936736"/>
        <c:crosses val="autoZero"/>
        <c:auto val="1"/>
        <c:lblAlgn val="ctr"/>
        <c:lblOffset val="100"/>
        <c:noMultiLvlLbl val="0"/>
      </c:catAx>
      <c:valAx>
        <c:axId val="451936736"/>
        <c:scaling>
          <c:orientation val="minMax"/>
          <c:min val="150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451936320"/>
        <c:crosses val="autoZero"/>
        <c:crossBetween val="between"/>
      </c:valAx>
      <c:valAx>
        <c:axId val="319039552"/>
        <c:scaling>
          <c:orientation val="minMax"/>
        </c:scaling>
        <c:delete val="0"/>
        <c:axPos val="r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406027488"/>
        <c:crosses val="max"/>
        <c:crossBetween val="between"/>
        <c:minorUnit val="50"/>
      </c:valAx>
      <c:catAx>
        <c:axId val="4060274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1903955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6578647416413385E-2"/>
          <c:y val="0.92549279522683781"/>
          <c:w val="0.83488475177304977"/>
          <c:h val="5.30617471574918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1"/>
          <c:order val="1"/>
          <c:tx>
            <c:strRef>
              <c:f>List1!$C$4</c:f>
              <c:strCache>
                <c:ptCount val="1"/>
                <c:pt idx="0">
                  <c:v>Ústřední vládní instituce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List1!$A$5:$A$15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List1!$C$5:$C$15</c:f>
              <c:numCache>
                <c:formatCode>General</c:formatCode>
                <c:ptCount val="11"/>
                <c:pt idx="0">
                  <c:v>-82.016999999999996</c:v>
                </c:pt>
                <c:pt idx="1">
                  <c:v>-178.85499999999999</c:v>
                </c:pt>
                <c:pt idx="2">
                  <c:v>-142.113</c:v>
                </c:pt>
                <c:pt idx="3">
                  <c:v>-91.715999999999994</c:v>
                </c:pt>
                <c:pt idx="4">
                  <c:v>-150.63900000000001</c:v>
                </c:pt>
                <c:pt idx="5">
                  <c:v>-64.174000000000007</c:v>
                </c:pt>
                <c:pt idx="6">
                  <c:v>-95.561999999999998</c:v>
                </c:pt>
                <c:pt idx="7">
                  <c:v>-56.164999999999999</c:v>
                </c:pt>
                <c:pt idx="8">
                  <c:v>-20.271000000000001</c:v>
                </c:pt>
                <c:pt idx="9">
                  <c:v>28.672999999999998</c:v>
                </c:pt>
                <c:pt idx="10">
                  <c:v>12.023999999999999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D8-4931-8C0A-DAEEAE9FD45F}"/>
            </c:ext>
          </c:extLst>
        </c:ser>
        <c:ser>
          <c:idx val="2"/>
          <c:order val="2"/>
          <c:tx>
            <c:strRef>
              <c:f>List1!$D$4</c:f>
              <c:strCache>
                <c:ptCount val="1"/>
                <c:pt idx="0">
                  <c:v>Místní vládní instituce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numRef>
              <c:f>List1!$A$5:$A$15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List1!$D$5:$D$15</c:f>
              <c:numCache>
                <c:formatCode>General</c:formatCode>
                <c:ptCount val="11"/>
                <c:pt idx="0">
                  <c:v>-7.69</c:v>
                </c:pt>
                <c:pt idx="1">
                  <c:v>-24.707000000000001</c:v>
                </c:pt>
                <c:pt idx="2">
                  <c:v>-15.185</c:v>
                </c:pt>
                <c:pt idx="3">
                  <c:v>-11.254</c:v>
                </c:pt>
                <c:pt idx="4">
                  <c:v>-2.085</c:v>
                </c:pt>
                <c:pt idx="5">
                  <c:v>12.13</c:v>
                </c:pt>
                <c:pt idx="6">
                  <c:v>7.6929999999999996</c:v>
                </c:pt>
                <c:pt idx="7">
                  <c:v>25.992000000000001</c:v>
                </c:pt>
                <c:pt idx="8">
                  <c:v>49.658999999999999</c:v>
                </c:pt>
                <c:pt idx="9">
                  <c:v>41.91</c:v>
                </c:pt>
                <c:pt idx="10">
                  <c:v>19.02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D8-4931-8C0A-DAEEAE9FD45F}"/>
            </c:ext>
          </c:extLst>
        </c:ser>
        <c:ser>
          <c:idx val="3"/>
          <c:order val="3"/>
          <c:tx>
            <c:strRef>
              <c:f>List1!$E$4</c:f>
              <c:strCache>
                <c:ptCount val="1"/>
                <c:pt idx="0">
                  <c:v>Fondy sociálního zabezpečení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numRef>
              <c:f>List1!$A$5:$A$15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List1!$E$5:$E$15</c:f>
              <c:numCache>
                <c:formatCode>General</c:formatCode>
                <c:ptCount val="11"/>
                <c:pt idx="0">
                  <c:v>10.042</c:v>
                </c:pt>
                <c:pt idx="1">
                  <c:v>-10.648999999999999</c:v>
                </c:pt>
                <c:pt idx="2">
                  <c:v>-8.7189999999999994</c:v>
                </c:pt>
                <c:pt idx="3">
                  <c:v>-6.9260000000000002</c:v>
                </c:pt>
                <c:pt idx="4">
                  <c:v>-6.8280000000000003</c:v>
                </c:pt>
                <c:pt idx="5">
                  <c:v>0.91500000000000004</c:v>
                </c:pt>
                <c:pt idx="6">
                  <c:v>-2.6920000000000002</c:v>
                </c:pt>
                <c:pt idx="7">
                  <c:v>1.913</c:v>
                </c:pt>
                <c:pt idx="8">
                  <c:v>4.8860000000000001</c:v>
                </c:pt>
                <c:pt idx="9">
                  <c:v>8.1820000000000004</c:v>
                </c:pt>
                <c:pt idx="10">
                  <c:v>16.382999999999999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2D8-4931-8C0A-DAEEAE9FD4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403495584"/>
        <c:axId val="331859984"/>
      </c:barChart>
      <c:lineChart>
        <c:grouping val="standard"/>
        <c:varyColors val="0"/>
        <c:ser>
          <c:idx val="0"/>
          <c:order val="0"/>
          <c:tx>
            <c:strRef>
              <c:f>List1!$B$4</c:f>
              <c:strCache>
                <c:ptCount val="1"/>
                <c:pt idx="0">
                  <c:v>Celkem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List1!$A$5:$A$15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List1!$B$5:$B$15</c:f>
              <c:numCache>
                <c:formatCode>General</c:formatCode>
                <c:ptCount val="11"/>
                <c:pt idx="0">
                  <c:v>-79.665000000000006</c:v>
                </c:pt>
                <c:pt idx="1">
                  <c:v>-214.21100000000001</c:v>
                </c:pt>
                <c:pt idx="2">
                  <c:v>-166.017</c:v>
                </c:pt>
                <c:pt idx="3">
                  <c:v>-109.896</c:v>
                </c:pt>
                <c:pt idx="4">
                  <c:v>-159.55199999999999</c:v>
                </c:pt>
                <c:pt idx="5">
                  <c:v>-51.128999999999998</c:v>
                </c:pt>
                <c:pt idx="6">
                  <c:v>-90.561000000000007</c:v>
                </c:pt>
                <c:pt idx="7">
                  <c:v>-28.26</c:v>
                </c:pt>
                <c:pt idx="8">
                  <c:v>34.274000000000001</c:v>
                </c:pt>
                <c:pt idx="9">
                  <c:v>78.765000000000001</c:v>
                </c:pt>
                <c:pt idx="10">
                  <c:v>47.427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2D8-4931-8C0A-DAEEAE9FD4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3495584"/>
        <c:axId val="331859984"/>
      </c:lineChart>
      <c:catAx>
        <c:axId val="403495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331859984"/>
        <c:crosses val="autoZero"/>
        <c:auto val="1"/>
        <c:lblAlgn val="ctr"/>
        <c:lblOffset val="100"/>
        <c:noMultiLvlLbl val="0"/>
      </c:catAx>
      <c:valAx>
        <c:axId val="331859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403495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1584979736575483E-2"/>
          <c:y val="0.87779241247326356"/>
          <c:w val="0.87972095575818987"/>
          <c:h val="0.100762129911066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800869638635598E-2"/>
          <c:y val="3.9316672295395698E-2"/>
          <c:w val="0.89171162613981758"/>
          <c:h val="0.76660756501182037"/>
        </c:manualLayout>
      </c:layout>
      <c:barChart>
        <c:barDir val="col"/>
        <c:grouping val="stacked"/>
        <c:varyColors val="0"/>
        <c:ser>
          <c:idx val="6"/>
          <c:order val="1"/>
          <c:tx>
            <c:strRef>
              <c:f>GOV_DEBT_CZ!$T$25</c:f>
              <c:strCache>
                <c:ptCount val="1"/>
                <c:pt idx="0">
                  <c:v>Dlouhodobé dluhové cenné papíry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numRef>
              <c:f>GOV_DEBT_CZ!$M$26:$M$36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GOV_DEBT_CZ!$T$26:$T$36</c:f>
              <c:numCache>
                <c:formatCode>General</c:formatCode>
                <c:ptCount val="11"/>
                <c:pt idx="0">
                  <c:v>91.179000000000002</c:v>
                </c:pt>
                <c:pt idx="1">
                  <c:v>142.77800000000013</c:v>
                </c:pt>
                <c:pt idx="2">
                  <c:v>132.60500000000002</c:v>
                </c:pt>
                <c:pt idx="3">
                  <c:v>86.786999999999807</c:v>
                </c:pt>
                <c:pt idx="4">
                  <c:v>153.67100000000005</c:v>
                </c:pt>
                <c:pt idx="5">
                  <c:v>93.65300000000002</c:v>
                </c:pt>
                <c:pt idx="6">
                  <c:v>-2.1150000000000091</c:v>
                </c:pt>
                <c:pt idx="7">
                  <c:v>48.024000000000115</c:v>
                </c:pt>
                <c:pt idx="8">
                  <c:v>24.256999999999834</c:v>
                </c:pt>
                <c:pt idx="9">
                  <c:v>-30.115999999999985</c:v>
                </c:pt>
                <c:pt idx="10">
                  <c:v>-8.1949999999999363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FA-4429-9D8A-2CCA3396F95A}"/>
            </c:ext>
          </c:extLst>
        </c:ser>
        <c:ser>
          <c:idx val="5"/>
          <c:order val="2"/>
          <c:tx>
            <c:strRef>
              <c:f>GOV_DEBT_CZ!$S$25</c:f>
              <c:strCache>
                <c:ptCount val="1"/>
                <c:pt idx="0">
                  <c:v>Krátkodobé dluhové cenné papíry</c:v>
                </c:pt>
              </c:strCache>
            </c:strRef>
          </c:tx>
          <c:spPr>
            <a:solidFill>
              <a:srgbClr val="FFABAB"/>
            </a:solidFill>
            <a:ln>
              <a:noFill/>
            </a:ln>
            <a:effectLst/>
          </c:spPr>
          <c:invertIfNegative val="0"/>
          <c:cat>
            <c:numRef>
              <c:f>GOV_DEBT_CZ!$M$26:$M$36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GOV_DEBT_CZ!$S$26:$S$36</c:f>
              <c:numCache>
                <c:formatCode>General</c:formatCode>
                <c:ptCount val="11"/>
                <c:pt idx="0">
                  <c:v>-12.997</c:v>
                </c:pt>
                <c:pt idx="1">
                  <c:v>15.194000000000003</c:v>
                </c:pt>
                <c:pt idx="2">
                  <c:v>22.599999999999994</c:v>
                </c:pt>
                <c:pt idx="3">
                  <c:v>41.106999999999999</c:v>
                </c:pt>
                <c:pt idx="4">
                  <c:v>41.652000000000015</c:v>
                </c:pt>
                <c:pt idx="5">
                  <c:v>-58.018000000000015</c:v>
                </c:pt>
                <c:pt idx="6">
                  <c:v>-14.031999999999996</c:v>
                </c:pt>
                <c:pt idx="7">
                  <c:v>-22.658000000000001</c:v>
                </c:pt>
                <c:pt idx="8">
                  <c:v>-79.512999999999991</c:v>
                </c:pt>
                <c:pt idx="9">
                  <c:v>39.39</c:v>
                </c:pt>
                <c:pt idx="10">
                  <c:v>-39.576999999999998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FA-4429-9D8A-2CCA3396F95A}"/>
            </c:ext>
          </c:extLst>
        </c:ser>
        <c:ser>
          <c:idx val="9"/>
          <c:order val="3"/>
          <c:tx>
            <c:strRef>
              <c:f>GOV_DEBT_CZ!$W$25</c:f>
              <c:strCache>
                <c:ptCount val="1"/>
                <c:pt idx="0">
                  <c:v>Dlouhodobé půjčky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numRef>
              <c:f>GOV_DEBT_CZ!$M$26:$M$36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GOV_DEBT_CZ!$W$26:$W$36</c:f>
              <c:numCache>
                <c:formatCode>General</c:formatCode>
                <c:ptCount val="11"/>
                <c:pt idx="0">
                  <c:v>5.38</c:v>
                </c:pt>
                <c:pt idx="1">
                  <c:v>18.286000000000001</c:v>
                </c:pt>
                <c:pt idx="2">
                  <c:v>8.1639999999999873</c:v>
                </c:pt>
                <c:pt idx="3">
                  <c:v>2.6310000000000002</c:v>
                </c:pt>
                <c:pt idx="4">
                  <c:v>3.8550000000000182</c:v>
                </c:pt>
                <c:pt idx="5">
                  <c:v>-0.10800000000000409</c:v>
                </c:pt>
                <c:pt idx="6">
                  <c:v>-13.024000000000001</c:v>
                </c:pt>
                <c:pt idx="7">
                  <c:v>-3.4690000000000225</c:v>
                </c:pt>
                <c:pt idx="8">
                  <c:v>-22.870999999999981</c:v>
                </c:pt>
                <c:pt idx="9">
                  <c:v>-12.171999999999997</c:v>
                </c:pt>
                <c:pt idx="10">
                  <c:v>-11.852000000000004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FA-4429-9D8A-2CCA3396F95A}"/>
            </c:ext>
          </c:extLst>
        </c:ser>
        <c:ser>
          <c:idx val="8"/>
          <c:order val="4"/>
          <c:tx>
            <c:strRef>
              <c:f>GOV_DEBT_CZ!$V$25</c:f>
              <c:strCache>
                <c:ptCount val="1"/>
                <c:pt idx="0">
                  <c:v>Krátkodobé půjčky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numRef>
              <c:f>GOV_DEBT_CZ!$M$26:$M$36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GOV_DEBT_CZ!$V$26:$V$36</c:f>
              <c:numCache>
                <c:formatCode>General</c:formatCode>
                <c:ptCount val="11"/>
                <c:pt idx="0">
                  <c:v>-2.3250000000000002</c:v>
                </c:pt>
                <c:pt idx="1">
                  <c:v>5.9979999999999993</c:v>
                </c:pt>
                <c:pt idx="2">
                  <c:v>-1.1439999999999984</c:v>
                </c:pt>
                <c:pt idx="3">
                  <c:v>1.004999999999999</c:v>
                </c:pt>
                <c:pt idx="4">
                  <c:v>-5.335</c:v>
                </c:pt>
                <c:pt idx="5">
                  <c:v>1.0270000000000001</c:v>
                </c:pt>
                <c:pt idx="6">
                  <c:v>4.7309999999999999</c:v>
                </c:pt>
                <c:pt idx="7">
                  <c:v>-0.14300000000000068</c:v>
                </c:pt>
                <c:pt idx="8">
                  <c:v>-6.3829999999999991</c:v>
                </c:pt>
                <c:pt idx="9">
                  <c:v>0.1379999999999999</c:v>
                </c:pt>
                <c:pt idx="10">
                  <c:v>42.403999999999996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CFA-4429-9D8A-2CCA3396F95A}"/>
            </c:ext>
          </c:extLst>
        </c:ser>
        <c:ser>
          <c:idx val="1"/>
          <c:order val="5"/>
          <c:tx>
            <c:strRef>
              <c:f>GOV_DEBT_CZ!$O$25</c:f>
              <c:strCache>
                <c:ptCount val="1"/>
                <c:pt idx="0">
                  <c:v>Oběživo a vklady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numRef>
              <c:f>GOV_DEBT_CZ!$M$26:$M$36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GOV_DEBT_CZ!$O$26:$O$36</c:f>
              <c:numCache>
                <c:formatCode>General</c:formatCode>
                <c:ptCount val="11"/>
                <c:pt idx="0">
                  <c:v>0.89800000000000002</c:v>
                </c:pt>
                <c:pt idx="1">
                  <c:v>-1.1000000000001009E-2</c:v>
                </c:pt>
                <c:pt idx="2">
                  <c:v>-1.1239999999999988</c:v>
                </c:pt>
                <c:pt idx="3">
                  <c:v>-5.2030000000000012</c:v>
                </c:pt>
                <c:pt idx="4">
                  <c:v>5.0940000000000012</c:v>
                </c:pt>
                <c:pt idx="5">
                  <c:v>-1.5710000000000006</c:v>
                </c:pt>
                <c:pt idx="6">
                  <c:v>3.1260000000000003</c:v>
                </c:pt>
                <c:pt idx="7">
                  <c:v>-4.5970000000000004</c:v>
                </c:pt>
                <c:pt idx="8">
                  <c:v>3.1380000000000008</c:v>
                </c:pt>
                <c:pt idx="9">
                  <c:v>-2.5910000000000011</c:v>
                </c:pt>
                <c:pt idx="10">
                  <c:v>2.7640000000000011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CFA-4429-9D8A-2CCA3396F9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04312896"/>
        <c:axId val="104312480"/>
      </c:barChart>
      <c:lineChart>
        <c:grouping val="standard"/>
        <c:varyColors val="0"/>
        <c:ser>
          <c:idx val="0"/>
          <c:order val="0"/>
          <c:tx>
            <c:strRef>
              <c:f>GOV_DEBT_CZ!$N$25</c:f>
              <c:strCache>
                <c:ptCount val="1"/>
                <c:pt idx="0">
                  <c:v>Celkem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GOV_DEBT_CZ!$M$26:$M$36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GOV_DEBT_CZ!$N$26:$N$36</c:f>
              <c:numCache>
                <c:formatCode>General</c:formatCode>
                <c:ptCount val="11"/>
                <c:pt idx="0">
                  <c:v>82.135000000000005</c:v>
                </c:pt>
                <c:pt idx="1">
                  <c:v>182.24500000000012</c:v>
                </c:pt>
                <c:pt idx="2">
                  <c:v>161.10099999999989</c:v>
                </c:pt>
                <c:pt idx="3">
                  <c:v>126.327</c:v>
                </c:pt>
                <c:pt idx="4">
                  <c:v>198.93700000000013</c:v>
                </c:pt>
                <c:pt idx="5">
                  <c:v>34.982999999999947</c:v>
                </c:pt>
                <c:pt idx="6">
                  <c:v>-21.314000000000078</c:v>
                </c:pt>
                <c:pt idx="7">
                  <c:v>17.157000000000153</c:v>
                </c:pt>
                <c:pt idx="8">
                  <c:v>-81.372000000000071</c:v>
                </c:pt>
                <c:pt idx="9">
                  <c:v>-5.3510000000001128</c:v>
                </c:pt>
                <c:pt idx="10">
                  <c:v>-14.455999999999904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CFA-4429-9D8A-2CCA3396F9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312896"/>
        <c:axId val="104312480"/>
      </c:lineChart>
      <c:catAx>
        <c:axId val="104312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04312480"/>
        <c:crosses val="autoZero"/>
        <c:auto val="1"/>
        <c:lblAlgn val="ctr"/>
        <c:lblOffset val="100"/>
        <c:noMultiLvlLbl val="0"/>
      </c:catAx>
      <c:valAx>
        <c:axId val="104312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04312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9426925025329276E-2"/>
          <c:y val="0.88191855229089267"/>
          <c:w val="0.89475979398851735"/>
          <c:h val="9.66359900934368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BAFFC-C130-4762-9009-92B83108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Anaýza ekonomického vývoje v roce 2017.dotx</Template>
  <TotalTime>118</TotalTime>
  <Pages>4</Pages>
  <Words>1176</Words>
  <Characters>6939</Characters>
  <Application>Microsoft Office Word</Application>
  <DocSecurity>0</DocSecurity>
  <Lines>57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8099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12</cp:revision>
  <cp:lastPrinted>2014-07-17T14:07:00Z</cp:lastPrinted>
  <dcterms:created xsi:type="dcterms:W3CDTF">2019-08-12T08:04:00Z</dcterms:created>
  <dcterms:modified xsi:type="dcterms:W3CDTF">2019-08-13T09:10:00Z</dcterms:modified>
</cp:coreProperties>
</file>