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9EB9" w14:textId="77777777" w:rsidR="00E13995" w:rsidRDefault="00E13995" w:rsidP="00E13995">
      <w:pPr>
        <w:spacing w:after="0" w:line="240" w:lineRule="auto"/>
        <w:jc w:val="left"/>
        <w:rPr>
          <w:b/>
          <w:sz w:val="2"/>
          <w:szCs w:val="2"/>
          <w:highlight w:val="yellow"/>
        </w:rPr>
      </w:pPr>
      <w:bookmarkStart w:id="0" w:name="_Toc532558284"/>
      <w:bookmarkStart w:id="1" w:name="_Toc26539341"/>
      <w:bookmarkStart w:id="2" w:name="_Toc11237634"/>
    </w:p>
    <w:p w14:paraId="729AE94F" w14:textId="0ECEC0AD" w:rsidR="00E13995" w:rsidRDefault="00E13995" w:rsidP="00E13995">
      <w:pPr>
        <w:pStyle w:val="Nadpis11"/>
      </w:pPr>
      <w:bookmarkStart w:id="3" w:name="_Toc58605373"/>
      <w:r>
        <w:t>3</w:t>
      </w:r>
      <w:r w:rsidRPr="00B43216">
        <w:t>. </w:t>
      </w:r>
      <w:r>
        <w:t>Výkonnost odvětví</w:t>
      </w:r>
      <w:bookmarkEnd w:id="3"/>
    </w:p>
    <w:tbl>
      <w:tblPr>
        <w:tblW w:w="9664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216"/>
        <w:gridCol w:w="7656"/>
      </w:tblGrid>
      <w:tr w:rsidR="008D3ACD" w:rsidRPr="006237E6" w14:paraId="2BED83D7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3359FFA" w14:textId="77777777" w:rsidR="008D3ACD" w:rsidRPr="007C4B8D" w:rsidRDefault="008D3ACD" w:rsidP="008D3ACD">
            <w:pPr>
              <w:pStyle w:val="Marginlie"/>
            </w:pPr>
            <w:r>
              <w:t xml:space="preserve">Po rekordním </w:t>
            </w:r>
            <w:proofErr w:type="spellStart"/>
            <w:r>
              <w:t>m</w:t>
            </w:r>
            <w:r w:rsidRPr="00883202">
              <w:t>ezikvartální</w:t>
            </w:r>
            <w:r>
              <w:t>m</w:t>
            </w:r>
            <w:proofErr w:type="spellEnd"/>
            <w:r>
              <w:t xml:space="preserve"> propadu HPH v celé ekonomice přišlo ve 3</w:t>
            </w:r>
            <w:r w:rsidRPr="00883202">
              <w:t>. čtvrtletí</w:t>
            </w:r>
            <w:r>
              <w:t xml:space="preserve"> oživení. Výkon většiny hlavních odvětví ale stále zůstával pod úrovní počátku roku.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B4723EC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339D001" w14:textId="77777777" w:rsidR="008D3ACD" w:rsidRPr="008D3ACD" w:rsidRDefault="008D3ACD" w:rsidP="008D3ACD">
            <w:pPr>
              <w:spacing w:after="200"/>
              <w:rPr>
                <w:rFonts w:cs="Arial"/>
                <w:bCs/>
                <w:color w:val="000000"/>
                <w:spacing w:val="-2"/>
                <w:szCs w:val="20"/>
              </w:rPr>
            </w:pPr>
            <w:r w:rsidRPr="008D3ACD">
              <w:rPr>
                <w:spacing w:val="-2"/>
              </w:rPr>
              <w:t xml:space="preserve">Jestliže restriktivní </w:t>
            </w:r>
            <w:proofErr w:type="spellStart"/>
            <w:r w:rsidRPr="008D3ACD">
              <w:rPr>
                <w:spacing w:val="-2"/>
              </w:rPr>
              <w:t>protipandemická</w:t>
            </w:r>
            <w:proofErr w:type="spellEnd"/>
            <w:r w:rsidRPr="008D3ACD">
              <w:rPr>
                <w:spacing w:val="-2"/>
              </w:rPr>
              <w:t xml:space="preserve"> opatření tvrdě dopadla v 1. čtvrtletí 2020 primárně na odvětví těsně navázaná na cestovní ruch, během následujícího kvartálu již dokázala na několik týdnů ochromit velkou část ekonomiky. Hrubá přidaná hodnota (HPH)</w:t>
            </w:r>
            <w:r w:rsidRPr="008D3ACD">
              <w:rPr>
                <w:rStyle w:val="Znakapoznpodarou"/>
                <w:spacing w:val="-2"/>
              </w:rPr>
              <w:footnoteReference w:id="1"/>
            </w:r>
            <w:r w:rsidRPr="008D3ACD">
              <w:rPr>
                <w:spacing w:val="-2"/>
              </w:rPr>
              <w:t xml:space="preserve"> tak mezikvartálně propadla o rekordních 9,4 % a citelně prohloubila svůj pokles z 1. čtvrtletí (</w:t>
            </w:r>
            <w:r w:rsidRPr="008D3ACD">
              <w:rPr>
                <w:color w:val="000000" w:themeColor="text1"/>
                <w:spacing w:val="-2"/>
              </w:rPr>
              <w:t>–</w:t>
            </w:r>
            <w:r w:rsidRPr="008D3ACD">
              <w:rPr>
                <w:spacing w:val="-2"/>
              </w:rPr>
              <w:t xml:space="preserve">2,4 %). Ve 3. čtvrtletí byla většina významných restriktivních opatření zrušena, a ekonomika se tak mohla znovu nadechnout. Výsledkem byl 7,3% </w:t>
            </w:r>
            <w:proofErr w:type="spellStart"/>
            <w:r w:rsidRPr="008D3ACD">
              <w:rPr>
                <w:spacing w:val="-2"/>
              </w:rPr>
              <w:t>mezikvartální</w:t>
            </w:r>
            <w:proofErr w:type="spellEnd"/>
            <w:r w:rsidRPr="008D3ACD">
              <w:rPr>
                <w:spacing w:val="-2"/>
              </w:rPr>
              <w:t xml:space="preserve"> růst, který rovněž neměl v téměř 25leté dostupné časové řadě obdoby. Výkon většiny hlavních odvětví se ale na úroveň z 1. letošního čtvrtletí dosud nevrátil. Výjimkou bylo uskupení odvětví s převahou vládního sektoru a též odvětví zemědělství, lesnictví a rybářství.</w:t>
            </w:r>
          </w:p>
        </w:tc>
      </w:tr>
      <w:tr w:rsidR="008D3ACD" w:rsidRPr="006237E6" w14:paraId="4D212544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51E7A1E7" w14:textId="77777777" w:rsidR="008D3ACD" w:rsidRDefault="008D3ACD" w:rsidP="008D3ACD">
            <w:pPr>
              <w:pStyle w:val="Marginlie"/>
              <w:rPr>
                <w:spacing w:val="-4"/>
              </w:rPr>
            </w:pPr>
            <w:r w:rsidRPr="00883202">
              <w:t xml:space="preserve">Největší meziroční útlum </w:t>
            </w:r>
            <w:r>
              <w:t>HPH postihl v 1. až 3. čtvrtletí</w:t>
            </w:r>
            <w:r w:rsidRPr="00883202">
              <w:t xml:space="preserve"> hlavně státy jižního</w:t>
            </w:r>
            <w:r>
              <w:t xml:space="preserve"> křídla eurozóny. Česko si vedlo podobně jako většina středoevropských ekonomik.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E3AE9BE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525FB28" w14:textId="77777777" w:rsidR="008D3ACD" w:rsidRPr="00F63577" w:rsidRDefault="008D3ACD" w:rsidP="008D3ACD">
            <w:pPr>
              <w:spacing w:after="200"/>
              <w:rPr>
                <w:rFonts w:cs="Arial"/>
                <w:bCs/>
                <w:color w:val="000000"/>
                <w:spacing w:val="-4"/>
                <w:szCs w:val="20"/>
              </w:rPr>
            </w:pPr>
            <w:r w:rsidRPr="00F63577">
              <w:rPr>
                <w:spacing w:val="-4"/>
              </w:rPr>
              <w:t>Za 1</w:t>
            </w:r>
            <w:r>
              <w:rPr>
                <w:spacing w:val="-4"/>
              </w:rPr>
              <w:t>. </w:t>
            </w:r>
            <w:r w:rsidRPr="00F63577">
              <w:rPr>
                <w:spacing w:val="-4"/>
              </w:rPr>
              <w:t>až 3.</w:t>
            </w:r>
            <w:r>
              <w:rPr>
                <w:spacing w:val="-4"/>
              </w:rPr>
              <w:t> čtvrtlet</w:t>
            </w:r>
            <w:r w:rsidRPr="00F63577">
              <w:rPr>
                <w:spacing w:val="-4"/>
              </w:rPr>
              <w:t>í 2020 se HPH meziročně snížila o</w:t>
            </w:r>
            <w:r>
              <w:rPr>
                <w:spacing w:val="-4"/>
              </w:rPr>
              <w:t> </w:t>
            </w:r>
            <w:r w:rsidRPr="00F63577">
              <w:rPr>
                <w:spacing w:val="-4"/>
              </w:rPr>
              <w:t>5,7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. Dosud nejhlubší pokles v tomto období roku byl v</w:t>
            </w:r>
            <w:r>
              <w:rPr>
                <w:spacing w:val="-4"/>
              </w:rPr>
              <w:t xml:space="preserve"> časové </w:t>
            </w:r>
            <w:r w:rsidRPr="00F63577">
              <w:rPr>
                <w:spacing w:val="-4"/>
              </w:rPr>
              <w:t>řadě od poloviny 90</w:t>
            </w:r>
            <w:r>
              <w:rPr>
                <w:spacing w:val="-4"/>
              </w:rPr>
              <w:t>. </w:t>
            </w:r>
            <w:r w:rsidRPr="00F63577">
              <w:rPr>
                <w:spacing w:val="-4"/>
              </w:rPr>
              <w:t xml:space="preserve">let </w:t>
            </w:r>
            <w:r>
              <w:rPr>
                <w:spacing w:val="-4"/>
              </w:rPr>
              <w:t>registrov</w:t>
            </w:r>
            <w:r w:rsidRPr="00F63577">
              <w:rPr>
                <w:spacing w:val="-4"/>
              </w:rPr>
              <w:t>án během krizového roku 2009 (</w:t>
            </w:r>
            <w:r>
              <w:rPr>
                <w:spacing w:val="-4"/>
              </w:rPr>
              <w:t>–</w:t>
            </w:r>
            <w:r w:rsidRPr="00F63577">
              <w:rPr>
                <w:spacing w:val="-4"/>
              </w:rPr>
              <w:t xml:space="preserve">5,4 %). Útlum v roce 2020 byl úzce svázán s poklesem počtu odpracovaných hodin </w:t>
            </w:r>
            <w:r>
              <w:rPr>
                <w:spacing w:val="-4"/>
              </w:rPr>
              <w:br/>
            </w:r>
            <w:r w:rsidRPr="00F63577">
              <w:rPr>
                <w:spacing w:val="-4"/>
              </w:rPr>
              <w:t>(</w:t>
            </w:r>
            <w:r>
              <w:rPr>
                <w:spacing w:val="-4"/>
              </w:rPr>
              <w:t>–</w:t>
            </w:r>
            <w:r w:rsidRPr="00F63577">
              <w:rPr>
                <w:spacing w:val="-4"/>
              </w:rPr>
              <w:t>4,9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)</w:t>
            </w:r>
            <w:r w:rsidRPr="00F63577">
              <w:rPr>
                <w:rStyle w:val="Znakapoznpodarou"/>
                <w:spacing w:val="-4"/>
              </w:rPr>
              <w:footnoteReference w:id="2"/>
            </w:r>
            <w:r w:rsidRPr="00F63577">
              <w:rPr>
                <w:spacing w:val="-4"/>
              </w:rPr>
              <w:t xml:space="preserve">. Letošní tempo HPH řadilo Česko v rámci EU na patnácté místo. V EU došlo k poklesu o 6,8 %, v zemích </w:t>
            </w:r>
            <w:r>
              <w:rPr>
                <w:spacing w:val="-4"/>
              </w:rPr>
              <w:t>e</w:t>
            </w:r>
            <w:r w:rsidRPr="00F63577">
              <w:rPr>
                <w:spacing w:val="-4"/>
              </w:rPr>
              <w:t>urozóny o</w:t>
            </w:r>
            <w:r>
              <w:rPr>
                <w:spacing w:val="-4"/>
              </w:rPr>
              <w:t> </w:t>
            </w:r>
            <w:r w:rsidRPr="00F63577">
              <w:rPr>
                <w:spacing w:val="-4"/>
              </w:rPr>
              <w:t>7,3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 xml:space="preserve">. Tyto výsledky byly ovlivněny propadem výkonu významných ekonomik zejména na jižním křídle </w:t>
            </w:r>
            <w:r>
              <w:rPr>
                <w:spacing w:val="-4"/>
              </w:rPr>
              <w:t>e</w:t>
            </w:r>
            <w:r w:rsidRPr="00F63577">
              <w:rPr>
                <w:spacing w:val="-4"/>
              </w:rPr>
              <w:t>urozóny (Španělsko 11,2 %, Itálie 9,6 %, Řecko 8,5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, Portugalsko 7,3 %) a také Francie (9,4 %). Z visegr</w:t>
            </w:r>
            <w:r>
              <w:rPr>
                <w:spacing w:val="-4"/>
              </w:rPr>
              <w:t>á</w:t>
            </w:r>
            <w:r w:rsidRPr="00F63577">
              <w:rPr>
                <w:spacing w:val="-4"/>
              </w:rPr>
              <w:t>dských států si nejlépe vedlo Polsko (</w:t>
            </w:r>
            <w:r>
              <w:rPr>
                <w:spacing w:val="-4"/>
              </w:rPr>
              <w:t>–</w:t>
            </w:r>
            <w:r w:rsidRPr="00F63577">
              <w:rPr>
                <w:spacing w:val="-4"/>
              </w:rPr>
              <w:t>3,0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), nejhůře Slovensko (</w:t>
            </w:r>
            <w:r>
              <w:rPr>
                <w:spacing w:val="-4"/>
              </w:rPr>
              <w:t>–</w:t>
            </w:r>
            <w:r w:rsidRPr="00F63577">
              <w:rPr>
                <w:spacing w:val="-4"/>
              </w:rPr>
              <w:t>6,3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). Růst přidané hodnoty registrovalo jen Irsko (+2,9</w:t>
            </w:r>
            <w:r>
              <w:rPr>
                <w:spacing w:val="-4"/>
              </w:rPr>
              <w:t> %</w:t>
            </w:r>
            <w:r w:rsidRPr="00F63577">
              <w:rPr>
                <w:spacing w:val="-4"/>
              </w:rPr>
              <w:t>), relativně příznivé výsledky hlásila i</w:t>
            </w:r>
            <w:r>
              <w:rPr>
                <w:spacing w:val="-4"/>
              </w:rPr>
              <w:t> </w:t>
            </w:r>
            <w:r w:rsidRPr="00F63577">
              <w:rPr>
                <w:spacing w:val="-4"/>
              </w:rPr>
              <w:t xml:space="preserve">většina severských států. Rozdíly mezi zeměmi vypovídají primárně o náběhu </w:t>
            </w:r>
            <w:proofErr w:type="spellStart"/>
            <w:r w:rsidRPr="00F63577">
              <w:rPr>
                <w:spacing w:val="-4"/>
              </w:rPr>
              <w:t>koronavirové</w:t>
            </w:r>
            <w:proofErr w:type="spellEnd"/>
            <w:r w:rsidRPr="00F63577">
              <w:rPr>
                <w:spacing w:val="-4"/>
              </w:rPr>
              <w:t xml:space="preserve"> nákazy napříč EU, rychlosti a intenzitě vládních restriktivních opatření a zčásti také o odlišné odvětvové skladbě ekonomik (negativně se projevilo vyšší zastoupení odvětví s vazbou na cestovní ruch, pozitivně pak </w:t>
            </w:r>
            <w:r>
              <w:rPr>
                <w:spacing w:val="-4"/>
              </w:rPr>
              <w:t>např.</w:t>
            </w:r>
            <w:r w:rsidRPr="00F63577">
              <w:rPr>
                <w:spacing w:val="-4"/>
              </w:rPr>
              <w:t xml:space="preserve"> role veřejných služeb).</w:t>
            </w:r>
          </w:p>
        </w:tc>
      </w:tr>
      <w:tr w:rsidR="008D3ACD" w:rsidRPr="006237E6" w14:paraId="40EAD8E5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0B9F85BC" w14:textId="77777777" w:rsidR="008D3ACD" w:rsidRDefault="008D3ACD" w:rsidP="008D3ACD">
            <w:pPr>
              <w:pStyle w:val="Marginlie"/>
              <w:rPr>
                <w:spacing w:val="-4"/>
              </w:rPr>
            </w:pPr>
            <w:r>
              <w:t>Za tři čtvrtletí propadla přidaná hodnota nejvíce v uskupení obchod, doprava, ubytování a pohostinství.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01DA4395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D5F6D24" w14:textId="77777777" w:rsidR="008D3ACD" w:rsidRPr="0082559E" w:rsidRDefault="008D3ACD" w:rsidP="008D3ACD">
            <w:pPr>
              <w:rPr>
                <w:rFonts w:cs="Arial"/>
                <w:bCs/>
                <w:color w:val="000000"/>
                <w:spacing w:val="-4"/>
                <w:szCs w:val="20"/>
              </w:rPr>
            </w:pPr>
            <w:r>
              <w:rPr>
                <w:spacing w:val="-4"/>
              </w:rPr>
              <w:t>Zatímco v 1. i ve 2. letošním čtvrtletí stál za poklesem HPH v ekonomice zejména zpracovatelský průmysl (příspěvek –0,8 p. b., resp. –4,5 bodu), v následujícím kvartálu tuto roli převzalo uskupení o</w:t>
            </w:r>
            <w:r w:rsidRPr="001B5F40">
              <w:rPr>
                <w:spacing w:val="-4"/>
              </w:rPr>
              <w:t>bchod, doprava, ubytování a</w:t>
            </w:r>
            <w:r>
              <w:rPr>
                <w:spacing w:val="-4"/>
              </w:rPr>
              <w:t> </w:t>
            </w:r>
            <w:r w:rsidRPr="001B5F40">
              <w:rPr>
                <w:spacing w:val="-4"/>
              </w:rPr>
              <w:t>pohostinství</w:t>
            </w:r>
            <w:r>
              <w:rPr>
                <w:spacing w:val="-4"/>
              </w:rPr>
              <w:t xml:space="preserve"> (–1,7 p. b.), když se na souhrnném poklesu podílelo z více než třetiny. Negativní dopad zde mělo nejen jarní uzavření významné části </w:t>
            </w:r>
            <w:r w:rsidRPr="00A97075">
              <w:rPr>
                <w:spacing w:val="-4"/>
              </w:rPr>
              <w:t>maloobchodních prodejen, ale i</w:t>
            </w:r>
            <w:r>
              <w:rPr>
                <w:spacing w:val="-4"/>
              </w:rPr>
              <w:t> </w:t>
            </w:r>
            <w:r w:rsidRPr="00A97075">
              <w:rPr>
                <w:spacing w:val="-4"/>
              </w:rPr>
              <w:t>přetrvávající hluboký útlu</w:t>
            </w:r>
            <w:r>
              <w:rPr>
                <w:spacing w:val="-4"/>
              </w:rPr>
              <w:t>m v příjezdovém cestovním ruchu</w:t>
            </w:r>
            <w:r w:rsidRPr="00A97075">
              <w:rPr>
                <w:rStyle w:val="Znakapoznpodarou"/>
                <w:spacing w:val="-3"/>
              </w:rPr>
              <w:footnoteReference w:id="3"/>
            </w:r>
            <w:r>
              <w:rPr>
                <w:spacing w:val="-4"/>
              </w:rPr>
              <w:t>. V tomto uskupení se tak přidaná hodnota za tři čtvrtletí meziročně propadla o 10,9 %, ve zpracovatelském průmyslu pak o 8,7 %. Silně zasaženy byly také tzv. ostatní činnosti služeb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>, kde hluboký pokles HPH (–9,4 %) plně korespondoval s propadem odpracované doby. S problémy se potýkaly rovněž p</w:t>
            </w:r>
            <w:r w:rsidRPr="00BA361D">
              <w:rPr>
                <w:spacing w:val="-4"/>
              </w:rPr>
              <w:t>rofesní, vědecké, technické a</w:t>
            </w:r>
            <w:r>
              <w:rPr>
                <w:spacing w:val="-4"/>
              </w:rPr>
              <w:t> </w:t>
            </w:r>
            <w:r w:rsidRPr="00BA361D">
              <w:rPr>
                <w:spacing w:val="-4"/>
              </w:rPr>
              <w:t>administrativní činnosti</w:t>
            </w:r>
            <w:r>
              <w:rPr>
                <w:spacing w:val="-4"/>
              </w:rPr>
              <w:t xml:space="preserve"> (–7,7 %). Jako v jednom z mála hlavních odvětví zde nedošlo ve 3. čtvrtletí k oživení. Lze předpokládat, že mohlo jít i o důsledek zhoršující se finanční situace podniků, které mohly omezovat outsourcing některých služeb (např. v oblasti náboru pracovníků, pronájmů, úklidu, reklamy).</w:t>
            </w:r>
          </w:p>
        </w:tc>
      </w:tr>
      <w:tr w:rsidR="008D3ACD" w:rsidRPr="006237E6" w14:paraId="27845638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0C8F995E" w14:textId="77777777" w:rsidR="008D3ACD" w:rsidRPr="00BE54BF" w:rsidRDefault="008D3ACD" w:rsidP="008D3ACD">
            <w:pPr>
              <w:pStyle w:val="Marginlie"/>
            </w:pPr>
            <w:r w:rsidRPr="00BE54BF">
              <w:t>Výkon stavebnictví klesl jen mírně, obdobně jako v roce 2019.</w:t>
            </w:r>
          </w:p>
          <w:p w14:paraId="7BFB6C42" w14:textId="77777777" w:rsidR="008D3ACD" w:rsidRPr="00BE54BF" w:rsidRDefault="008D3ACD" w:rsidP="008D3ACD">
            <w:pPr>
              <w:pStyle w:val="Marginlie"/>
            </w:pPr>
          </w:p>
          <w:p w14:paraId="627D4099" w14:textId="229ACCC7" w:rsidR="008D3ACD" w:rsidRPr="00BE54BF" w:rsidRDefault="008D3ACD" w:rsidP="008D3ACD">
            <w:pPr>
              <w:pStyle w:val="Marginlie"/>
            </w:pPr>
          </w:p>
          <w:p w14:paraId="7A2419B3" w14:textId="77777777" w:rsidR="008D3ACD" w:rsidRPr="00BE54BF" w:rsidRDefault="008D3ACD" w:rsidP="008D3ACD">
            <w:pPr>
              <w:pStyle w:val="Marginlie"/>
            </w:pPr>
            <w:r w:rsidRPr="00BE54BF">
              <w:t>Nejvíce rostla HPH v zemědělství, lesnictví a</w:t>
            </w:r>
            <w:r>
              <w:t> </w:t>
            </w:r>
            <w:r w:rsidRPr="00BE54BF">
              <w:t xml:space="preserve">rybářství. Projevil se vliv dobré úrody, stabilizovaný stav </w:t>
            </w:r>
            <w:r w:rsidRPr="00BE54BF">
              <w:lastRenderedPageBreak/>
              <w:t xml:space="preserve">živočišné výroby </w:t>
            </w:r>
            <w:r>
              <w:t>i </w:t>
            </w:r>
            <w:r w:rsidRPr="00BE54BF">
              <w:t>silná živelní těžba dřeva.</w:t>
            </w:r>
          </w:p>
          <w:p w14:paraId="55FAEC5A" w14:textId="77777777" w:rsidR="008D3ACD" w:rsidRDefault="008D3ACD" w:rsidP="008D3ACD">
            <w:pPr>
              <w:pStyle w:val="Marginlie"/>
              <w:rPr>
                <w:spacing w:val="-4"/>
              </w:rPr>
            </w:pPr>
          </w:p>
          <w:p w14:paraId="164A0A25" w14:textId="77777777" w:rsidR="008D3ACD" w:rsidRDefault="008D3ACD" w:rsidP="008D3ACD">
            <w:pPr>
              <w:pStyle w:val="Marginlie"/>
              <w:rPr>
                <w:spacing w:val="-4"/>
              </w:rPr>
            </w:pPr>
          </w:p>
          <w:p w14:paraId="3173F1ED" w14:textId="77777777" w:rsidR="008D3ACD" w:rsidRDefault="008D3ACD" w:rsidP="008D3ACD">
            <w:pPr>
              <w:pStyle w:val="Marginlie"/>
              <w:rPr>
                <w:spacing w:val="-4"/>
              </w:rPr>
            </w:pPr>
            <w:r w:rsidRPr="00677519">
              <w:t>HP</w:t>
            </w:r>
            <w:r>
              <w:t>H mírně rostla v informačních a</w:t>
            </w:r>
            <w:r w:rsidRPr="00677519">
              <w:t> komunikačních čin</w:t>
            </w:r>
            <w:r>
              <w:t>nostech i ve veřejných službách.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4814EBB0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5A28990" w14:textId="77777777" w:rsidR="008D3ACD" w:rsidRPr="00D74E92" w:rsidRDefault="008D3ACD" w:rsidP="008D3ACD">
            <w:pPr>
              <w:spacing w:after="200"/>
              <w:rPr>
                <w:rFonts w:cs="Arial"/>
                <w:bCs/>
                <w:color w:val="000000"/>
                <w:spacing w:val="-2"/>
                <w:szCs w:val="20"/>
              </w:rPr>
            </w:pPr>
            <w:r w:rsidRPr="00965AD0">
              <w:rPr>
                <w:spacing w:val="-4"/>
              </w:rPr>
              <w:t xml:space="preserve">Ostatní odvětví byla </w:t>
            </w:r>
            <w:r>
              <w:rPr>
                <w:spacing w:val="-4"/>
              </w:rPr>
              <w:t xml:space="preserve">v prvních třech čtvrtletích </w:t>
            </w:r>
            <w:r w:rsidRPr="00965AD0">
              <w:rPr>
                <w:spacing w:val="-4"/>
              </w:rPr>
              <w:t>zasažena</w:t>
            </w:r>
            <w:r>
              <w:rPr>
                <w:spacing w:val="-4"/>
              </w:rPr>
              <w:t xml:space="preserve"> </w:t>
            </w:r>
            <w:r w:rsidRPr="00965AD0">
              <w:rPr>
                <w:spacing w:val="-4"/>
              </w:rPr>
              <w:t xml:space="preserve">mírněji. </w:t>
            </w:r>
            <w:r>
              <w:rPr>
                <w:spacing w:val="-4"/>
              </w:rPr>
              <w:t>Přidaná hodnota ve</w:t>
            </w:r>
            <w:r w:rsidRPr="00965AD0">
              <w:rPr>
                <w:spacing w:val="-4"/>
              </w:rPr>
              <w:t xml:space="preserve"> stavebnictví</w:t>
            </w:r>
            <w:r>
              <w:rPr>
                <w:spacing w:val="-4"/>
              </w:rPr>
              <w:t xml:space="preserve"> se snížila o necelá 3 %, srovnatelným tempem jako v roce 2019. Příznivě zde působila relativně vysoká zásoba zakázek, limitujícím faktorem byl přetrvávající nedostatek pracovní síly i vysoká administrativní náročnost procesu přípravy i realizace staveb. Nepříznivý účinek těchto skutečností se v důsledku vyhlášení jarního nouzového stavu dále prohloubil. Výkon zemědělství, lesnictví a rybářství se meziročně zvýšil o 4,3 %, nejvíce z hlavních odvětví. Přidaná hodnota zde svižně rostla třetím rokem v řadě. </w:t>
            </w:r>
            <w:r w:rsidRPr="007D213B">
              <w:rPr>
                <w:spacing w:val="-4"/>
              </w:rPr>
              <w:t>Přispěla k tomu stabilizovaná situace v zemědělské prvovýrobě, jež nebyla letos vyjma zpřísněných hygienických opatření regulačními vlivy negativně dotčena. Výroba masa v 1. až 3.</w:t>
            </w:r>
            <w:r>
              <w:rPr>
                <w:spacing w:val="-4"/>
              </w:rPr>
              <w:t> čtvrtlet</w:t>
            </w:r>
            <w:r w:rsidRPr="007D213B">
              <w:rPr>
                <w:spacing w:val="-4"/>
              </w:rPr>
              <w:t>í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 xml:space="preserve">i díky </w:t>
            </w:r>
            <w:r w:rsidRPr="00B11F9A">
              <w:rPr>
                <w:spacing w:val="-4"/>
              </w:rPr>
              <w:t>vyšší porážkové hmotno</w:t>
            </w:r>
            <w:r>
              <w:rPr>
                <w:spacing w:val="-4"/>
              </w:rPr>
              <w:t>sti vykrmovaného skotu i prasat nepatrně vzrostla (+0,4 %). T</w:t>
            </w:r>
            <w:r w:rsidRPr="007D213B">
              <w:rPr>
                <w:spacing w:val="-4"/>
              </w:rPr>
              <w:t>uzemští producenti prodali naturálně o 4,7 % mléka více.</w:t>
            </w:r>
            <w:r>
              <w:rPr>
                <w:spacing w:val="-4"/>
              </w:rPr>
              <w:t xml:space="preserve"> Rostlinnou produkci podpořila dobrá letošní sklizeň, zejména u obilovin, brambor či pícnin</w:t>
            </w:r>
            <w:r w:rsidRPr="00282AD4">
              <w:rPr>
                <w:rStyle w:val="Znakapoznpodarou"/>
                <w:spacing w:val="-4"/>
              </w:rPr>
              <w:footnoteReference w:id="5"/>
            </w:r>
            <w:r w:rsidRPr="00282AD4">
              <w:rPr>
                <w:spacing w:val="-4"/>
              </w:rPr>
              <w:t xml:space="preserve">. </w:t>
            </w:r>
            <w:proofErr w:type="spellStart"/>
            <w:r w:rsidRPr="00282AD4">
              <w:rPr>
                <w:spacing w:val="-4"/>
              </w:rPr>
              <w:t>Prorůstově</w:t>
            </w:r>
            <w:proofErr w:type="spellEnd"/>
            <w:r w:rsidRPr="00282AD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zřejmě </w:t>
            </w:r>
            <w:r w:rsidRPr="00282AD4">
              <w:rPr>
                <w:spacing w:val="-4"/>
              </w:rPr>
              <w:t xml:space="preserve">působila </w:t>
            </w:r>
            <w:r>
              <w:rPr>
                <w:spacing w:val="-4"/>
              </w:rPr>
              <w:t>na</w:t>
            </w:r>
            <w:r w:rsidRPr="00282AD4">
              <w:rPr>
                <w:spacing w:val="-4"/>
              </w:rPr>
              <w:t xml:space="preserve"> </w:t>
            </w:r>
            <w:r>
              <w:rPr>
                <w:spacing w:val="-4"/>
              </w:rPr>
              <w:t>celý</w:t>
            </w:r>
            <w:r w:rsidRPr="00282AD4">
              <w:rPr>
                <w:spacing w:val="-4"/>
              </w:rPr>
              <w:t xml:space="preserve"> primá</w:t>
            </w:r>
            <w:r>
              <w:rPr>
                <w:spacing w:val="-4"/>
              </w:rPr>
              <w:t>rní sektor</w:t>
            </w:r>
            <w:r w:rsidRPr="00282AD4">
              <w:rPr>
                <w:spacing w:val="-4"/>
              </w:rPr>
              <w:t xml:space="preserve"> i pokračující živelní těžba dřeva.</w:t>
            </w:r>
            <w:r w:rsidRPr="00F63577">
              <w:rPr>
                <w:spacing w:val="-2"/>
              </w:rPr>
              <w:t xml:space="preserve"> Role některých odvětví služeb nabírala v pandemickém období na významu. V informačních a</w:t>
            </w:r>
            <w:r>
              <w:rPr>
                <w:spacing w:val="-2"/>
              </w:rPr>
              <w:t> </w:t>
            </w:r>
            <w:r w:rsidRPr="00F63577">
              <w:rPr>
                <w:spacing w:val="-2"/>
              </w:rPr>
              <w:t>komunikačních činnostech vzrostla za tři čtvrtletí přidaná hodnota meziročně o</w:t>
            </w:r>
            <w:r>
              <w:rPr>
                <w:spacing w:val="-2"/>
              </w:rPr>
              <w:t> </w:t>
            </w:r>
            <w:r w:rsidRPr="00F63577">
              <w:rPr>
                <w:spacing w:val="-2"/>
              </w:rPr>
              <w:t>1,2</w:t>
            </w:r>
            <w:r>
              <w:rPr>
                <w:spacing w:val="-2"/>
              </w:rPr>
              <w:t> %</w:t>
            </w:r>
            <w:r w:rsidRPr="00F63577">
              <w:rPr>
                <w:spacing w:val="-2"/>
              </w:rPr>
              <w:t xml:space="preserve"> a v odvětvích s převahou vládních institucí o</w:t>
            </w:r>
            <w:r>
              <w:rPr>
                <w:spacing w:val="-2"/>
              </w:rPr>
              <w:t> </w:t>
            </w:r>
            <w:r w:rsidRPr="00F63577">
              <w:rPr>
                <w:spacing w:val="-2"/>
              </w:rPr>
              <w:t>0,5</w:t>
            </w:r>
            <w:r>
              <w:rPr>
                <w:spacing w:val="-2"/>
              </w:rPr>
              <w:t> %</w:t>
            </w:r>
            <w:r w:rsidRPr="00F63577">
              <w:rPr>
                <w:spacing w:val="-2"/>
              </w:rPr>
              <w:t>. Jestliže v informačních a</w:t>
            </w:r>
            <w:r>
              <w:rPr>
                <w:spacing w:val="-2"/>
              </w:rPr>
              <w:t> </w:t>
            </w:r>
            <w:r w:rsidRPr="00F63577">
              <w:rPr>
                <w:spacing w:val="-2"/>
              </w:rPr>
              <w:t>komunikačních činnostech šlo o</w:t>
            </w:r>
            <w:r>
              <w:rPr>
                <w:spacing w:val="-2"/>
              </w:rPr>
              <w:t> </w:t>
            </w:r>
            <w:r w:rsidRPr="00F63577">
              <w:rPr>
                <w:spacing w:val="-2"/>
              </w:rPr>
              <w:t>nejslabší tempo po roce 2012, v oblasti veřejných služeb byl mírný růst v posledním pětiletí standardním jevem.</w:t>
            </w:r>
          </w:p>
        </w:tc>
      </w:tr>
      <w:tr w:rsidR="008D3ACD" w:rsidRPr="006237E6" w14:paraId="52407B3A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AEC7451" w14:textId="77777777" w:rsidR="008D3ACD" w:rsidRPr="008A4CB5" w:rsidRDefault="008D3ACD" w:rsidP="008D3ACD">
            <w:pPr>
              <w:pStyle w:val="Marginlie"/>
              <w:rPr>
                <w:spacing w:val="-4"/>
              </w:rPr>
            </w:pPr>
            <w:r w:rsidRPr="008A4CB5">
              <w:rPr>
                <w:spacing w:val="-4"/>
              </w:rPr>
              <w:lastRenderedPageBreak/>
              <w:t>Navzdory silnému letnímu oživení zůstávala hodnota průmyslové produkce v září stále pod svým „</w:t>
            </w:r>
            <w:proofErr w:type="spellStart"/>
            <w:r w:rsidRPr="008A4CB5">
              <w:rPr>
                <w:spacing w:val="-4"/>
              </w:rPr>
              <w:t>předpandemickým</w:t>
            </w:r>
            <w:proofErr w:type="spellEnd"/>
            <w:r w:rsidRPr="008A4CB5">
              <w:rPr>
                <w:spacing w:val="-4"/>
              </w:rPr>
              <w:t>“ maximem.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C371652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8605241" w14:textId="77777777" w:rsidR="008D3ACD" w:rsidRPr="00965AD0" w:rsidRDefault="008D3ACD" w:rsidP="008D3ACD">
            <w:pPr>
              <w:spacing w:after="200"/>
              <w:rPr>
                <w:spacing w:val="-4"/>
              </w:rPr>
            </w:pPr>
            <w:r w:rsidRPr="002A2159">
              <w:t>Z</w:t>
            </w:r>
            <w:r>
              <w:t> </w:t>
            </w:r>
            <w:r w:rsidRPr="002A2159">
              <w:t>podrobnější</w:t>
            </w:r>
            <w:r>
              <w:t>ch údajů</w:t>
            </w:r>
            <w:r w:rsidRPr="002A2159">
              <w:t xml:space="preserve"> podnikových statistik plyne, </w:t>
            </w:r>
            <w:r>
              <w:t xml:space="preserve">že </w:t>
            </w:r>
            <w:r w:rsidRPr="002A2159">
              <w:t>po prudkém jarní</w:t>
            </w:r>
            <w:r>
              <w:t>m útlumu</w:t>
            </w:r>
            <w:r>
              <w:rPr>
                <w:rStyle w:val="Znakapoznpodarou"/>
              </w:rPr>
              <w:footnoteReference w:id="6"/>
            </w:r>
            <w:r>
              <w:t xml:space="preserve"> doprovázeném několikatýdenní uzavírkou řady provozoven (včetně klíčových exportérů) došlo v letním období k významnému oživení </w:t>
            </w:r>
            <w:r w:rsidRPr="002A2159">
              <w:rPr>
                <w:color w:val="000000" w:themeColor="text1"/>
              </w:rPr>
              <w:t>průmyslov</w:t>
            </w:r>
            <w:r>
              <w:rPr>
                <w:color w:val="000000" w:themeColor="text1"/>
              </w:rPr>
              <w:t>é</w:t>
            </w:r>
            <w:r w:rsidRPr="002A2159">
              <w:rPr>
                <w:color w:val="000000" w:themeColor="text1"/>
              </w:rPr>
              <w:t xml:space="preserve"> produkce</w:t>
            </w:r>
            <w:r w:rsidRPr="002A2159">
              <w:rPr>
                <w:color w:val="000000" w:themeColor="text1"/>
                <w:vertAlign w:val="superscript"/>
              </w:rPr>
              <w:footnoteReference w:id="7"/>
            </w:r>
            <w:r>
              <w:rPr>
                <w:color w:val="000000" w:themeColor="text1"/>
              </w:rPr>
              <w:t xml:space="preserve">. Počínaje květnem výkon průmyslu meziměsíčně rostl. Tento trend mírně narušil pouze srpen (–0,8 %), zčásti v důsledku celozávodních dovolených. Za letní měsíce tak průmyslová produkce oproti 2. čtvrtletí vzrostla o 23 %. </w:t>
            </w:r>
            <w:r w:rsidRPr="004F16D8">
              <w:rPr>
                <w:color w:val="000000" w:themeColor="text1"/>
              </w:rPr>
              <w:t xml:space="preserve">K letnímu </w:t>
            </w:r>
            <w:r>
              <w:rPr>
                <w:color w:val="000000" w:themeColor="text1"/>
              </w:rPr>
              <w:t>oživení pomohl</w:t>
            </w:r>
            <w:r w:rsidRPr="004F16D8">
              <w:rPr>
                <w:color w:val="000000" w:themeColor="text1"/>
              </w:rPr>
              <w:t xml:space="preserve"> relativně rychlý „náběh“ zahraničních zakázek i</w:t>
            </w:r>
            <w:r>
              <w:rPr>
                <w:color w:val="000000" w:themeColor="text1"/>
              </w:rPr>
              <w:t> </w:t>
            </w:r>
            <w:r w:rsidRPr="004F16D8">
              <w:rPr>
                <w:color w:val="000000" w:themeColor="text1"/>
              </w:rPr>
              <w:t>slabší kurz koruny.</w:t>
            </w:r>
            <w:r>
              <w:rPr>
                <w:color w:val="000000" w:themeColor="text1"/>
              </w:rPr>
              <w:t xml:space="preserve"> Navzdory tomu ani zářijová úroveň produkce stále plně nedosahovala „</w:t>
            </w:r>
            <w:proofErr w:type="spellStart"/>
            <w:r>
              <w:rPr>
                <w:color w:val="000000" w:themeColor="text1"/>
              </w:rPr>
              <w:t>předpandemického</w:t>
            </w:r>
            <w:proofErr w:type="spellEnd"/>
            <w:r>
              <w:rPr>
                <w:color w:val="000000" w:themeColor="text1"/>
              </w:rPr>
              <w:t>“ maxima</w:t>
            </w:r>
            <w:r>
              <w:rPr>
                <w:rStyle w:val="Znakapoznpodarou"/>
                <w:color w:val="000000" w:themeColor="text1"/>
              </w:rPr>
              <w:footnoteReference w:id="8"/>
            </w:r>
            <w:r>
              <w:rPr>
                <w:color w:val="000000" w:themeColor="text1"/>
              </w:rPr>
              <w:t>.</w:t>
            </w:r>
          </w:p>
        </w:tc>
      </w:tr>
      <w:tr w:rsidR="008D3ACD" w:rsidRPr="006237E6" w14:paraId="5EBAF155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0EC44454" w14:textId="77777777" w:rsidR="008D3ACD" w:rsidRPr="00BE54BF" w:rsidRDefault="008D3ACD" w:rsidP="008D3ACD">
            <w:pPr>
              <w:pStyle w:val="Marginlie"/>
            </w:pPr>
            <w:r>
              <w:t>V prvním pololetí působila ve směru poklesu průmyslu nejvíce výroba motorových vozidel, ve 3.</w:t>
            </w:r>
            <w:r w:rsidRPr="00BE54BF">
              <w:t> </w:t>
            </w:r>
            <w:r>
              <w:t>čtvrtletí kovovýroba a</w:t>
            </w:r>
            <w:r w:rsidRPr="00BE54BF">
              <w:t> </w:t>
            </w:r>
            <w:r>
              <w:t>strojírenství.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A7DFF58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EB9889D" w14:textId="77777777" w:rsidR="008D3ACD" w:rsidRPr="008F1AFF" w:rsidRDefault="008D3ACD" w:rsidP="008D3ACD">
            <w:pPr>
              <w:spacing w:after="200"/>
              <w:rPr>
                <w:spacing w:val="-3"/>
              </w:rPr>
            </w:pPr>
            <w:r w:rsidRPr="008F1AFF">
              <w:rPr>
                <w:spacing w:val="-3"/>
              </w:rPr>
              <w:t>I</w:t>
            </w:r>
            <w:r>
              <w:rPr>
                <w:spacing w:val="-3"/>
              </w:rPr>
              <w:t> </w:t>
            </w:r>
            <w:r w:rsidRPr="008F1AFF">
              <w:rPr>
                <w:spacing w:val="-3"/>
              </w:rPr>
              <w:t>přes solidní vstup do letošního roku klesla průmyslová produkce vinou nepříznivého březnového vývoje za celé 1.</w:t>
            </w:r>
            <w:r>
              <w:rPr>
                <w:spacing w:val="-3"/>
              </w:rPr>
              <w:t> čtvrtlet</w:t>
            </w:r>
            <w:r w:rsidRPr="008F1AFF">
              <w:rPr>
                <w:spacing w:val="-3"/>
              </w:rPr>
              <w:t>í meziročně o</w:t>
            </w:r>
            <w:r>
              <w:rPr>
                <w:spacing w:val="-3"/>
              </w:rPr>
              <w:t> </w:t>
            </w:r>
            <w:r w:rsidRPr="008F1AFF">
              <w:rPr>
                <w:spacing w:val="-3"/>
              </w:rPr>
              <w:t>5,0</w:t>
            </w:r>
            <w:r>
              <w:rPr>
                <w:spacing w:val="-3"/>
              </w:rPr>
              <w:t> %</w:t>
            </w:r>
            <w:r w:rsidRPr="008F1AFF">
              <w:rPr>
                <w:spacing w:val="-3"/>
              </w:rPr>
              <w:t>. V následujícím kvartálu došlo k nejhlubšímu propadu ve srovnatelné řadě od roku 2000 (o</w:t>
            </w:r>
            <w:r>
              <w:rPr>
                <w:spacing w:val="-3"/>
              </w:rPr>
              <w:t> </w:t>
            </w:r>
            <w:r w:rsidRPr="008F1AFF">
              <w:rPr>
                <w:spacing w:val="-3"/>
              </w:rPr>
              <w:t>23,6</w:t>
            </w:r>
            <w:r>
              <w:rPr>
                <w:spacing w:val="-3"/>
              </w:rPr>
              <w:t> %</w:t>
            </w:r>
            <w:r w:rsidRPr="008F1AFF">
              <w:rPr>
                <w:spacing w:val="-3"/>
              </w:rPr>
              <w:t>). Ve 3.</w:t>
            </w:r>
            <w:r>
              <w:rPr>
                <w:spacing w:val="-3"/>
              </w:rPr>
              <w:t> čtvrtlet</w:t>
            </w:r>
            <w:r w:rsidRPr="008F1AFF">
              <w:rPr>
                <w:spacing w:val="-3"/>
              </w:rPr>
              <w:t>í pokles zmírnil na 3,6</w:t>
            </w:r>
            <w:r>
              <w:rPr>
                <w:spacing w:val="-3"/>
              </w:rPr>
              <w:t> %</w:t>
            </w:r>
            <w:r w:rsidRPr="008F1AFF">
              <w:rPr>
                <w:spacing w:val="-3"/>
              </w:rPr>
              <w:t>. Jestliže v první polovině roku byl útlum průmyslu úzce svázán s produkcí motorových vozidel</w:t>
            </w:r>
            <w:r>
              <w:rPr>
                <w:spacing w:val="-3"/>
              </w:rPr>
              <w:t>,</w:t>
            </w:r>
            <w:r w:rsidRPr="008F1AFF">
              <w:rPr>
                <w:spacing w:val="-3"/>
              </w:rPr>
              <w:t xml:space="preserve"> </w:t>
            </w:r>
            <w:r>
              <w:rPr>
                <w:spacing w:val="-3"/>
              </w:rPr>
              <w:t>která</w:t>
            </w:r>
            <w:r w:rsidRPr="008F1AFF">
              <w:rPr>
                <w:spacing w:val="-3"/>
              </w:rPr>
              <w:t xml:space="preserve"> včetně nejbližších návazných oborů zodpovídala za zhruba polovinu celkové</w:t>
            </w:r>
            <w:r>
              <w:rPr>
                <w:spacing w:val="-3"/>
              </w:rPr>
              <w:t>ho</w:t>
            </w:r>
            <w:r w:rsidRPr="008F1AFF">
              <w:rPr>
                <w:spacing w:val="-3"/>
              </w:rPr>
              <w:t xml:space="preserve"> meziro</w:t>
            </w:r>
            <w:r>
              <w:rPr>
                <w:spacing w:val="-3"/>
              </w:rPr>
              <w:t>čního poklesu</w:t>
            </w:r>
            <w:r w:rsidRPr="008F1AFF">
              <w:rPr>
                <w:spacing w:val="-3"/>
              </w:rPr>
              <w:t>, ve 3.</w:t>
            </w:r>
            <w:r>
              <w:rPr>
                <w:spacing w:val="-3"/>
              </w:rPr>
              <w:t> čtvrtlet</w:t>
            </w:r>
            <w:r w:rsidRPr="008F1AFF">
              <w:rPr>
                <w:spacing w:val="-3"/>
              </w:rPr>
              <w:t xml:space="preserve">í táhly celé odvětví dolů nejvíce kovovýroba (vliv </w:t>
            </w:r>
            <w:r>
              <w:rPr>
                <w:spacing w:val="-3"/>
              </w:rPr>
              <w:t>–</w:t>
            </w:r>
            <w:r w:rsidRPr="008F1AFF">
              <w:rPr>
                <w:spacing w:val="-3"/>
              </w:rPr>
              <w:t>0,75</w:t>
            </w:r>
            <w:r>
              <w:rPr>
                <w:spacing w:val="-3"/>
              </w:rPr>
              <w:t> p. b.</w:t>
            </w:r>
            <w:r w:rsidRPr="008F1AFF">
              <w:rPr>
                <w:spacing w:val="-3"/>
              </w:rPr>
              <w:t>) a</w:t>
            </w:r>
            <w:r>
              <w:rPr>
                <w:spacing w:val="-3"/>
              </w:rPr>
              <w:t> </w:t>
            </w:r>
            <w:r w:rsidRPr="008F1AFF">
              <w:rPr>
                <w:spacing w:val="-3"/>
              </w:rPr>
              <w:t>strojírenství (</w:t>
            </w:r>
            <w:r>
              <w:rPr>
                <w:spacing w:val="-3"/>
              </w:rPr>
              <w:t>–</w:t>
            </w:r>
            <w:r w:rsidRPr="008F1AFF">
              <w:rPr>
                <w:spacing w:val="-3"/>
              </w:rPr>
              <w:t>0,74</w:t>
            </w:r>
            <w:r>
              <w:rPr>
                <w:spacing w:val="-3"/>
              </w:rPr>
              <w:t> p. b.</w:t>
            </w:r>
            <w:r w:rsidRPr="008F1AFF">
              <w:rPr>
                <w:spacing w:val="-3"/>
              </w:rPr>
              <w:t>).</w:t>
            </w:r>
          </w:p>
        </w:tc>
      </w:tr>
      <w:tr w:rsidR="008D3ACD" w:rsidRPr="006237E6" w14:paraId="0BEA3242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4C94549" w14:textId="77777777" w:rsidR="008D3ACD" w:rsidRDefault="008D3ACD" w:rsidP="008D3ACD">
            <w:pPr>
              <w:pStyle w:val="Marginlie"/>
            </w:pPr>
            <w:r>
              <w:t>Výkon automobilového průmyslu se po dubnovém zmrazení během letního období vracel k normálu.</w:t>
            </w:r>
          </w:p>
          <w:p w14:paraId="7873E193" w14:textId="77777777" w:rsidR="008D3ACD" w:rsidRDefault="008D3ACD" w:rsidP="008D3ACD">
            <w:pPr>
              <w:pStyle w:val="Marginlie"/>
            </w:pPr>
          </w:p>
          <w:p w14:paraId="10A1BF5D" w14:textId="77777777" w:rsidR="008D3ACD" w:rsidRDefault="008D3ACD" w:rsidP="008D3ACD">
            <w:pPr>
              <w:pStyle w:val="Marginlie"/>
            </w:pPr>
          </w:p>
          <w:p w14:paraId="2837091C" w14:textId="77777777" w:rsidR="008D3ACD" w:rsidRDefault="008D3ACD" w:rsidP="008D3ACD">
            <w:pPr>
              <w:pStyle w:val="Marginlie"/>
            </w:pPr>
          </w:p>
          <w:p w14:paraId="62654518" w14:textId="77777777" w:rsidR="008D3ACD" w:rsidRDefault="008D3ACD" w:rsidP="008D3ACD">
            <w:pPr>
              <w:pStyle w:val="Marginlie"/>
            </w:pPr>
          </w:p>
          <w:p w14:paraId="6218A653" w14:textId="77777777" w:rsidR="008D3ACD" w:rsidRDefault="008D3ACD" w:rsidP="008D3ACD">
            <w:pPr>
              <w:pStyle w:val="Marginlie"/>
            </w:pPr>
            <w:r>
              <w:t>Pokles v těžebním průmyslu se prohloubil vinou útlumu těžby uhlí i vlivem nižší těžby stavebních surovin.</w:t>
            </w:r>
          </w:p>
          <w:p w14:paraId="66B19A9D" w14:textId="77777777" w:rsidR="008D3ACD" w:rsidRDefault="008D3ACD" w:rsidP="008D3ACD">
            <w:pPr>
              <w:pStyle w:val="Marginlie"/>
            </w:pPr>
          </w:p>
          <w:p w14:paraId="4685586B" w14:textId="77777777" w:rsidR="008D3ACD" w:rsidRDefault="008D3ACD" w:rsidP="008D3ACD">
            <w:pPr>
              <w:pStyle w:val="Marginlie"/>
            </w:pPr>
          </w:p>
          <w:p w14:paraId="049DE37B" w14:textId="77777777" w:rsidR="008D3ACD" w:rsidRDefault="008D3ACD" w:rsidP="008D3ACD">
            <w:pPr>
              <w:pStyle w:val="Marginlie"/>
            </w:pPr>
            <w:r>
              <w:lastRenderedPageBreak/>
              <w:t>Hlubší snížení produkce nastalo ve strojírenství, hutnictví či kovovýrobě.</w:t>
            </w:r>
          </w:p>
          <w:p w14:paraId="382C9AA9" w14:textId="77777777" w:rsidR="008D3ACD" w:rsidRDefault="008D3ACD" w:rsidP="008D3ACD">
            <w:pPr>
              <w:pStyle w:val="Marginlie"/>
            </w:pPr>
          </w:p>
          <w:p w14:paraId="223608FB" w14:textId="77777777" w:rsidR="008D3ACD" w:rsidRDefault="008D3ACD" w:rsidP="008D3ACD">
            <w:pPr>
              <w:pStyle w:val="Marginlie"/>
            </w:pPr>
          </w:p>
          <w:p w14:paraId="0E0358E2" w14:textId="77777777" w:rsidR="008D3ACD" w:rsidRDefault="008D3ACD" w:rsidP="008D3ACD">
            <w:pPr>
              <w:pStyle w:val="Marginlie"/>
            </w:pPr>
          </w:p>
          <w:p w14:paraId="31758575" w14:textId="77777777" w:rsidR="008D3ACD" w:rsidRDefault="008D3ACD" w:rsidP="008D3ACD">
            <w:pPr>
              <w:pStyle w:val="Marginlie"/>
            </w:pPr>
          </w:p>
          <w:p w14:paraId="048DAB8E" w14:textId="77777777" w:rsidR="008D3ACD" w:rsidRDefault="008D3ACD" w:rsidP="008D3ACD">
            <w:pPr>
              <w:pStyle w:val="Marginlie"/>
            </w:pPr>
            <w:r>
              <w:t>Potravinářství těžilo z vyšší tuzemské poptávky i dobré úrody.</w:t>
            </w:r>
          </w:p>
          <w:p w14:paraId="49FB1617" w14:textId="77777777" w:rsidR="008D3ACD" w:rsidRDefault="008D3ACD" w:rsidP="008D3ACD">
            <w:pPr>
              <w:pStyle w:val="Marginlie"/>
            </w:pPr>
          </w:p>
          <w:p w14:paraId="408B5057" w14:textId="77777777" w:rsidR="008D3ACD" w:rsidRDefault="008D3ACD" w:rsidP="008D3ACD">
            <w:pPr>
              <w:pStyle w:val="Marginlie"/>
            </w:pPr>
          </w:p>
          <w:p w14:paraId="3B95E73B" w14:textId="77777777" w:rsidR="008D3ACD" w:rsidRDefault="008D3ACD" w:rsidP="008D3ACD">
            <w:pPr>
              <w:pStyle w:val="Marginlie"/>
            </w:pPr>
          </w:p>
          <w:p w14:paraId="00D4A32C" w14:textId="77777777" w:rsidR="008D3ACD" w:rsidRDefault="008D3ACD" w:rsidP="008D3ACD">
            <w:pPr>
              <w:pStyle w:val="Marginlie"/>
            </w:pPr>
          </w:p>
          <w:p w14:paraId="78846F33" w14:textId="77777777" w:rsidR="008D3ACD" w:rsidRPr="00261D3B" w:rsidRDefault="008D3ACD" w:rsidP="008D3ACD">
            <w:pPr>
              <w:pStyle w:val="Marginlie"/>
            </w:pPr>
            <w:r w:rsidRPr="00261D3B">
              <w:t>Někte</w:t>
            </w:r>
            <w:r>
              <w:t>rým zejména menším oborům pomáhala</w:t>
            </w:r>
            <w:r w:rsidRPr="00261D3B">
              <w:t xml:space="preserve"> </w:t>
            </w:r>
            <w:r w:rsidRPr="00261D3B">
              <w:rPr>
                <w:color w:val="000000" w:themeColor="text1"/>
                <w:spacing w:val="-3"/>
              </w:rPr>
              <w:t>specifická skladba poptávky b</w:t>
            </w:r>
            <w:r>
              <w:rPr>
                <w:color w:val="000000" w:themeColor="text1"/>
                <w:spacing w:val="-3"/>
              </w:rPr>
              <w:t xml:space="preserve">ěhem </w:t>
            </w:r>
            <w:proofErr w:type="spellStart"/>
            <w:r>
              <w:rPr>
                <w:color w:val="000000" w:themeColor="text1"/>
                <w:spacing w:val="-3"/>
              </w:rPr>
              <w:t>koronavirové</w:t>
            </w:r>
            <w:proofErr w:type="spellEnd"/>
            <w:r>
              <w:rPr>
                <w:color w:val="000000" w:themeColor="text1"/>
                <w:spacing w:val="-3"/>
              </w:rPr>
              <w:t xml:space="preserve"> krize.</w:t>
            </w:r>
          </w:p>
          <w:p w14:paraId="0BAAFBC8" w14:textId="77777777" w:rsidR="008D3ACD" w:rsidRPr="00BE54BF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989D73D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812FFBF" w14:textId="4D71F53D" w:rsidR="008D3ACD" w:rsidRPr="004173F3" w:rsidRDefault="008D3ACD" w:rsidP="008D3ACD">
            <w:pPr>
              <w:spacing w:after="200"/>
              <w:rPr>
                <w:spacing w:val="-4"/>
              </w:rPr>
            </w:pPr>
            <w:r w:rsidRPr="004173F3">
              <w:rPr>
                <w:spacing w:val="-4"/>
              </w:rPr>
              <w:t>Za 1</w:t>
            </w:r>
            <w:r>
              <w:rPr>
                <w:spacing w:val="-4"/>
              </w:rPr>
              <w:t>. </w:t>
            </w:r>
            <w:r w:rsidRPr="004173F3">
              <w:rPr>
                <w:spacing w:val="-4"/>
              </w:rPr>
              <w:t>až 3.</w:t>
            </w:r>
            <w:r>
              <w:rPr>
                <w:spacing w:val="-4"/>
              </w:rPr>
              <w:t> čtvrtlet</w:t>
            </w:r>
            <w:r w:rsidRPr="004173F3">
              <w:rPr>
                <w:spacing w:val="-4"/>
              </w:rPr>
              <w:t>í se produkce v odvětví výroby motorových vozidel snížila o</w:t>
            </w:r>
            <w:r>
              <w:rPr>
                <w:spacing w:val="-4"/>
              </w:rPr>
              <w:t> </w:t>
            </w:r>
            <w:r w:rsidR="0009290F">
              <w:rPr>
                <w:spacing w:val="-4"/>
              </w:rPr>
              <w:t>19,6</w:t>
            </w:r>
            <w:r>
              <w:rPr>
                <w:spacing w:val="-4"/>
              </w:rPr>
              <w:t> %</w:t>
            </w:r>
            <w:r w:rsidRPr="004173F3">
              <w:rPr>
                <w:spacing w:val="-4"/>
              </w:rPr>
              <w:t>, téměř dvojnásobně než v celém průmyslu. Faktické uzavření provozoven klíčových podniků i souběžné ochromení činnosti mnohých subdodavatelů vedl</w:t>
            </w:r>
            <w:r>
              <w:rPr>
                <w:spacing w:val="-4"/>
              </w:rPr>
              <w:t>y</w:t>
            </w:r>
            <w:r w:rsidRPr="004173F3">
              <w:rPr>
                <w:spacing w:val="-4"/>
              </w:rPr>
              <w:t xml:space="preserve"> v dubnu k bezprecedentnímu propadu produkce, vývozu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nových zakázek o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zhruba 80</w:t>
            </w:r>
            <w:r>
              <w:rPr>
                <w:spacing w:val="-4"/>
              </w:rPr>
              <w:t> %</w:t>
            </w:r>
            <w:r w:rsidRPr="004173F3">
              <w:rPr>
                <w:rStyle w:val="Znakapoznpodarou"/>
                <w:spacing w:val="-4"/>
              </w:rPr>
              <w:footnoteReference w:id="9"/>
            </w:r>
            <w:r w:rsidRPr="004173F3">
              <w:rPr>
                <w:spacing w:val="-4"/>
              </w:rPr>
              <w:t>. J</w:t>
            </w:r>
            <w:r>
              <w:rPr>
                <w:spacing w:val="-4"/>
              </w:rPr>
              <w:t>eště během zbytku 1. pololetí</w:t>
            </w:r>
            <w:r w:rsidRPr="004173F3">
              <w:rPr>
                <w:spacing w:val="-4"/>
              </w:rPr>
              <w:t xml:space="preserve"> došlo ale k rychlému zotavení. V červenci se meziroční pokles produkce již zastavil. Na počátku 4.</w:t>
            </w:r>
            <w:r>
              <w:rPr>
                <w:spacing w:val="-4"/>
              </w:rPr>
              <w:t> čtvrtlet</w:t>
            </w:r>
            <w:r w:rsidRPr="004173F3">
              <w:rPr>
                <w:spacing w:val="-4"/>
              </w:rPr>
              <w:t>í přesáhlo využití výrobních kapacit v tomto odvětví 90</w:t>
            </w:r>
            <w:r>
              <w:rPr>
                <w:spacing w:val="-4"/>
              </w:rPr>
              <w:t> %</w:t>
            </w:r>
            <w:r w:rsidRPr="004173F3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vrátilo se tak na úroveň obvyklou v posledních letech. Zatímco dosavadní letošní vývoj ve výrobě motorových vozidel lze považovat spíše za vybočení z dlouhodobě rostoucí</w:t>
            </w:r>
            <w:r>
              <w:rPr>
                <w:spacing w:val="-4"/>
              </w:rPr>
              <w:t>ho</w:t>
            </w:r>
            <w:r w:rsidRPr="004173F3">
              <w:rPr>
                <w:spacing w:val="-4"/>
              </w:rPr>
              <w:t xml:space="preserve"> trendu, obdobný pokles produkce v těžbě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dobývání</w:t>
            </w:r>
            <w:r w:rsidRPr="004173F3">
              <w:rPr>
                <w:rStyle w:val="Znakapoznpodarou"/>
                <w:spacing w:val="-4"/>
              </w:rPr>
              <w:footnoteReference w:id="10"/>
            </w:r>
            <w:r w:rsidRPr="004173F3">
              <w:rPr>
                <w:spacing w:val="-4"/>
              </w:rPr>
              <w:t xml:space="preserve">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kožedělném průmyslu (za tři čtvrtletí shodně téměř o</w:t>
            </w:r>
            <w:r w:rsidR="0009290F">
              <w:rPr>
                <w:spacing w:val="-4"/>
              </w:rPr>
              <w:t xml:space="preserve"> pětinu</w:t>
            </w:r>
            <w:r w:rsidRPr="004173F3">
              <w:rPr>
                <w:spacing w:val="-4"/>
              </w:rPr>
              <w:t>) je spojen s vleklými strukturálními problémy těchto oborů. O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sedminu se meziročně snížila produkce ve strojírenství. To se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ve 3.</w:t>
            </w:r>
            <w:r>
              <w:rPr>
                <w:spacing w:val="-4"/>
              </w:rPr>
              <w:t> čtvrtlet</w:t>
            </w:r>
            <w:r w:rsidRPr="004173F3">
              <w:rPr>
                <w:spacing w:val="-4"/>
              </w:rPr>
              <w:t>í potýkalo s poklesem domácí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zahraniční poptávky, což souviselo s pokračujícím útlumem investiční aktivity v ekonomice. Bezmála o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osminu klesla od počátku roku produkce v kovodělném průmyslu, podobně jako v hutnictví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 xml:space="preserve">slévárenství. Skutečnost, že půjde </w:t>
            </w:r>
            <w:r w:rsidRPr="004173F3">
              <w:rPr>
                <w:spacing w:val="-4"/>
              </w:rPr>
              <w:lastRenderedPageBreak/>
              <w:t xml:space="preserve">v těchto oborech patrně </w:t>
            </w:r>
            <w:r>
              <w:rPr>
                <w:spacing w:val="-4"/>
              </w:rPr>
              <w:t>o </w:t>
            </w:r>
            <w:r w:rsidRPr="004173F3">
              <w:rPr>
                <w:spacing w:val="-4"/>
              </w:rPr>
              <w:t>dlouhodobější útlum, naznačuje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trvající pokles nových zakázek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hlubší poklesy u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vývozu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dovozu těchto komodit. Snížení produkce v energetice za 1</w:t>
            </w:r>
            <w:r>
              <w:rPr>
                <w:spacing w:val="-4"/>
              </w:rPr>
              <w:t>. </w:t>
            </w:r>
            <w:r w:rsidRPr="004173F3">
              <w:rPr>
                <w:spacing w:val="-4"/>
              </w:rPr>
              <w:t>až 3.</w:t>
            </w:r>
            <w:r>
              <w:rPr>
                <w:spacing w:val="-4"/>
              </w:rPr>
              <w:t> čtvrtlet</w:t>
            </w:r>
            <w:r w:rsidRPr="004173F3">
              <w:rPr>
                <w:spacing w:val="-4"/>
              </w:rPr>
              <w:t>í (</w:t>
            </w:r>
            <w:r>
              <w:rPr>
                <w:spacing w:val="-4"/>
              </w:rPr>
              <w:t>–</w:t>
            </w:r>
            <w:r w:rsidRPr="004173F3">
              <w:rPr>
                <w:spacing w:val="-4"/>
              </w:rPr>
              <w:t>7,2</w:t>
            </w:r>
            <w:r>
              <w:rPr>
                <w:spacing w:val="-4"/>
              </w:rPr>
              <w:t> %</w:t>
            </w:r>
            <w:r w:rsidRPr="004173F3">
              <w:rPr>
                <w:spacing w:val="-4"/>
              </w:rPr>
              <w:t>) bylo sice v kontextu celého průmyslu podprůměrné, v rámci oboru však šlo za shodné období roku o rekordní tempo. Projevil se efekt odstávek v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elektrárnách</w:t>
            </w:r>
            <w:r>
              <w:rPr>
                <w:spacing w:val="-4"/>
              </w:rPr>
              <w:t xml:space="preserve"> i</w:t>
            </w:r>
            <w:r w:rsidRPr="004173F3">
              <w:rPr>
                <w:spacing w:val="-4"/>
              </w:rPr>
              <w:t> pokles poptávky v podnicích vlivem snížené výrobní aktivity. Méně byla zasažena odvětví výroby počítačů, elektronických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 xml:space="preserve">optických přístrojů či výroba stavebních materiálů </w:t>
            </w:r>
            <w:r w:rsidRPr="0009290F">
              <w:rPr>
                <w:spacing w:val="-2"/>
              </w:rPr>
              <w:t>(produkce zde shodně klesla o 5 %). Jen mírný pokles registroval potravinářský průmysl (–</w:t>
            </w:r>
            <w:r w:rsidR="0009290F" w:rsidRPr="0009290F">
              <w:rPr>
                <w:spacing w:val="-2"/>
              </w:rPr>
              <w:t>0,8</w:t>
            </w:r>
            <w:r w:rsidRPr="0009290F">
              <w:rPr>
                <w:spacing w:val="-2"/>
              </w:rPr>
              <w:t> %),</w:t>
            </w:r>
            <w:r w:rsidRPr="004173F3">
              <w:rPr>
                <w:spacing w:val="-4"/>
              </w:rPr>
              <w:t xml:space="preserve"> jemuž vedle relativně stabilní tuzemské poptávky patrně pomáhaly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dobré letošní výsledky agrárního sektoru. Naopak na výrobce nápojů dolehlo omezení stravovacích a pohostinských zařízení umocněné útlumem příjezdového cestovního ruchu. Produkce v tomto odvětví klesla o</w:t>
            </w:r>
            <w:r>
              <w:rPr>
                <w:spacing w:val="-4"/>
              </w:rPr>
              <w:t> </w:t>
            </w:r>
            <w:r w:rsidR="0009290F">
              <w:rPr>
                <w:spacing w:val="-4"/>
              </w:rPr>
              <w:t>7,3</w:t>
            </w:r>
            <w:r>
              <w:rPr>
                <w:spacing w:val="-4"/>
              </w:rPr>
              <w:t> %</w:t>
            </w:r>
            <w:r w:rsidRPr="004173F3">
              <w:rPr>
                <w:spacing w:val="-4"/>
              </w:rPr>
              <w:t>, horší výsledky za tři čtvrtletí byly naposledy patrné v </w:t>
            </w:r>
            <w:r>
              <w:rPr>
                <w:spacing w:val="-4"/>
              </w:rPr>
              <w:t>letech</w:t>
            </w:r>
            <w:r w:rsidRPr="004173F3">
              <w:rPr>
                <w:spacing w:val="-4"/>
              </w:rPr>
              <w:t xml:space="preserve"> 2009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2010. Dřevozpracující i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 xml:space="preserve">papírenský průmysl docílily shodně posílení produkce </w:t>
            </w:r>
            <w:r>
              <w:rPr>
                <w:spacing w:val="-4"/>
              </w:rPr>
              <w:t>o</w:t>
            </w:r>
            <w:r w:rsidR="0009290F" w:rsidRPr="004173F3">
              <w:rPr>
                <w:spacing w:val="-4"/>
              </w:rPr>
              <w:t> </w:t>
            </w:r>
            <w:r w:rsidR="0009290F">
              <w:rPr>
                <w:spacing w:val="-4"/>
              </w:rPr>
              <w:t xml:space="preserve">necelá </w:t>
            </w:r>
            <w:r>
              <w:rPr>
                <w:spacing w:val="-4"/>
              </w:rPr>
              <w:t>3</w:t>
            </w:r>
            <w:r w:rsidRPr="004173F3">
              <w:rPr>
                <w:spacing w:val="-4"/>
              </w:rPr>
              <w:t xml:space="preserve"> %. </w:t>
            </w:r>
            <w:r w:rsidRPr="004173F3">
              <w:rPr>
                <w:color w:val="000000" w:themeColor="text1"/>
                <w:spacing w:val="-4"/>
              </w:rPr>
              <w:t xml:space="preserve">Specifická skladba poptávky během </w:t>
            </w:r>
            <w:proofErr w:type="spellStart"/>
            <w:r w:rsidRPr="004173F3">
              <w:rPr>
                <w:color w:val="000000" w:themeColor="text1"/>
                <w:spacing w:val="-4"/>
              </w:rPr>
              <w:t>koronavirové</w:t>
            </w:r>
            <w:proofErr w:type="spellEnd"/>
            <w:r w:rsidRPr="004173F3">
              <w:rPr>
                <w:color w:val="000000" w:themeColor="text1"/>
                <w:spacing w:val="-4"/>
              </w:rPr>
              <w:t xml:space="preserve"> krize se odrazila v mírném růstu výkonu farmaceutického průmyslu či ostatního zpracovatelského průmyslu, jenž</w:t>
            </w:r>
            <w:r>
              <w:rPr>
                <w:color w:val="000000" w:themeColor="text1"/>
                <w:spacing w:val="-4"/>
              </w:rPr>
              <w:t xml:space="preserve"> zahrnuje i</w:t>
            </w:r>
            <w:r w:rsidRPr="004173F3">
              <w:rPr>
                <w:spacing w:val="-4"/>
              </w:rPr>
              <w:t> </w:t>
            </w:r>
            <w:r w:rsidRPr="004173F3">
              <w:rPr>
                <w:color w:val="000000" w:themeColor="text1"/>
                <w:spacing w:val="-4"/>
              </w:rPr>
              <w:t>výrobu lékařských potřeb či výrobu her a</w:t>
            </w:r>
            <w:r>
              <w:rPr>
                <w:color w:val="000000" w:themeColor="text1"/>
                <w:spacing w:val="-4"/>
              </w:rPr>
              <w:t> </w:t>
            </w:r>
            <w:r w:rsidRPr="004173F3">
              <w:rPr>
                <w:color w:val="000000" w:themeColor="text1"/>
                <w:spacing w:val="-4"/>
              </w:rPr>
              <w:t>hraček</w:t>
            </w:r>
            <w:r>
              <w:rPr>
                <w:color w:val="000000" w:themeColor="text1"/>
                <w:spacing w:val="-4"/>
              </w:rPr>
              <w:t>.</w:t>
            </w:r>
          </w:p>
        </w:tc>
      </w:tr>
      <w:tr w:rsidR="008D3ACD" w:rsidRPr="006237E6" w14:paraId="401456BD" w14:textId="77777777" w:rsidTr="008D3ACD">
        <w:trPr>
          <w:trHeight w:val="15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3296C8CC" w14:textId="77777777" w:rsidR="008D3ACD" w:rsidRPr="00BE54BF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DA20423" w14:textId="77777777" w:rsidR="008D3ACD" w:rsidRPr="003B1401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B859E3D" w14:textId="77777777" w:rsidR="008D3ACD" w:rsidRPr="00965AD0" w:rsidRDefault="008D3ACD" w:rsidP="008D3ACD">
            <w:pPr>
              <w:spacing w:after="0"/>
              <w:rPr>
                <w:spacing w:val="-4"/>
              </w:rPr>
            </w:pPr>
            <w:r w:rsidRPr="00883202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Pr="00883202">
              <w:rPr>
                <w:b/>
              </w:rPr>
              <w:t>Příspěvky dílčích odvětví k meziroční změně průmyslové produkce</w:t>
            </w:r>
            <w:r w:rsidRPr="00883202">
              <w:rPr>
                <w:b/>
              </w:rPr>
              <w:br/>
            </w:r>
            <w:r>
              <w:t>(v p. b., očištěno o kalendářní</w:t>
            </w:r>
            <w:r w:rsidRPr="00883202">
              <w:t xml:space="preserve"> vlivy)</w:t>
            </w:r>
            <w:r w:rsidRPr="00883202">
              <w:rPr>
                <w:b/>
                <w:bCs/>
              </w:rPr>
              <w:t xml:space="preserve">, </w:t>
            </w:r>
            <w:r w:rsidRPr="00883202">
              <w:rPr>
                <w:b/>
              </w:rPr>
              <w:t xml:space="preserve">saldo důvěry v průmyslu* </w:t>
            </w:r>
            <w:r w:rsidRPr="00883202">
              <w:t xml:space="preserve">(v p. b., </w:t>
            </w:r>
            <w:proofErr w:type="spellStart"/>
            <w:r w:rsidRPr="00883202">
              <w:t>pr</w:t>
            </w:r>
            <w:proofErr w:type="spellEnd"/>
            <w:r w:rsidRPr="00883202">
              <w:t>. osa)</w:t>
            </w:r>
          </w:p>
        </w:tc>
      </w:tr>
      <w:tr w:rsidR="008D3ACD" w:rsidRPr="00B43216" w14:paraId="10010A64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7505C8F" w14:textId="77777777" w:rsidR="008D3ACD" w:rsidRDefault="008D3ACD" w:rsidP="008D3ACD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0FBDA3B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8EFBBB6" w14:textId="77777777" w:rsidR="008D3ACD" w:rsidRPr="00241E62" w:rsidRDefault="008D3ACD" w:rsidP="008D3ACD">
            <w:pPr>
              <w:spacing w:after="40"/>
              <w:rPr>
                <w:rFonts w:cs="Arial"/>
                <w:bCs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1F0316" wp14:editId="03415363">
                  <wp:extent cx="4765040" cy="3500651"/>
                  <wp:effectExtent l="0" t="0" r="0" b="508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D3ACD" w:rsidRPr="00B43216" w14:paraId="5B02C635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2F84691" w14:textId="77777777" w:rsidR="008D3ACD" w:rsidRDefault="008D3ACD" w:rsidP="008D3ACD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9B7F0E8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0A1D205" w14:textId="77777777" w:rsidR="008D3ACD" w:rsidRPr="002453EC" w:rsidRDefault="008D3ACD" w:rsidP="008D3ACD">
            <w:pPr>
              <w:spacing w:after="18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*Saldo důvěry je sezónně očištěno a vyjadřuje stav ve druhém měsíci daného čtvrtletí.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D3ACD" w:rsidRPr="00B43216" w14:paraId="5B736C1C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47AC888" w14:textId="77777777" w:rsidR="008D3ACD" w:rsidRPr="00D15820" w:rsidRDefault="008D3ACD" w:rsidP="008D3ACD">
            <w:pPr>
              <w:pStyle w:val="Marginlie"/>
              <w:rPr>
                <w:spacing w:val="0"/>
              </w:rPr>
            </w:pPr>
            <w:r w:rsidRPr="00D15820">
              <w:rPr>
                <w:spacing w:val="0"/>
              </w:rPr>
              <w:t>Tržby průmyslových podniků z přímého vývozu klesly za tři čtvrtletí o</w:t>
            </w:r>
            <w:r>
              <w:rPr>
                <w:spacing w:val="0"/>
              </w:rPr>
              <w:t> </w:t>
            </w:r>
            <w:r w:rsidRPr="00D15820">
              <w:rPr>
                <w:spacing w:val="0"/>
              </w:rPr>
              <w:t>11,5</w:t>
            </w:r>
            <w:r>
              <w:rPr>
                <w:spacing w:val="0"/>
              </w:rPr>
              <w:t> %</w:t>
            </w:r>
            <w:r w:rsidRPr="00D15820">
              <w:rPr>
                <w:spacing w:val="0"/>
              </w:rPr>
              <w:t>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456BD037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41F9A68" w14:textId="16FACFA6" w:rsidR="008D3ACD" w:rsidRPr="00744EA3" w:rsidRDefault="008D3ACD" w:rsidP="008D3ACD">
            <w:pPr>
              <w:spacing w:after="220"/>
              <w:rPr>
                <w:rFonts w:cs="Arial"/>
                <w:bCs/>
                <w:color w:val="000000"/>
                <w:spacing w:val="-4"/>
                <w:szCs w:val="20"/>
              </w:rPr>
            </w:pP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Nominální tržby průmyslových podniků z přímého vývozu klesly v 1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. 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až 3.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čtvrtlet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í o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11,5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%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, tržby z tuzemska se snížily o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>8,8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%</w:t>
            </w:r>
            <w:r w:rsidRPr="00744EA3">
              <w:rPr>
                <w:rFonts w:cs="Arial"/>
                <w:bCs/>
                <w:color w:val="000000"/>
                <w:spacing w:val="-4"/>
                <w:szCs w:val="20"/>
              </w:rPr>
              <w:t xml:space="preserve">. 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Mírnějšími tempy klesaly tržby i ve 3. čtvrtletí 2020. Od počátku roku vzrostly tržby nejvíce v energetice (+5,6 % meziročně). Cenový růst produktů se pozitivně odrazil např</w:t>
            </w:r>
            <w:r w:rsidR="0009290F">
              <w:rPr>
                <w:rFonts w:cs="Arial"/>
                <w:bCs/>
                <w:color w:val="000000"/>
                <w:spacing w:val="-4"/>
                <w:szCs w:val="20"/>
              </w:rPr>
              <w:t>. v tržbách potravinářství (+2,4</w:t>
            </w:r>
            <w:r>
              <w:rPr>
                <w:rFonts w:cs="Arial"/>
                <w:bCs/>
                <w:color w:val="000000"/>
                <w:spacing w:val="-4"/>
                <w:szCs w:val="20"/>
              </w:rPr>
              <w:t> %). Nejhlubší poklesy tržeb v těžbě a dobývání či v automobilovém průmyslu odpovídají tempům zjištěným u produkce.</w:t>
            </w:r>
          </w:p>
        </w:tc>
      </w:tr>
      <w:tr w:rsidR="008D3ACD" w:rsidRPr="00B43216" w14:paraId="7D9D9844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6075053" w14:textId="77777777" w:rsidR="008D3ACD" w:rsidRDefault="008D3ACD" w:rsidP="008D3ACD">
            <w:pPr>
              <w:pStyle w:val="Marginlie"/>
            </w:pPr>
            <w:r>
              <w:t>Hodnota nových zakázek v průmyslu ve 3. čtvrtletí mírně klesala. Lépe se vedlo výrobě motorových vozidel.</w:t>
            </w:r>
          </w:p>
          <w:p w14:paraId="11A17E69" w14:textId="77777777" w:rsidR="008D3ACD" w:rsidRDefault="008D3ACD" w:rsidP="008D3ACD">
            <w:pPr>
              <w:pStyle w:val="Marginlie"/>
            </w:pPr>
          </w:p>
          <w:p w14:paraId="7B7B382A" w14:textId="77777777" w:rsidR="008D3ACD" w:rsidRDefault="008D3ACD" w:rsidP="008D3ACD">
            <w:pPr>
              <w:pStyle w:val="Marginlie"/>
            </w:pPr>
          </w:p>
          <w:p w14:paraId="4126A209" w14:textId="77777777" w:rsidR="008D3ACD" w:rsidRDefault="008D3ACD" w:rsidP="008D3ACD">
            <w:pPr>
              <w:pStyle w:val="Marginlie"/>
            </w:pPr>
            <w:r>
              <w:t>Mezi bariérami růstu výrazně dominuje nedostatečná poptávka.</w:t>
            </w:r>
          </w:p>
          <w:p w14:paraId="02231A00" w14:textId="77777777" w:rsidR="008D3ACD" w:rsidRDefault="008D3ACD" w:rsidP="008D3ACD">
            <w:pPr>
              <w:pStyle w:val="Marginlie"/>
            </w:pPr>
          </w:p>
          <w:p w14:paraId="17A9269A" w14:textId="77777777" w:rsidR="008D3ACD" w:rsidRDefault="008D3ACD" w:rsidP="008D3ACD">
            <w:pPr>
              <w:pStyle w:val="Marginlie"/>
            </w:pPr>
          </w:p>
          <w:p w14:paraId="4F3AA90E" w14:textId="77777777" w:rsidR="008D3ACD" w:rsidRDefault="008D3ACD" w:rsidP="008D3ACD">
            <w:pPr>
              <w:pStyle w:val="Marginlie"/>
            </w:pPr>
            <w:r>
              <w:t>Pokles počtu zaměstnanců v průmyslu se během roku 2020 prohluboval.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8745707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23B7252" w14:textId="27B34F25" w:rsidR="008D3ACD" w:rsidRPr="00B12B9E" w:rsidRDefault="008D3ACD" w:rsidP="008D3ACD">
            <w:pPr>
              <w:spacing w:after="180"/>
              <w:rPr>
                <w:spacing w:val="-4"/>
              </w:rPr>
            </w:pPr>
            <w:r w:rsidRPr="00B12B9E">
              <w:rPr>
                <w:color w:val="000000" w:themeColor="text1"/>
                <w:spacing w:val="-4"/>
              </w:rPr>
              <w:t>Krátkodobé vyhlídky průmyslu zůstávaly navzdory silnému oživení ve výrobě motorových vozidel na přelomu 3.</w:t>
            </w:r>
            <w:r>
              <w:rPr>
                <w:color w:val="000000" w:themeColor="text1"/>
                <w:spacing w:val="-4"/>
              </w:rPr>
              <w:t> </w:t>
            </w:r>
            <w:r w:rsidRPr="00B12B9E">
              <w:rPr>
                <w:color w:val="000000" w:themeColor="text1"/>
                <w:spacing w:val="-4"/>
              </w:rPr>
              <w:t>a</w:t>
            </w:r>
            <w:r>
              <w:rPr>
                <w:color w:val="000000" w:themeColor="text1"/>
                <w:spacing w:val="-4"/>
              </w:rPr>
              <w:t> </w:t>
            </w:r>
            <w:r w:rsidRPr="00B12B9E">
              <w:rPr>
                <w:color w:val="000000" w:themeColor="text1"/>
                <w:spacing w:val="-4"/>
              </w:rPr>
              <w:t>4.</w:t>
            </w:r>
            <w:r>
              <w:rPr>
                <w:color w:val="000000" w:themeColor="text1"/>
                <w:spacing w:val="-4"/>
              </w:rPr>
              <w:t> čtvrtlet</w:t>
            </w:r>
            <w:r w:rsidRPr="00B12B9E">
              <w:rPr>
                <w:color w:val="000000" w:themeColor="text1"/>
                <w:spacing w:val="-4"/>
              </w:rPr>
              <w:t xml:space="preserve">í 2020 nadále spíše nepříznivé. </w:t>
            </w:r>
            <w:r w:rsidRPr="00B12B9E">
              <w:rPr>
                <w:color w:val="0D0D0D" w:themeColor="text1" w:themeTint="F2"/>
                <w:spacing w:val="-4"/>
              </w:rPr>
              <w:t>Hodnota průmyslových zakázek</w:t>
            </w:r>
            <w:r w:rsidRPr="00B12B9E">
              <w:rPr>
                <w:rStyle w:val="Znakapoznpodarou"/>
                <w:spacing w:val="-4"/>
              </w:rPr>
              <w:footnoteReference w:id="11"/>
            </w:r>
            <w:r w:rsidRPr="00B12B9E">
              <w:rPr>
                <w:color w:val="0D0D0D" w:themeColor="text1" w:themeTint="F2"/>
                <w:spacing w:val="-4"/>
              </w:rPr>
              <w:t xml:space="preserve"> ve 3. čtvrtletí dále mírně klesala (o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2,5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12B9E">
              <w:rPr>
                <w:color w:val="0D0D0D" w:themeColor="text1" w:themeTint="F2"/>
                <w:spacing w:val="-4"/>
              </w:rPr>
              <w:t xml:space="preserve"> meziročně), příznivější tendence naznačoval automobilový průmysl (+3,6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12B9E">
              <w:rPr>
                <w:color w:val="0D0D0D" w:themeColor="text1" w:themeTint="F2"/>
                <w:spacing w:val="-4"/>
              </w:rPr>
              <w:t>). K mírnému nárůstu celkových zakázek došlo v září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v</w:t>
            </w:r>
            <w:r w:rsidRPr="00B12B9E">
              <w:rPr>
                <w:rFonts w:cs="Arial"/>
                <w:bCs/>
                <w:color w:val="000000"/>
                <w:spacing w:val="-4"/>
                <w:szCs w:val="20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říjnu, ten byl ovšem částečně ovlivněn nižší srovnávací základn</w:t>
            </w:r>
            <w:r>
              <w:rPr>
                <w:color w:val="0D0D0D" w:themeColor="text1" w:themeTint="F2"/>
                <w:spacing w:val="-4"/>
              </w:rPr>
              <w:t>o</w:t>
            </w:r>
            <w:r w:rsidRPr="00B12B9E">
              <w:rPr>
                <w:color w:val="0D0D0D" w:themeColor="text1" w:themeTint="F2"/>
                <w:spacing w:val="-4"/>
              </w:rPr>
              <w:t xml:space="preserve">u, neboť </w:t>
            </w:r>
            <w:r w:rsidRPr="00B12B9E">
              <w:rPr>
                <w:color w:val="0D0D0D" w:themeColor="text1" w:themeTint="F2"/>
                <w:spacing w:val="-4"/>
              </w:rPr>
              <w:lastRenderedPageBreak/>
              <w:t>v posledním čtvrtletí 2019 výkon průmyslu oslaboval. V</w:t>
            </w:r>
            <w:r>
              <w:rPr>
                <w:color w:val="0D0D0D" w:themeColor="text1" w:themeTint="F2"/>
                <w:spacing w:val="-4"/>
              </w:rPr>
              <w:t>yužití výrobních kapacit setrv</w:t>
            </w:r>
            <w:r w:rsidRPr="00B12B9E">
              <w:rPr>
                <w:color w:val="0D0D0D" w:themeColor="text1" w:themeTint="F2"/>
                <w:spacing w:val="-4"/>
              </w:rPr>
              <w:t xml:space="preserve">alo ve většině oborů mimo výrobu motorových vozidel stále pod dlouhodobým průměrem. </w:t>
            </w:r>
            <w:r>
              <w:rPr>
                <w:color w:val="0D0D0D" w:themeColor="text1" w:themeTint="F2"/>
                <w:spacing w:val="-4"/>
              </w:rPr>
              <w:t>Hlavní růstovou bariérou zůstávala</w:t>
            </w:r>
            <w:r w:rsidRPr="00B12B9E">
              <w:rPr>
                <w:color w:val="0D0D0D" w:themeColor="text1" w:themeTint="F2"/>
                <w:spacing w:val="-4"/>
              </w:rPr>
              <w:t xml:space="preserve"> nedostatečná poptávka, v říjnu ji uvedla skoro polovina průmyslových podniků</w:t>
            </w:r>
            <w:r w:rsidRPr="00B12B9E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B12B9E">
              <w:rPr>
                <w:color w:val="0D0D0D" w:themeColor="text1" w:themeTint="F2"/>
                <w:spacing w:val="-4"/>
              </w:rPr>
              <w:t>. Naopak role nedostatku pracovníků ustupovala dále do pozadí. O snížení zaměstnanosti v příštích třech měsících uvažovalo v listopadu 15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12B9E">
              <w:rPr>
                <w:color w:val="0D0D0D" w:themeColor="text1" w:themeTint="F2"/>
                <w:spacing w:val="-4"/>
              </w:rPr>
              <w:t xml:space="preserve"> podniků, 12 % naopak nové zaměstnance hledalo. Pokles evidenčního počtu zaměstnanců se </w:t>
            </w:r>
            <w:r>
              <w:rPr>
                <w:color w:val="0D0D0D" w:themeColor="text1" w:themeTint="F2"/>
                <w:spacing w:val="-4"/>
              </w:rPr>
              <w:t>letos</w:t>
            </w:r>
            <w:r w:rsidRPr="00B12B9E">
              <w:rPr>
                <w:color w:val="0D0D0D" w:themeColor="text1" w:themeTint="F2"/>
                <w:spacing w:val="-4"/>
              </w:rPr>
              <w:t xml:space="preserve"> prohluboval. Ve 3.</w:t>
            </w:r>
            <w:r>
              <w:rPr>
                <w:color w:val="0D0D0D" w:themeColor="text1" w:themeTint="F2"/>
                <w:spacing w:val="-4"/>
              </w:rPr>
              <w:t> čtvrtlet</w:t>
            </w:r>
            <w:r w:rsidRPr="00B12B9E">
              <w:rPr>
                <w:color w:val="0D0D0D" w:themeColor="text1" w:themeTint="F2"/>
                <w:spacing w:val="-4"/>
              </w:rPr>
              <w:t>í byl meziročně nižší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4,8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12B9E"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 w:rsidRPr="00B12B9E">
              <w:rPr>
                <w:color w:val="0D0D0D" w:themeColor="text1" w:themeTint="F2"/>
                <w:spacing w:val="-4"/>
              </w:rPr>
              <w:t>. Souhrnné saldo indikátoru důvěry</w:t>
            </w:r>
            <w:r>
              <w:rPr>
                <w:color w:val="0D0D0D" w:themeColor="text1" w:themeTint="F2"/>
                <w:spacing w:val="-4"/>
              </w:rPr>
              <w:t xml:space="preserve"> v průmyslu kleslo z –</w:t>
            </w:r>
            <w:r w:rsidRPr="00B12B9E">
              <w:rPr>
                <w:color w:val="0D0D0D" w:themeColor="text1" w:themeTint="F2"/>
                <w:spacing w:val="-4"/>
              </w:rPr>
              <w:t>6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bod</w:t>
            </w:r>
            <w:r>
              <w:rPr>
                <w:color w:val="0D0D0D" w:themeColor="text1" w:themeTint="F2"/>
                <w:spacing w:val="-4"/>
              </w:rPr>
              <w:t>ů (říjen) na</w:t>
            </w:r>
            <w:r w:rsidRPr="00B12B9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–10 bodů (listopad). Na zhoršení </w:t>
            </w:r>
            <w:r>
              <w:rPr>
                <w:rFonts w:cs="Arial"/>
                <w:color w:val="0D0D0D" w:themeColor="text1" w:themeTint="F2"/>
                <w:spacing w:val="-4"/>
              </w:rPr>
              <w:t>epidemiologické</w:t>
            </w:r>
            <w:r w:rsidRPr="00B12B9E">
              <w:rPr>
                <w:color w:val="0D0D0D" w:themeColor="text1" w:themeTint="F2"/>
                <w:spacing w:val="-4"/>
              </w:rPr>
              <w:t xml:space="preserve"> situace tak zatím reagovalo mírně. Hodnota sald</w:t>
            </w:r>
            <w:r>
              <w:rPr>
                <w:color w:val="0D0D0D" w:themeColor="text1" w:themeTint="F2"/>
                <w:spacing w:val="-4"/>
              </w:rPr>
              <w:t>a</w:t>
            </w:r>
            <w:r w:rsidRPr="00B12B9E">
              <w:rPr>
                <w:color w:val="0D0D0D" w:themeColor="text1" w:themeTint="F2"/>
                <w:spacing w:val="-4"/>
              </w:rPr>
              <w:t xml:space="preserve"> byla </w:t>
            </w:r>
            <w:r>
              <w:rPr>
                <w:color w:val="0D0D0D" w:themeColor="text1" w:themeTint="F2"/>
                <w:spacing w:val="-4"/>
              </w:rPr>
              <w:t xml:space="preserve">stále </w:t>
            </w:r>
            <w:r w:rsidRPr="00B12B9E">
              <w:rPr>
                <w:color w:val="0D0D0D" w:themeColor="text1" w:themeTint="F2"/>
                <w:spacing w:val="-4"/>
              </w:rPr>
              <w:t>výrazně</w:t>
            </w:r>
            <w:r>
              <w:rPr>
                <w:color w:val="0D0D0D" w:themeColor="text1" w:themeTint="F2"/>
                <w:spacing w:val="-4"/>
              </w:rPr>
              <w:t xml:space="preserve"> příznivější ne</w:t>
            </w:r>
            <w:r w:rsidRPr="00B12B9E">
              <w:rPr>
                <w:color w:val="0D0D0D" w:themeColor="text1" w:themeTint="F2"/>
                <w:spacing w:val="-4"/>
              </w:rPr>
              <w:t>ž během jarní krize (</w:t>
            </w:r>
            <w:r>
              <w:rPr>
                <w:color w:val="0D0D0D" w:themeColor="text1" w:themeTint="F2"/>
                <w:spacing w:val="-4"/>
              </w:rPr>
              <w:t>–</w:t>
            </w:r>
            <w:r w:rsidRPr="00B12B9E">
              <w:rPr>
                <w:color w:val="0D0D0D" w:themeColor="text1" w:themeTint="F2"/>
                <w:spacing w:val="-4"/>
              </w:rPr>
              <w:t>26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 xml:space="preserve">až </w:t>
            </w:r>
            <w:r>
              <w:rPr>
                <w:color w:val="0D0D0D" w:themeColor="text1" w:themeTint="F2"/>
                <w:spacing w:val="-4"/>
              </w:rPr>
              <w:t>–</w:t>
            </w:r>
            <w:r w:rsidRPr="00B12B9E">
              <w:rPr>
                <w:color w:val="0D0D0D" w:themeColor="text1" w:themeTint="F2"/>
                <w:spacing w:val="-4"/>
              </w:rPr>
              <w:t>28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12B9E">
              <w:rPr>
                <w:color w:val="0D0D0D" w:themeColor="text1" w:themeTint="F2"/>
                <w:spacing w:val="-4"/>
              </w:rPr>
              <w:t>bod</w:t>
            </w:r>
            <w:r>
              <w:rPr>
                <w:color w:val="0D0D0D" w:themeColor="text1" w:themeTint="F2"/>
                <w:spacing w:val="-4"/>
              </w:rPr>
              <w:t>ů</w:t>
            </w:r>
            <w:r w:rsidRPr="00B12B9E">
              <w:rPr>
                <w:color w:val="0D0D0D" w:themeColor="text1" w:themeTint="F2"/>
                <w:spacing w:val="-4"/>
              </w:rPr>
              <w:t>), ale současně mírně horší než v listopadu 2019.</w:t>
            </w:r>
          </w:p>
        </w:tc>
      </w:tr>
      <w:tr w:rsidR="008D3ACD" w:rsidRPr="00B43216" w14:paraId="5BC82C89" w14:textId="77777777" w:rsidTr="008D3ACD">
        <w:trPr>
          <w:trHeight w:val="155"/>
        </w:trPr>
        <w:tc>
          <w:tcPr>
            <w:tcW w:w="1792" w:type="dxa"/>
            <w:vMerge w:val="restart"/>
            <w:shd w:val="clear" w:color="auto" w:fill="auto"/>
            <w:tcMar>
              <w:left w:w="0" w:type="dxa"/>
            </w:tcMar>
          </w:tcPr>
          <w:p w14:paraId="21E758CC" w14:textId="77777777" w:rsidR="008D3ACD" w:rsidRPr="00B43216" w:rsidRDefault="008D3ACD" w:rsidP="008D3ACD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0" w:type="dxa"/>
            </w:tcMar>
          </w:tcPr>
          <w:p w14:paraId="434659C2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CEE4489" w14:textId="77777777" w:rsidR="008D3ACD" w:rsidRPr="00E642CD" w:rsidRDefault="008D3ACD" w:rsidP="008D3ACD">
            <w:pPr>
              <w:pStyle w:val="Textpoznpodarou"/>
              <w:spacing w:line="276" w:lineRule="auto"/>
              <w:jc w:val="both"/>
              <w:rPr>
                <w:b/>
              </w:rPr>
            </w:pPr>
            <w:r w:rsidRPr="00883202">
              <w:rPr>
                <w:b/>
              </w:rPr>
              <w:t>Graf č. 5</w:t>
            </w:r>
            <w:r>
              <w:rPr>
                <w:b/>
              </w:rPr>
              <w:t xml:space="preserve">  </w:t>
            </w:r>
            <w:r w:rsidRPr="00883202">
              <w:rPr>
                <w:b/>
              </w:rPr>
              <w:t xml:space="preserve">Nové zakázky v automobilovém průmyslu, v průmyslu celkem </w:t>
            </w:r>
            <w:r w:rsidRPr="00883202">
              <w:rPr>
                <w:bCs/>
              </w:rPr>
              <w:t xml:space="preserve">(v běžných cenách, </w:t>
            </w:r>
            <w:r w:rsidRPr="00883202">
              <w:t>meziročně</w:t>
            </w:r>
            <w:r w:rsidRPr="00883202">
              <w:rPr>
                <w:bCs/>
              </w:rPr>
              <w:t xml:space="preserve"> v %)</w:t>
            </w:r>
            <w:r w:rsidRPr="00883202">
              <w:rPr>
                <w:b/>
              </w:rPr>
              <w:t xml:space="preserve"> a využití výrobních kapacit v průmyslu*</w:t>
            </w:r>
            <w:r w:rsidRPr="00883202">
              <w:t xml:space="preserve"> </w:t>
            </w:r>
            <w:r w:rsidRPr="00883202">
              <w:rPr>
                <w:b/>
              </w:rPr>
              <w:t>a vybrané bariéry růstu</w:t>
            </w:r>
            <w:r w:rsidRPr="00883202">
              <w:t>* (v %, pravá osa)</w:t>
            </w:r>
          </w:p>
        </w:tc>
      </w:tr>
      <w:tr w:rsidR="008D3ACD" w:rsidRPr="00B43216" w14:paraId="206D762D" w14:textId="77777777" w:rsidTr="008D3ACD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92" w:type="dxa"/>
            <w:vMerge/>
            <w:shd w:val="clear" w:color="auto" w:fill="auto"/>
          </w:tcPr>
          <w:p w14:paraId="29616BD9" w14:textId="77777777" w:rsidR="008D3ACD" w:rsidRPr="00B43216" w:rsidRDefault="008D3ACD" w:rsidP="008D3ACD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14:paraId="197322C6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7109CF95" w14:textId="77777777" w:rsidR="008D3ACD" w:rsidRPr="00B43216" w:rsidRDefault="008D3ACD" w:rsidP="008D3ACD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C600ECD" wp14:editId="3700CBE7">
                  <wp:extent cx="4759325" cy="3418764"/>
                  <wp:effectExtent l="0" t="0" r="3175" b="0"/>
                  <wp:docPr id="25" name="Graf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D3ACD" w:rsidRPr="00B43216" w14:paraId="510AF6FF" w14:textId="77777777" w:rsidTr="008D3ACD">
        <w:trPr>
          <w:trHeight w:val="152"/>
        </w:trPr>
        <w:tc>
          <w:tcPr>
            <w:tcW w:w="1792" w:type="dxa"/>
            <w:vMerge/>
            <w:shd w:val="clear" w:color="auto" w:fill="auto"/>
            <w:tcMar>
              <w:left w:w="0" w:type="dxa"/>
            </w:tcMar>
          </w:tcPr>
          <w:p w14:paraId="225B5752" w14:textId="77777777" w:rsidR="008D3ACD" w:rsidRPr="00B43216" w:rsidRDefault="008D3ACD" w:rsidP="008D3ACD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  <w:tcMar>
              <w:left w:w="0" w:type="dxa"/>
            </w:tcMar>
          </w:tcPr>
          <w:p w14:paraId="25319665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A635D9B" w14:textId="77777777" w:rsidR="008D3ACD" w:rsidRPr="002453EC" w:rsidRDefault="008D3ACD" w:rsidP="008D3ACD">
            <w:pPr>
              <w:spacing w:after="18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*Využití průmyslových kapacit i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83202">
              <w:rPr>
                <w:rFonts w:cs="Arial"/>
                <w:sz w:val="14"/>
                <w:szCs w:val="14"/>
              </w:rPr>
              <w:t>bariéry růstu jsou sezónně oč</w:t>
            </w:r>
            <w:r>
              <w:rPr>
                <w:rFonts w:cs="Arial"/>
                <w:sz w:val="14"/>
                <w:szCs w:val="14"/>
              </w:rPr>
              <w:t>ištěny a vyjadřují stav v prvním (bariéry růstu), resp.</w:t>
            </w:r>
            <w:r w:rsidRPr="00883202">
              <w:rPr>
                <w:rFonts w:cs="Arial"/>
                <w:sz w:val="14"/>
                <w:szCs w:val="14"/>
              </w:rPr>
              <w:t xml:space="preserve"> druhém měsíci daného čtvrtletí</w:t>
            </w:r>
            <w:r>
              <w:rPr>
                <w:rFonts w:cs="Arial"/>
                <w:sz w:val="14"/>
                <w:szCs w:val="14"/>
              </w:rPr>
              <w:t xml:space="preserve"> (využití kapacit)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D3ACD" w:rsidRPr="00191C35" w14:paraId="5FAF6306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2CB27FDC" w14:textId="77777777" w:rsidR="008D3ACD" w:rsidRDefault="008D3ACD" w:rsidP="008D3ACD">
            <w:pPr>
              <w:pStyle w:val="Marginlie"/>
            </w:pPr>
            <w:r>
              <w:t>Průmyslová produkce za tři čtvrtletí meziročně klesla v ČR obdobně jako v EU. Hlubší pokles sužoval Itálii, ale také Německo.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6DFF1FD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853534B" w14:textId="77777777" w:rsidR="008D3ACD" w:rsidRPr="0021253D" w:rsidRDefault="008D3ACD" w:rsidP="008D3ACD">
            <w:pPr>
              <w:spacing w:after="160"/>
              <w:rPr>
                <w:spacing w:val="-2"/>
              </w:rPr>
            </w:pPr>
            <w:r w:rsidRPr="0021253D">
              <w:rPr>
                <w:spacing w:val="-2"/>
              </w:rPr>
              <w:t>Průmyslová produkce v EU se za tři letošní čtvrtletí meziročně snížila podobným tempem jako v ČR (</w:t>
            </w:r>
            <w:r>
              <w:rPr>
                <w:spacing w:val="-2"/>
              </w:rPr>
              <w:t>–</w:t>
            </w:r>
            <w:r w:rsidRPr="0021253D">
              <w:rPr>
                <w:spacing w:val="-2"/>
              </w:rPr>
              <w:t>10,5</w:t>
            </w:r>
            <w:r>
              <w:rPr>
                <w:spacing w:val="-2"/>
              </w:rPr>
              <w:t> %</w:t>
            </w:r>
            <w:r w:rsidRPr="0021253D">
              <w:rPr>
                <w:spacing w:val="-2"/>
              </w:rPr>
              <w:t>).</w:t>
            </w:r>
            <w:r>
              <w:rPr>
                <w:spacing w:val="-2"/>
              </w:rPr>
              <w:t xml:space="preserve"> </w:t>
            </w:r>
            <w:r w:rsidRPr="0021253D">
              <w:rPr>
                <w:spacing w:val="-2"/>
              </w:rPr>
              <w:t>K největšímu útlumu došlo v Itálii (</w:t>
            </w:r>
            <w:r>
              <w:rPr>
                <w:spacing w:val="-2"/>
              </w:rPr>
              <w:t>–</w:t>
            </w:r>
            <w:r w:rsidRPr="0021253D">
              <w:rPr>
                <w:spacing w:val="-2"/>
              </w:rPr>
              <w:t>14,0</w:t>
            </w:r>
            <w:r>
              <w:rPr>
                <w:spacing w:val="-2"/>
              </w:rPr>
              <w:t> %</w:t>
            </w:r>
            <w:r w:rsidRPr="0021253D">
              <w:rPr>
                <w:spacing w:val="-2"/>
              </w:rPr>
              <w:t>), o</w:t>
            </w:r>
            <w:r>
              <w:rPr>
                <w:spacing w:val="-2"/>
              </w:rPr>
              <w:t> </w:t>
            </w:r>
            <w:r w:rsidRPr="0021253D">
              <w:rPr>
                <w:spacing w:val="-2"/>
              </w:rPr>
              <w:t>více než osminu klesla produkce také např</w:t>
            </w:r>
            <w:r>
              <w:rPr>
                <w:spacing w:val="-2"/>
              </w:rPr>
              <w:t>íklad</w:t>
            </w:r>
            <w:r w:rsidRPr="0021253D">
              <w:rPr>
                <w:spacing w:val="-2"/>
              </w:rPr>
              <w:t xml:space="preserve"> ve Francii, Španělsku, Německu, Rumunsku či </w:t>
            </w:r>
            <w:r>
              <w:rPr>
                <w:spacing w:val="-2"/>
              </w:rPr>
              <w:t xml:space="preserve">na </w:t>
            </w:r>
            <w:r w:rsidRPr="0021253D">
              <w:rPr>
                <w:spacing w:val="-2"/>
              </w:rPr>
              <w:t>Slovensku. Mírný růst registroval</w:t>
            </w:r>
            <w:r>
              <w:rPr>
                <w:spacing w:val="-2"/>
              </w:rPr>
              <w:t>y</w:t>
            </w:r>
            <w:r w:rsidRPr="0021253D">
              <w:rPr>
                <w:spacing w:val="-2"/>
              </w:rPr>
              <w:t xml:space="preserve"> pouze Irsko (+1,2</w:t>
            </w:r>
            <w:r>
              <w:rPr>
                <w:spacing w:val="-2"/>
              </w:rPr>
              <w:t> %</w:t>
            </w:r>
            <w:r w:rsidRPr="0021253D">
              <w:rPr>
                <w:spacing w:val="-2"/>
              </w:rPr>
              <w:t>) a</w:t>
            </w:r>
            <w:r>
              <w:rPr>
                <w:spacing w:val="-2"/>
              </w:rPr>
              <w:t> </w:t>
            </w:r>
            <w:r w:rsidRPr="0021253D">
              <w:rPr>
                <w:spacing w:val="-2"/>
              </w:rPr>
              <w:t>Malta. Z větších ekonomik zaznamenal</w:t>
            </w:r>
            <w:r>
              <w:rPr>
                <w:spacing w:val="-2"/>
              </w:rPr>
              <w:t>y</w:t>
            </w:r>
            <w:r w:rsidRPr="0021253D">
              <w:rPr>
                <w:spacing w:val="-2"/>
              </w:rPr>
              <w:t xml:space="preserve"> jen slabší pokles Řecko a</w:t>
            </w:r>
            <w:r>
              <w:rPr>
                <w:spacing w:val="-2"/>
              </w:rPr>
              <w:t> </w:t>
            </w:r>
            <w:r w:rsidRPr="0021253D">
              <w:rPr>
                <w:spacing w:val="-2"/>
              </w:rPr>
              <w:t xml:space="preserve">Polsko (shodně </w:t>
            </w:r>
            <w:r>
              <w:rPr>
                <w:spacing w:val="-2"/>
              </w:rPr>
              <w:t>–</w:t>
            </w:r>
            <w:r w:rsidRPr="0021253D">
              <w:rPr>
                <w:spacing w:val="-2"/>
              </w:rPr>
              <w:t>4</w:t>
            </w:r>
            <w:r>
              <w:rPr>
                <w:spacing w:val="-2"/>
              </w:rPr>
              <w:t> %</w:t>
            </w:r>
            <w:r w:rsidRPr="0021253D">
              <w:rPr>
                <w:spacing w:val="-2"/>
              </w:rPr>
              <w:t>), u</w:t>
            </w:r>
            <w:r>
              <w:rPr>
                <w:spacing w:val="-2"/>
              </w:rPr>
              <w:t> </w:t>
            </w:r>
            <w:r w:rsidRPr="0021253D">
              <w:rPr>
                <w:spacing w:val="-2"/>
              </w:rPr>
              <w:t xml:space="preserve">nichž se </w:t>
            </w:r>
            <w:r>
              <w:rPr>
                <w:spacing w:val="-2"/>
              </w:rPr>
              <w:t xml:space="preserve">mohl projevit </w:t>
            </w:r>
            <w:r w:rsidRPr="0021253D">
              <w:rPr>
                <w:color w:val="0D0D0D" w:themeColor="text1" w:themeTint="F2"/>
                <w:spacing w:val="-2"/>
              </w:rPr>
              <w:t>i </w:t>
            </w:r>
            <w:r w:rsidRPr="0021253D">
              <w:rPr>
                <w:spacing w:val="-2"/>
              </w:rPr>
              <w:t>vliv odlišnější skladby průmyslu (</w:t>
            </w:r>
            <w:r>
              <w:rPr>
                <w:spacing w:val="-2"/>
              </w:rPr>
              <w:t>např.</w:t>
            </w:r>
            <w:r w:rsidRPr="0021253D">
              <w:rPr>
                <w:spacing w:val="-2"/>
              </w:rPr>
              <w:t xml:space="preserve"> vyšší zastoupení odvětví navázaných na zemědělství).</w:t>
            </w:r>
            <w:r>
              <w:rPr>
                <w:spacing w:val="-2"/>
              </w:rPr>
              <w:t xml:space="preserve"> </w:t>
            </w:r>
            <w:r w:rsidRPr="0021253D">
              <w:rPr>
                <w:color w:val="0D0D0D" w:themeColor="text1" w:themeTint="F2"/>
                <w:spacing w:val="-2"/>
              </w:rPr>
              <w:t xml:space="preserve">V ČR </w:t>
            </w:r>
            <w:r>
              <w:rPr>
                <w:color w:val="0D0D0D" w:themeColor="text1" w:themeTint="F2"/>
                <w:spacing w:val="-2"/>
              </w:rPr>
              <w:t>(</w:t>
            </w:r>
            <w:r w:rsidRPr="0021253D">
              <w:rPr>
                <w:color w:val="0D0D0D" w:themeColor="text1" w:themeTint="F2"/>
                <w:spacing w:val="-2"/>
              </w:rPr>
              <w:t>–15 %)</w:t>
            </w:r>
            <w:r>
              <w:rPr>
                <w:color w:val="0D0D0D" w:themeColor="text1" w:themeTint="F2"/>
                <w:spacing w:val="-2"/>
              </w:rPr>
              <w:t>,</w:t>
            </w:r>
            <w:r w:rsidRPr="0021253D">
              <w:rPr>
                <w:color w:val="0D0D0D" w:themeColor="text1" w:themeTint="F2"/>
                <w:spacing w:val="-2"/>
              </w:rPr>
              <w:t xml:space="preserve"> podobně jako v celé EU (–17 %) klesla nejvíce výroba v odvětvích vyrábějících produkty investiční povahy (</w:t>
            </w:r>
            <w:r>
              <w:rPr>
                <w:color w:val="0D0D0D" w:themeColor="text1" w:themeTint="F2"/>
                <w:spacing w:val="-2"/>
              </w:rPr>
              <w:t>např.</w:t>
            </w:r>
            <w:r w:rsidRPr="0021253D">
              <w:rPr>
                <w:color w:val="0D0D0D" w:themeColor="text1" w:themeTint="F2"/>
                <w:spacing w:val="-2"/>
              </w:rPr>
              <w:t xml:space="preserve"> stroje, dopravní prostředky), nejméně pak </w:t>
            </w:r>
            <w:r>
              <w:rPr>
                <w:color w:val="0D0D0D" w:themeColor="text1" w:themeTint="F2"/>
                <w:spacing w:val="-2"/>
              </w:rPr>
              <w:t>v </w:t>
            </w:r>
            <w:r w:rsidRPr="0021253D">
              <w:rPr>
                <w:color w:val="0D0D0D" w:themeColor="text1" w:themeTint="F2"/>
                <w:spacing w:val="-2"/>
              </w:rPr>
              <w:t>odvětví</w:t>
            </w:r>
            <w:r>
              <w:rPr>
                <w:color w:val="0D0D0D" w:themeColor="text1" w:themeTint="F2"/>
                <w:spacing w:val="-2"/>
              </w:rPr>
              <w:t>ch</w:t>
            </w:r>
            <w:r w:rsidRPr="0021253D">
              <w:rPr>
                <w:color w:val="0D0D0D" w:themeColor="text1" w:themeTint="F2"/>
                <w:spacing w:val="-2"/>
              </w:rPr>
              <w:t xml:space="preserve"> zaměřen</w:t>
            </w:r>
            <w:r>
              <w:rPr>
                <w:color w:val="0D0D0D" w:themeColor="text1" w:themeTint="F2"/>
                <w:spacing w:val="-2"/>
              </w:rPr>
              <w:t>ých</w:t>
            </w:r>
            <w:r w:rsidRPr="0021253D">
              <w:rPr>
                <w:color w:val="0D0D0D" w:themeColor="text1" w:themeTint="F2"/>
                <w:spacing w:val="-2"/>
              </w:rPr>
              <w:t xml:space="preserve"> na produkty krátkodobé spotřeby (</w:t>
            </w:r>
            <w:r>
              <w:rPr>
                <w:color w:val="0D0D0D" w:themeColor="text1" w:themeTint="F2"/>
                <w:spacing w:val="-2"/>
              </w:rPr>
              <w:t>–</w:t>
            </w:r>
            <w:r w:rsidRPr="0021253D">
              <w:rPr>
                <w:color w:val="0D0D0D" w:themeColor="text1" w:themeTint="F2"/>
                <w:spacing w:val="-2"/>
              </w:rPr>
              <w:t>2</w:t>
            </w:r>
            <w:r>
              <w:rPr>
                <w:color w:val="0D0D0D" w:themeColor="text1" w:themeTint="F2"/>
                <w:spacing w:val="-2"/>
              </w:rPr>
              <w:t> %</w:t>
            </w:r>
            <w:r w:rsidRPr="0021253D">
              <w:rPr>
                <w:color w:val="0D0D0D" w:themeColor="text1" w:themeTint="F2"/>
                <w:spacing w:val="-2"/>
              </w:rPr>
              <w:t xml:space="preserve">, resp. </w:t>
            </w:r>
            <w:r>
              <w:rPr>
                <w:color w:val="0D0D0D" w:themeColor="text1" w:themeTint="F2"/>
                <w:spacing w:val="-2"/>
              </w:rPr>
              <w:br/>
              <w:t>–</w:t>
            </w:r>
            <w:r w:rsidRPr="0021253D">
              <w:rPr>
                <w:color w:val="0D0D0D" w:themeColor="text1" w:themeTint="F2"/>
                <w:spacing w:val="-2"/>
              </w:rPr>
              <w:t>4</w:t>
            </w:r>
            <w:r>
              <w:rPr>
                <w:color w:val="0D0D0D" w:themeColor="text1" w:themeTint="F2"/>
                <w:spacing w:val="-2"/>
              </w:rPr>
              <w:t> %</w:t>
            </w:r>
            <w:r w:rsidRPr="0021253D">
              <w:rPr>
                <w:color w:val="0D0D0D" w:themeColor="text1" w:themeTint="F2"/>
                <w:spacing w:val="-2"/>
              </w:rPr>
              <w:t>), kam patří např</w:t>
            </w:r>
            <w:r>
              <w:rPr>
                <w:color w:val="0D0D0D" w:themeColor="text1" w:themeTint="F2"/>
                <w:spacing w:val="-2"/>
              </w:rPr>
              <w:t>íklad</w:t>
            </w:r>
            <w:r w:rsidRPr="0021253D">
              <w:rPr>
                <w:color w:val="0D0D0D" w:themeColor="text1" w:themeTint="F2"/>
                <w:spacing w:val="-2"/>
              </w:rPr>
              <w:t xml:space="preserve"> potraviny, nápoje, tabák, oděvy, léky, čist</w:t>
            </w:r>
            <w:r>
              <w:rPr>
                <w:color w:val="0D0D0D" w:themeColor="text1" w:themeTint="F2"/>
                <w:spacing w:val="-2"/>
              </w:rPr>
              <w:t>i</w:t>
            </w:r>
            <w:r w:rsidRPr="0021253D">
              <w:rPr>
                <w:color w:val="0D0D0D" w:themeColor="text1" w:themeTint="F2"/>
                <w:spacing w:val="-2"/>
              </w:rPr>
              <w:t>cí a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1253D">
              <w:rPr>
                <w:color w:val="0D0D0D" w:themeColor="text1" w:themeTint="F2"/>
                <w:spacing w:val="-2"/>
              </w:rPr>
              <w:t>hygienické prostředky, noviny, hračky či sportovní potřeby.</w:t>
            </w:r>
          </w:p>
        </w:tc>
      </w:tr>
      <w:tr w:rsidR="008D3ACD" w:rsidRPr="00191C35" w14:paraId="0379CC0C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676C3E8" w14:textId="77777777" w:rsidR="008D3ACD" w:rsidRDefault="008D3ACD" w:rsidP="008D3ACD">
            <w:pPr>
              <w:pStyle w:val="Marginlie"/>
            </w:pPr>
            <w:proofErr w:type="spellStart"/>
            <w:r>
              <w:t>Mezikvartální</w:t>
            </w:r>
            <w:proofErr w:type="spellEnd"/>
            <w:r>
              <w:t xml:space="preserve"> pokles produkce byl ve </w:t>
            </w:r>
            <w:r>
              <w:lastRenderedPageBreak/>
              <w:t>stavebnictví ve 2. čtvrtletí mírnější, přetrvával ovšem i v dalším období.</w:t>
            </w:r>
          </w:p>
          <w:p w14:paraId="7546763E" w14:textId="77777777" w:rsidR="008D3ACD" w:rsidRDefault="008D3ACD" w:rsidP="008D3ACD">
            <w:pPr>
              <w:pStyle w:val="Marginlie"/>
            </w:pPr>
          </w:p>
          <w:p w14:paraId="2B3315FF" w14:textId="77777777" w:rsidR="008D3ACD" w:rsidRDefault="008D3ACD" w:rsidP="008D3ACD">
            <w:pPr>
              <w:pStyle w:val="Marginlie"/>
            </w:pPr>
          </w:p>
          <w:p w14:paraId="61DF99A6" w14:textId="77777777" w:rsidR="008D3ACD" w:rsidRDefault="008D3ACD" w:rsidP="008D3ACD">
            <w:pPr>
              <w:pStyle w:val="Marginlie"/>
            </w:pPr>
          </w:p>
          <w:p w14:paraId="5A16501E" w14:textId="77777777" w:rsidR="008D3ACD" w:rsidRDefault="008D3ACD" w:rsidP="008D3ACD">
            <w:pPr>
              <w:pStyle w:val="Marginlie"/>
            </w:pPr>
          </w:p>
          <w:p w14:paraId="250C6E6F" w14:textId="77777777" w:rsidR="008D3ACD" w:rsidRDefault="008D3ACD" w:rsidP="008D3ACD">
            <w:pPr>
              <w:pStyle w:val="Marginlie"/>
            </w:pPr>
          </w:p>
          <w:p w14:paraId="68F56280" w14:textId="77777777" w:rsidR="008D3ACD" w:rsidRDefault="008D3ACD" w:rsidP="008D3ACD">
            <w:pPr>
              <w:pStyle w:val="Marginlie"/>
            </w:pPr>
            <w:r>
              <w:t>Výkon pozemního stavitelství klesl za tři čtvrtletí meziročně nejvíce za poslední dekádu.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28D0C1F6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BADBEB3" w14:textId="77777777" w:rsidR="008D3ACD" w:rsidRPr="00E675C3" w:rsidRDefault="008D3ACD" w:rsidP="008D3ACD">
            <w:pPr>
              <w:spacing w:after="160"/>
              <w:rPr>
                <w:spacing w:val="-4"/>
              </w:rPr>
            </w:pPr>
            <w:r w:rsidRPr="00E675C3">
              <w:rPr>
                <w:spacing w:val="-4"/>
              </w:rPr>
              <w:t xml:space="preserve">Ve stavebnictví se vliv </w:t>
            </w:r>
            <w:proofErr w:type="spellStart"/>
            <w:r w:rsidRPr="00E675C3">
              <w:rPr>
                <w:spacing w:val="-4"/>
              </w:rPr>
              <w:t>protipandemických</w:t>
            </w:r>
            <w:proofErr w:type="spellEnd"/>
            <w:r w:rsidRPr="00E675C3">
              <w:rPr>
                <w:spacing w:val="-4"/>
              </w:rPr>
              <w:t xml:space="preserve"> opatření projevoval pozvolněji, zato však s větší setrvačností. Během 2.</w:t>
            </w:r>
            <w:r>
              <w:rPr>
                <w:spacing w:val="-4"/>
              </w:rPr>
              <w:t> čtvrtlet</w:t>
            </w:r>
            <w:r w:rsidRPr="00E675C3">
              <w:rPr>
                <w:spacing w:val="-4"/>
              </w:rPr>
              <w:t xml:space="preserve">í se </w:t>
            </w:r>
            <w:r w:rsidRPr="00E675C3">
              <w:rPr>
                <w:color w:val="0D0D0D" w:themeColor="text1" w:themeTint="F2"/>
                <w:spacing w:val="-4"/>
              </w:rPr>
              <w:t>s</w:t>
            </w:r>
            <w:r w:rsidRPr="00E675C3">
              <w:rPr>
                <w:spacing w:val="-4"/>
              </w:rPr>
              <w:t>tavební produkce</w:t>
            </w:r>
            <w:r w:rsidRPr="00E675C3">
              <w:rPr>
                <w:rStyle w:val="Znakapoznpodarou"/>
                <w:spacing w:val="-4"/>
              </w:rPr>
              <w:footnoteReference w:id="14"/>
            </w:r>
            <w:r w:rsidRPr="00E675C3">
              <w:rPr>
                <w:spacing w:val="-4"/>
              </w:rPr>
              <w:t xml:space="preserve"> snížila o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7,2</w:t>
            </w:r>
            <w:r>
              <w:rPr>
                <w:spacing w:val="-4"/>
              </w:rPr>
              <w:t> %</w:t>
            </w:r>
            <w:r w:rsidRPr="00E675C3">
              <w:rPr>
                <w:spacing w:val="-4"/>
              </w:rPr>
              <w:t xml:space="preserve">. Hlubší </w:t>
            </w:r>
            <w:proofErr w:type="spellStart"/>
            <w:r w:rsidRPr="00E675C3">
              <w:rPr>
                <w:spacing w:val="-4"/>
              </w:rPr>
              <w:t>mezikvartální</w:t>
            </w:r>
            <w:proofErr w:type="spellEnd"/>
            <w:r w:rsidRPr="00E675C3">
              <w:rPr>
                <w:spacing w:val="-4"/>
              </w:rPr>
              <w:t xml:space="preserve"> </w:t>
            </w:r>
            <w:r w:rsidRPr="00E675C3">
              <w:rPr>
                <w:spacing w:val="-4"/>
              </w:rPr>
              <w:lastRenderedPageBreak/>
              <w:t>pokles byl naposledy registrován na počátku roku 2013. Jarní opatření, která měla za následek i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omezení výkonu stavebních úřadů, dále ztížila náročný administrativní proces přípravy staveb, došlo k přerušení různých výběrových řízení, což narušilo plynulost výstavby. Dále také prohloubila ve stavebnictví již tak palčivý problém s dostupností pracovních sil, především ze zahraniční. Uvedené vlivy znamenaly pro toto odvětví větší šok než krátkodobý výpadek veřejných infrastrukturních investic na počátku roku 2016 (vlivem přechodu na nové programové období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EU). Jarní útlum stavebnictví byl ve srovnání s ostatními tržními odvětvími sice slabší, na rozdíl od nich zde však následně nedošlo k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oživení. Za 3.</w:t>
            </w:r>
            <w:r>
              <w:rPr>
                <w:spacing w:val="-4"/>
              </w:rPr>
              <w:t> čtvrtlet</w:t>
            </w:r>
            <w:r w:rsidRPr="00E675C3">
              <w:rPr>
                <w:spacing w:val="-4"/>
              </w:rPr>
              <w:t>í se produkce stavebnictví proti předchozímu období dále snížila (o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2,3</w:t>
            </w:r>
            <w:r>
              <w:rPr>
                <w:spacing w:val="-4"/>
              </w:rPr>
              <w:t> %</w:t>
            </w:r>
            <w:r w:rsidRPr="00E675C3">
              <w:rPr>
                <w:spacing w:val="-4"/>
              </w:rPr>
              <w:t>) a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rovněž říjnové údaje naznačily pokračování tohoto trendu (meziměsíční pokles činil 1,7</w:t>
            </w:r>
            <w:r>
              <w:rPr>
                <w:spacing w:val="-4"/>
              </w:rPr>
              <w:t> %</w:t>
            </w:r>
            <w:r w:rsidRPr="00E675C3">
              <w:rPr>
                <w:spacing w:val="-4"/>
              </w:rPr>
              <w:t xml:space="preserve">). </w:t>
            </w:r>
            <w:r>
              <w:rPr>
                <w:spacing w:val="-4"/>
              </w:rPr>
              <w:t>V </w:t>
            </w:r>
            <w:r w:rsidRPr="00E675C3">
              <w:rPr>
                <w:spacing w:val="-4"/>
              </w:rPr>
              <w:t>1</w:t>
            </w:r>
            <w:r>
              <w:rPr>
                <w:spacing w:val="-4"/>
              </w:rPr>
              <w:t>. </w:t>
            </w:r>
            <w:r w:rsidRPr="00E675C3">
              <w:rPr>
                <w:spacing w:val="-4"/>
              </w:rPr>
              <w:t>až 3.</w:t>
            </w:r>
            <w:r>
              <w:rPr>
                <w:spacing w:val="-4"/>
              </w:rPr>
              <w:t> čtvrtlet</w:t>
            </w:r>
            <w:r w:rsidRPr="00E675C3">
              <w:rPr>
                <w:spacing w:val="-4"/>
              </w:rPr>
              <w:t xml:space="preserve">í klesl výkon stavebnictví </w:t>
            </w:r>
            <w:r>
              <w:rPr>
                <w:spacing w:val="-4"/>
              </w:rPr>
              <w:t>meziročně o 6,5 %, což byl</w:t>
            </w:r>
            <w:r w:rsidRPr="00E675C3">
              <w:rPr>
                <w:spacing w:val="-4"/>
              </w:rPr>
              <w:t xml:space="preserve"> nejslabší výsledek za poslední tři roky</w:t>
            </w:r>
            <w:r>
              <w:rPr>
                <w:spacing w:val="-4"/>
              </w:rPr>
              <w:t>. Zásadně k tomu přispělo</w:t>
            </w:r>
            <w:r w:rsidRPr="00E675C3">
              <w:rPr>
                <w:spacing w:val="-4"/>
              </w:rPr>
              <w:t xml:space="preserve"> pozemní stavitels</w:t>
            </w:r>
            <w:r>
              <w:rPr>
                <w:spacing w:val="-4"/>
              </w:rPr>
              <w:t>tví (pokles o 8,7 %, nejslabší tempo</w:t>
            </w:r>
            <w:r w:rsidRPr="00E675C3">
              <w:rPr>
                <w:spacing w:val="-4"/>
              </w:rPr>
              <w:t xml:space="preserve"> po roce 2010). Mírně nižší byla i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 xml:space="preserve">produkce inženýrského stavitelství </w:t>
            </w:r>
            <w:r>
              <w:rPr>
                <w:spacing w:val="-4"/>
              </w:rPr>
              <w:br/>
            </w:r>
            <w:r w:rsidRPr="00E675C3">
              <w:rPr>
                <w:spacing w:val="-4"/>
              </w:rPr>
              <w:t>(</w:t>
            </w:r>
            <w:r>
              <w:rPr>
                <w:spacing w:val="-4"/>
              </w:rPr>
              <w:t>–</w:t>
            </w:r>
            <w:r w:rsidRPr="00E675C3">
              <w:rPr>
                <w:spacing w:val="-4"/>
              </w:rPr>
              <w:t>0,5</w:t>
            </w:r>
            <w:r>
              <w:rPr>
                <w:spacing w:val="-4"/>
              </w:rPr>
              <w:t> %</w:t>
            </w:r>
            <w:r w:rsidRPr="00E675C3">
              <w:rPr>
                <w:spacing w:val="-4"/>
              </w:rPr>
              <w:t>). T</w:t>
            </w:r>
            <w:r>
              <w:rPr>
                <w:spacing w:val="-4"/>
              </w:rPr>
              <w:t>o se ale mohlo opřít o </w:t>
            </w:r>
            <w:r w:rsidRPr="00E675C3">
              <w:rPr>
                <w:spacing w:val="-4"/>
              </w:rPr>
              <w:t>zrychlující čerpání evropských fondů na dopravní stavby. Proti hlubšímu útlumu celého odvětví působil</w:t>
            </w:r>
            <w:r>
              <w:rPr>
                <w:spacing w:val="-4"/>
              </w:rPr>
              <w:t>a</w:t>
            </w:r>
            <w:r w:rsidRPr="00E675C3">
              <w:rPr>
                <w:spacing w:val="-4"/>
              </w:rPr>
              <w:t xml:space="preserve"> i</w:t>
            </w:r>
            <w:r>
              <w:rPr>
                <w:spacing w:val="-4"/>
              </w:rPr>
              <w:t xml:space="preserve"> teplotně </w:t>
            </w:r>
            <w:r w:rsidRPr="00E675C3">
              <w:rPr>
                <w:spacing w:val="-4"/>
              </w:rPr>
              <w:t>vel</w:t>
            </w:r>
            <w:r>
              <w:rPr>
                <w:spacing w:val="-4"/>
              </w:rPr>
              <w:t>mi mírná zima</w:t>
            </w:r>
            <w:r w:rsidRPr="00E675C3">
              <w:rPr>
                <w:spacing w:val="-4"/>
              </w:rPr>
              <w:t>.</w:t>
            </w:r>
          </w:p>
        </w:tc>
      </w:tr>
      <w:tr w:rsidR="008D3ACD" w:rsidRPr="00191C35" w14:paraId="3ED363F1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29594F0" w14:textId="77777777" w:rsidR="008D3ACD" w:rsidRDefault="008D3ACD" w:rsidP="008D3ACD">
            <w:pPr>
              <w:pStyle w:val="Marginlie"/>
            </w:pPr>
            <w:r>
              <w:lastRenderedPageBreak/>
              <w:t>Počet všech zahájených i dokončených bytů proti vysoké loňské úrovni klesl. Výstavbě rodinných domů se ale dále dařilo.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6F7FBE4F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2B4D81C" w14:textId="77777777" w:rsidR="008D3ACD" w:rsidRPr="00E675C3" w:rsidRDefault="008D3ACD" w:rsidP="008D3ACD">
            <w:pPr>
              <w:spacing w:after="200"/>
              <w:rPr>
                <w:spacing w:val="-4"/>
              </w:rPr>
            </w:pPr>
            <w:r w:rsidRPr="00E675C3">
              <w:rPr>
                <w:spacing w:val="-4"/>
              </w:rPr>
              <w:t>Letošní problémy pozemního stavi</w:t>
            </w:r>
            <w:r>
              <w:rPr>
                <w:spacing w:val="-4"/>
              </w:rPr>
              <w:t>telství souvisely i </w:t>
            </w:r>
            <w:r w:rsidRPr="00E675C3">
              <w:rPr>
                <w:spacing w:val="-4"/>
              </w:rPr>
              <w:t>s poklesem v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bytové výstavbě. Počet zahájených bytů za tři čtvrtletí se meziročně snížil o</w:t>
            </w:r>
            <w:r>
              <w:rPr>
                <w:spacing w:val="-4"/>
              </w:rPr>
              <w:t> 6,8 %, takřka výhradně vinou</w:t>
            </w:r>
            <w:r w:rsidRPr="00E675C3">
              <w:rPr>
                <w:spacing w:val="-4"/>
              </w:rPr>
              <w:t xml:space="preserve"> poklesu u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bytů v bytových domech (o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23</w:t>
            </w:r>
            <w:r>
              <w:rPr>
                <w:spacing w:val="-4"/>
              </w:rPr>
              <w:t> %</w:t>
            </w:r>
            <w:r w:rsidRPr="00E675C3">
              <w:rPr>
                <w:spacing w:val="-4"/>
              </w:rPr>
              <w:t>). Celkový počet zahájených bytů (27,2</w:t>
            </w:r>
            <w:r>
              <w:rPr>
                <w:spacing w:val="-4"/>
              </w:rPr>
              <w:t> tis.</w:t>
            </w:r>
            <w:r w:rsidRPr="00E675C3">
              <w:rPr>
                <w:spacing w:val="-4"/>
              </w:rPr>
              <w:t>) byl přesto druhý nejvyšší za poslední dekádu. Téměř o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desetinu se snížila i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četnost dokončených bytů. Nižší výstavbu registrovalo 12 ze 14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regionů, nejvíce Praha a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jižní Čechy</w:t>
            </w:r>
            <w:r>
              <w:rPr>
                <w:spacing w:val="-4"/>
              </w:rPr>
              <w:t xml:space="preserve"> (shodně skoro o</w:t>
            </w:r>
            <w:r w:rsidRPr="00E675C3">
              <w:rPr>
                <w:spacing w:val="-4"/>
              </w:rPr>
              <w:t> čtvrtinu). V celé ČR bylo dokončeno 13,7</w:t>
            </w:r>
            <w:r>
              <w:rPr>
                <w:spacing w:val="-4"/>
              </w:rPr>
              <w:t> tis.</w:t>
            </w:r>
            <w:r w:rsidRPr="00E675C3">
              <w:rPr>
                <w:spacing w:val="-4"/>
              </w:rPr>
              <w:t xml:space="preserve"> bytů v rodinných domech, výstavba rostla pátým rokem v řadě a</w:t>
            </w:r>
            <w:r>
              <w:rPr>
                <w:spacing w:val="-4"/>
              </w:rPr>
              <w:t> </w:t>
            </w:r>
            <w:r w:rsidRPr="00E675C3">
              <w:rPr>
                <w:spacing w:val="-4"/>
              </w:rPr>
              <w:t>její výše byla v rámci 1</w:t>
            </w:r>
            <w:r>
              <w:rPr>
                <w:spacing w:val="-4"/>
              </w:rPr>
              <w:t>. </w:t>
            </w:r>
            <w:r w:rsidRPr="00E675C3">
              <w:rPr>
                <w:spacing w:val="-4"/>
              </w:rPr>
              <w:t>až 3.</w:t>
            </w:r>
            <w:r>
              <w:rPr>
                <w:spacing w:val="-4"/>
              </w:rPr>
              <w:t> čtvrtlet</w:t>
            </w:r>
            <w:r w:rsidRPr="00E675C3">
              <w:rPr>
                <w:spacing w:val="-4"/>
              </w:rPr>
              <w:t>í v historii samo</w:t>
            </w:r>
            <w:r>
              <w:rPr>
                <w:spacing w:val="-4"/>
              </w:rPr>
              <w:t>sta</w:t>
            </w:r>
            <w:r w:rsidRPr="00E675C3">
              <w:rPr>
                <w:spacing w:val="-4"/>
              </w:rPr>
              <w:t>tné ČR nejvyšší.</w:t>
            </w:r>
          </w:p>
        </w:tc>
      </w:tr>
      <w:tr w:rsidR="008D3ACD" w:rsidRPr="00191C35" w14:paraId="3A183838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EADF01D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01E16108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E5410E0" w14:textId="77777777" w:rsidR="008D3ACD" w:rsidRPr="00FE5237" w:rsidRDefault="008D3ACD" w:rsidP="008D3ACD">
            <w:pPr>
              <w:spacing w:after="0"/>
              <w:rPr>
                <w:spacing w:val="-4"/>
              </w:rPr>
            </w:pPr>
            <w:r w:rsidRPr="00883202">
              <w:rPr>
                <w:b/>
              </w:rPr>
              <w:t>Graf č. 6</w:t>
            </w:r>
            <w:r>
              <w:rPr>
                <w:b/>
              </w:rPr>
              <w:t xml:space="preserve">  </w:t>
            </w:r>
            <w:r w:rsidRPr="00883202">
              <w:rPr>
                <w:b/>
              </w:rPr>
              <w:t xml:space="preserve">Příspěvky odvětví k meziroční změně stavební produkce </w:t>
            </w:r>
            <w:r w:rsidRPr="00883202">
              <w:t>(v p. b.)</w:t>
            </w:r>
            <w:r w:rsidRPr="00883202">
              <w:rPr>
                <w:b/>
                <w:bCs/>
              </w:rPr>
              <w:t>,</w:t>
            </w:r>
            <w:r w:rsidRPr="00883202">
              <w:rPr>
                <w:b/>
                <w:bCs/>
              </w:rPr>
              <w:br/>
            </w:r>
            <w:r w:rsidRPr="00883202">
              <w:rPr>
                <w:b/>
              </w:rPr>
              <w:t xml:space="preserve">nové stavební zakázky </w:t>
            </w:r>
            <w:r w:rsidRPr="00883202">
              <w:rPr>
                <w:bCs/>
              </w:rPr>
              <w:t>(</w:t>
            </w:r>
            <w:r w:rsidRPr="00883202">
              <w:t>meziročně</w:t>
            </w:r>
            <w:r w:rsidRPr="00883202">
              <w:rPr>
                <w:bCs/>
              </w:rPr>
              <w:t xml:space="preserve"> v %</w:t>
            </w:r>
            <w:r w:rsidRPr="00883202">
              <w:t>, pravá osa</w:t>
            </w:r>
            <w:r w:rsidRPr="00883202">
              <w:rPr>
                <w:bCs/>
              </w:rPr>
              <w:t>)</w:t>
            </w:r>
            <w:r w:rsidRPr="00883202">
              <w:rPr>
                <w:b/>
              </w:rPr>
              <w:t>, saldo indikátoru důvěry ve stavebnictví*</w:t>
            </w:r>
            <w:r w:rsidRPr="00883202">
              <w:t xml:space="preserve"> (v p. b., pravá osa) </w:t>
            </w:r>
            <w:r w:rsidRPr="00883202">
              <w:rPr>
                <w:b/>
              </w:rPr>
              <w:t>a vybrané bariéry růstu</w:t>
            </w:r>
            <w:r w:rsidRPr="00883202">
              <w:t>* (v %, pravá osa)</w:t>
            </w:r>
          </w:p>
        </w:tc>
      </w:tr>
      <w:tr w:rsidR="008D3ACD" w:rsidRPr="00191C35" w14:paraId="63B24F16" w14:textId="77777777" w:rsidTr="008D3ACD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92" w:type="dxa"/>
            <w:shd w:val="clear" w:color="auto" w:fill="auto"/>
          </w:tcPr>
          <w:p w14:paraId="4E319AD4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</w:tcPr>
          <w:p w14:paraId="600D92BA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03C2D000" w14:textId="77777777" w:rsidR="008D3ACD" w:rsidRPr="003E01D3" w:rsidRDefault="008D3ACD" w:rsidP="008D3ACD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0A56CED" wp14:editId="702CF1EF">
                  <wp:extent cx="4740275" cy="3480179"/>
                  <wp:effectExtent l="0" t="0" r="3175" b="6350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D3ACD" w:rsidRPr="00191C35" w14:paraId="3FC88773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A90FCF2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744B6B7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2226C69" w14:textId="77777777" w:rsidR="008D3ACD" w:rsidRPr="00883202" w:rsidRDefault="008D3ACD" w:rsidP="008D3ACD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5DA5E17E" w14:textId="77777777" w:rsidR="008D3ACD" w:rsidRPr="002453EC" w:rsidRDefault="008D3ACD" w:rsidP="008D3ACD">
            <w:pPr>
              <w:spacing w:after="18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Saldo důvěry i bariéry růstu jsou sezónně očištěny a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D3ACD" w:rsidRPr="00191C35" w14:paraId="1E640183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0B01171B" w14:textId="77777777" w:rsidR="008D3ACD" w:rsidRDefault="008D3ACD" w:rsidP="008D3ACD">
            <w:pPr>
              <w:pStyle w:val="Marginlie"/>
            </w:pPr>
            <w:r>
              <w:t xml:space="preserve">Orientační hodnota stavebních povolení mírně klesla. Nové zakázky i jejich celková </w:t>
            </w:r>
            <w:r>
              <w:lastRenderedPageBreak/>
              <w:t>zásoba ale dále meziročně rostly.</w:t>
            </w:r>
          </w:p>
          <w:p w14:paraId="43E00F7F" w14:textId="77777777" w:rsidR="008D3ACD" w:rsidRDefault="008D3ACD" w:rsidP="008D3ACD">
            <w:pPr>
              <w:pStyle w:val="Marginlie"/>
            </w:pPr>
          </w:p>
          <w:p w14:paraId="05BF46D1" w14:textId="77777777" w:rsidR="008D3ACD" w:rsidRDefault="008D3ACD" w:rsidP="008D3ACD">
            <w:pPr>
              <w:pStyle w:val="Marginlie"/>
            </w:pPr>
            <w:r>
              <w:t>Saldo indikátoru důvěry ve stavebnictví zůstalo v listopadu negativní, bylo však mírně příznivější než na jaře.</w:t>
            </w:r>
          </w:p>
          <w:p w14:paraId="160C84F0" w14:textId="77777777" w:rsidR="008D3ACD" w:rsidRDefault="008D3ACD" w:rsidP="008D3ACD">
            <w:pPr>
              <w:pStyle w:val="Marginlie"/>
            </w:pPr>
          </w:p>
          <w:p w14:paraId="7954A9D3" w14:textId="77777777" w:rsidR="008D3ACD" w:rsidRDefault="008D3ACD" w:rsidP="008D3ACD">
            <w:pPr>
              <w:pStyle w:val="Marginlie"/>
            </w:pPr>
          </w:p>
          <w:p w14:paraId="4003FE29" w14:textId="77777777" w:rsidR="008D3ACD" w:rsidRDefault="008D3ACD" w:rsidP="008D3ACD">
            <w:pPr>
              <w:pStyle w:val="Marginlie"/>
            </w:pPr>
            <w:r>
              <w:t>Stavební podniky výrazněji trápí nedostatečná poptávka i problém s náborem pracovních sil.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43A4422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A54B300" w14:textId="6AA41DAA" w:rsidR="008D3ACD" w:rsidRPr="00E675C3" w:rsidRDefault="008D3ACD" w:rsidP="008D3ACD">
            <w:pPr>
              <w:spacing w:after="220"/>
              <w:rPr>
                <w:spacing w:val="-2"/>
                <w:szCs w:val="20"/>
              </w:rPr>
            </w:pPr>
            <w:r w:rsidRPr="00E675C3">
              <w:rPr>
                <w:spacing w:val="-2"/>
                <w:szCs w:val="20"/>
              </w:rPr>
              <w:t xml:space="preserve">Orientační hodnota všech stavebních povolení byla </w:t>
            </w:r>
            <w:r>
              <w:rPr>
                <w:spacing w:val="-2"/>
                <w:szCs w:val="20"/>
              </w:rPr>
              <w:t xml:space="preserve">letos </w:t>
            </w:r>
            <w:r w:rsidRPr="00E675C3">
              <w:rPr>
                <w:spacing w:val="-2"/>
                <w:szCs w:val="20"/>
              </w:rPr>
              <w:t>meziročně mírně nižší ve všech dosavadních čtvrtletích. V úhrnu od počátku roku se snížila o</w:t>
            </w:r>
            <w:r>
              <w:rPr>
                <w:spacing w:val="-2"/>
                <w:szCs w:val="20"/>
              </w:rPr>
              <w:t> </w:t>
            </w:r>
            <w:r w:rsidRPr="00E675C3">
              <w:rPr>
                <w:spacing w:val="-2"/>
                <w:szCs w:val="20"/>
              </w:rPr>
              <w:t>4</w:t>
            </w:r>
            <w:r>
              <w:rPr>
                <w:spacing w:val="-2"/>
                <w:szCs w:val="20"/>
              </w:rPr>
              <w:t> %</w:t>
            </w:r>
            <w:r w:rsidRPr="00E675C3">
              <w:rPr>
                <w:spacing w:val="-2"/>
                <w:szCs w:val="20"/>
              </w:rPr>
              <w:t>. K významnějšímu růstu došlo jen u</w:t>
            </w:r>
            <w:r>
              <w:rPr>
                <w:spacing w:val="-2"/>
                <w:szCs w:val="20"/>
              </w:rPr>
              <w:t> </w:t>
            </w:r>
            <w:r w:rsidRPr="00E675C3">
              <w:rPr>
                <w:spacing w:val="-2"/>
                <w:szCs w:val="20"/>
              </w:rPr>
              <w:t>změn dokončených staveb v</w:t>
            </w:r>
            <w:r>
              <w:rPr>
                <w:spacing w:val="-2"/>
                <w:szCs w:val="20"/>
              </w:rPr>
              <w:t> </w:t>
            </w:r>
            <w:r w:rsidRPr="00E675C3">
              <w:rPr>
                <w:spacing w:val="-2"/>
                <w:szCs w:val="20"/>
              </w:rPr>
              <w:t>bytových budovách (+16</w:t>
            </w:r>
            <w:r>
              <w:rPr>
                <w:spacing w:val="-2"/>
                <w:szCs w:val="20"/>
              </w:rPr>
              <w:t> %</w:t>
            </w:r>
            <w:r w:rsidRPr="00E675C3">
              <w:rPr>
                <w:spacing w:val="-2"/>
                <w:szCs w:val="20"/>
              </w:rPr>
              <w:t xml:space="preserve">). Spíše než </w:t>
            </w:r>
            <w:r w:rsidRPr="00E675C3">
              <w:rPr>
                <w:spacing w:val="-2"/>
                <w:szCs w:val="20"/>
              </w:rPr>
              <w:lastRenderedPageBreak/>
              <w:t>o</w:t>
            </w:r>
            <w:r>
              <w:rPr>
                <w:spacing w:val="-2"/>
                <w:szCs w:val="20"/>
              </w:rPr>
              <w:t> </w:t>
            </w:r>
            <w:r w:rsidRPr="00E675C3">
              <w:rPr>
                <w:spacing w:val="-2"/>
                <w:szCs w:val="20"/>
              </w:rPr>
              <w:t>tržním poklesu vypovídají tato tempa o</w:t>
            </w:r>
            <w:r>
              <w:rPr>
                <w:spacing w:val="-2"/>
                <w:szCs w:val="20"/>
              </w:rPr>
              <w:t> </w:t>
            </w:r>
            <w:r w:rsidRPr="00E675C3">
              <w:rPr>
                <w:spacing w:val="-2"/>
                <w:szCs w:val="20"/>
              </w:rPr>
              <w:t xml:space="preserve">dočasných omezeních činnosti stavebních úřadů. </w:t>
            </w:r>
            <w:r w:rsidRPr="00E675C3">
              <w:rPr>
                <w:rFonts w:cstheme="minorHAnsi"/>
                <w:spacing w:val="-2"/>
              </w:rPr>
              <w:t>Hodnota nově uzavřených tuzemských zakázek (v podnicích nad 50 zaměstnanců) totiž ve 2. i</w:t>
            </w:r>
            <w:r>
              <w:rPr>
                <w:rFonts w:cstheme="minorHAnsi"/>
                <w:spacing w:val="-2"/>
              </w:rPr>
              <w:t> </w:t>
            </w:r>
            <w:r w:rsidRPr="00E675C3">
              <w:rPr>
                <w:rFonts w:cstheme="minorHAnsi"/>
                <w:spacing w:val="-2"/>
              </w:rPr>
              <w:t>3.</w:t>
            </w:r>
            <w:r>
              <w:rPr>
                <w:rFonts w:cstheme="minorHAnsi"/>
                <w:spacing w:val="-2"/>
              </w:rPr>
              <w:t> čtvrtlet</w:t>
            </w:r>
            <w:r w:rsidRPr="00E675C3">
              <w:rPr>
                <w:rFonts w:cstheme="minorHAnsi"/>
                <w:spacing w:val="-2"/>
              </w:rPr>
              <w:t>í mírně meziročně rostla</w:t>
            </w:r>
            <w:r>
              <w:rPr>
                <w:rFonts w:cstheme="minorHAnsi"/>
                <w:spacing w:val="-2"/>
              </w:rPr>
              <w:t xml:space="preserve"> – </w:t>
            </w:r>
            <w:r w:rsidRPr="00E675C3">
              <w:rPr>
                <w:rFonts w:cstheme="minorHAnsi"/>
                <w:spacing w:val="-2"/>
              </w:rPr>
              <w:t>jak v pozemním, tak i inženýrském stavitelství. Posilovala i celková zásoba práce ve formě dosud nerealizovaných stavebních zakázek. Na konci 3.</w:t>
            </w:r>
            <w:r w:rsidRPr="00E675C3">
              <w:rPr>
                <w:color w:val="0D0D0D" w:themeColor="text1" w:themeTint="F2"/>
                <w:spacing w:val="-2"/>
              </w:rPr>
              <w:t> </w:t>
            </w:r>
            <w:r w:rsidRPr="00E675C3">
              <w:rPr>
                <w:rFonts w:cstheme="minorHAnsi"/>
                <w:spacing w:val="-2"/>
              </w:rPr>
              <w:t>čtvrtletí byla meziročně o</w:t>
            </w:r>
            <w:r w:rsidRPr="00E675C3">
              <w:rPr>
                <w:color w:val="0D0D0D" w:themeColor="text1" w:themeTint="F2"/>
                <w:spacing w:val="-2"/>
              </w:rPr>
              <w:t> </w:t>
            </w:r>
            <w:r w:rsidRPr="00E675C3">
              <w:rPr>
                <w:rFonts w:cstheme="minorHAnsi"/>
                <w:spacing w:val="-2"/>
              </w:rPr>
              <w:t>osminu vyšší, a to díky veřejným i</w:t>
            </w:r>
            <w:r>
              <w:rPr>
                <w:rFonts w:cstheme="minorHAnsi"/>
                <w:spacing w:val="-2"/>
              </w:rPr>
              <w:t> </w:t>
            </w:r>
            <w:r w:rsidRPr="00824C1F">
              <w:rPr>
                <w:rFonts w:cstheme="minorHAnsi"/>
                <w:spacing w:val="-2"/>
              </w:rPr>
              <w:t>soukromým objednávkám z</w:t>
            </w:r>
            <w:r>
              <w:rPr>
                <w:rFonts w:cstheme="minorHAnsi"/>
                <w:spacing w:val="-2"/>
              </w:rPr>
              <w:t> </w:t>
            </w:r>
            <w:r w:rsidRPr="00824C1F">
              <w:rPr>
                <w:rFonts w:cstheme="minorHAnsi"/>
                <w:spacing w:val="-2"/>
              </w:rPr>
              <w:t>tuzemska, ale i</w:t>
            </w:r>
            <w:r>
              <w:rPr>
                <w:rFonts w:cstheme="minorHAnsi"/>
                <w:spacing w:val="-2"/>
              </w:rPr>
              <w:t> </w:t>
            </w:r>
            <w:r w:rsidRPr="00824C1F">
              <w:rPr>
                <w:rFonts w:cstheme="minorHAnsi"/>
                <w:spacing w:val="-2"/>
              </w:rPr>
              <w:t xml:space="preserve">zakázkám v zahraničí. Tři pětiny z celkové zásoby práce připadaly na tuzemské veřejné zakázky. </w:t>
            </w:r>
            <w:r w:rsidRPr="00824C1F">
              <w:rPr>
                <w:color w:val="0D0D0D" w:themeColor="text1" w:themeTint="F2"/>
                <w:spacing w:val="-4"/>
              </w:rPr>
              <w:t xml:space="preserve">Saldo </w:t>
            </w:r>
            <w:r w:rsidRPr="00824C1F">
              <w:rPr>
                <w:rFonts w:cs="Arial"/>
                <w:color w:val="0D0D0D" w:themeColor="text1" w:themeTint="F2"/>
                <w:spacing w:val="-4"/>
              </w:rPr>
              <w:t>indikátoru důvěry podnikatelů ve stavebnictví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setrvalo vyjma ledna 2020 po celý rok v záporném pásmu. V listopadu činilo –12 bodů, a nacházelo se tak na úrovni počátku roku 2018. Reakce na podzimní zhoršení epidemiologické situace byla zatím jen mírná. Oslabení investiční aktivity v ekonomice se částečně podepsalo na poptávce ve stavebnictví. Nedostatečnou poptávku označilo jako bariéru růstu v listopadu 41 % podniků (nejvíce od ledna 2018), významným limitem zůstává současně i nedostatek pracovníků (34 %). Stavební firmy tak zatím ve velkém nepropouštěly. Evidenční počet zaměstnanců byl ve 3. čtvrtletí meziročně nižší jen o 0,6 %.</w:t>
            </w:r>
          </w:p>
        </w:tc>
      </w:tr>
      <w:tr w:rsidR="008D3ACD" w:rsidRPr="00191C35" w14:paraId="1AF63C0E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D9AB176" w14:textId="77777777" w:rsidR="008D3ACD" w:rsidRPr="00A24BEC" w:rsidRDefault="008D3ACD" w:rsidP="008D3ACD">
            <w:pPr>
              <w:pStyle w:val="Marginlie"/>
            </w:pPr>
            <w:r w:rsidRPr="00A24BEC">
              <w:lastRenderedPageBreak/>
              <w:t>Pokles stavební produkce v Česku byl v 1.  až 3.</w:t>
            </w:r>
            <w:r>
              <w:t> čtvrtlet</w:t>
            </w:r>
            <w:r w:rsidRPr="00A24BEC">
              <w:t>í srovnatelný s vývojem v</w:t>
            </w:r>
            <w:r>
              <w:t> </w:t>
            </w:r>
            <w:r w:rsidRPr="00A24BEC">
              <w:t>EU</w:t>
            </w:r>
            <w:r>
              <w:t>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29708E2" w14:textId="77777777" w:rsidR="008D3ACD" w:rsidRPr="00A24BEC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73C9A3E" w14:textId="77777777" w:rsidR="008D3ACD" w:rsidRPr="00A24BEC" w:rsidRDefault="008D3ACD" w:rsidP="008D3ACD">
            <w:pPr>
              <w:spacing w:after="220"/>
              <w:rPr>
                <w:spacing w:val="-4"/>
                <w:szCs w:val="20"/>
              </w:rPr>
            </w:pPr>
            <w:r w:rsidRPr="00A24BEC">
              <w:rPr>
                <w:color w:val="0D0D0D" w:themeColor="text1" w:themeTint="F2"/>
                <w:spacing w:val="-4"/>
              </w:rPr>
              <w:t>Stavební produkce v EU klesla v 1. až 3.</w:t>
            </w:r>
            <w:r>
              <w:rPr>
                <w:color w:val="0D0D0D" w:themeColor="text1" w:themeTint="F2"/>
                <w:spacing w:val="-4"/>
              </w:rPr>
              <w:t> čtvrtlet</w:t>
            </w:r>
            <w:r w:rsidRPr="00A24BEC">
              <w:rPr>
                <w:color w:val="0D0D0D" w:themeColor="text1" w:themeTint="F2"/>
                <w:spacing w:val="-4"/>
              </w:rPr>
              <w:t>í 2020 meziročně o 6,6 % </w:t>
            </w:r>
            <w:r w:rsidRPr="00A24BEC">
              <w:rPr>
                <w:color w:val="000000" w:themeColor="text1"/>
                <w:spacing w:val="-4"/>
              </w:rPr>
              <w:t>–</w:t>
            </w:r>
            <w:r w:rsidRPr="00A24BEC">
              <w:rPr>
                <w:color w:val="0D0D0D" w:themeColor="text1" w:themeTint="F2"/>
                <w:spacing w:val="-4"/>
              </w:rPr>
              <w:t xml:space="preserve"> srovnatelně jako v ČR. Největší propad ze sledovaných zemí</w:t>
            </w:r>
            <w:r w:rsidRPr="00A24BEC">
              <w:rPr>
                <w:color w:val="0D0D0D" w:themeColor="text1" w:themeTint="F2"/>
                <w:spacing w:val="-4"/>
                <w:vertAlign w:val="superscript"/>
              </w:rPr>
              <w:footnoteReference w:id="15"/>
            </w:r>
            <w:r w:rsidRPr="00A24BEC">
              <w:rPr>
                <w:color w:val="0D0D0D" w:themeColor="text1" w:themeTint="F2"/>
                <w:spacing w:val="-4"/>
              </w:rPr>
              <w:t xml:space="preserve"> postihl Francii (</w:t>
            </w:r>
            <w:r w:rsidRPr="00A24BEC">
              <w:rPr>
                <w:color w:val="000000" w:themeColor="text1"/>
                <w:spacing w:val="-4"/>
              </w:rPr>
              <w:t>–</w:t>
            </w:r>
            <w:r w:rsidRPr="00A24BEC">
              <w:rPr>
                <w:color w:val="0D0D0D" w:themeColor="text1" w:themeTint="F2"/>
                <w:spacing w:val="-4"/>
              </w:rPr>
              <w:t>17,9 %), Španělsko</w:t>
            </w:r>
            <w:r w:rsidRPr="00A24BEC">
              <w:rPr>
                <w:color w:val="0D0D0D" w:themeColor="text1" w:themeTint="F2"/>
                <w:spacing w:val="-4"/>
              </w:rPr>
              <w:br/>
              <w:t>(</w:t>
            </w:r>
            <w:r w:rsidRPr="00A24BEC">
              <w:rPr>
                <w:color w:val="000000" w:themeColor="text1"/>
                <w:spacing w:val="-4"/>
              </w:rPr>
              <w:t xml:space="preserve">–14,0 %), Itálii </w:t>
            </w:r>
            <w:r>
              <w:rPr>
                <w:color w:val="000000" w:themeColor="text1"/>
                <w:spacing w:val="-4"/>
              </w:rPr>
              <w:t>a </w:t>
            </w:r>
            <w:r w:rsidRPr="00A24BEC">
              <w:rPr>
                <w:color w:val="000000" w:themeColor="text1"/>
                <w:spacing w:val="-4"/>
              </w:rPr>
              <w:t xml:space="preserve">Slovensko (shodně </w:t>
            </w:r>
            <w:r>
              <w:rPr>
                <w:color w:val="000000" w:themeColor="text1"/>
                <w:spacing w:val="-4"/>
              </w:rPr>
              <w:t>–</w:t>
            </w:r>
            <w:r w:rsidRPr="00A24BEC">
              <w:rPr>
                <w:color w:val="000000" w:themeColor="text1"/>
                <w:spacing w:val="-4"/>
              </w:rPr>
              <w:t>12,0</w:t>
            </w:r>
            <w:r>
              <w:rPr>
                <w:color w:val="000000" w:themeColor="text1"/>
                <w:spacing w:val="-4"/>
              </w:rPr>
              <w:t> %</w:t>
            </w:r>
            <w:r w:rsidRPr="00A24BEC">
              <w:rPr>
                <w:color w:val="000000" w:themeColor="text1"/>
                <w:spacing w:val="-4"/>
              </w:rPr>
              <w:t>). S tím kontrastoval téměř 18% nárůst v Rumunsku. K navýšení došlo v dalších sedmi státech, mj. v Německu (+2,3 %). Lepšího výsledku než</w:t>
            </w:r>
            <w:r>
              <w:rPr>
                <w:color w:val="000000" w:themeColor="text1"/>
                <w:spacing w:val="-4"/>
              </w:rPr>
              <w:t> </w:t>
            </w:r>
            <w:r w:rsidRPr="00A24BEC">
              <w:rPr>
                <w:color w:val="000000" w:themeColor="text1"/>
                <w:spacing w:val="-4"/>
              </w:rPr>
              <w:t>EU dosáhly vyjma Maďarska a</w:t>
            </w:r>
            <w:r>
              <w:rPr>
                <w:color w:val="000000" w:themeColor="text1"/>
                <w:spacing w:val="-4"/>
              </w:rPr>
              <w:t> </w:t>
            </w:r>
            <w:r w:rsidRPr="00A24BEC">
              <w:rPr>
                <w:color w:val="000000" w:themeColor="text1"/>
                <w:spacing w:val="-4"/>
              </w:rPr>
              <w:t xml:space="preserve">Slovenska všechny </w:t>
            </w:r>
            <w:r w:rsidRPr="00A24BEC">
              <w:rPr>
                <w:color w:val="0D0D0D" w:themeColor="text1" w:themeTint="F2"/>
                <w:spacing w:val="-4"/>
              </w:rPr>
              <w:t>novější členské státy ze střední a</w:t>
            </w:r>
            <w:r w:rsidRPr="00A24BEC">
              <w:rPr>
                <w:rFonts w:cstheme="minorHAnsi"/>
                <w:spacing w:val="-4"/>
              </w:rPr>
              <w:t> </w:t>
            </w:r>
            <w:r w:rsidRPr="00A24BEC">
              <w:rPr>
                <w:color w:val="0D0D0D" w:themeColor="text1" w:themeTint="F2"/>
                <w:spacing w:val="-4"/>
              </w:rPr>
              <w:t>východní Evropy, k čemuž často přispěl příznivější vývoj inženýrského stavitelství.</w:t>
            </w:r>
          </w:p>
        </w:tc>
      </w:tr>
      <w:tr w:rsidR="008D3ACD" w:rsidRPr="00191C35" w14:paraId="5E63263A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36A9E67" w14:textId="77777777" w:rsidR="008D3ACD" w:rsidRDefault="008D3ACD" w:rsidP="008D3ACD">
            <w:pPr>
              <w:pStyle w:val="Marginlie"/>
            </w:pPr>
            <w:r>
              <w:t>Prudký jarní pokles tržeb ve službách nebyl v následujících měsících zdaleka kompenzován.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C4BD3E5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40CE968" w14:textId="12BA79A3" w:rsidR="008D3ACD" w:rsidRPr="004D53D9" w:rsidRDefault="008D3ACD" w:rsidP="008D3ACD">
            <w:pPr>
              <w:spacing w:after="220"/>
              <w:rPr>
                <w:spacing w:val="-4"/>
                <w:szCs w:val="20"/>
              </w:rPr>
            </w:pPr>
            <w:r w:rsidRPr="00F91587">
              <w:rPr>
                <w:spacing w:val="-2"/>
              </w:rPr>
              <w:t xml:space="preserve">Tržby </w:t>
            </w:r>
            <w:r w:rsidRPr="00F91587">
              <w:rPr>
                <w:color w:val="0D0D0D" w:themeColor="text1" w:themeTint="F2"/>
                <w:spacing w:val="-2"/>
              </w:rPr>
              <w:t>ve vybraných službách</w:t>
            </w:r>
            <w:r w:rsidRPr="00F91587">
              <w:rPr>
                <w:color w:val="0D0D0D" w:themeColor="text1" w:themeTint="F2"/>
                <w:spacing w:val="-2"/>
                <w:vertAlign w:val="superscript"/>
              </w:rPr>
              <w:footnoteReference w:id="16"/>
            </w:r>
            <w:r>
              <w:rPr>
                <w:color w:val="0D0D0D" w:themeColor="text1" w:themeTint="F2"/>
                <w:spacing w:val="-2"/>
              </w:rPr>
              <w:t xml:space="preserve"> v důsledku vládních restriktivních opatření letos citelně klesly. Během března se meziměsíčně snížily o 8,7 %, v dubnu se tento pokles prohloubil na 11,3 %. Po uvolnění restrikcí v dalších měsících postupně mírně ožívaly, avšak již v září se jejich meziměsíční růst zastavil. Opětovně zhoršená epidemiologická situace zkrátila letní turistickou sezónu. Nově zavedená regulační opatření (omezení počtu hostů, zkrácení otevírací doby) utlumila růst stravování a pohostinství. Propad tržeb v celém segmentu služeb z 2. čtvrtletí tak v následujícím období nebyl zdaleka kompenzován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7"/>
            </w:r>
            <w:r>
              <w:rPr>
                <w:color w:val="0D0D0D" w:themeColor="text1" w:themeTint="F2"/>
                <w:spacing w:val="-2"/>
              </w:rPr>
              <w:t>.</w:t>
            </w:r>
          </w:p>
        </w:tc>
      </w:tr>
      <w:tr w:rsidR="008D3ACD" w:rsidRPr="00191C35" w14:paraId="3A77710C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CBE6B0B" w14:textId="77777777" w:rsidR="008D3ACD" w:rsidRDefault="008D3ACD" w:rsidP="008D3ACD">
            <w:pPr>
              <w:pStyle w:val="Marginlie"/>
            </w:pPr>
            <w:r w:rsidRPr="00B52079">
              <w:t>Za meziročním poklesem tržeb ve službách stály zejména slabší výkony v dopravě a skladování</w:t>
            </w:r>
            <w:r>
              <w:t>.</w:t>
            </w:r>
          </w:p>
          <w:p w14:paraId="501D5505" w14:textId="77777777" w:rsidR="008D3ACD" w:rsidRDefault="008D3ACD" w:rsidP="008D3ACD">
            <w:pPr>
              <w:pStyle w:val="Marginlie"/>
            </w:pPr>
          </w:p>
          <w:p w14:paraId="10537A5C" w14:textId="77777777" w:rsidR="008D3ACD" w:rsidRDefault="008D3ACD" w:rsidP="008D3ACD">
            <w:pPr>
              <w:pStyle w:val="Marginlie"/>
            </w:pPr>
          </w:p>
          <w:p w14:paraId="6D89D138" w14:textId="77777777" w:rsidR="008D3ACD" w:rsidRDefault="008D3ACD" w:rsidP="008D3ACD">
            <w:pPr>
              <w:pStyle w:val="Marginlie"/>
            </w:pPr>
          </w:p>
          <w:p w14:paraId="5B2C3B37" w14:textId="77777777" w:rsidR="008D3ACD" w:rsidRDefault="008D3ACD" w:rsidP="008D3ACD">
            <w:pPr>
              <w:pStyle w:val="Marginlie"/>
            </w:pPr>
            <w:r>
              <w:t>Největší propad zaznamenaly tržby v odvětvích s vazbou na cestovní ruch.</w:t>
            </w:r>
          </w:p>
          <w:p w14:paraId="4AE8A025" w14:textId="77777777" w:rsidR="008D3ACD" w:rsidRDefault="008D3ACD" w:rsidP="008D3ACD">
            <w:pPr>
              <w:pStyle w:val="Marginlie"/>
            </w:pPr>
          </w:p>
          <w:p w14:paraId="59548C3F" w14:textId="77777777" w:rsidR="008D3ACD" w:rsidRDefault="008D3ACD" w:rsidP="008D3ACD">
            <w:pPr>
              <w:pStyle w:val="Marginlie"/>
            </w:pPr>
          </w:p>
          <w:p w14:paraId="1B9540CE" w14:textId="77777777" w:rsidR="008D3ACD" w:rsidRDefault="008D3ACD" w:rsidP="008D3ACD">
            <w:pPr>
              <w:pStyle w:val="Marginlie"/>
            </w:pPr>
          </w:p>
          <w:p w14:paraId="47E3D23D" w14:textId="77777777" w:rsidR="008D3ACD" w:rsidRDefault="008D3ACD" w:rsidP="008D3ACD">
            <w:pPr>
              <w:pStyle w:val="Marginlie"/>
            </w:pPr>
            <w:r>
              <w:t>Poptávka rostla v oblasti poštovních a kurýrních činností, telekomunikací či informačních činností.</w:t>
            </w:r>
          </w:p>
          <w:p w14:paraId="0A0538DE" w14:textId="77777777" w:rsidR="008D3ACD" w:rsidRDefault="008D3ACD" w:rsidP="008D3ACD">
            <w:pPr>
              <w:pStyle w:val="Marginlie"/>
            </w:pPr>
          </w:p>
          <w:p w14:paraId="056353CD" w14:textId="77777777" w:rsidR="008D3ACD" w:rsidRDefault="008D3ACD" w:rsidP="008D3ACD">
            <w:pPr>
              <w:pStyle w:val="Marginlie"/>
            </w:pPr>
          </w:p>
          <w:p w14:paraId="4E9286F6" w14:textId="77777777" w:rsidR="008D3ACD" w:rsidRDefault="008D3ACD" w:rsidP="008D3ACD">
            <w:pPr>
              <w:pStyle w:val="Marginlie"/>
            </w:pPr>
          </w:p>
          <w:p w14:paraId="66505AA4" w14:textId="374B11BE" w:rsidR="008D3ACD" w:rsidRDefault="008D3ACD" w:rsidP="008D3ACD">
            <w:pPr>
              <w:pStyle w:val="Marginlie"/>
            </w:pPr>
            <w:r>
              <w:lastRenderedPageBreak/>
              <w:t>Propad tržeb ve film</w:t>
            </w:r>
            <w:r w:rsidR="006C5506">
              <w:t>ovém a hudebním průmyslu byl vět</w:t>
            </w:r>
            <w:r>
              <w:t>ší než v roce 2009.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3B22629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46ED1E7" w14:textId="13D42D36" w:rsidR="008D3ACD" w:rsidRPr="008D3ACD" w:rsidRDefault="008D3ACD" w:rsidP="008D3ACD">
            <w:pPr>
              <w:spacing w:after="220"/>
              <w:rPr>
                <w:spacing w:val="-2"/>
                <w:szCs w:val="20"/>
              </w:rPr>
            </w:pPr>
            <w:r w:rsidRPr="008D3ACD">
              <w:rPr>
                <w:spacing w:val="-2"/>
                <w:szCs w:val="20"/>
              </w:rPr>
              <w:t>První tři čtvrtletí 2020 přinesla 12,1% meziroční pokles tržeb ve službách (dosud rekordní útlum za stejné období roku 2009 čítal „jen“ necelých 10 %). Na letošním poklesu se z více než třetiny podílelo odvětví dopravy a skladování, z více než čtvrtiny administrativní a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podpůrné činnosti. Více než pětinou pak přispělo ubytování a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stravování. To také registrovalo nejhlubší propad tržeb ze všech hlavních odvětví služeb (za tři čtvrtletí meziročně o 33,5 %). V segmentu ubytování byly tržby pouze na polovině loňské úrovně</w:t>
            </w:r>
            <w:r w:rsidRPr="008D3ACD">
              <w:rPr>
                <w:rStyle w:val="Znakapoznpodarou"/>
                <w:spacing w:val="-2"/>
                <w:szCs w:val="20"/>
              </w:rPr>
              <w:footnoteReference w:id="18"/>
            </w:r>
            <w:r w:rsidRPr="008D3ACD">
              <w:rPr>
                <w:spacing w:val="-2"/>
                <w:szCs w:val="20"/>
              </w:rPr>
              <w:t>. Silný pokles postihl i odvětví administrativních a podpůrných činností (–27,5 %). Projevil se zde hlavně nebývalý propad u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cestovních agentur (–73,1 %), pokles tržeb hlásila i </w:t>
            </w:r>
            <w:r>
              <w:rPr>
                <w:spacing w:val="-2"/>
                <w:szCs w:val="20"/>
              </w:rPr>
              <w:t>ostatní</w:t>
            </w:r>
            <w:r w:rsidRPr="008D3ACD">
              <w:rPr>
                <w:spacing w:val="-2"/>
                <w:szCs w:val="20"/>
              </w:rPr>
              <w:t xml:space="preserve"> dílčí odvětví (např. pracovní agentury –23,0 %). V klíčovém odvětví dopravy a skladování se tržby snížily o sedminu. S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vývojem v celoročně ochromeném segmentu letecké dopravy (–68,5 %) kontrastoval pokračující rozvoj poštovních a kurýrních činností (+9,2 %). Významnější pokles tržeb byl patrný i v profesních, vědeckých a technických činnostech (–7,8 %), a to zejména vlivem nižší poptávky po architektonických a inženýrských činnostech. Tržby se však snižovaly i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ve všech dalších segmentech tohoto odvětví, včetně jinak dlouhodobě rostoucí oblasti výzkumu trhu a veřejného mínění. Relativně stabilní poptávku si držely pouze právní a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účetnické činnosti. To platilo i o odvětví informačních a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komunikačních činností (+0,8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%, nejslabší tempo za posledních sedm let). Dařilo se telekomunikacím (+7,4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>%) a</w:t>
            </w:r>
            <w:r w:rsidRPr="008D3ACD">
              <w:rPr>
                <w:color w:val="0D0D0D" w:themeColor="text1" w:themeTint="F2"/>
                <w:spacing w:val="-2"/>
              </w:rPr>
              <w:t> </w:t>
            </w:r>
            <w:r w:rsidRPr="008D3ACD">
              <w:rPr>
                <w:spacing w:val="-2"/>
                <w:szCs w:val="20"/>
              </w:rPr>
              <w:t xml:space="preserve">informačním </w:t>
            </w:r>
            <w:r w:rsidRPr="008D3ACD">
              <w:rPr>
                <w:spacing w:val="-2"/>
                <w:szCs w:val="20"/>
              </w:rPr>
              <w:lastRenderedPageBreak/>
              <w:t>činnostem (+4,9 %) zahrnujícím např. zpracování dat či webové portály. S problémy se potýkal váhově okrajový segment filmového a hudebního průmyslu, kde 35 % pokles tržeb značil horší výsledek než v krizovém roce 2009</w:t>
            </w:r>
            <w:r w:rsidRPr="008D3ACD">
              <w:rPr>
                <w:rStyle w:val="Znakapoznpodarou"/>
                <w:spacing w:val="-2"/>
                <w:szCs w:val="20"/>
              </w:rPr>
              <w:footnoteReference w:id="19"/>
            </w:r>
            <w:r w:rsidRPr="008D3ACD">
              <w:rPr>
                <w:spacing w:val="-2"/>
                <w:szCs w:val="20"/>
              </w:rPr>
              <w:t>.</w:t>
            </w:r>
          </w:p>
        </w:tc>
      </w:tr>
      <w:tr w:rsidR="008D3ACD" w:rsidRPr="00191C35" w14:paraId="4DA19798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338A2F1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ECFB942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20324A6" w14:textId="77777777" w:rsidR="008D3ACD" w:rsidRPr="004519A5" w:rsidRDefault="008D3ACD" w:rsidP="008D3ACD">
            <w:pPr>
              <w:spacing w:after="0"/>
              <w:rPr>
                <w:spacing w:val="2"/>
                <w:szCs w:val="20"/>
              </w:rPr>
            </w:pPr>
            <w:r w:rsidRPr="004519A5">
              <w:rPr>
                <w:b/>
                <w:spacing w:val="2"/>
              </w:rPr>
              <w:t>Graf č. 7</w:t>
            </w:r>
            <w:r>
              <w:rPr>
                <w:b/>
                <w:spacing w:val="2"/>
              </w:rPr>
              <w:t xml:space="preserve">  </w:t>
            </w:r>
            <w:r w:rsidRPr="004519A5">
              <w:rPr>
                <w:b/>
                <w:spacing w:val="2"/>
              </w:rPr>
              <w:t>Příspěvky odvětví k meziroční změně tržeb ve službách*</w:t>
            </w:r>
            <w:r w:rsidRPr="004519A5">
              <w:rPr>
                <w:b/>
                <w:spacing w:val="2"/>
              </w:rPr>
              <w:br/>
            </w:r>
            <w:r w:rsidRPr="004519A5">
              <w:rPr>
                <w:spacing w:val="2"/>
              </w:rPr>
              <w:t>(v p. b., očištěno o kalendářní vlivy)</w:t>
            </w:r>
            <w:r w:rsidRPr="004519A5">
              <w:rPr>
                <w:b/>
                <w:bCs/>
                <w:spacing w:val="2"/>
              </w:rPr>
              <w:t xml:space="preserve">, </w:t>
            </w:r>
            <w:r w:rsidRPr="004519A5">
              <w:rPr>
                <w:b/>
                <w:spacing w:val="2"/>
              </w:rPr>
              <w:t>saldo indikátoru důvěry ve službách**</w:t>
            </w:r>
            <w:r w:rsidRPr="004519A5">
              <w:rPr>
                <w:b/>
                <w:spacing w:val="2"/>
              </w:rPr>
              <w:br/>
            </w:r>
            <w:r w:rsidRPr="004519A5">
              <w:rPr>
                <w:spacing w:val="2"/>
              </w:rPr>
              <w:t>(v p. b., pravá osa)</w:t>
            </w:r>
            <w:r w:rsidRPr="004519A5">
              <w:rPr>
                <w:b/>
                <w:spacing w:val="2"/>
              </w:rPr>
              <w:t xml:space="preserve"> a vybrané bariéry růstu*</w:t>
            </w:r>
            <w:r w:rsidRPr="004519A5">
              <w:rPr>
                <w:spacing w:val="2"/>
              </w:rPr>
              <w:t>* (v %, pravá osa)</w:t>
            </w:r>
          </w:p>
        </w:tc>
      </w:tr>
      <w:tr w:rsidR="008D3ACD" w:rsidRPr="00191C35" w14:paraId="4F8B05B5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B419144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2D6EAF87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A508F02" w14:textId="77777777" w:rsidR="008D3ACD" w:rsidRPr="004D53D9" w:rsidRDefault="008D3ACD" w:rsidP="008D3ACD">
            <w:pPr>
              <w:spacing w:after="0"/>
              <w:rPr>
                <w:spacing w:val="-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6EA012" wp14:editId="1D32F113">
                  <wp:extent cx="4766945" cy="3657600"/>
                  <wp:effectExtent l="0" t="0" r="0" b="0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D3ACD" w:rsidRPr="00191C35" w14:paraId="679BDA09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2366E39F" w14:textId="77777777" w:rsidR="008D3ACD" w:rsidRDefault="008D3ACD" w:rsidP="008D3ACD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D370FB2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461FDB4" w14:textId="77777777" w:rsidR="008D3ACD" w:rsidRPr="00883202" w:rsidRDefault="008D3ACD" w:rsidP="008D3ACD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color w:val="0D0D0D" w:themeColor="text1" w:themeTint="F2"/>
                <w:sz w:val="14"/>
                <w:szCs w:val="14"/>
              </w:rPr>
              <w:t xml:space="preserve"> Bez odvětví obchodu, peněžnictví, pojišťovnictví, vědy, výzkumu a veřejných služeb.</w:t>
            </w:r>
          </w:p>
          <w:p w14:paraId="3E4E944B" w14:textId="77777777" w:rsidR="008D3ACD" w:rsidRPr="002453EC" w:rsidRDefault="008D3ACD" w:rsidP="008D3ACD">
            <w:pPr>
              <w:spacing w:after="22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Zahrnuje i finanční sektor. Saldo důvěry i bariéry růstu jsou sezónně očištěny a vyjadřují stav 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v prvním (bariéry růstu), resp.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ve druhém měsíci daného čtvrtletí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(saldo důvěry)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.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D3ACD" w:rsidRPr="00191C35" w14:paraId="79BA2FC2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1086E79" w14:textId="77777777" w:rsidR="008D3ACD" w:rsidRDefault="008D3ACD" w:rsidP="008D3ACD">
            <w:pPr>
              <w:pStyle w:val="Marginlie"/>
            </w:pPr>
            <w:r>
              <w:t>Růst maloobchodních tržeb se v září zastavil.</w:t>
            </w:r>
          </w:p>
          <w:p w14:paraId="1B8304AE" w14:textId="77777777" w:rsidR="008D3ACD" w:rsidRDefault="008D3ACD" w:rsidP="008D3ACD">
            <w:pPr>
              <w:pStyle w:val="Marginlie"/>
            </w:pPr>
          </w:p>
          <w:p w14:paraId="0C575032" w14:textId="77777777" w:rsidR="008D3ACD" w:rsidRDefault="008D3ACD" w:rsidP="008D3ACD">
            <w:pPr>
              <w:pStyle w:val="Marginlie"/>
            </w:pPr>
          </w:p>
          <w:p w14:paraId="0CAC3E7F" w14:textId="77777777" w:rsidR="008D3ACD" w:rsidRDefault="008D3ACD" w:rsidP="008D3ACD">
            <w:pPr>
              <w:pStyle w:val="Marginlie"/>
            </w:pPr>
          </w:p>
          <w:p w14:paraId="46E647AE" w14:textId="77777777" w:rsidR="008D3ACD" w:rsidRDefault="008D3ACD" w:rsidP="008D3ACD">
            <w:pPr>
              <w:pStyle w:val="Marginlie"/>
            </w:pPr>
          </w:p>
          <w:p w14:paraId="0B58CB3C" w14:textId="77777777" w:rsidR="008D3ACD" w:rsidRDefault="008D3ACD" w:rsidP="008D3ACD">
            <w:pPr>
              <w:pStyle w:val="Marginlie"/>
            </w:pPr>
            <w:r>
              <w:t>V 1. až 3. čtvrtletí tržby mírně klesly. Zaznamenaly nejnižší tempo za posledních sedm let. K letošnímu poklesu nejvíce přispěly slabší tržby u čerpacích stanic.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68797B49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77B8C18" w14:textId="27B9A0D8" w:rsidR="008D3ACD" w:rsidRPr="00F608E8" w:rsidRDefault="008D3ACD" w:rsidP="008D3ACD">
            <w:pPr>
              <w:spacing w:after="220"/>
              <w:rPr>
                <w:rFonts w:cs="Arial"/>
                <w:spacing w:val="-2"/>
                <w:szCs w:val="20"/>
              </w:rPr>
            </w:pPr>
            <w:r w:rsidRPr="00F608E8">
              <w:rPr>
                <w:rFonts w:cs="Arial"/>
                <w:spacing w:val="-2"/>
                <w:szCs w:val="20"/>
              </w:rPr>
              <w:t>Maloobchodní tržby</w:t>
            </w:r>
            <w:r w:rsidRPr="00F608E8">
              <w:rPr>
                <w:rStyle w:val="Znakapoznpodarou"/>
                <w:spacing w:val="-2"/>
              </w:rPr>
              <w:footnoteReference w:id="20"/>
            </w:r>
            <w:r w:rsidRPr="00F608E8">
              <w:rPr>
                <w:rFonts w:cs="Arial"/>
                <w:spacing w:val="-2"/>
                <w:szCs w:val="20"/>
              </w:rPr>
              <w:t xml:space="preserve"> po březnovém i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 xml:space="preserve">dubnovém </w:t>
            </w:r>
            <w:r w:rsidR="00466595">
              <w:rPr>
                <w:rFonts w:cs="Arial"/>
                <w:spacing w:val="-2"/>
                <w:szCs w:val="20"/>
              </w:rPr>
              <w:t xml:space="preserve">meziměsíčním </w:t>
            </w:r>
            <w:r w:rsidRPr="00F608E8">
              <w:rPr>
                <w:rFonts w:cs="Arial"/>
                <w:spacing w:val="-2"/>
                <w:szCs w:val="20"/>
              </w:rPr>
              <w:t xml:space="preserve">poklesu postupně ožívaly a v prázdninových měsících se </w:t>
            </w:r>
            <w:r w:rsidR="00466595">
              <w:rPr>
                <w:rFonts w:cs="Arial"/>
                <w:spacing w:val="-2"/>
                <w:szCs w:val="20"/>
              </w:rPr>
              <w:t xml:space="preserve">fakticky </w:t>
            </w:r>
            <w:r w:rsidRPr="00F608E8">
              <w:rPr>
                <w:rFonts w:cs="Arial"/>
                <w:spacing w:val="-2"/>
                <w:szCs w:val="20"/>
              </w:rPr>
              <w:t>vrátily na úroveň z počátku letošního roku. V září se však meziměsíční i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meziroční růst zastavil. V úhrnu za tři čtvrtletí tržby meziročně o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0,7</w:t>
            </w:r>
            <w:r>
              <w:rPr>
                <w:rFonts w:cs="Arial"/>
                <w:spacing w:val="-2"/>
                <w:szCs w:val="20"/>
              </w:rPr>
              <w:t> %</w:t>
            </w:r>
            <w:r w:rsidRPr="00F608E8">
              <w:rPr>
                <w:rStyle w:val="Znakapoznpodarou"/>
                <w:spacing w:val="-2"/>
                <w:szCs w:val="20"/>
              </w:rPr>
              <w:footnoteReference w:id="21"/>
            </w:r>
            <w:r w:rsidRPr="00F608E8">
              <w:rPr>
                <w:rFonts w:cs="Arial"/>
                <w:spacing w:val="-2"/>
                <w:szCs w:val="20"/>
              </w:rPr>
              <w:t xml:space="preserve"> klesly, </w:t>
            </w:r>
            <w:r>
              <w:rPr>
                <w:rFonts w:cs="Arial"/>
                <w:spacing w:val="-2"/>
                <w:szCs w:val="20"/>
              </w:rPr>
              <w:t>podobné</w:t>
            </w:r>
            <w:r w:rsidRPr="00F608E8">
              <w:rPr>
                <w:rFonts w:cs="Arial"/>
                <w:spacing w:val="-2"/>
                <w:szCs w:val="20"/>
              </w:rPr>
              <w:t xml:space="preserve"> tempo bylo naposledy patrné v období 2012</w:t>
            </w:r>
            <w:r>
              <w:rPr>
                <w:rFonts w:cs="Arial"/>
                <w:spacing w:val="-2"/>
                <w:szCs w:val="20"/>
              </w:rPr>
              <w:t>–</w:t>
            </w:r>
            <w:r w:rsidRPr="00F608E8">
              <w:rPr>
                <w:rFonts w:cs="Arial"/>
                <w:spacing w:val="-2"/>
                <w:szCs w:val="20"/>
              </w:rPr>
              <w:t>2013. Nákupní apetit tuzemských domácností byl tlumen nižší spotřebitelskou důvěrou, skromným růstem objemu vyplacených mezd v ekonomice i zvyšujícími se obavami domácností z růstu cen i nezaměstnanosti. Projevila se i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výrazně oslabená</w:t>
            </w:r>
            <w:r>
              <w:rPr>
                <w:rFonts w:cs="Arial"/>
                <w:spacing w:val="-2"/>
                <w:szCs w:val="20"/>
              </w:rPr>
              <w:t xml:space="preserve"> poptávka</w:t>
            </w:r>
            <w:r w:rsidRPr="00F608E8">
              <w:rPr>
                <w:rFonts w:cs="Arial"/>
                <w:spacing w:val="-2"/>
                <w:szCs w:val="20"/>
              </w:rPr>
              <w:t xml:space="preserve"> ze strany nerezidentů. K letošnímu poklesu maloobchodu přispěly nejvíce slabší tržby za prodej pohonných hmot (</w:t>
            </w:r>
            <w:r>
              <w:rPr>
                <w:rFonts w:cs="Arial"/>
                <w:spacing w:val="-2"/>
                <w:szCs w:val="20"/>
              </w:rPr>
              <w:t>–</w:t>
            </w:r>
            <w:r w:rsidRPr="00F608E8">
              <w:rPr>
                <w:rFonts w:cs="Arial"/>
                <w:spacing w:val="-2"/>
                <w:szCs w:val="20"/>
              </w:rPr>
              <w:t>7,7</w:t>
            </w:r>
            <w:r>
              <w:rPr>
                <w:rFonts w:cs="Arial"/>
                <w:spacing w:val="-2"/>
                <w:szCs w:val="20"/>
              </w:rPr>
              <w:t> %</w:t>
            </w:r>
            <w:r w:rsidRPr="00F608E8">
              <w:rPr>
                <w:rFonts w:cs="Arial"/>
                <w:spacing w:val="-2"/>
                <w:szCs w:val="20"/>
              </w:rPr>
              <w:t>) v důsledku nižší mobility obyvatelstva či poklesu tranzitní dopravy. Mírně se snížily i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tržby za prodej potravin (</w:t>
            </w:r>
            <w:r>
              <w:rPr>
                <w:rFonts w:cs="Arial"/>
                <w:spacing w:val="-2"/>
                <w:szCs w:val="20"/>
              </w:rPr>
              <w:t>–</w:t>
            </w:r>
            <w:r w:rsidRPr="00F608E8">
              <w:rPr>
                <w:rFonts w:cs="Arial"/>
                <w:spacing w:val="-2"/>
                <w:szCs w:val="20"/>
              </w:rPr>
              <w:t>0,6</w:t>
            </w:r>
            <w:r>
              <w:rPr>
                <w:rFonts w:cs="Arial"/>
                <w:spacing w:val="-2"/>
                <w:szCs w:val="20"/>
              </w:rPr>
              <w:t> %</w:t>
            </w:r>
            <w:r w:rsidRPr="00F608E8">
              <w:rPr>
                <w:rFonts w:cs="Arial"/>
                <w:spacing w:val="-2"/>
                <w:szCs w:val="20"/>
              </w:rPr>
              <w:t>), zejména vinou propadu u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specializovaných prodejen (</w:t>
            </w:r>
            <w:r>
              <w:rPr>
                <w:rFonts w:cs="Arial"/>
                <w:spacing w:val="-2"/>
                <w:szCs w:val="20"/>
              </w:rPr>
              <w:t>–</w:t>
            </w:r>
            <w:r w:rsidRPr="00F608E8">
              <w:rPr>
                <w:rFonts w:cs="Arial"/>
                <w:spacing w:val="-2"/>
                <w:szCs w:val="20"/>
              </w:rPr>
              <w:t>10,3</w:t>
            </w:r>
            <w:r>
              <w:rPr>
                <w:rFonts w:cs="Arial"/>
                <w:spacing w:val="-2"/>
                <w:szCs w:val="20"/>
              </w:rPr>
              <w:t> %</w:t>
            </w:r>
            <w:r w:rsidRPr="00F608E8">
              <w:rPr>
                <w:rFonts w:cs="Arial"/>
                <w:spacing w:val="-2"/>
                <w:szCs w:val="20"/>
              </w:rPr>
              <w:t xml:space="preserve">). Růst maloobchodu s nepotravinářským zbožím (+1,0 %) byl tažen dynamicky </w:t>
            </w:r>
            <w:r>
              <w:rPr>
                <w:rFonts w:cs="Arial"/>
                <w:spacing w:val="-2"/>
                <w:szCs w:val="20"/>
              </w:rPr>
              <w:t xml:space="preserve">se </w:t>
            </w:r>
            <w:r w:rsidRPr="00F608E8">
              <w:rPr>
                <w:rFonts w:cs="Arial"/>
                <w:spacing w:val="-2"/>
                <w:szCs w:val="20"/>
              </w:rPr>
              <w:t>rozvíjejícím prodejem prostřednictvím internetu či zásilkové služby (+25,0 %, z toho ve 2. čtvrtletí +37,8 %). Z jednotlivých sortimentních skupin specializova</w:t>
            </w:r>
            <w:r w:rsidR="006C5506">
              <w:rPr>
                <w:rFonts w:cs="Arial"/>
                <w:spacing w:val="-2"/>
                <w:szCs w:val="20"/>
              </w:rPr>
              <w:t>ných prodejen rostla</w:t>
            </w:r>
            <w:r w:rsidRPr="00F608E8">
              <w:rPr>
                <w:rFonts w:cs="Arial"/>
                <w:spacing w:val="-2"/>
                <w:szCs w:val="20"/>
              </w:rPr>
              <w:t xml:space="preserve"> poptávka po počítačových a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 xml:space="preserve">komunikačních </w:t>
            </w:r>
            <w:r w:rsidRPr="00F608E8">
              <w:rPr>
                <w:rFonts w:cs="Arial"/>
                <w:spacing w:val="-2"/>
                <w:szCs w:val="20"/>
              </w:rPr>
              <w:lastRenderedPageBreak/>
              <w:t>zařízení</w:t>
            </w:r>
            <w:r>
              <w:rPr>
                <w:rFonts w:cs="Arial"/>
                <w:spacing w:val="-2"/>
                <w:szCs w:val="20"/>
              </w:rPr>
              <w:t>ch</w:t>
            </w:r>
            <w:r w:rsidRPr="00F608E8">
              <w:rPr>
                <w:rFonts w:cs="Arial"/>
                <w:spacing w:val="-2"/>
                <w:szCs w:val="20"/>
              </w:rPr>
              <w:t xml:space="preserve"> a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po výrobcích převážně pro domácnost. Naopak tržby za prodej oděvů, obuv</w:t>
            </w:r>
            <w:r>
              <w:rPr>
                <w:rFonts w:cs="Arial"/>
                <w:spacing w:val="-2"/>
                <w:szCs w:val="20"/>
              </w:rPr>
              <w:t>i</w:t>
            </w:r>
            <w:r w:rsidRPr="00F608E8">
              <w:rPr>
                <w:rFonts w:cs="Arial"/>
                <w:spacing w:val="-2"/>
                <w:szCs w:val="20"/>
              </w:rPr>
              <w:t xml:space="preserve"> a koženého zboží propadly meziročně o</w:t>
            </w:r>
            <w:r>
              <w:rPr>
                <w:rFonts w:cs="Arial"/>
                <w:spacing w:val="-2"/>
                <w:szCs w:val="20"/>
              </w:rPr>
              <w:t> </w:t>
            </w:r>
            <w:r w:rsidRPr="00F608E8">
              <w:rPr>
                <w:rFonts w:cs="Arial"/>
                <w:spacing w:val="-2"/>
                <w:szCs w:val="20"/>
              </w:rPr>
              <w:t>čtvrtinu.</w:t>
            </w:r>
          </w:p>
        </w:tc>
      </w:tr>
      <w:tr w:rsidR="008D3ACD" w:rsidRPr="00191C35" w14:paraId="42797F8C" w14:textId="77777777" w:rsidTr="008D3ACD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6C72AC5" w14:textId="77777777" w:rsidR="008D3ACD" w:rsidRDefault="008D3ACD" w:rsidP="008D3ACD">
            <w:pPr>
              <w:pStyle w:val="Marginlie"/>
            </w:pPr>
            <w:r>
              <w:lastRenderedPageBreak/>
              <w:t>Tržby v obchodu s motorovými vozidly meziročně propadly skoro o pětinu.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1C0CD2A" w14:textId="77777777" w:rsidR="008D3ACD" w:rsidRPr="00B43216" w:rsidRDefault="008D3ACD" w:rsidP="008D3AC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C8B9900" w14:textId="77777777" w:rsidR="008D3ACD" w:rsidRPr="001F340A" w:rsidRDefault="008D3ACD" w:rsidP="008D3ACD">
            <w:pPr>
              <w:spacing w:after="0"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>Poklesem poptávky byl výrazněji zasažen motoristický segment obchodu. Jeho tržby za tři letošní čtvrtletí meziročně propadly o 18,2 %. To bylo skoro o polovinu více než ve stejném období roku 2009. Citelněji byl postižen samotný obchod s vozidly, kde tržby klesly skoro o</w:t>
            </w:r>
            <w:r w:rsidRPr="001F340A">
              <w:rPr>
                <w:rFonts w:cs="Arial"/>
                <w:spacing w:val="-4"/>
                <w:szCs w:val="20"/>
              </w:rPr>
              <w:t> </w:t>
            </w:r>
            <w:r>
              <w:rPr>
                <w:rFonts w:cs="Arial"/>
                <w:spacing w:val="-4"/>
                <w:szCs w:val="20"/>
              </w:rPr>
              <w:t>pětinu, v údržbě a opravě vozů o necelou sedminu.</w:t>
            </w:r>
          </w:p>
        </w:tc>
      </w:tr>
      <w:bookmarkEnd w:id="0"/>
      <w:bookmarkEnd w:id="1"/>
      <w:bookmarkEnd w:id="2"/>
    </w:tbl>
    <w:p w14:paraId="3E974863" w14:textId="7F85E6B3" w:rsidR="000663F0" w:rsidRPr="00E42054" w:rsidRDefault="000663F0" w:rsidP="000663F0">
      <w:pPr>
        <w:pStyle w:val="Nadpis11"/>
        <w:spacing w:after="0"/>
        <w:rPr>
          <w:b w:val="0"/>
          <w:sz w:val="2"/>
          <w:szCs w:val="2"/>
        </w:rPr>
      </w:pPr>
    </w:p>
    <w:sectPr w:rsidR="000663F0" w:rsidRPr="00E42054" w:rsidSect="009A41F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51C5" w14:textId="77777777" w:rsidR="0060120D" w:rsidRDefault="0060120D" w:rsidP="00E71A58">
      <w:r>
        <w:separator/>
      </w:r>
    </w:p>
  </w:endnote>
  <w:endnote w:type="continuationSeparator" w:id="0">
    <w:p w14:paraId="7E79BE89" w14:textId="77777777" w:rsidR="0060120D" w:rsidRDefault="0060120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A0D" w14:textId="3103AF3A" w:rsidR="008D3ACD" w:rsidRPr="00932443" w:rsidRDefault="008D3A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42B29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7E4B" w14:textId="692BEA19" w:rsidR="008D3ACD" w:rsidRPr="00932443" w:rsidRDefault="008D3AC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až 3.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42B29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E61E" w14:textId="77777777" w:rsidR="0060120D" w:rsidRDefault="0060120D" w:rsidP="00A21B4D">
      <w:pPr>
        <w:spacing w:after="0"/>
      </w:pPr>
      <w:r>
        <w:separator/>
      </w:r>
    </w:p>
  </w:footnote>
  <w:footnote w:type="continuationSeparator" w:id="0">
    <w:p w14:paraId="14D7D261" w14:textId="77777777" w:rsidR="0060120D" w:rsidRDefault="0060120D" w:rsidP="00E71A58">
      <w:r>
        <w:continuationSeparator/>
      </w:r>
    </w:p>
  </w:footnote>
  <w:footnote w:id="1">
    <w:p w14:paraId="7133558B" w14:textId="77777777" w:rsidR="008D3ACD" w:rsidRPr="00FB58F4" w:rsidRDefault="008D3ACD" w:rsidP="008D3AC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5965AE95" w14:textId="77777777" w:rsidR="008D3ACD" w:rsidRPr="0043174F" w:rsidRDefault="008D3ACD" w:rsidP="008D3ACD">
      <w:pPr>
        <w:pStyle w:val="Textpoznpodarou"/>
        <w:rPr>
          <w:sz w:val="16"/>
          <w:szCs w:val="16"/>
        </w:rPr>
      </w:pPr>
      <w:r w:rsidRPr="0043174F">
        <w:rPr>
          <w:rStyle w:val="Znakapoznpodarou"/>
          <w:sz w:val="16"/>
          <w:szCs w:val="16"/>
        </w:rPr>
        <w:footnoteRef/>
      </w:r>
      <w:r w:rsidRPr="0043174F">
        <w:rPr>
          <w:sz w:val="16"/>
          <w:szCs w:val="16"/>
        </w:rPr>
        <w:t xml:space="preserve"> Naproti tomu v 1</w:t>
      </w:r>
      <w:r>
        <w:rPr>
          <w:sz w:val="16"/>
          <w:szCs w:val="16"/>
        </w:rPr>
        <w:t>. </w:t>
      </w:r>
      <w:r w:rsidRPr="0043174F">
        <w:rPr>
          <w:sz w:val="16"/>
          <w:szCs w:val="16"/>
        </w:rPr>
        <w:t>až 3.</w:t>
      </w:r>
      <w:r>
        <w:rPr>
          <w:sz w:val="16"/>
          <w:szCs w:val="16"/>
        </w:rPr>
        <w:t> čtvrtlet</w:t>
      </w:r>
      <w:r w:rsidRPr="0043174F">
        <w:rPr>
          <w:sz w:val="16"/>
          <w:szCs w:val="16"/>
        </w:rPr>
        <w:t xml:space="preserve">í 2009 se počet </w:t>
      </w:r>
      <w:r>
        <w:rPr>
          <w:sz w:val="16"/>
          <w:szCs w:val="16"/>
        </w:rPr>
        <w:t>od</w:t>
      </w:r>
      <w:r w:rsidRPr="0043174F">
        <w:rPr>
          <w:sz w:val="16"/>
          <w:szCs w:val="16"/>
        </w:rPr>
        <w:t>pracovaných hodin v ekonom</w:t>
      </w:r>
      <w:r>
        <w:rPr>
          <w:sz w:val="16"/>
          <w:szCs w:val="16"/>
        </w:rPr>
        <w:t>i</w:t>
      </w:r>
      <w:r w:rsidRPr="0043174F">
        <w:rPr>
          <w:sz w:val="16"/>
          <w:szCs w:val="16"/>
        </w:rPr>
        <w:t>ce meziročně snížil podstatně mírněji (</w:t>
      </w:r>
      <w:r>
        <w:rPr>
          <w:sz w:val="16"/>
          <w:szCs w:val="16"/>
        </w:rPr>
        <w:t>–</w:t>
      </w:r>
      <w:r w:rsidRPr="0043174F">
        <w:rPr>
          <w:sz w:val="16"/>
          <w:szCs w:val="16"/>
        </w:rPr>
        <w:t>1,7</w:t>
      </w:r>
      <w:r>
        <w:rPr>
          <w:sz w:val="16"/>
          <w:szCs w:val="16"/>
        </w:rPr>
        <w:t> %</w:t>
      </w:r>
      <w:r w:rsidRPr="0043174F">
        <w:rPr>
          <w:sz w:val="16"/>
          <w:szCs w:val="16"/>
        </w:rPr>
        <w:t>).</w:t>
      </w:r>
    </w:p>
  </w:footnote>
  <w:footnote w:id="3">
    <w:p w14:paraId="2CE75D87" w14:textId="77777777" w:rsidR="008D3ACD" w:rsidRPr="00FB58F4" w:rsidRDefault="008D3ACD" w:rsidP="008D3AC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Výdaje na konečnou spotřebu klesly v 1. až 3. čtvrtletí u nerezidentů v ČR meziročně o 45 %, v samotném 2. čtvrtletí 2020 dokonce o nebývalých 69 %. Nerezidenti se na celkových výdajích</w:t>
      </w:r>
      <w:r w:rsidRPr="002269EE">
        <w:rPr>
          <w:rFonts w:cs="Arial"/>
          <w:color w:val="0D0D0D" w:themeColor="text1" w:themeTint="F2"/>
          <w:spacing w:val="-2"/>
          <w:sz w:val="16"/>
          <w:szCs w:val="16"/>
        </w:rPr>
        <w:t xml:space="preserve"> na konečnou spotřebu domácností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 Česku dlouhodobě podílejí zhruba 6 %.</w:t>
      </w:r>
    </w:p>
  </w:footnote>
  <w:footnote w:id="4">
    <w:p w14:paraId="42FBBDE3" w14:textId="77777777" w:rsidR="008D3ACD" w:rsidRPr="003B5B59" w:rsidRDefault="008D3ACD" w:rsidP="008D3ACD">
      <w:pPr>
        <w:pStyle w:val="Textpoznpodarou"/>
        <w:rPr>
          <w:sz w:val="16"/>
          <w:szCs w:val="16"/>
        </w:rPr>
      </w:pPr>
      <w:r w:rsidRPr="003B5B59">
        <w:rPr>
          <w:rStyle w:val="Znakapoznpodarou"/>
          <w:sz w:val="16"/>
          <w:szCs w:val="16"/>
        </w:rPr>
        <w:footnoteRef/>
      </w:r>
      <w:r w:rsidRPr="003B5B59">
        <w:rPr>
          <w:sz w:val="16"/>
          <w:szCs w:val="16"/>
        </w:rPr>
        <w:t xml:space="preserve"> Zahrnuj</w:t>
      </w:r>
      <w:r>
        <w:rPr>
          <w:sz w:val="16"/>
          <w:szCs w:val="16"/>
        </w:rPr>
        <w:t>í</w:t>
      </w:r>
      <w:r w:rsidRPr="003B5B59">
        <w:rPr>
          <w:sz w:val="16"/>
          <w:szCs w:val="16"/>
        </w:rPr>
        <w:t xml:space="preserve"> kulturní, zábavní a</w:t>
      </w:r>
      <w:r>
        <w:rPr>
          <w:sz w:val="16"/>
          <w:szCs w:val="16"/>
        </w:rPr>
        <w:t> </w:t>
      </w:r>
      <w:r w:rsidRPr="003B5B59">
        <w:rPr>
          <w:sz w:val="16"/>
          <w:szCs w:val="16"/>
        </w:rPr>
        <w:t>rekreační činnosti a</w:t>
      </w:r>
      <w:r>
        <w:rPr>
          <w:sz w:val="16"/>
          <w:szCs w:val="16"/>
        </w:rPr>
        <w:t> </w:t>
      </w:r>
      <w:r w:rsidRPr="003B5B59">
        <w:rPr>
          <w:sz w:val="16"/>
          <w:szCs w:val="16"/>
        </w:rPr>
        <w:t>dále zejména poskytování osobních služeb (např</w:t>
      </w:r>
      <w:r>
        <w:rPr>
          <w:sz w:val="16"/>
          <w:szCs w:val="16"/>
        </w:rPr>
        <w:t>íklad</w:t>
      </w:r>
      <w:r w:rsidRPr="003B5B59">
        <w:rPr>
          <w:sz w:val="16"/>
          <w:szCs w:val="16"/>
        </w:rPr>
        <w:t xml:space="preserve"> kadeřnictví, kosmetické služby,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čisticí služby či </w:t>
      </w:r>
      <w:r w:rsidRPr="003B5B59">
        <w:rPr>
          <w:sz w:val="16"/>
          <w:szCs w:val="16"/>
        </w:rPr>
        <w:t>opravy výrobků pro osobní potřebu a převážně pro</w:t>
      </w:r>
      <w:r>
        <w:rPr>
          <w:sz w:val="16"/>
          <w:szCs w:val="16"/>
        </w:rPr>
        <w:t xml:space="preserve"> </w:t>
      </w:r>
      <w:r w:rsidRPr="003B5B59">
        <w:rPr>
          <w:sz w:val="16"/>
          <w:szCs w:val="16"/>
        </w:rPr>
        <w:t>domácnost).</w:t>
      </w:r>
    </w:p>
  </w:footnote>
  <w:footnote w:id="5">
    <w:p w14:paraId="4EB08FFF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Dle předběžných údajů k 15</w:t>
      </w:r>
      <w:r>
        <w:rPr>
          <w:color w:val="0D0D0D" w:themeColor="text1" w:themeTint="F2"/>
          <w:sz w:val="16"/>
          <w:szCs w:val="16"/>
        </w:rPr>
        <w:t>. </w:t>
      </w:r>
      <w:r w:rsidRPr="00422BB4">
        <w:rPr>
          <w:color w:val="0D0D0D" w:themeColor="text1" w:themeTint="F2"/>
          <w:sz w:val="16"/>
          <w:szCs w:val="16"/>
        </w:rPr>
        <w:t>září 2020 je odhadována celková letošní sklizeň ve výši 7,98</w:t>
      </w:r>
      <w:r>
        <w:rPr>
          <w:color w:val="0D0D0D" w:themeColor="text1" w:themeTint="F2"/>
          <w:sz w:val="16"/>
          <w:szCs w:val="16"/>
        </w:rPr>
        <w:t> mil.</w:t>
      </w:r>
      <w:r w:rsidRPr="00422BB4">
        <w:rPr>
          <w:color w:val="0D0D0D" w:themeColor="text1" w:themeTint="F2"/>
          <w:sz w:val="16"/>
          <w:szCs w:val="16"/>
        </w:rPr>
        <w:t xml:space="preserve"> tun. Ta je nejsilnější za poslední čtyři roky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proti desetiletému průměru silnější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4,0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. Obdobně je tomu u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brambor (+6,4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), kukuřice na zeleno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siláž (+12,9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), hrachu na zrno (+56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, zejména díky dlouhodobému růstu osevní plochy), máku (+37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, díky vyšším plochám osevů), jetele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vojtěšky (výhradně díky vyšším osevům)</w:t>
      </w:r>
      <w:r>
        <w:rPr>
          <w:color w:val="0D0D0D" w:themeColor="text1" w:themeTint="F2"/>
          <w:sz w:val="16"/>
          <w:szCs w:val="16"/>
        </w:rPr>
        <w:t>.</w:t>
      </w:r>
      <w:r w:rsidRPr="00422BB4">
        <w:rPr>
          <w:color w:val="0D0D0D" w:themeColor="text1" w:themeTint="F2"/>
          <w:sz w:val="16"/>
          <w:szCs w:val="16"/>
        </w:rPr>
        <w:t xml:space="preserve"> U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řepky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 xml:space="preserve">cukrovky byly sklizně těsně pod desetiletým průměrem, výhradně vinou menších ploch osevů. V meziročním srovnání sklizeň výrazné většiny hlavních plodin vzrostla. Výjimkou byly některé druhy zeleniny (okurky, rajčata). 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Méně se urodilo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chmele (meziročně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24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, proti desetiletému průměru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11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), opačně tomu bylo 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vinných hroznů (+23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, +11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>). Navzdory mírnému meziročnímu růstu úrody zažilo nepříznivý rok ovocnářství, neboť loňská sklizeň byla velmi nízká, což se týkalo zejména klíčového segmentu produkce jablek.</w:t>
      </w:r>
    </w:p>
  </w:footnote>
  <w:footnote w:id="6">
    <w:p w14:paraId="6690FE01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Průmyslová produkce v březnu 2020 meziměsíčně klesla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více než desetinu, v dubnu dále propadla téměř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čtvrtinu.</w:t>
      </w:r>
    </w:p>
  </w:footnote>
  <w:footnote w:id="7">
    <w:p w14:paraId="636D5A6E" w14:textId="77777777" w:rsidR="008D3ACD" w:rsidRPr="00422BB4" w:rsidRDefault="008D3ACD" w:rsidP="008D3AC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422BB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 těžby a dobývání, zpracovatelského průmyslu a také energetiky (zde pojímané jako odvětví výroby a rozvodu elektřiny, plynu, tepla a klimatizovaného vzduchu). Všechna meziroční tempa produkce (na úrovni odvětvových sekcí i oddílů) jsou očištěna o kalendářní vlivy, mezičtvrtletní i meziměsíční tempa pak také o vliv sezónnosti.</w:t>
      </w:r>
    </w:p>
  </w:footnote>
  <w:footnote w:id="8">
    <w:p w14:paraId="753327A4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To se vlivem cyklického útlumu, kterým tuzemský </w:t>
      </w:r>
      <w:r>
        <w:rPr>
          <w:color w:val="0D0D0D" w:themeColor="text1" w:themeTint="F2"/>
          <w:sz w:val="16"/>
          <w:szCs w:val="16"/>
        </w:rPr>
        <w:t xml:space="preserve">průmysl </w:t>
      </w:r>
      <w:r w:rsidRPr="00422BB4">
        <w:rPr>
          <w:color w:val="0D0D0D" w:themeColor="text1" w:themeTint="F2"/>
          <w:sz w:val="16"/>
          <w:szCs w:val="16"/>
        </w:rPr>
        <w:t>procházel již během loňského roku, nacházelo v květnu 2019. Ve srovnání s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touto úrovn</w:t>
      </w:r>
      <w:r>
        <w:rPr>
          <w:color w:val="0D0D0D" w:themeColor="text1" w:themeTint="F2"/>
          <w:sz w:val="16"/>
          <w:szCs w:val="16"/>
        </w:rPr>
        <w:t>í</w:t>
      </w:r>
      <w:r w:rsidRPr="00422BB4">
        <w:rPr>
          <w:color w:val="0D0D0D" w:themeColor="text1" w:themeTint="F2"/>
          <w:sz w:val="16"/>
          <w:szCs w:val="16"/>
        </w:rPr>
        <w:t xml:space="preserve"> byla produkce v září 2020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4,8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 xml:space="preserve"> nižší.</w:t>
      </w:r>
    </w:p>
  </w:footnote>
  <w:footnote w:id="9">
    <w:p w14:paraId="4684BE2E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Dokládají to i</w:t>
      </w:r>
      <w:r>
        <w:rPr>
          <w:color w:val="0D0D0D" w:themeColor="text1" w:themeTint="F2"/>
          <w:sz w:val="16"/>
          <w:szCs w:val="16"/>
        </w:rPr>
        <w:t> data</w:t>
      </w:r>
      <w:r w:rsidRPr="00422BB4">
        <w:rPr>
          <w:color w:val="0D0D0D" w:themeColor="text1" w:themeTint="F2"/>
          <w:sz w:val="16"/>
          <w:szCs w:val="16"/>
        </w:rPr>
        <w:t xml:space="preserve">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fyzické produkci. Dle údajů Sdružení automobilového průmyslu bylo během letošního dubna v ČR vyrobeno jen necelých 15</w:t>
      </w:r>
      <w:r>
        <w:rPr>
          <w:color w:val="0D0D0D" w:themeColor="text1" w:themeTint="F2"/>
          <w:sz w:val="16"/>
          <w:szCs w:val="16"/>
        </w:rPr>
        <w:t> tis.</w:t>
      </w:r>
      <w:r w:rsidRPr="00422BB4">
        <w:rPr>
          <w:color w:val="0D0D0D" w:themeColor="text1" w:themeTint="F2"/>
          <w:sz w:val="16"/>
          <w:szCs w:val="16"/>
        </w:rPr>
        <w:t xml:space="preserve"> motorových vozidel. Od ledna do září činila výroba vozidel 813</w:t>
      </w:r>
      <w:r>
        <w:rPr>
          <w:color w:val="0D0D0D" w:themeColor="text1" w:themeTint="F2"/>
          <w:sz w:val="16"/>
          <w:szCs w:val="16"/>
        </w:rPr>
        <w:t> tis.</w:t>
      </w:r>
      <w:r w:rsidRPr="00422BB4">
        <w:rPr>
          <w:color w:val="0D0D0D" w:themeColor="text1" w:themeTint="F2"/>
          <w:sz w:val="16"/>
          <w:szCs w:val="16"/>
        </w:rPr>
        <w:t xml:space="preserve"> kusů, což bylo meziročně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čtvrtinu méně.</w:t>
      </w:r>
    </w:p>
  </w:footnote>
  <w:footnote w:id="10">
    <w:p w14:paraId="6D80D16F" w14:textId="77777777" w:rsidR="008D3ACD" w:rsidRPr="005C55DF" w:rsidRDefault="008D3ACD" w:rsidP="008D3ACD">
      <w:pPr>
        <w:pStyle w:val="Textpoznpodarou"/>
        <w:rPr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Za nepříznivým vývojem tohoto odvětví stála tradičně těžba uhlí, kde produkce v 1</w:t>
      </w:r>
      <w:r>
        <w:rPr>
          <w:color w:val="0D0D0D" w:themeColor="text1" w:themeTint="F2"/>
          <w:sz w:val="16"/>
          <w:szCs w:val="16"/>
        </w:rPr>
        <w:t>. </w:t>
      </w:r>
      <w:r w:rsidRPr="00422BB4">
        <w:rPr>
          <w:color w:val="0D0D0D" w:themeColor="text1" w:themeTint="F2"/>
          <w:sz w:val="16"/>
          <w:szCs w:val="16"/>
        </w:rPr>
        <w:t>až 3.</w:t>
      </w:r>
      <w:r>
        <w:rPr>
          <w:color w:val="0D0D0D" w:themeColor="text1" w:themeTint="F2"/>
          <w:sz w:val="16"/>
          <w:szCs w:val="16"/>
        </w:rPr>
        <w:t> čtvrtlet</w:t>
      </w:r>
      <w:r w:rsidRPr="00422BB4">
        <w:rPr>
          <w:color w:val="0D0D0D" w:themeColor="text1" w:themeTint="F2"/>
          <w:sz w:val="16"/>
          <w:szCs w:val="16"/>
        </w:rPr>
        <w:t>í meziročně propadla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28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. K poklesu (o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6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 však došlo i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v těžbě stavebních materiálů. Ta přitom v předchozích třech letech i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díky vyšší tuzemské poptávce rostla.</w:t>
      </w:r>
    </w:p>
  </w:footnote>
  <w:footnote w:id="11">
    <w:p w14:paraId="01EF90A8" w14:textId="77777777" w:rsidR="008D3ACD" w:rsidRPr="00FB58F4" w:rsidRDefault="008D3ACD" w:rsidP="008D3AC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422BB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422BB4">
        <w:rPr>
          <w:rFonts w:cs="Arial"/>
          <w:color w:val="0D0D0D" w:themeColor="text1" w:themeTint="F2"/>
          <w:sz w:val="16"/>
          <w:szCs w:val="16"/>
        </w:rPr>
        <w:t>Zjišťování zakázek probíhá pouze ve vybraných oddílech CZ</w:t>
      </w:r>
      <w:r w:rsidRPr="00422BB4">
        <w:rPr>
          <w:rFonts w:cs="Arial"/>
          <w:color w:val="0D0D0D" w:themeColor="text1" w:themeTint="F2"/>
          <w:sz w:val="16"/>
          <w:szCs w:val="16"/>
        </w:rPr>
        <w:noBreakHyphen/>
        <w:t>NACE (13, 14, 17, 20, 21, 24, 25, 26, 27, 28, 29, 30), které vyrábějí převážně na zakázku, s dlouhodobějším výrobním cyklem a s většími zásobami zakázek.</w:t>
      </w:r>
    </w:p>
  </w:footnote>
  <w:footnote w:id="12">
    <w:p w14:paraId="5E8D1DEC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Podniky mohly uvést více bariér současně.</w:t>
      </w:r>
    </w:p>
  </w:footnote>
  <w:footnote w:id="13">
    <w:p w14:paraId="66C1DCF9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Více než 6% pokles zasáhl strojírenství</w:t>
      </w:r>
      <w:r>
        <w:rPr>
          <w:color w:val="0D0D0D" w:themeColor="text1" w:themeTint="F2"/>
          <w:sz w:val="16"/>
          <w:szCs w:val="16"/>
        </w:rPr>
        <w:t>,</w:t>
      </w:r>
      <w:r w:rsidRPr="00422BB4">
        <w:rPr>
          <w:color w:val="0D0D0D" w:themeColor="text1" w:themeTint="F2"/>
          <w:sz w:val="16"/>
          <w:szCs w:val="16"/>
        </w:rPr>
        <w:t xml:space="preserve"> elektrotechniku či gumárenství.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5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 xml:space="preserve"> snížil stavy svých zaměstnanců i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automobilový průmysl. K poklesu došlo i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 xml:space="preserve">v jinak příznivěji </w:t>
      </w:r>
      <w:r>
        <w:rPr>
          <w:color w:val="0D0D0D" w:themeColor="text1" w:themeTint="F2"/>
          <w:sz w:val="16"/>
          <w:szCs w:val="16"/>
        </w:rPr>
        <w:t xml:space="preserve">se </w:t>
      </w:r>
      <w:r w:rsidRPr="00422BB4">
        <w:rPr>
          <w:color w:val="0D0D0D" w:themeColor="text1" w:themeTint="F2"/>
          <w:sz w:val="16"/>
          <w:szCs w:val="16"/>
        </w:rPr>
        <w:t>vyvíjejícím potravinářství (o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2,5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</w:t>
      </w:r>
      <w:r>
        <w:rPr>
          <w:color w:val="0D0D0D" w:themeColor="text1" w:themeTint="F2"/>
          <w:sz w:val="16"/>
          <w:szCs w:val="16"/>
        </w:rPr>
        <w:t>.</w:t>
      </w:r>
    </w:p>
  </w:footnote>
  <w:footnote w:id="14">
    <w:p w14:paraId="36471F10" w14:textId="77777777" w:rsidR="008D3ACD" w:rsidRPr="00D85B50" w:rsidRDefault="008D3ACD" w:rsidP="008D3ACD">
      <w:pPr>
        <w:pStyle w:val="Textpoznpodarou"/>
        <w:jc w:val="both"/>
        <w:rPr>
          <w:spacing w:val="-4"/>
          <w:sz w:val="16"/>
          <w:szCs w:val="16"/>
        </w:rPr>
      </w:pPr>
      <w:r w:rsidRPr="00422BB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422BB4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 stavební produkci jsou očištěny o kalendářní vlivy, mezičtvrtletní i meziměsíční tempa pak také o vliv sezónnosti.</w:t>
      </w:r>
    </w:p>
  </w:footnote>
  <w:footnote w:id="15">
    <w:p w14:paraId="617F8426" w14:textId="77777777" w:rsidR="008D3ACD" w:rsidRPr="00422BB4" w:rsidRDefault="008D3ACD" w:rsidP="008D3ACD">
      <w:pPr>
        <w:spacing w:after="0" w:line="240" w:lineRule="auto"/>
        <w:rPr>
          <w:color w:val="0D0D0D" w:themeColor="text1" w:themeTint="F2"/>
          <w:spacing w:val="-4"/>
        </w:rPr>
      </w:pPr>
      <w:r w:rsidRPr="00422BB4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422BB4">
        <w:rPr>
          <w:color w:val="0D0D0D" w:themeColor="text1" w:themeTint="F2"/>
          <w:spacing w:val="-4"/>
          <w:sz w:val="16"/>
          <w:szCs w:val="16"/>
        </w:rPr>
        <w:t xml:space="preserve"> Řecko, Kypr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Švédsko nebyly z důvodu absence aktuálních dat hodnoceny.</w:t>
      </w:r>
    </w:p>
  </w:footnote>
  <w:footnote w:id="16">
    <w:p w14:paraId="73FD8FC0" w14:textId="77777777" w:rsidR="008D3ACD" w:rsidRPr="00422BB4" w:rsidRDefault="008D3ACD" w:rsidP="008D3ACD">
      <w:pPr>
        <w:spacing w:after="0" w:line="240" w:lineRule="auto"/>
        <w:rPr>
          <w:color w:val="0D0D0D" w:themeColor="text1" w:themeTint="F2"/>
          <w:spacing w:val="-4"/>
        </w:rPr>
      </w:pPr>
      <w:r w:rsidRPr="00422BB4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422BB4">
        <w:rPr>
          <w:color w:val="0D0D0D" w:themeColor="text1" w:themeTint="F2"/>
          <w:spacing w:val="-4"/>
          <w:sz w:val="16"/>
          <w:szCs w:val="16"/>
        </w:rPr>
        <w:t xml:space="preserve"> Bez obchodu, peněžnictví, pojišťovnictví, vědy, výzkumu a veřejných služeb. Všechny údaje za služby jsou ve stálých cenách, meziroční údaje jsou očištěny o kalendářní vlivy, mezičtvrtletní i meziměsíční jsou očištěny o sezónní vlivy (včetně vlivu počtu pracovních dnů).</w:t>
      </w:r>
    </w:p>
  </w:footnote>
  <w:footnote w:id="17">
    <w:p w14:paraId="6180B2CE" w14:textId="77777777" w:rsidR="008D3ACD" w:rsidRPr="00422BB4" w:rsidRDefault="008D3ACD" w:rsidP="008D3ACD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422BB4">
        <w:rPr>
          <w:color w:val="0D0D0D" w:themeColor="text1" w:themeTint="F2"/>
          <w:spacing w:val="-4"/>
          <w:sz w:val="16"/>
          <w:szCs w:val="16"/>
        </w:rPr>
        <w:t xml:space="preserve"> Ve 2.</w:t>
      </w:r>
      <w:r>
        <w:rPr>
          <w:color w:val="0D0D0D" w:themeColor="text1" w:themeTint="F2"/>
          <w:spacing w:val="-4"/>
          <w:sz w:val="16"/>
          <w:szCs w:val="16"/>
        </w:rPr>
        <w:t> čtvrtlet</w:t>
      </w:r>
      <w:r w:rsidRPr="00422BB4">
        <w:rPr>
          <w:color w:val="0D0D0D" w:themeColor="text1" w:themeTint="F2"/>
          <w:spacing w:val="-4"/>
          <w:sz w:val="16"/>
          <w:szCs w:val="16"/>
        </w:rPr>
        <w:t>í tržby ve službách mezikvartálně klesly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rekordních 14,8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, v následujícím čtvrtletí vzrostly jen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8,1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.</w:t>
      </w:r>
    </w:p>
  </w:footnote>
  <w:footnote w:id="18">
    <w:p w14:paraId="215884FF" w14:textId="77777777" w:rsidR="008D3ACD" w:rsidRPr="00422BB4" w:rsidRDefault="008D3ACD" w:rsidP="008D3ACD">
      <w:pPr>
        <w:pStyle w:val="Textpoznpodarou"/>
        <w:rPr>
          <w:color w:val="0D0D0D" w:themeColor="text1" w:themeTint="F2"/>
          <w:sz w:val="16"/>
          <w:szCs w:val="16"/>
        </w:rPr>
      </w:pPr>
      <w:r w:rsidRPr="00422BB4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422BB4">
        <w:rPr>
          <w:color w:val="0D0D0D" w:themeColor="text1" w:themeTint="F2"/>
          <w:spacing w:val="-4"/>
          <w:sz w:val="16"/>
          <w:szCs w:val="16"/>
        </w:rPr>
        <w:t xml:space="preserve"> Od ledna do září 2020 klesly počty přenocování hostů v hromadných ubytovacích zařízeních v ČR meziročně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37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, z toho u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hostů ze zahraniční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66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. Zatímco ve 3.</w:t>
      </w:r>
      <w:r>
        <w:rPr>
          <w:color w:val="0D0D0D" w:themeColor="text1" w:themeTint="F2"/>
          <w:spacing w:val="-4"/>
          <w:sz w:val="16"/>
          <w:szCs w:val="16"/>
        </w:rPr>
        <w:t> čtvrtlet</w:t>
      </w:r>
      <w:r w:rsidRPr="00422BB4">
        <w:rPr>
          <w:color w:val="0D0D0D" w:themeColor="text1" w:themeTint="F2"/>
          <w:spacing w:val="-4"/>
          <w:sz w:val="16"/>
          <w:szCs w:val="16"/>
        </w:rPr>
        <w:t>í přenocování hostů z tuzemska mírně vzrostlo (+17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), u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422BB4">
        <w:rPr>
          <w:color w:val="0D0D0D" w:themeColor="text1" w:themeTint="F2"/>
          <w:spacing w:val="-4"/>
          <w:sz w:val="16"/>
          <w:szCs w:val="16"/>
        </w:rPr>
        <w:t>nerezidentů silný útlum pokračoval (</w:t>
      </w:r>
      <w:r>
        <w:rPr>
          <w:color w:val="0D0D0D" w:themeColor="text1" w:themeTint="F2"/>
          <w:spacing w:val="-4"/>
          <w:sz w:val="16"/>
          <w:szCs w:val="16"/>
        </w:rPr>
        <w:t>–</w:t>
      </w:r>
      <w:r w:rsidRPr="00422BB4">
        <w:rPr>
          <w:color w:val="0D0D0D" w:themeColor="text1" w:themeTint="F2"/>
          <w:spacing w:val="-4"/>
          <w:sz w:val="16"/>
          <w:szCs w:val="16"/>
        </w:rPr>
        <w:t>68</w:t>
      </w:r>
      <w:r>
        <w:rPr>
          <w:color w:val="0D0D0D" w:themeColor="text1" w:themeTint="F2"/>
          <w:spacing w:val="-4"/>
          <w:sz w:val="16"/>
          <w:szCs w:val="16"/>
        </w:rPr>
        <w:t> %</w:t>
      </w:r>
      <w:r w:rsidRPr="00422BB4">
        <w:rPr>
          <w:color w:val="0D0D0D" w:themeColor="text1" w:themeTint="F2"/>
          <w:spacing w:val="-4"/>
          <w:sz w:val="16"/>
          <w:szCs w:val="16"/>
        </w:rPr>
        <w:t>).</w:t>
      </w:r>
    </w:p>
  </w:footnote>
  <w:footnote w:id="19">
    <w:p w14:paraId="5BF2DD49" w14:textId="77777777" w:rsidR="008D3ACD" w:rsidRPr="008255D8" w:rsidRDefault="008D3ACD" w:rsidP="008D3ACD">
      <w:pPr>
        <w:pStyle w:val="Textpoznpodarou"/>
        <w:rPr>
          <w:spacing w:val="-3"/>
          <w:sz w:val="16"/>
          <w:szCs w:val="16"/>
        </w:rPr>
      </w:pPr>
      <w:r w:rsidRPr="008255D8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 w:rsidRPr="008255D8">
        <w:rPr>
          <w:color w:val="0D0D0D" w:themeColor="text1" w:themeTint="F2"/>
          <w:spacing w:val="-3"/>
          <w:sz w:val="16"/>
          <w:szCs w:val="16"/>
        </w:rPr>
        <w:t xml:space="preserve"> Silně zasažena byla i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8255D8">
        <w:rPr>
          <w:color w:val="0D0D0D" w:themeColor="text1" w:themeTint="F2"/>
          <w:spacing w:val="-3"/>
          <w:sz w:val="16"/>
          <w:szCs w:val="16"/>
        </w:rPr>
        <w:t>oblast filmové distribuce. Dle údajů Unie filmových distributorů klesly za tři čtvrtletí 2020 tržby ze vstupného v kinech v ČR meziročně o 53 %. Projevilo se několikatýdenní přerušení provozu kin a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8255D8">
        <w:rPr>
          <w:color w:val="0D0D0D" w:themeColor="text1" w:themeTint="F2"/>
          <w:spacing w:val="-3"/>
          <w:sz w:val="16"/>
          <w:szCs w:val="16"/>
        </w:rPr>
        <w:t>později i omezenější nabídka filmových titulů vlivem odsunutí významnějších premiér. Počet návštěvníků kin dosáhl 6,2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8255D8">
        <w:rPr>
          <w:color w:val="0D0D0D" w:themeColor="text1" w:themeTint="F2"/>
          <w:spacing w:val="-3"/>
          <w:sz w:val="16"/>
          <w:szCs w:val="16"/>
        </w:rPr>
        <w:t>mil</w:t>
      </w:r>
      <w:r>
        <w:rPr>
          <w:color w:val="0D0D0D" w:themeColor="text1" w:themeTint="F2"/>
          <w:spacing w:val="-3"/>
          <w:sz w:val="16"/>
          <w:szCs w:val="16"/>
        </w:rPr>
        <w:t>.</w:t>
      </w:r>
      <w:r w:rsidRPr="008255D8">
        <w:rPr>
          <w:color w:val="0D0D0D" w:themeColor="text1" w:themeTint="F2"/>
          <w:spacing w:val="-3"/>
          <w:sz w:val="16"/>
          <w:szCs w:val="16"/>
        </w:rPr>
        <w:t>, což představovalo v rámci 1</w:t>
      </w:r>
      <w:r>
        <w:rPr>
          <w:color w:val="0D0D0D" w:themeColor="text1" w:themeTint="F2"/>
          <w:spacing w:val="-3"/>
          <w:sz w:val="16"/>
          <w:szCs w:val="16"/>
        </w:rPr>
        <w:t>. </w:t>
      </w:r>
      <w:r w:rsidRPr="008255D8">
        <w:rPr>
          <w:color w:val="0D0D0D" w:themeColor="text1" w:themeTint="F2"/>
          <w:spacing w:val="-3"/>
          <w:sz w:val="16"/>
          <w:szCs w:val="16"/>
        </w:rPr>
        <w:t>až 3.</w:t>
      </w:r>
      <w:r>
        <w:rPr>
          <w:color w:val="0D0D0D" w:themeColor="text1" w:themeTint="F2"/>
          <w:spacing w:val="-3"/>
          <w:sz w:val="16"/>
          <w:szCs w:val="16"/>
        </w:rPr>
        <w:t> čtvrtlet</w:t>
      </w:r>
      <w:r w:rsidRPr="008255D8">
        <w:rPr>
          <w:color w:val="0D0D0D" w:themeColor="text1" w:themeTint="F2"/>
          <w:spacing w:val="-3"/>
          <w:sz w:val="16"/>
          <w:szCs w:val="16"/>
        </w:rPr>
        <w:t xml:space="preserve">í minimum </w:t>
      </w:r>
      <w:r>
        <w:rPr>
          <w:color w:val="0D0D0D" w:themeColor="text1" w:themeTint="F2"/>
          <w:spacing w:val="-3"/>
          <w:sz w:val="16"/>
          <w:szCs w:val="16"/>
        </w:rPr>
        <w:t>od začátku současného milénia</w:t>
      </w:r>
      <w:r w:rsidRPr="008255D8">
        <w:rPr>
          <w:color w:val="0D0D0D" w:themeColor="text1" w:themeTint="F2"/>
          <w:spacing w:val="-3"/>
          <w:sz w:val="16"/>
          <w:szCs w:val="16"/>
        </w:rPr>
        <w:t>.</w:t>
      </w:r>
    </w:p>
  </w:footnote>
  <w:footnote w:id="20">
    <w:p w14:paraId="0F2031A2" w14:textId="77777777" w:rsidR="008D3ACD" w:rsidRPr="00422BB4" w:rsidRDefault="008D3ACD" w:rsidP="008D3ACD">
      <w:pPr>
        <w:spacing w:after="0" w:line="240" w:lineRule="auto"/>
        <w:rPr>
          <w:color w:val="0D0D0D" w:themeColor="text1" w:themeTint="F2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Všechna meziroční tempa tržeb za maloobchod jsou uvedena ve stálých cenách a očištěna o kalendářní vlivy, mezičtvrtletní i</w:t>
      </w:r>
      <w:r w:rsidRPr="00422BB4">
        <w:rPr>
          <w:color w:val="0D0D0D" w:themeColor="text1" w:themeTint="F2"/>
          <w:spacing w:val="-3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meziměsíční tempa jsou očištěna o sezónní vlivy (včetně vlivu počtu pracovních dnů). Maloobchod zahrnuje odvětví CZ</w:t>
      </w:r>
      <w:r w:rsidRPr="00422BB4">
        <w:rPr>
          <w:color w:val="0D0D0D" w:themeColor="text1" w:themeTint="F2"/>
          <w:sz w:val="16"/>
          <w:szCs w:val="16"/>
        </w:rPr>
        <w:noBreakHyphen/>
        <w:t>NACE 47.</w:t>
      </w:r>
    </w:p>
  </w:footnote>
  <w:footnote w:id="21">
    <w:p w14:paraId="611CCDD8" w14:textId="77777777" w:rsidR="008D3ACD" w:rsidRPr="0044248C" w:rsidRDefault="008D3ACD" w:rsidP="008D3ACD">
      <w:pPr>
        <w:pStyle w:val="Textpoznpodarou"/>
        <w:rPr>
          <w:sz w:val="16"/>
          <w:szCs w:val="16"/>
        </w:rPr>
      </w:pPr>
      <w:r w:rsidRPr="00422BB4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22BB4">
        <w:rPr>
          <w:color w:val="0D0D0D" w:themeColor="text1" w:themeTint="F2"/>
          <w:sz w:val="16"/>
          <w:szCs w:val="16"/>
        </w:rPr>
        <w:t xml:space="preserve"> V celé EU tržby klesly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1,5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 xml:space="preserve">, v zemích </w:t>
      </w:r>
      <w:r>
        <w:rPr>
          <w:color w:val="0D0D0D" w:themeColor="text1" w:themeTint="F2"/>
          <w:sz w:val="16"/>
          <w:szCs w:val="16"/>
        </w:rPr>
        <w:t>e</w:t>
      </w:r>
      <w:r w:rsidRPr="00422BB4">
        <w:rPr>
          <w:color w:val="0D0D0D" w:themeColor="text1" w:themeTint="F2"/>
          <w:sz w:val="16"/>
          <w:szCs w:val="16"/>
        </w:rPr>
        <w:t>urozóny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1,9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. Nejvíce se tržby snížily v Bulharsku (</w:t>
      </w:r>
      <w:r>
        <w:rPr>
          <w:color w:val="0D0D0D" w:themeColor="text1" w:themeTint="F2"/>
          <w:sz w:val="16"/>
          <w:szCs w:val="16"/>
        </w:rPr>
        <w:t>–</w:t>
      </w:r>
      <w:r w:rsidRPr="00422BB4">
        <w:rPr>
          <w:color w:val="0D0D0D" w:themeColor="text1" w:themeTint="F2"/>
          <w:sz w:val="16"/>
          <w:szCs w:val="16"/>
        </w:rPr>
        <w:t>11,7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Itálii (</w:t>
      </w:r>
      <w:r>
        <w:rPr>
          <w:color w:val="0D0D0D" w:themeColor="text1" w:themeTint="F2"/>
          <w:sz w:val="16"/>
          <w:szCs w:val="16"/>
        </w:rPr>
        <w:t>–</w:t>
      </w:r>
      <w:r w:rsidRPr="00422BB4">
        <w:rPr>
          <w:color w:val="0D0D0D" w:themeColor="text1" w:themeTint="F2"/>
          <w:sz w:val="16"/>
          <w:szCs w:val="16"/>
        </w:rPr>
        <w:t>9,0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), více jak 7,5% pokles registrovaly také Španělsko, Slovinsko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Malta. Růst zaznamenalo třináct států, nejvíce Finsko (+3,7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), Nizozemsko (+3,2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), Německo (+3,1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)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Polsko s Dánskem a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Estonskem (shodně +2,5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 xml:space="preserve">). Tržby </w:t>
      </w:r>
      <w:r>
        <w:rPr>
          <w:color w:val="0D0D0D" w:themeColor="text1" w:themeTint="F2"/>
          <w:sz w:val="16"/>
          <w:szCs w:val="16"/>
        </w:rPr>
        <w:t>za</w:t>
      </w:r>
      <w:r w:rsidRPr="00422BB4">
        <w:rPr>
          <w:color w:val="0D0D0D" w:themeColor="text1" w:themeTint="F2"/>
          <w:sz w:val="16"/>
          <w:szCs w:val="16"/>
        </w:rPr>
        <w:t xml:space="preserve"> prodej potravin se v EU zvýšily o</w:t>
      </w:r>
      <w:r>
        <w:rPr>
          <w:color w:val="0D0D0D" w:themeColor="text1" w:themeTint="F2"/>
          <w:sz w:val="16"/>
          <w:szCs w:val="16"/>
        </w:rPr>
        <w:t> </w:t>
      </w:r>
      <w:r w:rsidRPr="00422BB4">
        <w:rPr>
          <w:color w:val="0D0D0D" w:themeColor="text1" w:themeTint="F2"/>
          <w:sz w:val="16"/>
          <w:szCs w:val="16"/>
        </w:rPr>
        <w:t>3,0</w:t>
      </w:r>
      <w:r>
        <w:rPr>
          <w:color w:val="0D0D0D" w:themeColor="text1" w:themeTint="F2"/>
          <w:sz w:val="16"/>
          <w:szCs w:val="16"/>
        </w:rPr>
        <w:t> %</w:t>
      </w:r>
      <w:r w:rsidRPr="00422BB4">
        <w:rPr>
          <w:color w:val="0D0D0D" w:themeColor="text1" w:themeTint="F2"/>
          <w:sz w:val="16"/>
          <w:szCs w:val="16"/>
        </w:rPr>
        <w:t>. Česko patřilo (společně s Polskem) do šestice států Unie, kde tyto tržby ve srovnání s 1</w:t>
      </w:r>
      <w:r>
        <w:rPr>
          <w:color w:val="0D0D0D" w:themeColor="text1" w:themeTint="F2"/>
          <w:sz w:val="16"/>
          <w:szCs w:val="16"/>
        </w:rPr>
        <w:t>. </w:t>
      </w:r>
      <w:r w:rsidRPr="00422BB4">
        <w:rPr>
          <w:color w:val="0D0D0D" w:themeColor="text1" w:themeTint="F2"/>
          <w:sz w:val="16"/>
          <w:szCs w:val="16"/>
        </w:rPr>
        <w:t>až 3.</w:t>
      </w:r>
      <w:r>
        <w:rPr>
          <w:color w:val="0D0D0D" w:themeColor="text1" w:themeTint="F2"/>
          <w:sz w:val="16"/>
          <w:szCs w:val="16"/>
        </w:rPr>
        <w:t> čtvrtlet</w:t>
      </w:r>
      <w:r w:rsidRPr="00422BB4">
        <w:rPr>
          <w:color w:val="0D0D0D" w:themeColor="text1" w:themeTint="F2"/>
          <w:sz w:val="16"/>
          <w:szCs w:val="16"/>
        </w:rPr>
        <w:t>ím 2019 klesaly.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85C8" w14:textId="77777777" w:rsidR="008D3ACD" w:rsidRDefault="008D3ACD" w:rsidP="00937AE2">
    <w:pPr>
      <w:pStyle w:val="Zhlav"/>
    </w:pPr>
    <w:r>
      <w:t>Vývoj ekonomiky České republiky</w:t>
    </w:r>
  </w:p>
  <w:p w14:paraId="675E4C41" w14:textId="77777777" w:rsidR="008D3ACD" w:rsidRPr="006F5416" w:rsidRDefault="008D3AC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12FB" w14:textId="77777777" w:rsidR="008D3ACD" w:rsidRDefault="008D3ACD" w:rsidP="00937AE2">
    <w:pPr>
      <w:pStyle w:val="Zhlav"/>
    </w:pPr>
    <w:r>
      <w:t>Vývoj ekonomiky České republiky</w:t>
    </w:r>
  </w:p>
  <w:p w14:paraId="0CDCFD48" w14:textId="77777777" w:rsidR="008D3ACD" w:rsidRPr="006F5416" w:rsidRDefault="008D3AC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64A"/>
    <w:rsid w:val="002C59D8"/>
    <w:rsid w:val="002C5FEB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1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61D"/>
    <w:rsid w:val="00BA3787"/>
    <w:rsid w:val="00BA403A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Q-makro-1.a&#382;%203.%20&#269;tvrtlet&#237;%202020\Odv&#283;tv&#237;\Odv&#283;tv&#237;%20grafy-rok-1-3q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Q-makro-1.a&#382;%203.%20&#269;tvrtlet&#237;%202020\Odv&#283;tv&#237;\Odv&#283;tv&#237;%20grafy-rok-1-3q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Q-makro-1.a&#382;%203.%20&#269;tvrtlet&#237;%202020\Odv&#283;tv&#237;\Odv&#283;tv&#237;%20grafy-rok-1-3q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Q-makro-1.a&#382;%203.%20&#269;tvrtlet&#237;%202020\Odv&#283;tv&#237;\Odv&#283;tv&#237;%20grafy-rok-1-3q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6203544707895996E-2"/>
          <c:w val="0.84974974879787502"/>
          <c:h val="0.726493972333728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IPP'!$R$27:$AO$27</c:f>
              <c:numCache>
                <c:formatCode>0.0</c:formatCode>
                <c:ptCount val="24"/>
                <c:pt idx="0">
                  <c:v>1.5449159659659168</c:v>
                </c:pt>
                <c:pt idx="1">
                  <c:v>2.1749281656592205</c:v>
                </c:pt>
                <c:pt idx="2">
                  <c:v>2.3300582377623109</c:v>
                </c:pt>
                <c:pt idx="3">
                  <c:v>2.8883547821003916</c:v>
                </c:pt>
                <c:pt idx="4">
                  <c:v>3.2974613335821723</c:v>
                </c:pt>
                <c:pt idx="5">
                  <c:v>2.7788016600022574</c:v>
                </c:pt>
                <c:pt idx="6">
                  <c:v>1.4641693240331413</c:v>
                </c:pt>
                <c:pt idx="7">
                  <c:v>1.0301621596218218</c:v>
                </c:pt>
                <c:pt idx="8">
                  <c:v>1.8188073708028707</c:v>
                </c:pt>
                <c:pt idx="9">
                  <c:v>2.0559452389437172</c:v>
                </c:pt>
                <c:pt idx="10">
                  <c:v>1.5681820744985684</c:v>
                </c:pt>
                <c:pt idx="11">
                  <c:v>1.6876490608562387</c:v>
                </c:pt>
                <c:pt idx="12">
                  <c:v>0.71498061102748001</c:v>
                </c:pt>
                <c:pt idx="13">
                  <c:v>0.55787229008071415</c:v>
                </c:pt>
                <c:pt idx="14">
                  <c:v>0.24148179021483879</c:v>
                </c:pt>
                <c:pt idx="15">
                  <c:v>0.98792003638593584</c:v>
                </c:pt>
                <c:pt idx="16">
                  <c:v>-0.22879955190936746</c:v>
                </c:pt>
                <c:pt idx="17">
                  <c:v>0.48596502401582797</c:v>
                </c:pt>
                <c:pt idx="18">
                  <c:v>0.84413746094259168</c:v>
                </c:pt>
                <c:pt idx="19">
                  <c:v>-1.1047009843732671</c:v>
                </c:pt>
                <c:pt idx="20">
                  <c:v>-1.6426517214777709</c:v>
                </c:pt>
                <c:pt idx="21">
                  <c:v>-9.4687838124956212</c:v>
                </c:pt>
                <c:pt idx="22">
                  <c:v>-0.2512849397151154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F-4708-B019-56C9889AC9E1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IPP'!$R$28:$AO$28</c:f>
              <c:numCache>
                <c:formatCode>0.0</c:formatCode>
                <c:ptCount val="24"/>
                <c:pt idx="0">
                  <c:v>1.0321564707423598</c:v>
                </c:pt>
                <c:pt idx="1">
                  <c:v>1.2396893147517036</c:v>
                </c:pt>
                <c:pt idx="2">
                  <c:v>1.4257126645761891</c:v>
                </c:pt>
                <c:pt idx="3">
                  <c:v>0.62646054654871031</c:v>
                </c:pt>
                <c:pt idx="4">
                  <c:v>0.70239864046330858</c:v>
                </c:pt>
                <c:pt idx="5">
                  <c:v>0.14957031030982187</c:v>
                </c:pt>
                <c:pt idx="6">
                  <c:v>0.27646532302098098</c:v>
                </c:pt>
                <c:pt idx="7">
                  <c:v>0.42916912474109054</c:v>
                </c:pt>
                <c:pt idx="8">
                  <c:v>0.91361476755678694</c:v>
                </c:pt>
                <c:pt idx="9">
                  <c:v>1.458720321695594</c:v>
                </c:pt>
                <c:pt idx="10">
                  <c:v>0.87170226971120912</c:v>
                </c:pt>
                <c:pt idx="11">
                  <c:v>1.646875240438054</c:v>
                </c:pt>
                <c:pt idx="12">
                  <c:v>0.99783080896461818</c:v>
                </c:pt>
                <c:pt idx="13">
                  <c:v>0.32761654080678082</c:v>
                </c:pt>
                <c:pt idx="14">
                  <c:v>0.42786481660655967</c:v>
                </c:pt>
                <c:pt idx="15">
                  <c:v>-5.3703633303731985E-2</c:v>
                </c:pt>
                <c:pt idx="16">
                  <c:v>0.49959628008816359</c:v>
                </c:pt>
                <c:pt idx="17">
                  <c:v>0.40595551047968725</c:v>
                </c:pt>
                <c:pt idx="18">
                  <c:v>0.21646597333917381</c:v>
                </c:pt>
                <c:pt idx="19">
                  <c:v>0.40808768099230008</c:v>
                </c:pt>
                <c:pt idx="20">
                  <c:v>-0.52255915788257001</c:v>
                </c:pt>
                <c:pt idx="21">
                  <c:v>-4.1280188186384441</c:v>
                </c:pt>
                <c:pt idx="22">
                  <c:v>-0.4652364533917222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5F-4708-B019-56C9889AC9E1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IPP'!$R$29:$AO$29</c:f>
              <c:numCache>
                <c:formatCode>0.0</c:formatCode>
                <c:ptCount val="24"/>
                <c:pt idx="0">
                  <c:v>0.27334106694035171</c:v>
                </c:pt>
                <c:pt idx="1">
                  <c:v>0.29428298533741609</c:v>
                </c:pt>
                <c:pt idx="2">
                  <c:v>0.38533015320769515</c:v>
                </c:pt>
                <c:pt idx="3">
                  <c:v>1.9183488529804775E-2</c:v>
                </c:pt>
                <c:pt idx="4">
                  <c:v>0.36307045023871931</c:v>
                </c:pt>
                <c:pt idx="5">
                  <c:v>-6.7572945378872373E-2</c:v>
                </c:pt>
                <c:pt idx="6">
                  <c:v>0.19574075945275773</c:v>
                </c:pt>
                <c:pt idx="7">
                  <c:v>0.31979046599858157</c:v>
                </c:pt>
                <c:pt idx="8">
                  <c:v>0.3600654733750322</c:v>
                </c:pt>
                <c:pt idx="9">
                  <c:v>1.0705741294559918</c:v>
                </c:pt>
                <c:pt idx="10">
                  <c:v>0.84942343358716554</c:v>
                </c:pt>
                <c:pt idx="11">
                  <c:v>0.80110319510701655</c:v>
                </c:pt>
                <c:pt idx="12">
                  <c:v>0.47293555109852903</c:v>
                </c:pt>
                <c:pt idx="13">
                  <c:v>0.1452079187580578</c:v>
                </c:pt>
                <c:pt idx="14">
                  <c:v>0.18970333111993243</c:v>
                </c:pt>
                <c:pt idx="15">
                  <c:v>-0.19465162699433602</c:v>
                </c:pt>
                <c:pt idx="16">
                  <c:v>0.14541427898814158</c:v>
                </c:pt>
                <c:pt idx="17">
                  <c:v>-1.5665441422013964E-2</c:v>
                </c:pt>
                <c:pt idx="18">
                  <c:v>-0.26873964884989882</c:v>
                </c:pt>
                <c:pt idx="19">
                  <c:v>-0.13555285629534911</c:v>
                </c:pt>
                <c:pt idx="20">
                  <c:v>-0.76039990795238854</c:v>
                </c:pt>
                <c:pt idx="21">
                  <c:v>-2.1165350057699164</c:v>
                </c:pt>
                <c:pt idx="22">
                  <c:v>-0.73643989585435099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5F-4708-B019-56C9889AC9E1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IPP'!$R$30:$AO$30</c:f>
              <c:numCache>
                <c:formatCode>0.0</c:formatCode>
                <c:ptCount val="24"/>
                <c:pt idx="0">
                  <c:v>0.7002997305470311</c:v>
                </c:pt>
                <c:pt idx="1">
                  <c:v>0.78598516282691366</c:v>
                </c:pt>
                <c:pt idx="2">
                  <c:v>0.92607458938072496</c:v>
                </c:pt>
                <c:pt idx="3">
                  <c:v>0.625152359437114</c:v>
                </c:pt>
                <c:pt idx="4">
                  <c:v>0.76444806762191553</c:v>
                </c:pt>
                <c:pt idx="5">
                  <c:v>0.38468982602991308</c:v>
                </c:pt>
                <c:pt idx="6">
                  <c:v>0.20052528439839029</c:v>
                </c:pt>
                <c:pt idx="7">
                  <c:v>0.2505464784956295</c:v>
                </c:pt>
                <c:pt idx="8">
                  <c:v>0.5110945332466369</c:v>
                </c:pt>
                <c:pt idx="9">
                  <c:v>0.91827111587790722</c:v>
                </c:pt>
                <c:pt idx="10">
                  <c:v>0.82344311009183468</c:v>
                </c:pt>
                <c:pt idx="11">
                  <c:v>0.97625242210301566</c:v>
                </c:pt>
                <c:pt idx="12">
                  <c:v>0.6543071266859497</c:v>
                </c:pt>
                <c:pt idx="13">
                  <c:v>0.44399142916192974</c:v>
                </c:pt>
                <c:pt idx="14">
                  <c:v>0.43632885025014273</c:v>
                </c:pt>
                <c:pt idx="15">
                  <c:v>0.16425112174648246</c:v>
                </c:pt>
                <c:pt idx="16">
                  <c:v>0.22884015348191217</c:v>
                </c:pt>
                <c:pt idx="17">
                  <c:v>4.0423703863651109E-3</c:v>
                </c:pt>
                <c:pt idx="18">
                  <c:v>-0.22185425265951442</c:v>
                </c:pt>
                <c:pt idx="19">
                  <c:v>-0.36859979361627881</c:v>
                </c:pt>
                <c:pt idx="20">
                  <c:v>-0.68487239362344454</c:v>
                </c:pt>
                <c:pt idx="21">
                  <c:v>-2.2451355575291205</c:v>
                </c:pt>
                <c:pt idx="22">
                  <c:v>-0.7496635219980845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5F-4708-B019-56C9889AC9E1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IPP'!$R$31:$AO$31</c:f>
              <c:numCache>
                <c:formatCode>0.0</c:formatCode>
                <c:ptCount val="24"/>
                <c:pt idx="0">
                  <c:v>0.10098933939964477</c:v>
                </c:pt>
                <c:pt idx="1">
                  <c:v>1.4989983457542287E-2</c:v>
                </c:pt>
                <c:pt idx="2">
                  <c:v>4.8131776575975969E-2</c:v>
                </c:pt>
                <c:pt idx="3">
                  <c:v>-7.7003986202186223E-2</c:v>
                </c:pt>
                <c:pt idx="4">
                  <c:v>2.5800791974177746E-4</c:v>
                </c:pt>
                <c:pt idx="5">
                  <c:v>4.8125354447826493E-2</c:v>
                </c:pt>
                <c:pt idx="6">
                  <c:v>5.4761934658599951E-2</c:v>
                </c:pt>
                <c:pt idx="7">
                  <c:v>0.16221619241546678</c:v>
                </c:pt>
                <c:pt idx="8">
                  <c:v>0.1266562574913582</c:v>
                </c:pt>
                <c:pt idx="9">
                  <c:v>0.37648265280216536</c:v>
                </c:pt>
                <c:pt idx="10">
                  <c:v>0.23505971681229232</c:v>
                </c:pt>
                <c:pt idx="11">
                  <c:v>0.23512493906047929</c:v>
                </c:pt>
                <c:pt idx="12">
                  <c:v>0.40852046691006588</c:v>
                </c:pt>
                <c:pt idx="13">
                  <c:v>0.15033665549578873</c:v>
                </c:pt>
                <c:pt idx="14">
                  <c:v>0.63742581900112127</c:v>
                </c:pt>
                <c:pt idx="15">
                  <c:v>0.30596497918419047</c:v>
                </c:pt>
                <c:pt idx="16">
                  <c:v>-0.11307637304192975</c:v>
                </c:pt>
                <c:pt idx="17">
                  <c:v>-3.7956703682871726E-2</c:v>
                </c:pt>
                <c:pt idx="18">
                  <c:v>-0.62718009855364965</c:v>
                </c:pt>
                <c:pt idx="19">
                  <c:v>-0.3411213800722247</c:v>
                </c:pt>
                <c:pt idx="20">
                  <c:v>-0.12820169957455954</c:v>
                </c:pt>
                <c:pt idx="21">
                  <c:v>-0.303404466179518</c:v>
                </c:pt>
                <c:pt idx="22">
                  <c:v>-1.3417750474677479E-2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5F-4708-B019-56C9889AC9E1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IPP'!$R$32:$AO$32</c:f>
              <c:numCache>
                <c:formatCode>0.0</c:formatCode>
                <c:ptCount val="24"/>
                <c:pt idx="0">
                  <c:v>7.7350431314437765E-2</c:v>
                </c:pt>
                <c:pt idx="1">
                  <c:v>0.23593761593130141</c:v>
                </c:pt>
                <c:pt idx="2">
                  <c:v>-0.16669952986343833</c:v>
                </c:pt>
                <c:pt idx="3">
                  <c:v>-0.33320285815360856</c:v>
                </c:pt>
                <c:pt idx="4">
                  <c:v>-0.42004567083081795</c:v>
                </c:pt>
                <c:pt idx="5">
                  <c:v>-0.42026397840181545</c:v>
                </c:pt>
                <c:pt idx="6">
                  <c:v>-0.10965943805062672</c:v>
                </c:pt>
                <c:pt idx="7">
                  <c:v>0.23764174190673226</c:v>
                </c:pt>
                <c:pt idx="8">
                  <c:v>0.52969781101036639</c:v>
                </c:pt>
                <c:pt idx="9">
                  <c:v>0.81629581332897672</c:v>
                </c:pt>
                <c:pt idx="10">
                  <c:v>0.6490077008448305</c:v>
                </c:pt>
                <c:pt idx="11">
                  <c:v>0.50550039995300478</c:v>
                </c:pt>
                <c:pt idx="12">
                  <c:v>0.39836280707384325</c:v>
                </c:pt>
                <c:pt idx="13">
                  <c:v>8.2769801878325527E-2</c:v>
                </c:pt>
                <c:pt idx="14">
                  <c:v>-5.1200962998572921E-2</c:v>
                </c:pt>
                <c:pt idx="15">
                  <c:v>-6.7051149583539513E-2</c:v>
                </c:pt>
                <c:pt idx="16">
                  <c:v>0.10491719287806039</c:v>
                </c:pt>
                <c:pt idx="17">
                  <c:v>4.8672766566223546E-2</c:v>
                </c:pt>
                <c:pt idx="18">
                  <c:v>0.22996607761503507</c:v>
                </c:pt>
                <c:pt idx="19">
                  <c:v>2.9382185934869076E-2</c:v>
                </c:pt>
                <c:pt idx="20">
                  <c:v>-6.2940817695855952E-2</c:v>
                </c:pt>
                <c:pt idx="21">
                  <c:v>-0.59627683384204855</c:v>
                </c:pt>
                <c:pt idx="22">
                  <c:v>-0.24018716073280522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5F-4708-B019-56C9889AC9E1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IPP'!$R$33:$AO$33</c:f>
              <c:numCache>
                <c:formatCode>0.0</c:formatCode>
                <c:ptCount val="24"/>
                <c:pt idx="0">
                  <c:v>0.99830218869293852</c:v>
                </c:pt>
                <c:pt idx="1">
                  <c:v>0.90243657634684482</c:v>
                </c:pt>
                <c:pt idx="2">
                  <c:v>0.97767572263994862</c:v>
                </c:pt>
                <c:pt idx="3">
                  <c:v>-0.2213241477378568</c:v>
                </c:pt>
                <c:pt idx="4">
                  <c:v>3.756973895839455E-2</c:v>
                </c:pt>
                <c:pt idx="5">
                  <c:v>-0.30016704241037895</c:v>
                </c:pt>
                <c:pt idx="6">
                  <c:v>4.1230596798874086E-2</c:v>
                </c:pt>
                <c:pt idx="7">
                  <c:v>0.57694869576716468</c:v>
                </c:pt>
                <c:pt idx="8">
                  <c:v>0.33188448583663555</c:v>
                </c:pt>
                <c:pt idx="9">
                  <c:v>1.4323707076505112</c:v>
                </c:pt>
                <c:pt idx="10">
                  <c:v>0.74281336901524297</c:v>
                </c:pt>
                <c:pt idx="11">
                  <c:v>0.99254851716260917</c:v>
                </c:pt>
                <c:pt idx="12">
                  <c:v>1.1174634788597479</c:v>
                </c:pt>
                <c:pt idx="13">
                  <c:v>0.68739640698572546</c:v>
                </c:pt>
                <c:pt idx="14">
                  <c:v>1.0605384736132186</c:v>
                </c:pt>
                <c:pt idx="15">
                  <c:v>0.51351046269379941</c:v>
                </c:pt>
                <c:pt idx="16">
                  <c:v>-9.0990040456507548E-2</c:v>
                </c:pt>
                <c:pt idx="17">
                  <c:v>-4.1034246273828345E-3</c:v>
                </c:pt>
                <c:pt idx="18">
                  <c:v>-0.5349128541736905</c:v>
                </c:pt>
                <c:pt idx="19">
                  <c:v>-0.24657958325904372</c:v>
                </c:pt>
                <c:pt idx="20">
                  <c:v>-0.20998442517187021</c:v>
                </c:pt>
                <c:pt idx="21">
                  <c:v>-3.1629136185947946</c:v>
                </c:pt>
                <c:pt idx="22">
                  <c:v>-0.43709650259352351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5F-4708-B019-56C9889AC9E1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IPP'!$R$34:$AO$34</c:f>
              <c:numCache>
                <c:formatCode>0.0</c:formatCode>
                <c:ptCount val="24"/>
                <c:pt idx="0">
                  <c:v>0.14603886659731855</c:v>
                </c:pt>
                <c:pt idx="1">
                  <c:v>-0.34005382041093413</c:v>
                </c:pt>
                <c:pt idx="2">
                  <c:v>-0.37898483167936881</c:v>
                </c:pt>
                <c:pt idx="3">
                  <c:v>-1.1248323803223828</c:v>
                </c:pt>
                <c:pt idx="4">
                  <c:v>-0.66857701045346751</c:v>
                </c:pt>
                <c:pt idx="5">
                  <c:v>0.10137361870125999</c:v>
                </c:pt>
                <c:pt idx="6">
                  <c:v>-0.46808235891211047</c:v>
                </c:pt>
                <c:pt idx="7">
                  <c:v>0.50534236475350525</c:v>
                </c:pt>
                <c:pt idx="8">
                  <c:v>0.66795249028030279</c:v>
                </c:pt>
                <c:pt idx="9">
                  <c:v>-0.18424188685486914</c:v>
                </c:pt>
                <c:pt idx="10">
                  <c:v>0.78008174883886461</c:v>
                </c:pt>
                <c:pt idx="11">
                  <c:v>0.73049787951958134</c:v>
                </c:pt>
                <c:pt idx="12">
                  <c:v>-0.53969025522024028</c:v>
                </c:pt>
                <c:pt idx="13">
                  <c:v>9.9992532326696609E-3</c:v>
                </c:pt>
                <c:pt idx="14">
                  <c:v>0.78144454779276418</c:v>
                </c:pt>
                <c:pt idx="15">
                  <c:v>0.32566803227119129</c:v>
                </c:pt>
                <c:pt idx="16">
                  <c:v>0.21311479917148479</c:v>
                </c:pt>
                <c:pt idx="17">
                  <c:v>4.6518008284160361E-2</c:v>
                </c:pt>
                <c:pt idx="18">
                  <c:v>-0.66951658986007201</c:v>
                </c:pt>
                <c:pt idx="19">
                  <c:v>-0.32613458261100525</c:v>
                </c:pt>
                <c:pt idx="20">
                  <c:v>-0.97769559242154935</c:v>
                </c:pt>
                <c:pt idx="21">
                  <c:v>-1.5899479133505348</c:v>
                </c:pt>
                <c:pt idx="22">
                  <c:v>-0.732223926239713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5F-4708-B019-56C9889AC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B, C,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IPP'!$R$35:$AO$35</c:f>
              <c:numCache>
                <c:formatCode>0.0</c:formatCode>
                <c:ptCount val="24"/>
                <c:pt idx="0">
                  <c:v>4.8733940601999999</c:v>
                </c:pt>
                <c:pt idx="1">
                  <c:v>5.3081959839000072</c:v>
                </c:pt>
                <c:pt idx="2">
                  <c:v>5.5472987826000359</c:v>
                </c:pt>
                <c:pt idx="3">
                  <c:v>2.4027878041999866</c:v>
                </c:pt>
                <c:pt idx="4">
                  <c:v>4.0765835574999674</c:v>
                </c:pt>
                <c:pt idx="5">
                  <c:v>2.6745568033000122</c:v>
                </c:pt>
                <c:pt idx="6">
                  <c:v>1.6551514254000079</c:v>
                </c:pt>
                <c:pt idx="7">
                  <c:v>3.5118172236999929</c:v>
                </c:pt>
                <c:pt idx="8">
                  <c:v>5.2597731895999891</c:v>
                </c:pt>
                <c:pt idx="9">
                  <c:v>7.9444180928999941</c:v>
                </c:pt>
                <c:pt idx="10">
                  <c:v>6.5197134234000087</c:v>
                </c:pt>
                <c:pt idx="11">
                  <c:v>7.5755516541999981</c:v>
                </c:pt>
                <c:pt idx="12">
                  <c:v>4.2247105953999942</c:v>
                </c:pt>
                <c:pt idx="13">
                  <c:v>2.4051902963999918</c:v>
                </c:pt>
                <c:pt idx="14">
                  <c:v>3.7235866656000045</c:v>
                </c:pt>
                <c:pt idx="15">
                  <c:v>1.9819082223999918</c:v>
                </c:pt>
                <c:pt idx="16">
                  <c:v>0.75901673919995771</c:v>
                </c:pt>
                <c:pt idx="17">
                  <c:v>0.93342810999999581</c:v>
                </c:pt>
                <c:pt idx="18">
                  <c:v>-1.0316339322000248</c:v>
                </c:pt>
                <c:pt idx="19">
                  <c:v>-2.0852193132999997</c:v>
                </c:pt>
                <c:pt idx="20">
                  <c:v>-4.9893057158000085</c:v>
                </c:pt>
                <c:pt idx="21">
                  <c:v>-23.611016026399998</c:v>
                </c:pt>
                <c:pt idx="22">
                  <c:v>-3.6255501509999921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35F-4708-B019-56C9889AC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'GRAF příspěvky IPP'!$R$25:$AO$26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'GRAF příspěvky IPP'!$R$36:$AO$36</c:f>
              <c:numCache>
                <c:formatCode>0.0</c:formatCode>
                <c:ptCount val="24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-25.3</c:v>
                </c:pt>
                <c:pt idx="22">
                  <c:v>-6.3</c:v>
                </c:pt>
                <c:pt idx="23">
                  <c:v>-10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35F-4708-B019-56C9889AC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731104"/>
        <c:axId val="151372902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9"/>
          <c:min val="-27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Průmyslová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produkce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024453460319801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3"/>
      </c:valAx>
      <c:valAx>
        <c:axId val="1513729024"/>
        <c:scaling>
          <c:orientation val="minMax"/>
          <c:max val="3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indikátoru důvěry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7073916983354047"/>
              <c:y val="0.191915607754587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13731104"/>
        <c:crosses val="max"/>
        <c:crossBetween val="between"/>
        <c:majorUnit val="5"/>
      </c:valAx>
      <c:catAx>
        <c:axId val="151373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372902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0"/>
          <c:y val="0.8245301077934194"/>
          <c:w val="0.99058820242360202"/>
          <c:h val="0.1719759118944718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15582501720615E-2"/>
          <c:y val="1.643251153889452E-2"/>
          <c:w val="0.86254083709606399"/>
          <c:h val="0.76336766858043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2'!$R$31:$AO$31</c:f>
              <c:numCache>
                <c:formatCode>#\ ##0.0__</c:formatCode>
                <c:ptCount val="24"/>
                <c:pt idx="0">
                  <c:v>8.5397251010390391</c:v>
                </c:pt>
                <c:pt idx="1">
                  <c:v>6.4894834031568251</c:v>
                </c:pt>
                <c:pt idx="2">
                  <c:v>4.1045761314248068</c:v>
                </c:pt>
                <c:pt idx="3">
                  <c:v>6.0151063810169205</c:v>
                </c:pt>
                <c:pt idx="4">
                  <c:v>1.3550678522953064</c:v>
                </c:pt>
                <c:pt idx="5">
                  <c:v>10.856046878525433</c:v>
                </c:pt>
                <c:pt idx="6">
                  <c:v>1.6431282237439291</c:v>
                </c:pt>
                <c:pt idx="7">
                  <c:v>6.7220844736941103</c:v>
                </c:pt>
                <c:pt idx="8">
                  <c:v>10.841479121555906</c:v>
                </c:pt>
                <c:pt idx="9">
                  <c:v>4.5315942367003714</c:v>
                </c:pt>
                <c:pt idx="10">
                  <c:v>6.9082617878945598</c:v>
                </c:pt>
                <c:pt idx="11">
                  <c:v>7.5112613571588724</c:v>
                </c:pt>
                <c:pt idx="12">
                  <c:v>1.6339188767607453</c:v>
                </c:pt>
                <c:pt idx="13">
                  <c:v>4.6301209797549205</c:v>
                </c:pt>
                <c:pt idx="14">
                  <c:v>3.6945404784506337</c:v>
                </c:pt>
                <c:pt idx="15">
                  <c:v>4.2467023509658759</c:v>
                </c:pt>
                <c:pt idx="16">
                  <c:v>3.2159327201169816</c:v>
                </c:pt>
                <c:pt idx="17">
                  <c:v>0.65858715061426665</c:v>
                </c:pt>
                <c:pt idx="18">
                  <c:v>2.2747163836690305</c:v>
                </c:pt>
                <c:pt idx="19">
                  <c:v>-4.7832000111320241</c:v>
                </c:pt>
                <c:pt idx="20">
                  <c:v>-5.4552563188195791</c:v>
                </c:pt>
                <c:pt idx="21">
                  <c:v>-27.840083401835727</c:v>
                </c:pt>
                <c:pt idx="22">
                  <c:v>-2.5368281783831037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F-448F-9851-BB1FD911E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2'!$R$32:$AO$32</c:f>
              <c:numCache>
                <c:formatCode>#\ ##0.0__</c:formatCode>
                <c:ptCount val="24"/>
                <c:pt idx="0">
                  <c:v>4.341961301010727</c:v>
                </c:pt>
                <c:pt idx="1">
                  <c:v>10.024449168168019</c:v>
                </c:pt>
                <c:pt idx="2">
                  <c:v>-4.7604240586837108</c:v>
                </c:pt>
                <c:pt idx="3">
                  <c:v>0.56107209694786775</c:v>
                </c:pt>
                <c:pt idx="4">
                  <c:v>0.20304376106223287</c:v>
                </c:pt>
                <c:pt idx="5">
                  <c:v>4.9376200007964286</c:v>
                </c:pt>
                <c:pt idx="6">
                  <c:v>-0.65834656713856532</c:v>
                </c:pt>
                <c:pt idx="7">
                  <c:v>2.873089889380708</c:v>
                </c:pt>
                <c:pt idx="8">
                  <c:v>16.722989365311648</c:v>
                </c:pt>
                <c:pt idx="9">
                  <c:v>11.567742610098009</c:v>
                </c:pt>
                <c:pt idx="10">
                  <c:v>14.702871802754672</c:v>
                </c:pt>
                <c:pt idx="11">
                  <c:v>15.641374658030259</c:v>
                </c:pt>
                <c:pt idx="12">
                  <c:v>-0.54655499165191657</c:v>
                </c:pt>
                <c:pt idx="13">
                  <c:v>3.3862320433243838</c:v>
                </c:pt>
                <c:pt idx="14">
                  <c:v>4.5707977831681177</c:v>
                </c:pt>
                <c:pt idx="15">
                  <c:v>4.8009732818449038</c:v>
                </c:pt>
                <c:pt idx="16">
                  <c:v>8.0074778782798006</c:v>
                </c:pt>
                <c:pt idx="17">
                  <c:v>4.3685672275757952</c:v>
                </c:pt>
                <c:pt idx="18">
                  <c:v>3.2795252635021939</c:v>
                </c:pt>
                <c:pt idx="19">
                  <c:v>-2.4886565019466786</c:v>
                </c:pt>
                <c:pt idx="20">
                  <c:v>-4.1287288035399854</c:v>
                </c:pt>
                <c:pt idx="21">
                  <c:v>-25.915339029383787</c:v>
                </c:pt>
                <c:pt idx="22">
                  <c:v>-4.4236066957755185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2F-448F-9851-BB1FD911E367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2'!$R$33:$AO$33</c:f>
              <c:numCache>
                <c:formatCode>#\ ##0.0__</c:formatCode>
                <c:ptCount val="24"/>
                <c:pt idx="0">
                  <c:v>15.316352438277931</c:v>
                </c:pt>
                <c:pt idx="1">
                  <c:v>5.584343456517459</c:v>
                </c:pt>
                <c:pt idx="2">
                  <c:v>13.898535777390734</c:v>
                </c:pt>
                <c:pt idx="3">
                  <c:v>18.975191723154538</c:v>
                </c:pt>
                <c:pt idx="4">
                  <c:v>11.460497347422447</c:v>
                </c:pt>
                <c:pt idx="5">
                  <c:v>33.085131031292235</c:v>
                </c:pt>
                <c:pt idx="6">
                  <c:v>5.912380139380474</c:v>
                </c:pt>
                <c:pt idx="7">
                  <c:v>12.001000805244416</c:v>
                </c:pt>
                <c:pt idx="8">
                  <c:v>7.9804719471503205</c:v>
                </c:pt>
                <c:pt idx="9">
                  <c:v>-1.7592612473364966</c:v>
                </c:pt>
                <c:pt idx="10">
                  <c:v>3.8626497182263222</c:v>
                </c:pt>
                <c:pt idx="11">
                  <c:v>0.37376710568412364</c:v>
                </c:pt>
                <c:pt idx="12">
                  <c:v>0.60861960894675349</c:v>
                </c:pt>
                <c:pt idx="13">
                  <c:v>3.6675371997157811</c:v>
                </c:pt>
                <c:pt idx="14">
                  <c:v>0.69699979014031044</c:v>
                </c:pt>
                <c:pt idx="15">
                  <c:v>1.0371076901644045</c:v>
                </c:pt>
                <c:pt idx="16">
                  <c:v>2.3844519038519962</c:v>
                </c:pt>
                <c:pt idx="17">
                  <c:v>3.1505861553301884</c:v>
                </c:pt>
                <c:pt idx="18">
                  <c:v>7.8772894879504776</c:v>
                </c:pt>
                <c:pt idx="19">
                  <c:v>-0.27078960340936931</c:v>
                </c:pt>
                <c:pt idx="20">
                  <c:v>-6.8002473186692924</c:v>
                </c:pt>
                <c:pt idx="21">
                  <c:v>-43.589067662393489</c:v>
                </c:pt>
                <c:pt idx="22">
                  <c:v>3.3890444903468904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2F-448F-9851-BB1FD911E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2'!$R$34:$AO$34</c:f>
              <c:numCache>
                <c:formatCode>#\ ##0.0</c:formatCode>
                <c:ptCount val="24"/>
                <c:pt idx="0">
                  <c:v>86.2</c:v>
                </c:pt>
                <c:pt idx="1">
                  <c:v>85</c:v>
                </c:pt>
                <c:pt idx="2">
                  <c:v>85.6</c:v>
                </c:pt>
                <c:pt idx="3">
                  <c:v>83.9</c:v>
                </c:pt>
                <c:pt idx="4">
                  <c:v>84.5</c:v>
                </c:pt>
                <c:pt idx="5">
                  <c:v>84.7</c:v>
                </c:pt>
                <c:pt idx="6">
                  <c:v>84.7</c:v>
                </c:pt>
                <c:pt idx="7">
                  <c:v>84.1</c:v>
                </c:pt>
                <c:pt idx="8">
                  <c:v>84.9</c:v>
                </c:pt>
                <c:pt idx="9">
                  <c:v>83.1</c:v>
                </c:pt>
                <c:pt idx="10">
                  <c:v>84.4</c:v>
                </c:pt>
                <c:pt idx="11">
                  <c:v>84.3</c:v>
                </c:pt>
                <c:pt idx="12">
                  <c:v>85.8</c:v>
                </c:pt>
                <c:pt idx="13">
                  <c:v>85.4</c:v>
                </c:pt>
                <c:pt idx="14">
                  <c:v>86.2</c:v>
                </c:pt>
                <c:pt idx="15">
                  <c:v>85.8</c:v>
                </c:pt>
                <c:pt idx="16">
                  <c:v>85.8</c:v>
                </c:pt>
                <c:pt idx="17">
                  <c:v>85.9</c:v>
                </c:pt>
                <c:pt idx="18">
                  <c:v>84.8</c:v>
                </c:pt>
                <c:pt idx="19">
                  <c:v>84.1</c:v>
                </c:pt>
                <c:pt idx="20">
                  <c:v>84.2</c:v>
                </c:pt>
                <c:pt idx="21">
                  <c:v>71</c:v>
                </c:pt>
                <c:pt idx="22">
                  <c:v>75.5</c:v>
                </c:pt>
                <c:pt idx="23">
                  <c:v>81.099999999999994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2F-448F-9851-BB1FD911E367}"/>
            </c:ext>
          </c:extLst>
        </c:ser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2'!$R$35:$AO$35</c:f>
              <c:numCache>
                <c:formatCode>0.0</c:formatCode>
                <c:ptCount val="24"/>
                <c:pt idx="0">
                  <c:v>92.8</c:v>
                </c:pt>
                <c:pt idx="1">
                  <c:v>91.1</c:v>
                </c:pt>
                <c:pt idx="2">
                  <c:v>93.1</c:v>
                </c:pt>
                <c:pt idx="3">
                  <c:v>88.7</c:v>
                </c:pt>
                <c:pt idx="4">
                  <c:v>91.6</c:v>
                </c:pt>
                <c:pt idx="5">
                  <c:v>90.3</c:v>
                </c:pt>
                <c:pt idx="6">
                  <c:v>93.1</c:v>
                </c:pt>
                <c:pt idx="7">
                  <c:v>90.9</c:v>
                </c:pt>
                <c:pt idx="8">
                  <c:v>93.2</c:v>
                </c:pt>
                <c:pt idx="9">
                  <c:v>87.3</c:v>
                </c:pt>
                <c:pt idx="10">
                  <c:v>90.7</c:v>
                </c:pt>
                <c:pt idx="11">
                  <c:v>90.5</c:v>
                </c:pt>
                <c:pt idx="12">
                  <c:v>91.1</c:v>
                </c:pt>
                <c:pt idx="13">
                  <c:v>91.6</c:v>
                </c:pt>
                <c:pt idx="14">
                  <c:v>92.1</c:v>
                </c:pt>
                <c:pt idx="15">
                  <c:v>93</c:v>
                </c:pt>
                <c:pt idx="16">
                  <c:v>92.8</c:v>
                </c:pt>
                <c:pt idx="17">
                  <c:v>93.6</c:v>
                </c:pt>
                <c:pt idx="18">
                  <c:v>92.3</c:v>
                </c:pt>
                <c:pt idx="19">
                  <c:v>93.4</c:v>
                </c:pt>
                <c:pt idx="20">
                  <c:v>90.5</c:v>
                </c:pt>
                <c:pt idx="21">
                  <c:v>50.8</c:v>
                </c:pt>
                <c:pt idx="22" formatCode="General">
                  <c:v>75.3</c:v>
                </c:pt>
                <c:pt idx="23" formatCode="General">
                  <c:v>90.9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32F-448F-9851-BB1FD911E367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D2CD0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2'!$R$36:$AO$36</c:f>
              <c:numCache>
                <c:formatCode>#\ ##0.0</c:formatCode>
                <c:ptCount val="24"/>
                <c:pt idx="0">
                  <c:v>43.6</c:v>
                </c:pt>
                <c:pt idx="1">
                  <c:v>49.6</c:v>
                </c:pt>
                <c:pt idx="2">
                  <c:v>47.8</c:v>
                </c:pt>
                <c:pt idx="3">
                  <c:v>47.8</c:v>
                </c:pt>
                <c:pt idx="4">
                  <c:v>45.7</c:v>
                </c:pt>
                <c:pt idx="5">
                  <c:v>45.5</c:v>
                </c:pt>
                <c:pt idx="6">
                  <c:v>43</c:v>
                </c:pt>
                <c:pt idx="7">
                  <c:v>43.8</c:v>
                </c:pt>
                <c:pt idx="8">
                  <c:v>42.7</c:v>
                </c:pt>
                <c:pt idx="9">
                  <c:v>41.6</c:v>
                </c:pt>
                <c:pt idx="10">
                  <c:v>40.299999999999997</c:v>
                </c:pt>
                <c:pt idx="11">
                  <c:v>37.299999999999997</c:v>
                </c:pt>
                <c:pt idx="12">
                  <c:v>35.4</c:v>
                </c:pt>
                <c:pt idx="13">
                  <c:v>36</c:v>
                </c:pt>
                <c:pt idx="14">
                  <c:v>31.6</c:v>
                </c:pt>
                <c:pt idx="15">
                  <c:v>33.4</c:v>
                </c:pt>
                <c:pt idx="16">
                  <c:v>33.700000000000003</c:v>
                </c:pt>
                <c:pt idx="17">
                  <c:v>35.299999999999997</c:v>
                </c:pt>
                <c:pt idx="18">
                  <c:v>40.1</c:v>
                </c:pt>
                <c:pt idx="19">
                  <c:v>47.3</c:v>
                </c:pt>
                <c:pt idx="20">
                  <c:v>50.4</c:v>
                </c:pt>
                <c:pt idx="21">
                  <c:v>58.4</c:v>
                </c:pt>
                <c:pt idx="22">
                  <c:v>63.2</c:v>
                </c:pt>
                <c:pt idx="23">
                  <c:v>47.9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32F-448F-9851-BB1FD911E367}"/>
            </c:ext>
          </c:extLst>
        </c:ser>
        <c:ser>
          <c:idx val="6"/>
          <c:order val="6"/>
          <c:tx>
            <c:strRef>
              <c:f>'výkonnost odvětví 2'!$A$37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9050">
              <a:solidFill>
                <a:srgbClr val="D2CD0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2'!$R$29:$AO$30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2'!$R$37:$AO$37</c:f>
              <c:numCache>
                <c:formatCode>#\ ##0.0</c:formatCode>
                <c:ptCount val="24"/>
                <c:pt idx="0">
                  <c:v>6.7</c:v>
                </c:pt>
                <c:pt idx="1">
                  <c:v>6.9</c:v>
                </c:pt>
                <c:pt idx="2">
                  <c:v>8.1</c:v>
                </c:pt>
                <c:pt idx="3">
                  <c:v>13.9</c:v>
                </c:pt>
                <c:pt idx="4">
                  <c:v>15.4</c:v>
                </c:pt>
                <c:pt idx="5">
                  <c:v>16.899999999999999</c:v>
                </c:pt>
                <c:pt idx="6">
                  <c:v>18.8</c:v>
                </c:pt>
                <c:pt idx="7">
                  <c:v>28.8</c:v>
                </c:pt>
                <c:pt idx="8">
                  <c:v>32.799999999999997</c:v>
                </c:pt>
                <c:pt idx="9">
                  <c:v>34.700000000000003</c:v>
                </c:pt>
                <c:pt idx="10">
                  <c:v>41.3</c:v>
                </c:pt>
                <c:pt idx="11">
                  <c:v>38.299999999999997</c:v>
                </c:pt>
                <c:pt idx="12">
                  <c:v>43.4</c:v>
                </c:pt>
                <c:pt idx="13">
                  <c:v>43.7</c:v>
                </c:pt>
                <c:pt idx="14">
                  <c:v>43.7</c:v>
                </c:pt>
                <c:pt idx="15">
                  <c:v>44.8</c:v>
                </c:pt>
                <c:pt idx="16">
                  <c:v>38.799999999999997</c:v>
                </c:pt>
                <c:pt idx="17">
                  <c:v>36.4</c:v>
                </c:pt>
                <c:pt idx="18">
                  <c:v>39.5</c:v>
                </c:pt>
                <c:pt idx="19">
                  <c:v>37.200000000000003</c:v>
                </c:pt>
                <c:pt idx="20">
                  <c:v>28.2</c:v>
                </c:pt>
                <c:pt idx="21">
                  <c:v>16.600000000000001</c:v>
                </c:pt>
                <c:pt idx="22">
                  <c:v>15.1</c:v>
                </c:pt>
                <c:pt idx="23">
                  <c:v>13.7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32F-448F-9851-BB1FD911E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50"/>
          <c:min val="-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Zakázky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10"/>
      </c:valAx>
      <c:valAx>
        <c:axId val="139177344"/>
        <c:scaling>
          <c:orientation val="minMax"/>
          <c:max val="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kapacit, bariéry</a:t>
                </a:r>
                <a:r>
                  <a:rPr lang="cs-CZ" sz="700" b="0" i="1" baseline="0"/>
                  <a:t> růstu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.97051506350706762"/>
              <c:y val="0.1632171000788022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1990961748686711E-3"/>
          <c:y val="0.86823820781267591"/>
          <c:w val="0.98379594369130352"/>
          <c:h val="0.12461330631543398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24534441567209E-2"/>
          <c:y val="1.6563187842952781E-2"/>
          <c:w val="0.84237834302862169"/>
          <c:h val="0.76133625371490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3'!$Y$31:$Y$54</c:f>
              <c:numCache>
                <c:formatCode>0.0</c:formatCode>
                <c:ptCount val="24"/>
                <c:pt idx="0">
                  <c:v>6.0353577921717445</c:v>
                </c:pt>
                <c:pt idx="1">
                  <c:v>5.0344336360092665</c:v>
                </c:pt>
                <c:pt idx="2">
                  <c:v>0.83991405631930482</c:v>
                </c:pt>
                <c:pt idx="3">
                  <c:v>-1.7679268242611799</c:v>
                </c:pt>
                <c:pt idx="4">
                  <c:v>-4.961386469684145</c:v>
                </c:pt>
                <c:pt idx="5">
                  <c:v>-5.0053651904143113</c:v>
                </c:pt>
                <c:pt idx="6">
                  <c:v>0.79008219209763464</c:v>
                </c:pt>
                <c:pt idx="7">
                  <c:v>3.9330775151819215</c:v>
                </c:pt>
                <c:pt idx="8">
                  <c:v>2.2587535649834822</c:v>
                </c:pt>
                <c:pt idx="9">
                  <c:v>9.9714493572031255</c:v>
                </c:pt>
                <c:pt idx="10">
                  <c:v>3.4298058301565888</c:v>
                </c:pt>
                <c:pt idx="11">
                  <c:v>2.6432589514824341</c:v>
                </c:pt>
                <c:pt idx="12">
                  <c:v>13.647835234619775</c:v>
                </c:pt>
                <c:pt idx="13">
                  <c:v>6.2810239468473954</c:v>
                </c:pt>
                <c:pt idx="14">
                  <c:v>7.6980094046369123</c:v>
                </c:pt>
                <c:pt idx="15">
                  <c:v>2.4633978461714738</c:v>
                </c:pt>
                <c:pt idx="16">
                  <c:v>2.9029043089585449</c:v>
                </c:pt>
                <c:pt idx="17">
                  <c:v>2.4455524106356248</c:v>
                </c:pt>
                <c:pt idx="18">
                  <c:v>-0.74527535294463099</c:v>
                </c:pt>
                <c:pt idx="19">
                  <c:v>2.4468386873770127</c:v>
                </c:pt>
                <c:pt idx="20">
                  <c:v>-0.70739206031474666</c:v>
                </c:pt>
                <c:pt idx="21">
                  <c:v>-9.2460761671764207</c:v>
                </c:pt>
                <c:pt idx="22">
                  <c:v>-7.0797797326893033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C-45D5-A111-8886BE58E7F9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3'!$Z$31:$Z$54</c:f>
              <c:numCache>
                <c:formatCode>0.0</c:formatCode>
                <c:ptCount val="24"/>
                <c:pt idx="0">
                  <c:v>3.2351294000699085</c:v>
                </c:pt>
                <c:pt idx="1">
                  <c:v>7.2125745130865599</c:v>
                </c:pt>
                <c:pt idx="2">
                  <c:v>7.4071447926227538</c:v>
                </c:pt>
                <c:pt idx="3">
                  <c:v>2.850850423983232</c:v>
                </c:pt>
                <c:pt idx="4">
                  <c:v>-1.2706926320683201</c:v>
                </c:pt>
                <c:pt idx="5">
                  <c:v>-5.42942411354933</c:v>
                </c:pt>
                <c:pt idx="6">
                  <c:v>-7.0580585191959884</c:v>
                </c:pt>
                <c:pt idx="7">
                  <c:v>-5.9123339322346631</c:v>
                </c:pt>
                <c:pt idx="8">
                  <c:v>-3.4039052840280202</c:v>
                </c:pt>
                <c:pt idx="9">
                  <c:v>-1.1834944971684989</c:v>
                </c:pt>
                <c:pt idx="10">
                  <c:v>-1.5252170086094223</c:v>
                </c:pt>
                <c:pt idx="11">
                  <c:v>0.24653782492947451</c:v>
                </c:pt>
                <c:pt idx="12">
                  <c:v>1.7596520825550204</c:v>
                </c:pt>
                <c:pt idx="13">
                  <c:v>1.2026244713491214</c:v>
                </c:pt>
                <c:pt idx="14">
                  <c:v>4.7165713141994141</c:v>
                </c:pt>
                <c:pt idx="15">
                  <c:v>1.8924803138896273</c:v>
                </c:pt>
                <c:pt idx="16">
                  <c:v>0.73628332261378748</c:v>
                </c:pt>
                <c:pt idx="17">
                  <c:v>1.8757678334174788</c:v>
                </c:pt>
                <c:pt idx="18">
                  <c:v>0.74313850681855098</c:v>
                </c:pt>
                <c:pt idx="19">
                  <c:v>0.85052102183779066</c:v>
                </c:pt>
                <c:pt idx="20">
                  <c:v>2.776271513774506</c:v>
                </c:pt>
                <c:pt idx="21">
                  <c:v>0.44641975157599134</c:v>
                </c:pt>
                <c:pt idx="22">
                  <c:v>-2.2344005172782966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C-45D5-A111-8886BE58E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3'!$X$31:$X$54</c:f>
              <c:numCache>
                <c:formatCode>0.0</c:formatCode>
                <c:ptCount val="24"/>
                <c:pt idx="0">
                  <c:v>9.1876021118166449</c:v>
                </c:pt>
                <c:pt idx="1">
                  <c:v>11.97691942753147</c:v>
                </c:pt>
                <c:pt idx="2">
                  <c:v>7.889177604600988</c:v>
                </c:pt>
                <c:pt idx="3">
                  <c:v>0.9195521189888467</c:v>
                </c:pt>
                <c:pt idx="4">
                  <c:v>-6.2426723579692265</c:v>
                </c:pt>
                <c:pt idx="5">
                  <c:v>-10.289790791761504</c:v>
                </c:pt>
                <c:pt idx="6">
                  <c:v>-5.8970357530591286</c:v>
                </c:pt>
                <c:pt idx="7">
                  <c:v>-1.6504944399537607</c:v>
                </c:pt>
                <c:pt idx="8">
                  <c:v>-0.91846812136236622</c:v>
                </c:pt>
                <c:pt idx="9">
                  <c:v>9.0714963727292997</c:v>
                </c:pt>
                <c:pt idx="10">
                  <c:v>2.0771697340975948</c:v>
                </c:pt>
                <c:pt idx="11">
                  <c:v>2.9334352107099164</c:v>
                </c:pt>
                <c:pt idx="12">
                  <c:v>15.405770399310882</c:v>
                </c:pt>
                <c:pt idx="13">
                  <c:v>7.4840552808242791</c:v>
                </c:pt>
                <c:pt idx="14">
                  <c:v>12.409910024392062</c:v>
                </c:pt>
                <c:pt idx="15">
                  <c:v>4.281326368449669</c:v>
                </c:pt>
                <c:pt idx="16">
                  <c:v>3.6388234822049839</c:v>
                </c:pt>
                <c:pt idx="17">
                  <c:v>4.3227262409269827</c:v>
                </c:pt>
                <c:pt idx="18">
                  <c:v>-1.2048027836186748E-3</c:v>
                </c:pt>
                <c:pt idx="19">
                  <c:v>3.29737895298301</c:v>
                </c:pt>
                <c:pt idx="20">
                  <c:v>2.0686516223357785</c:v>
                </c:pt>
                <c:pt idx="21">
                  <c:v>-8.7991105648086858</c:v>
                </c:pt>
                <c:pt idx="22">
                  <c:v>-9.3149574142645264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8C-45D5-A111-8886BE58E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(pravá 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3'!$AA$31:$AA$54</c:f>
              <c:numCache>
                <c:formatCode>0.0</c:formatCode>
                <c:ptCount val="24"/>
                <c:pt idx="0">
                  <c:v>-3.1547956675580053</c:v>
                </c:pt>
                <c:pt idx="1">
                  <c:v>9.7504961091663205</c:v>
                </c:pt>
                <c:pt idx="2">
                  <c:v>-1.097606022761255</c:v>
                </c:pt>
                <c:pt idx="3">
                  <c:v>-2.3987783410040464</c:v>
                </c:pt>
                <c:pt idx="4">
                  <c:v>-6.6406358945753823</c:v>
                </c:pt>
                <c:pt idx="5">
                  <c:v>-0.49977652269311079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16.177217458847437</c:v>
                </c:pt>
                <c:pt idx="9">
                  <c:v>9.5350878984013008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30.10697387368856</c:v>
                </c:pt>
                <c:pt idx="13">
                  <c:v>32.836878110611963</c:v>
                </c:pt>
                <c:pt idx="14">
                  <c:v>5.2768249907951201</c:v>
                </c:pt>
                <c:pt idx="15">
                  <c:v>1.8944565811032277</c:v>
                </c:pt>
                <c:pt idx="16">
                  <c:v>14.157245632065781</c:v>
                </c:pt>
                <c:pt idx="17">
                  <c:v>-9.3849543241233135</c:v>
                </c:pt>
                <c:pt idx="18">
                  <c:v>17.407871000993993</c:v>
                </c:pt>
                <c:pt idx="19">
                  <c:v>5.8323004254463768</c:v>
                </c:pt>
                <c:pt idx="20">
                  <c:v>-13.192451392856526</c:v>
                </c:pt>
                <c:pt idx="21">
                  <c:v>6.9046194347657632</c:v>
                </c:pt>
                <c:pt idx="22">
                  <c:v>2.1031732593324222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8C-45D5-A111-8886BE58E7F9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3'!$AB$31:$AB$54</c:f>
              <c:numCache>
                <c:formatCode>#\ ##0.0</c:formatCode>
                <c:ptCount val="24"/>
                <c:pt idx="0">
                  <c:v>65.8</c:v>
                </c:pt>
                <c:pt idx="1">
                  <c:v>60.4</c:v>
                </c:pt>
                <c:pt idx="2">
                  <c:v>58.9</c:v>
                </c:pt>
                <c:pt idx="3">
                  <c:v>57.6</c:v>
                </c:pt>
                <c:pt idx="4">
                  <c:v>54.5</c:v>
                </c:pt>
                <c:pt idx="5">
                  <c:v>61.1</c:v>
                </c:pt>
                <c:pt idx="6">
                  <c:v>60.4</c:v>
                </c:pt>
                <c:pt idx="7">
                  <c:v>57</c:v>
                </c:pt>
                <c:pt idx="8">
                  <c:v>53.9</c:v>
                </c:pt>
                <c:pt idx="9">
                  <c:v>54.3</c:v>
                </c:pt>
                <c:pt idx="10">
                  <c:v>50</c:v>
                </c:pt>
                <c:pt idx="11">
                  <c:v>48.3</c:v>
                </c:pt>
                <c:pt idx="12">
                  <c:v>40.299999999999997</c:v>
                </c:pt>
                <c:pt idx="13">
                  <c:v>38.200000000000003</c:v>
                </c:pt>
                <c:pt idx="14">
                  <c:v>33.4</c:v>
                </c:pt>
                <c:pt idx="15">
                  <c:v>24.1</c:v>
                </c:pt>
                <c:pt idx="16">
                  <c:v>25.4</c:v>
                </c:pt>
                <c:pt idx="17">
                  <c:v>23.3</c:v>
                </c:pt>
                <c:pt idx="18">
                  <c:v>17.899999999999999</c:v>
                </c:pt>
                <c:pt idx="19">
                  <c:v>20.9</c:v>
                </c:pt>
                <c:pt idx="20">
                  <c:v>30.3</c:v>
                </c:pt>
                <c:pt idx="21">
                  <c:v>29.3</c:v>
                </c:pt>
                <c:pt idx="22">
                  <c:v>38.799999999999997</c:v>
                </c:pt>
                <c:pt idx="23" formatCode="General">
                  <c:v>41.2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28C-45D5-A111-8886BE58E7F9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3'!$AC$31:$AC$54</c:f>
              <c:numCache>
                <c:formatCode>#\ ##0.0</c:formatCode>
                <c:ptCount val="24"/>
                <c:pt idx="0">
                  <c:v>6.8</c:v>
                </c:pt>
                <c:pt idx="1">
                  <c:v>7.9</c:v>
                </c:pt>
                <c:pt idx="2">
                  <c:v>7.2</c:v>
                </c:pt>
                <c:pt idx="3">
                  <c:v>7</c:v>
                </c:pt>
                <c:pt idx="4">
                  <c:v>5.8</c:v>
                </c:pt>
                <c:pt idx="5">
                  <c:v>6.7</c:v>
                </c:pt>
                <c:pt idx="6">
                  <c:v>7.8</c:v>
                </c:pt>
                <c:pt idx="7">
                  <c:v>10.7</c:v>
                </c:pt>
                <c:pt idx="8">
                  <c:v>11.5</c:v>
                </c:pt>
                <c:pt idx="9">
                  <c:v>14</c:v>
                </c:pt>
                <c:pt idx="10">
                  <c:v>22.7</c:v>
                </c:pt>
                <c:pt idx="11">
                  <c:v>23.1</c:v>
                </c:pt>
                <c:pt idx="12">
                  <c:v>23.5</c:v>
                </c:pt>
                <c:pt idx="13">
                  <c:v>29.3</c:v>
                </c:pt>
                <c:pt idx="14">
                  <c:v>30.4</c:v>
                </c:pt>
                <c:pt idx="15">
                  <c:v>40.799999999999997</c:v>
                </c:pt>
                <c:pt idx="16">
                  <c:v>34.299999999999997</c:v>
                </c:pt>
                <c:pt idx="17">
                  <c:v>43</c:v>
                </c:pt>
                <c:pt idx="18">
                  <c:v>55</c:v>
                </c:pt>
                <c:pt idx="19">
                  <c:v>49.7</c:v>
                </c:pt>
                <c:pt idx="20">
                  <c:v>50</c:v>
                </c:pt>
                <c:pt idx="21">
                  <c:v>46.3</c:v>
                </c:pt>
                <c:pt idx="22">
                  <c:v>38.200000000000003</c:v>
                </c:pt>
                <c:pt idx="23" formatCode="0.0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28C-45D5-A111-8886BE58E7F9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 w="63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3'!$V$31:$W$54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'výkonnost odvětví 3'!$AD$31:$AD$54</c:f>
              <c:numCache>
                <c:formatCode>0.0</c:formatCode>
                <c:ptCount val="24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28C-45D5-A111-8886BE58E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30"/>
          <c:min val="-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Příspěvek</a:t>
                </a:r>
                <a:r>
                  <a:rPr lang="cs-CZ" baseline="0"/>
                  <a:t> k</a:t>
                </a:r>
                <a:r>
                  <a:rPr lang="cs-CZ" sz="700" b="0" i="1" u="none" strike="noStrike" kern="1200" baseline="0">
                    <a:solidFill>
                      <a:srgbClr val="000000"/>
                    </a:solidFill>
                    <a:latin typeface="Arial CE"/>
                    <a:cs typeface="Arial CE"/>
                  </a:rPr>
                  <a:t> </a:t>
                </a:r>
                <a:r>
                  <a:rPr lang="cs-CZ" baseline="0"/>
                  <a:t>růstu s</a:t>
                </a:r>
                <a:r>
                  <a:rPr lang="cs-CZ"/>
                  <a:t>tavební produkce</a:t>
                </a:r>
              </a:p>
            </c:rich>
          </c:tx>
          <c:layout>
            <c:manualLayout>
              <c:xMode val="edge"/>
              <c:yMode val="edge"/>
              <c:x val="2.6741790744013471E-3"/>
              <c:y val="0.1822216788290748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b="0" i="1" u="none" strike="noStrike" baseline="0">
                    <a:effectLst/>
                  </a:rPr>
                  <a:t>Zakázky, S</a:t>
                </a:r>
                <a:r>
                  <a:rPr lang="cs-CZ"/>
                  <a:t>aldo indikátoru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5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0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0289395857067181E-3"/>
          <c:y val="0.86714554937397748"/>
          <c:w val="0.98289481343746343"/>
          <c:h val="0.1233574576253902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21841398004213E-2"/>
          <c:y val="1.5803328678987455E-2"/>
          <c:w val="0.86647319020345381"/>
          <c:h val="0.72096235494860583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růstu'!$D$38:$D$61</c:f>
              <c:numCache>
                <c:formatCode>0.0</c:formatCode>
                <c:ptCount val="24"/>
                <c:pt idx="0">
                  <c:v>0.17664665608652994</c:v>
                </c:pt>
                <c:pt idx="1">
                  <c:v>-4.1191806268856823E-2</c:v>
                </c:pt>
                <c:pt idx="2">
                  <c:v>0.20050592493597819</c:v>
                </c:pt>
                <c:pt idx="3">
                  <c:v>4.2621733225056455E-2</c:v>
                </c:pt>
                <c:pt idx="4">
                  <c:v>0.2847890086816679</c:v>
                </c:pt>
                <c:pt idx="5">
                  <c:v>0.2013437768354992</c:v>
                </c:pt>
                <c:pt idx="6">
                  <c:v>0.13973435240156135</c:v>
                </c:pt>
                <c:pt idx="7">
                  <c:v>0.86054675864751384</c:v>
                </c:pt>
                <c:pt idx="8">
                  <c:v>1.6292630224051583</c:v>
                </c:pt>
                <c:pt idx="9">
                  <c:v>1.0923510311792821</c:v>
                </c:pt>
                <c:pt idx="10">
                  <c:v>1.1372534149644835</c:v>
                </c:pt>
                <c:pt idx="11">
                  <c:v>0.60479588760532188</c:v>
                </c:pt>
                <c:pt idx="12">
                  <c:v>1.7511692205268421</c:v>
                </c:pt>
                <c:pt idx="13">
                  <c:v>1.919432195003689</c:v>
                </c:pt>
                <c:pt idx="14">
                  <c:v>1.468778873734859</c:v>
                </c:pt>
                <c:pt idx="15">
                  <c:v>0.4982794536687275</c:v>
                </c:pt>
                <c:pt idx="16">
                  <c:v>0.78783162617261848</c:v>
                </c:pt>
                <c:pt idx="17">
                  <c:v>-7.9591460920066054E-2</c:v>
                </c:pt>
                <c:pt idx="18">
                  <c:v>-0.6745980802607312</c:v>
                </c:pt>
                <c:pt idx="19">
                  <c:v>-0.53852513438112048</c:v>
                </c:pt>
                <c:pt idx="20">
                  <c:v>-1.8193079383000845</c:v>
                </c:pt>
                <c:pt idx="21">
                  <c:v>-6.9009284183907846</c:v>
                </c:pt>
                <c:pt idx="22">
                  <c:v>-4.3994289771399169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1-4BE6-90C6-A42E0EFFEC16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růstu'!$E$38:$E$61</c:f>
              <c:numCache>
                <c:formatCode>0.0</c:formatCode>
                <c:ptCount val="24"/>
                <c:pt idx="0">
                  <c:v>0.23129656285271435</c:v>
                </c:pt>
                <c:pt idx="1">
                  <c:v>0.65512527744013138</c:v>
                </c:pt>
                <c:pt idx="2">
                  <c:v>0.65435384244755412</c:v>
                </c:pt>
                <c:pt idx="3">
                  <c:v>0.4022878434054255</c:v>
                </c:pt>
                <c:pt idx="4">
                  <c:v>0.42778529924397274</c:v>
                </c:pt>
                <c:pt idx="5">
                  <c:v>0.19282991881639683</c:v>
                </c:pt>
                <c:pt idx="6">
                  <c:v>0.56722386353934195</c:v>
                </c:pt>
                <c:pt idx="7">
                  <c:v>0.59850713498642405</c:v>
                </c:pt>
                <c:pt idx="8">
                  <c:v>0.95344619394002372</c:v>
                </c:pt>
                <c:pt idx="9">
                  <c:v>1.2083424521444015</c:v>
                </c:pt>
                <c:pt idx="10">
                  <c:v>0.55138916431274998</c:v>
                </c:pt>
                <c:pt idx="11">
                  <c:v>0.45464922880720454</c:v>
                </c:pt>
                <c:pt idx="12">
                  <c:v>0.18144865877241922</c:v>
                </c:pt>
                <c:pt idx="13">
                  <c:v>6.8047966010392827E-2</c:v>
                </c:pt>
                <c:pt idx="14">
                  <c:v>5.8849522681225439E-2</c:v>
                </c:pt>
                <c:pt idx="15">
                  <c:v>-3.63484737997853E-2</c:v>
                </c:pt>
                <c:pt idx="16">
                  <c:v>0.21874428606442176</c:v>
                </c:pt>
                <c:pt idx="17">
                  <c:v>0.16811767963389121</c:v>
                </c:pt>
                <c:pt idx="18">
                  <c:v>-1.5516486556566463E-2</c:v>
                </c:pt>
                <c:pt idx="19">
                  <c:v>-1.9964119515928132E-2</c:v>
                </c:pt>
                <c:pt idx="20">
                  <c:v>-1.0886720275564792</c:v>
                </c:pt>
                <c:pt idx="21">
                  <c:v>-4.9536646060457636</c:v>
                </c:pt>
                <c:pt idx="22">
                  <c:v>-1.9321474173347557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B1-4BE6-90C6-A42E0EFFEC16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růstu'!$F$38:$F$61</c:f>
              <c:numCache>
                <c:formatCode>0.0</c:formatCode>
                <c:ptCount val="24"/>
                <c:pt idx="0">
                  <c:v>1.406135426754914</c:v>
                </c:pt>
                <c:pt idx="1">
                  <c:v>0.82436921704224986</c:v>
                </c:pt>
                <c:pt idx="2">
                  <c:v>0.81882390944147387</c:v>
                </c:pt>
                <c:pt idx="3">
                  <c:v>1.3066587801814382</c:v>
                </c:pt>
                <c:pt idx="4">
                  <c:v>0.37006165311793565</c:v>
                </c:pt>
                <c:pt idx="5">
                  <c:v>0.13188818524752718</c:v>
                </c:pt>
                <c:pt idx="6">
                  <c:v>0.33340534388535614</c:v>
                </c:pt>
                <c:pt idx="7">
                  <c:v>0.17729116925865968</c:v>
                </c:pt>
                <c:pt idx="8">
                  <c:v>0.73514247229341834</c:v>
                </c:pt>
                <c:pt idx="9">
                  <c:v>1.0091673493229187</c:v>
                </c:pt>
                <c:pt idx="10">
                  <c:v>0.7782751393660321</c:v>
                </c:pt>
                <c:pt idx="11">
                  <c:v>0.59050679451815402</c:v>
                </c:pt>
                <c:pt idx="12">
                  <c:v>1.4571786542074963</c:v>
                </c:pt>
                <c:pt idx="13">
                  <c:v>0.76023226586947656</c:v>
                </c:pt>
                <c:pt idx="14">
                  <c:v>1.4180945031018091</c:v>
                </c:pt>
                <c:pt idx="15">
                  <c:v>0.98127037080708135</c:v>
                </c:pt>
                <c:pt idx="16">
                  <c:v>1.2376549564823249</c:v>
                </c:pt>
                <c:pt idx="17">
                  <c:v>1.1687835637095845</c:v>
                </c:pt>
                <c:pt idx="18">
                  <c:v>0.89259025644613299</c:v>
                </c:pt>
                <c:pt idx="19">
                  <c:v>1.1682422746326189</c:v>
                </c:pt>
                <c:pt idx="20">
                  <c:v>0.70027864018557973</c:v>
                </c:pt>
                <c:pt idx="21">
                  <c:v>-1.3151831511925907E-2</c:v>
                </c:pt>
                <c:pt idx="22">
                  <c:v>-0.21964297298174101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B1-4BE6-90C6-A42E0EFFEC16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růstu'!$G$38:$G$61</c:f>
              <c:numCache>
                <c:formatCode>0.0</c:formatCode>
                <c:ptCount val="24"/>
                <c:pt idx="0">
                  <c:v>4.5114687229023245E-2</c:v>
                </c:pt>
                <c:pt idx="1">
                  <c:v>-4.6332032044239775E-3</c:v>
                </c:pt>
                <c:pt idx="2">
                  <c:v>8.501573906631088E-2</c:v>
                </c:pt>
                <c:pt idx="3">
                  <c:v>4.2208307670905748E-2</c:v>
                </c:pt>
                <c:pt idx="4">
                  <c:v>0.22367935728325808</c:v>
                </c:pt>
                <c:pt idx="5">
                  <c:v>6.8179121728202077E-2</c:v>
                </c:pt>
                <c:pt idx="6">
                  <c:v>0.11569139996329859</c:v>
                </c:pt>
                <c:pt idx="7">
                  <c:v>-7.0466111464403208E-2</c:v>
                </c:pt>
                <c:pt idx="8">
                  <c:v>0.28170347429286569</c:v>
                </c:pt>
                <c:pt idx="9">
                  <c:v>0.36183937476132333</c:v>
                </c:pt>
                <c:pt idx="10">
                  <c:v>-3.8722622297636566E-2</c:v>
                </c:pt>
                <c:pt idx="11">
                  <c:v>0.13751786345915923</c:v>
                </c:pt>
                <c:pt idx="12">
                  <c:v>-1.6524920273683675E-2</c:v>
                </c:pt>
                <c:pt idx="13">
                  <c:v>-0.22648211104296087</c:v>
                </c:pt>
                <c:pt idx="14">
                  <c:v>-0.12424593628184907</c:v>
                </c:pt>
                <c:pt idx="15">
                  <c:v>-0.20693626254554429</c:v>
                </c:pt>
                <c:pt idx="16">
                  <c:v>0.14696794950550035</c:v>
                </c:pt>
                <c:pt idx="17">
                  <c:v>-2.7570979798889395E-2</c:v>
                </c:pt>
                <c:pt idx="18">
                  <c:v>-0.16565733749784456</c:v>
                </c:pt>
                <c:pt idx="19">
                  <c:v>-0.11837811878645006</c:v>
                </c:pt>
                <c:pt idx="20">
                  <c:v>0.19249038617600897</c:v>
                </c:pt>
                <c:pt idx="21">
                  <c:v>-0.41025731878421701</c:v>
                </c:pt>
                <c:pt idx="22">
                  <c:v>-0.22383004434364484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B1-4BE6-90C6-A42E0EFFEC16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růstu'!$H$38:$H$61</c:f>
              <c:numCache>
                <c:formatCode>0.0</c:formatCode>
                <c:ptCount val="24"/>
                <c:pt idx="0">
                  <c:v>1.0479591562413866</c:v>
                </c:pt>
                <c:pt idx="1">
                  <c:v>0.71969962293987355</c:v>
                </c:pt>
                <c:pt idx="2">
                  <c:v>1.1295672614701802</c:v>
                </c:pt>
                <c:pt idx="3">
                  <c:v>-6.0066108957639967E-2</c:v>
                </c:pt>
                <c:pt idx="4">
                  <c:v>-0.35082040507946849</c:v>
                </c:pt>
                <c:pt idx="5">
                  <c:v>-1.3959582370116637</c:v>
                </c:pt>
                <c:pt idx="6">
                  <c:v>2.5986068888917958E-2</c:v>
                </c:pt>
                <c:pt idx="7">
                  <c:v>-0.33300568911978784</c:v>
                </c:pt>
                <c:pt idx="8">
                  <c:v>0.85547754285117605</c:v>
                </c:pt>
                <c:pt idx="9">
                  <c:v>0.67059702934732313</c:v>
                </c:pt>
                <c:pt idx="10">
                  <c:v>0.30942289865299605</c:v>
                </c:pt>
                <c:pt idx="11">
                  <c:v>0.4286605627369825</c:v>
                </c:pt>
                <c:pt idx="12">
                  <c:v>1.1045103780905805</c:v>
                </c:pt>
                <c:pt idx="13">
                  <c:v>0.53164385977728257</c:v>
                </c:pt>
                <c:pt idx="14">
                  <c:v>0.35977038412315243</c:v>
                </c:pt>
                <c:pt idx="15">
                  <c:v>-0.26571599613923336</c:v>
                </c:pt>
                <c:pt idx="16">
                  <c:v>0.75328605452031216</c:v>
                </c:pt>
                <c:pt idx="17">
                  <c:v>0.60971571991103668</c:v>
                </c:pt>
                <c:pt idx="18">
                  <c:v>-0.8212667004168428</c:v>
                </c:pt>
                <c:pt idx="19">
                  <c:v>-0.54861616969830773</c:v>
                </c:pt>
                <c:pt idx="20">
                  <c:v>-0.337912732040002</c:v>
                </c:pt>
                <c:pt idx="21">
                  <c:v>-3.2743650104791762</c:v>
                </c:pt>
                <c:pt idx="22">
                  <c:v>-1.0932854443799191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B1-4BE6-90C6-A42E0EFFEC16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růstu'!$I$38:$I$61</c:f>
              <c:numCache>
                <c:formatCode>0.0</c:formatCode>
                <c:ptCount val="24"/>
                <c:pt idx="0">
                  <c:v>0.51440215318243465</c:v>
                </c:pt>
                <c:pt idx="1">
                  <c:v>0.62115960470863207</c:v>
                </c:pt>
                <c:pt idx="2">
                  <c:v>0.43401453891286046</c:v>
                </c:pt>
                <c:pt idx="3">
                  <c:v>0.50281220016564265</c:v>
                </c:pt>
                <c:pt idx="4">
                  <c:v>0.52419839920051392</c:v>
                </c:pt>
                <c:pt idx="5">
                  <c:v>0.16599789347818159</c:v>
                </c:pt>
                <c:pt idx="6">
                  <c:v>0.26955520094101676</c:v>
                </c:pt>
                <c:pt idx="7">
                  <c:v>0.51433346571065852</c:v>
                </c:pt>
                <c:pt idx="8">
                  <c:v>1.2357717194790949</c:v>
                </c:pt>
                <c:pt idx="9">
                  <c:v>1.0863857236804175</c:v>
                </c:pt>
                <c:pt idx="10">
                  <c:v>0.64106908989186184</c:v>
                </c:pt>
                <c:pt idx="11">
                  <c:v>0.30440747123981599</c:v>
                </c:pt>
                <c:pt idx="12">
                  <c:v>0.53272062163062639</c:v>
                </c:pt>
                <c:pt idx="13">
                  <c:v>0.37833296302356378</c:v>
                </c:pt>
                <c:pt idx="14">
                  <c:v>0.43545533031232775</c:v>
                </c:pt>
                <c:pt idx="15">
                  <c:v>-1.2584742734802987E-2</c:v>
                </c:pt>
                <c:pt idx="16">
                  <c:v>0.48672782972125456</c:v>
                </c:pt>
                <c:pt idx="17">
                  <c:v>0.12905110832865488</c:v>
                </c:pt>
                <c:pt idx="18">
                  <c:v>-0.12206684052688305</c:v>
                </c:pt>
                <c:pt idx="19">
                  <c:v>-0.21581588760233156</c:v>
                </c:pt>
                <c:pt idx="20">
                  <c:v>-1.1792165485628452</c:v>
                </c:pt>
                <c:pt idx="21">
                  <c:v>-4.4490829389674564</c:v>
                </c:pt>
                <c:pt idx="22">
                  <c:v>-4.5164968690022587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B1-4BE6-90C6-A42E0EFFE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růstu'!$C$38:$C$61</c:f>
              <c:numCache>
                <c:formatCode>0.0</c:formatCode>
                <c:ptCount val="24"/>
                <c:pt idx="0">
                  <c:v>3.4215546423470031</c:v>
                </c:pt>
                <c:pt idx="1">
                  <c:v>2.7745287126576059</c:v>
                </c:pt>
                <c:pt idx="2">
                  <c:v>3.3222812162743578</c:v>
                </c:pt>
                <c:pt idx="3">
                  <c:v>2.2365227556908285</c:v>
                </c:pt>
                <c:pt idx="4">
                  <c:v>1.4796933124478797</c:v>
                </c:pt>
                <c:pt idx="5">
                  <c:v>-0.6357193409058568</c:v>
                </c:pt>
                <c:pt idx="6">
                  <c:v>1.4515962296194929</c:v>
                </c:pt>
                <c:pt idx="7">
                  <c:v>1.7472067280190648</c:v>
                </c:pt>
                <c:pt idx="8">
                  <c:v>5.6908044252617369</c:v>
                </c:pt>
                <c:pt idx="9">
                  <c:v>5.4286829604356663</c:v>
                </c:pt>
                <c:pt idx="10">
                  <c:v>3.3786870848904869</c:v>
                </c:pt>
                <c:pt idx="11">
                  <c:v>2.5205378083666381</c:v>
                </c:pt>
                <c:pt idx="12">
                  <c:v>5.0105026129542809</c:v>
                </c:pt>
                <c:pt idx="13">
                  <c:v>3.4312071386414438</c:v>
                </c:pt>
                <c:pt idx="14">
                  <c:v>3.6167026776715248</c:v>
                </c:pt>
                <c:pt idx="15">
                  <c:v>0.95796434925644292</c:v>
                </c:pt>
                <c:pt idx="16">
                  <c:v>3.6312127024664322</c:v>
                </c:pt>
                <c:pt idx="17">
                  <c:v>1.9685056308642119</c:v>
                </c:pt>
                <c:pt idx="18">
                  <c:v>-0.90651518881273496</c:v>
                </c:pt>
                <c:pt idx="19">
                  <c:v>-0.27305715535151909</c:v>
                </c:pt>
                <c:pt idx="20">
                  <c:v>-3.5323402200978227</c:v>
                </c:pt>
                <c:pt idx="21">
                  <c:v>-20.001450124179325</c:v>
                </c:pt>
                <c:pt idx="22">
                  <c:v>-12.384831725182236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2B1-4BE6-90C6-A42E0EFFE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indik.důvěry ve službách (pr. osa)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růstu'!$J$38:$J$61</c:f>
              <c:numCache>
                <c:formatCode>0.0</c:formatCode>
                <c:ptCount val="24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32.299999999999997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35.299999999999997</c:v>
                </c:pt>
                <c:pt idx="9">
                  <c:v>37.700000000000003</c:v>
                </c:pt>
                <c:pt idx="10">
                  <c:v>37.299999999999997</c:v>
                </c:pt>
                <c:pt idx="11">
                  <c:v>35.700000000000003</c:v>
                </c:pt>
                <c:pt idx="12">
                  <c:v>38.299999999999997</c:v>
                </c:pt>
                <c:pt idx="13">
                  <c:v>37</c:v>
                </c:pt>
                <c:pt idx="14">
                  <c:v>38.299999999999997</c:v>
                </c:pt>
                <c:pt idx="15">
                  <c:v>40.700000000000003</c:v>
                </c:pt>
                <c:pt idx="16">
                  <c:v>39.299999999999997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2B1-4BE6-90C6-A42E0EFFEC16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růstu'!$K$38:$K$61</c:f>
              <c:numCache>
                <c:formatCode>#\ ##0.0</c:formatCode>
                <c:ptCount val="24"/>
                <c:pt idx="0">
                  <c:v>26.2</c:v>
                </c:pt>
                <c:pt idx="1">
                  <c:v>29</c:v>
                </c:pt>
                <c:pt idx="2">
                  <c:v>26.9</c:v>
                </c:pt>
                <c:pt idx="3">
                  <c:v>23.3</c:v>
                </c:pt>
                <c:pt idx="4">
                  <c:v>24</c:v>
                </c:pt>
                <c:pt idx="5">
                  <c:v>24.5</c:v>
                </c:pt>
                <c:pt idx="6">
                  <c:v>21</c:v>
                </c:pt>
                <c:pt idx="7">
                  <c:v>23.3</c:v>
                </c:pt>
                <c:pt idx="8">
                  <c:v>26.2</c:v>
                </c:pt>
                <c:pt idx="9">
                  <c:v>20.5</c:v>
                </c:pt>
                <c:pt idx="10">
                  <c:v>19.899999999999999</c:v>
                </c:pt>
                <c:pt idx="11">
                  <c:v>20.9</c:v>
                </c:pt>
                <c:pt idx="12">
                  <c:v>17.3</c:v>
                </c:pt>
                <c:pt idx="13">
                  <c:v>18.600000000000001</c:v>
                </c:pt>
                <c:pt idx="14">
                  <c:v>18.899999999999999</c:v>
                </c:pt>
                <c:pt idx="15">
                  <c:v>19.8</c:v>
                </c:pt>
                <c:pt idx="16">
                  <c:v>20.7</c:v>
                </c:pt>
                <c:pt idx="17">
                  <c:v>17.100000000000001</c:v>
                </c:pt>
                <c:pt idx="18">
                  <c:v>21.7</c:v>
                </c:pt>
                <c:pt idx="19">
                  <c:v>14.1</c:v>
                </c:pt>
                <c:pt idx="20">
                  <c:v>20.399999999999999</c:v>
                </c:pt>
                <c:pt idx="21">
                  <c:v>29.1</c:v>
                </c:pt>
                <c:pt idx="22">
                  <c:v>30.9</c:v>
                </c:pt>
                <c:pt idx="23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2B1-4BE6-90C6-A42E0EFFEC16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růstu'!$L$38:$L$61</c:f>
              <c:numCache>
                <c:formatCode>#\ ##0.0</c:formatCode>
                <c:ptCount val="24"/>
                <c:pt idx="0">
                  <c:v>2.8</c:v>
                </c:pt>
                <c:pt idx="1">
                  <c:v>5.7</c:v>
                </c:pt>
                <c:pt idx="2">
                  <c:v>5.9</c:v>
                </c:pt>
                <c:pt idx="3">
                  <c:v>5.8</c:v>
                </c:pt>
                <c:pt idx="4">
                  <c:v>8.6999999999999993</c:v>
                </c:pt>
                <c:pt idx="5">
                  <c:v>4.5999999999999996</c:v>
                </c:pt>
                <c:pt idx="6">
                  <c:v>7.1</c:v>
                </c:pt>
                <c:pt idx="7">
                  <c:v>9.1</c:v>
                </c:pt>
                <c:pt idx="8">
                  <c:v>10.1</c:v>
                </c:pt>
                <c:pt idx="9">
                  <c:v>10</c:v>
                </c:pt>
                <c:pt idx="10">
                  <c:v>9.3000000000000007</c:v>
                </c:pt>
                <c:pt idx="11">
                  <c:v>12.2</c:v>
                </c:pt>
                <c:pt idx="12">
                  <c:v>14.2</c:v>
                </c:pt>
                <c:pt idx="13">
                  <c:v>16.600000000000001</c:v>
                </c:pt>
                <c:pt idx="14">
                  <c:v>17.3</c:v>
                </c:pt>
                <c:pt idx="15">
                  <c:v>18.600000000000001</c:v>
                </c:pt>
                <c:pt idx="16">
                  <c:v>19.600000000000001</c:v>
                </c:pt>
                <c:pt idx="17">
                  <c:v>16.600000000000001</c:v>
                </c:pt>
                <c:pt idx="18">
                  <c:v>21.2</c:v>
                </c:pt>
                <c:pt idx="19">
                  <c:v>19.100000000000001</c:v>
                </c:pt>
                <c:pt idx="20">
                  <c:v>19.7</c:v>
                </c:pt>
                <c:pt idx="21">
                  <c:v>12.1</c:v>
                </c:pt>
                <c:pt idx="22">
                  <c:v>9.8000000000000007</c:v>
                </c:pt>
                <c:pt idx="23">
                  <c:v>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2B1-4BE6-90C6-A42E0EFFEC16}"/>
            </c:ext>
          </c:extLst>
        </c:ser>
        <c:ser>
          <c:idx val="10"/>
          <c:order val="10"/>
          <c:tx>
            <c:strRef>
              <c:f>'Služby-příspěvkyk růstu'!$M$25</c:f>
              <c:strCache>
                <c:ptCount val="1"/>
                <c:pt idx="0">
                  <c:v>Bariéry růstu podniků: žádné (pravá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ot"/>
            </a:ln>
          </c:spPr>
          <c:marker>
            <c:symbol val="none"/>
          </c:marker>
          <c:cat>
            <c:multiLvlStrRef>
              <c:f>'Služby-příspěvkyk růstu'!$A$38:$B$61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'Služby-příspěvkyk růstu'!$M$38:$M$61</c:f>
              <c:numCache>
                <c:formatCode>#\ ##0.0</c:formatCode>
                <c:ptCount val="24"/>
                <c:pt idx="0">
                  <c:v>43.8</c:v>
                </c:pt>
                <c:pt idx="1">
                  <c:v>42.8</c:v>
                </c:pt>
                <c:pt idx="2">
                  <c:v>46.2</c:v>
                </c:pt>
                <c:pt idx="3">
                  <c:v>50.3</c:v>
                </c:pt>
                <c:pt idx="4">
                  <c:v>47</c:v>
                </c:pt>
                <c:pt idx="5">
                  <c:v>46.5</c:v>
                </c:pt>
                <c:pt idx="6">
                  <c:v>51.8</c:v>
                </c:pt>
                <c:pt idx="7">
                  <c:v>48.6</c:v>
                </c:pt>
                <c:pt idx="8">
                  <c:v>45.5</c:v>
                </c:pt>
                <c:pt idx="9">
                  <c:v>47.7</c:v>
                </c:pt>
                <c:pt idx="10">
                  <c:v>48.2</c:v>
                </c:pt>
                <c:pt idx="11">
                  <c:v>46.6</c:v>
                </c:pt>
                <c:pt idx="12">
                  <c:v>49.6</c:v>
                </c:pt>
                <c:pt idx="13">
                  <c:v>45.4</c:v>
                </c:pt>
                <c:pt idx="14">
                  <c:v>43.4</c:v>
                </c:pt>
                <c:pt idx="15">
                  <c:v>46.4</c:v>
                </c:pt>
                <c:pt idx="16">
                  <c:v>45</c:v>
                </c:pt>
                <c:pt idx="17">
                  <c:v>46.4</c:v>
                </c:pt>
                <c:pt idx="18">
                  <c:v>45.9</c:v>
                </c:pt>
                <c:pt idx="19">
                  <c:v>47.5</c:v>
                </c:pt>
                <c:pt idx="20">
                  <c:v>44.4</c:v>
                </c:pt>
                <c:pt idx="21">
                  <c:v>32.9</c:v>
                </c:pt>
                <c:pt idx="22">
                  <c:v>27.1</c:v>
                </c:pt>
                <c:pt idx="23">
                  <c:v>26.4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2B1-4BE6-90C6-A42E0EFFE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6"/>
          <c:min val="-2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Příspěvě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rPr>
                  <a:t>k k </a:t>
                </a:r>
                <a:r>
                  <a:rPr lang="cs-CZ" sz="700" b="0" i="1"/>
                  <a:t>růstu tržeb</a:t>
                </a:r>
              </a:p>
            </c:rich>
          </c:tx>
          <c:layout>
            <c:manualLayout>
              <c:xMode val="edge"/>
              <c:yMode val="edge"/>
              <c:x val="0"/>
              <c:y val="0.2142795665859746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3"/>
      </c:valAx>
      <c:valAx>
        <c:axId val="156575232"/>
        <c:scaling>
          <c:orientation val="minMax"/>
          <c:max val="80"/>
          <c:min val="-15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indikátoru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6.4054887921738678E-5"/>
          <c:y val="0.82175247960207154"/>
          <c:w val="0.98850193828834876"/>
          <c:h val="0.16763527754636032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FEEC-555B-468C-9496-7B0F163A8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627F8-3586-452C-A4C4-A11705E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8</Pages>
  <Words>3495</Words>
  <Characters>20625</Characters>
  <Application>Microsoft Office Word</Application>
  <DocSecurity>0</DocSecurity>
  <Lines>171</Lines>
  <Paragraphs>48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24072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2020-12-16T06:31:00Z</dcterms:created>
  <dcterms:modified xsi:type="dcterms:W3CDTF">2020-12-16T07:54:00Z</dcterms:modified>
</cp:coreProperties>
</file>