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D5EF" w14:textId="77777777" w:rsidR="00100A8B" w:rsidRDefault="00100A8B" w:rsidP="00100A8B">
      <w:pPr>
        <w:spacing w:after="0" w:line="240" w:lineRule="auto"/>
        <w:jc w:val="left"/>
        <w:rPr>
          <w:b/>
          <w:sz w:val="2"/>
          <w:szCs w:val="2"/>
          <w:highlight w:val="yellow"/>
        </w:rPr>
      </w:pPr>
      <w:bookmarkStart w:id="0" w:name="_Toc19090679"/>
    </w:p>
    <w:p w14:paraId="1AEF1A34" w14:textId="77777777" w:rsidR="00100A8B" w:rsidRDefault="00100A8B" w:rsidP="00100A8B">
      <w:pPr>
        <w:pStyle w:val="Nadpis11"/>
      </w:pPr>
      <w:bookmarkStart w:id="1" w:name="_Toc58605376"/>
      <w:r w:rsidRPr="00B43216">
        <w:t>6. Trh práce</w:t>
      </w:r>
      <w:bookmarkEnd w:id="1"/>
    </w:p>
    <w:tbl>
      <w:tblPr>
        <w:tblW w:w="9664" w:type="dxa"/>
        <w:tblInd w:w="-30" w:type="dxa"/>
        <w:tblCellMar>
          <w:left w:w="0" w:type="dxa"/>
          <w:right w:w="0" w:type="dxa"/>
        </w:tblCellMar>
        <w:tblLook w:val="00A0" w:firstRow="1" w:lastRow="0" w:firstColumn="1" w:lastColumn="0" w:noHBand="0" w:noVBand="0"/>
      </w:tblPr>
      <w:tblGrid>
        <w:gridCol w:w="1792"/>
        <w:gridCol w:w="216"/>
        <w:gridCol w:w="7656"/>
      </w:tblGrid>
      <w:tr w:rsidR="00100A8B" w:rsidRPr="0029490A" w14:paraId="0B517013" w14:textId="77777777" w:rsidTr="005820CD">
        <w:trPr>
          <w:trHeight w:val="155"/>
        </w:trPr>
        <w:tc>
          <w:tcPr>
            <w:tcW w:w="1792" w:type="dxa"/>
            <w:shd w:val="clear" w:color="auto" w:fill="auto"/>
            <w:tcMar>
              <w:left w:w="0" w:type="dxa"/>
            </w:tcMar>
          </w:tcPr>
          <w:p w14:paraId="61CCF157" w14:textId="77777777" w:rsidR="00100A8B" w:rsidRPr="0029490A" w:rsidRDefault="00100A8B" w:rsidP="005820CD">
            <w:pPr>
              <w:pStyle w:val="Marginlie"/>
              <w:rPr>
                <w:spacing w:val="-6"/>
              </w:rPr>
            </w:pPr>
            <w:r w:rsidRPr="0029490A">
              <w:rPr>
                <w:spacing w:val="-6"/>
              </w:rPr>
              <w:t>Situace na trhu práce v Česku se během letního období do značné míry zklidnila.</w:t>
            </w:r>
          </w:p>
        </w:tc>
        <w:tc>
          <w:tcPr>
            <w:tcW w:w="216" w:type="dxa"/>
            <w:shd w:val="clear" w:color="auto" w:fill="auto"/>
            <w:tcMar>
              <w:left w:w="0" w:type="dxa"/>
            </w:tcMar>
          </w:tcPr>
          <w:p w14:paraId="0E537624"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32E80D42" w14:textId="77777777" w:rsidR="00100A8B" w:rsidRPr="0029490A" w:rsidRDefault="00100A8B" w:rsidP="005820CD">
            <w:pPr>
              <w:spacing w:after="200"/>
              <w:rPr>
                <w:rFonts w:cs="Arial"/>
                <w:bCs/>
                <w:color w:val="000000"/>
                <w:spacing w:val="-6"/>
                <w:szCs w:val="20"/>
              </w:rPr>
            </w:pPr>
            <w:r w:rsidRPr="0029490A">
              <w:rPr>
                <w:rFonts w:cs="Arial"/>
                <w:bCs/>
                <w:color w:val="000000"/>
                <w:spacing w:val="-6"/>
                <w:szCs w:val="20"/>
              </w:rPr>
              <w:t>Situace na tuzemském pracovním trhu se po jarním šoku, který byl spojen zejména s dubnovým zmrazením pracovní aktivity v řadě odvětví tržních služeb i v některých nosných oborech průmyslu, v letních měsících z velké části stabilizovala. Mezičtvrtletní pokles celkové zaměstnanosti se zastavil. Poptávka po zahraničních pracovnících působících zejména v primárním a sekundárním sektoru ekonomiky zůstala vysoká</w:t>
            </w:r>
            <w:r w:rsidRPr="0029490A">
              <w:rPr>
                <w:rStyle w:val="Znakapoznpodarou"/>
                <w:bCs/>
                <w:color w:val="000000"/>
                <w:spacing w:val="-6"/>
                <w:szCs w:val="20"/>
              </w:rPr>
              <w:footnoteReference w:id="1"/>
            </w:r>
            <w:r w:rsidRPr="0029490A">
              <w:rPr>
                <w:rFonts w:cs="Arial"/>
                <w:bCs/>
                <w:color w:val="000000"/>
                <w:spacing w:val="-6"/>
                <w:szCs w:val="20"/>
              </w:rPr>
              <w:t>. Na druhé straně krátkodobá očekávání podniků v oblasti celkové zaměstnanosti setrvala ve většině hlavních odvětví v negativním pásmu, byť se pesimismus mezi 2. a 3. čtvrtletím postupně lehce tlumil. Většina lidí, kteří opustili pracovní trh, posílila řady ekonomicky neaktivních. Nezaměstnanost tak i díky vládním stabilizačním programům zaznamenala dosud jen mírný růst. Ochlazení na trhu práce se odrazilo v dynamice průměrných mezd ve většině tržních odvětví</w:t>
            </w:r>
            <w:r w:rsidRPr="0029490A">
              <w:rPr>
                <w:rFonts w:cs="Arial"/>
                <w:bCs/>
                <w:color w:val="0D0D0D" w:themeColor="text1" w:themeTint="F2"/>
                <w:spacing w:val="-6"/>
                <w:szCs w:val="20"/>
              </w:rPr>
              <w:t xml:space="preserve">. Přestože odpracovaná doba se v nich po uvolnění restrikcí vrátila k normálu, růstové tempo průměrných nominálních mezd zůstalo ve 3. čtvrtletí zřetelně pod úrovní počátku roku. </w:t>
            </w:r>
            <w:r w:rsidRPr="0029490A">
              <w:rPr>
                <w:rFonts w:cs="Arial"/>
                <w:bCs/>
                <w:color w:val="000000"/>
                <w:spacing w:val="-6"/>
                <w:szCs w:val="20"/>
              </w:rPr>
              <w:t>Nápadně rozrůzněná dynamika mezd dle odvětví podtrhovala diferencovaný dopad „jarního šoku“ na jednotlivé zaměstnanecké skupiny.</w:t>
            </w:r>
          </w:p>
        </w:tc>
      </w:tr>
      <w:tr w:rsidR="00100A8B" w:rsidRPr="0029490A" w14:paraId="6CA2177E" w14:textId="77777777" w:rsidTr="005820CD">
        <w:trPr>
          <w:trHeight w:val="155"/>
        </w:trPr>
        <w:tc>
          <w:tcPr>
            <w:tcW w:w="1792" w:type="dxa"/>
            <w:shd w:val="clear" w:color="auto" w:fill="auto"/>
            <w:tcMar>
              <w:left w:w="0" w:type="dxa"/>
            </w:tcMar>
          </w:tcPr>
          <w:p w14:paraId="4E454D3D" w14:textId="77777777" w:rsidR="00100A8B" w:rsidRPr="0029490A" w:rsidRDefault="00100A8B" w:rsidP="005820CD">
            <w:pPr>
              <w:pStyle w:val="Marginlie"/>
              <w:rPr>
                <w:spacing w:val="-6"/>
              </w:rPr>
            </w:pPr>
            <w:r w:rsidRPr="0029490A">
              <w:rPr>
                <w:spacing w:val="-6"/>
              </w:rPr>
              <w:t>Celková zaměstnanost se po rekordním poklesu během 2. čtvrtletí v následujícím kvartálu stabilizovala.</w:t>
            </w:r>
          </w:p>
          <w:p w14:paraId="53B0E9D0" w14:textId="77777777" w:rsidR="00100A8B" w:rsidRPr="0029490A" w:rsidRDefault="00100A8B" w:rsidP="005820CD">
            <w:pPr>
              <w:pStyle w:val="Marginlie"/>
              <w:rPr>
                <w:spacing w:val="-6"/>
              </w:rPr>
            </w:pPr>
          </w:p>
          <w:p w14:paraId="4506A36F" w14:textId="77777777" w:rsidR="00100A8B" w:rsidRPr="0029490A" w:rsidRDefault="00100A8B" w:rsidP="005820CD">
            <w:pPr>
              <w:pStyle w:val="Marginlie"/>
              <w:rPr>
                <w:spacing w:val="-6"/>
              </w:rPr>
            </w:pPr>
          </w:p>
          <w:p w14:paraId="2AB8AF1E" w14:textId="77777777" w:rsidR="00100A8B" w:rsidRPr="0029490A" w:rsidRDefault="00100A8B" w:rsidP="005820CD">
            <w:pPr>
              <w:pStyle w:val="Marginlie"/>
              <w:rPr>
                <w:spacing w:val="-6"/>
              </w:rPr>
            </w:pPr>
          </w:p>
          <w:p w14:paraId="0A22EAEB" w14:textId="77777777" w:rsidR="00100A8B" w:rsidRPr="0029490A" w:rsidRDefault="00100A8B" w:rsidP="005820CD">
            <w:pPr>
              <w:pStyle w:val="Marginlie"/>
              <w:rPr>
                <w:spacing w:val="-6"/>
              </w:rPr>
            </w:pPr>
            <w:r w:rsidRPr="0029490A">
              <w:rPr>
                <w:spacing w:val="-6"/>
              </w:rPr>
              <w:t>Vývoj zaměstnanosti byl v jednotlivých odvětvích velmi různorodý.</w:t>
            </w:r>
          </w:p>
          <w:p w14:paraId="789AE4C0" w14:textId="77777777" w:rsidR="00100A8B" w:rsidRPr="0029490A" w:rsidRDefault="00100A8B" w:rsidP="005820CD">
            <w:pPr>
              <w:pStyle w:val="Marginlie"/>
              <w:rPr>
                <w:spacing w:val="-6"/>
              </w:rPr>
            </w:pPr>
          </w:p>
          <w:p w14:paraId="6946A078" w14:textId="77777777" w:rsidR="00100A8B" w:rsidRPr="0029490A" w:rsidRDefault="00100A8B" w:rsidP="005820CD">
            <w:pPr>
              <w:pStyle w:val="Marginlie"/>
              <w:rPr>
                <w:spacing w:val="-6"/>
              </w:rPr>
            </w:pPr>
          </w:p>
          <w:p w14:paraId="55870C36" w14:textId="77777777" w:rsidR="00100A8B" w:rsidRPr="0029490A" w:rsidRDefault="00100A8B" w:rsidP="005820CD">
            <w:pPr>
              <w:pStyle w:val="Marginlie"/>
              <w:rPr>
                <w:spacing w:val="-6"/>
              </w:rPr>
            </w:pPr>
          </w:p>
          <w:p w14:paraId="38EC4DAF" w14:textId="4C8715F9" w:rsidR="00100A8B" w:rsidRPr="0029490A" w:rsidRDefault="00100A8B" w:rsidP="005820CD">
            <w:pPr>
              <w:pStyle w:val="Marginlie"/>
              <w:rPr>
                <w:spacing w:val="-6"/>
              </w:rPr>
            </w:pPr>
            <w:r w:rsidRPr="0029490A">
              <w:rPr>
                <w:spacing w:val="-6"/>
              </w:rPr>
              <w:t xml:space="preserve">K největšímu poklesu došlo v průmyslu a v odvětvích s vazbou na cestovní </w:t>
            </w:r>
            <w:r w:rsidR="00B53639">
              <w:rPr>
                <w:spacing w:val="-6"/>
              </w:rPr>
              <w:t>ruch. Naopak dlouhodobě rostou informační a komunikační činnosti a též veřejné služby</w:t>
            </w:r>
            <w:r w:rsidRPr="0029490A">
              <w:rPr>
                <w:spacing w:val="-6"/>
              </w:rPr>
              <w:t>.</w:t>
            </w:r>
          </w:p>
        </w:tc>
        <w:tc>
          <w:tcPr>
            <w:tcW w:w="216" w:type="dxa"/>
            <w:shd w:val="clear" w:color="auto" w:fill="auto"/>
            <w:tcMar>
              <w:left w:w="0" w:type="dxa"/>
            </w:tcMar>
          </w:tcPr>
          <w:p w14:paraId="5C6CF2C9"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5AAAFC68" w14:textId="4F3898B8" w:rsidR="00100A8B" w:rsidRPr="0029490A" w:rsidRDefault="00100A8B" w:rsidP="005820CD">
            <w:pPr>
              <w:spacing w:after="200"/>
              <w:rPr>
                <w:rFonts w:cs="Arial"/>
                <w:bCs/>
                <w:color w:val="000000"/>
                <w:spacing w:val="-6"/>
                <w:szCs w:val="20"/>
              </w:rPr>
            </w:pPr>
            <w:r w:rsidRPr="0029490A">
              <w:rPr>
                <w:rFonts w:cs="Arial"/>
                <w:bCs/>
                <w:color w:val="000000"/>
                <w:spacing w:val="-6"/>
                <w:szCs w:val="20"/>
              </w:rPr>
              <w:t>Během 2. čtvrtletí 2020 se celková zaměstnanost</w:t>
            </w:r>
            <w:r w:rsidRPr="0029490A">
              <w:rPr>
                <w:spacing w:val="-6"/>
                <w:vertAlign w:val="superscript"/>
              </w:rPr>
              <w:footnoteReference w:id="2"/>
            </w:r>
            <w:r w:rsidRPr="0029490A">
              <w:rPr>
                <w:rFonts w:cs="Arial"/>
                <w:bCs/>
                <w:color w:val="000000"/>
                <w:spacing w:val="-6"/>
                <w:szCs w:val="20"/>
              </w:rPr>
              <w:t xml:space="preserve"> snížila o 1,7 %, což byl nejhlubší </w:t>
            </w:r>
            <w:proofErr w:type="spellStart"/>
            <w:r w:rsidRPr="0029490A">
              <w:rPr>
                <w:rFonts w:cs="Arial"/>
                <w:bCs/>
                <w:color w:val="000000"/>
                <w:spacing w:val="-6"/>
                <w:szCs w:val="20"/>
              </w:rPr>
              <w:t>mezikvartální</w:t>
            </w:r>
            <w:proofErr w:type="spellEnd"/>
            <w:r w:rsidRPr="0029490A">
              <w:rPr>
                <w:rFonts w:cs="Arial"/>
                <w:bCs/>
                <w:color w:val="000000"/>
                <w:spacing w:val="-6"/>
                <w:szCs w:val="20"/>
              </w:rPr>
              <w:t xml:space="preserve"> útlum v dostupné řadě počínaje rokem 1995. V následujícím čtvrtletí se ale pokles zastavil (+0,2 %). Určitou stabilizaci naznačil i meziroční vývoj, když se úbytky počtu pracovníků tlumily (z –2,2 % ve 2. čtvrtletí na –1,7 % ve 3. čtvrtletí). K poklesu přispěli zaměstnanci i podnikající osoby. Tempo meziročních úbytků za celé 1. až 3. čtvrtletí bylo u </w:t>
            </w:r>
            <w:proofErr w:type="spellStart"/>
            <w:r w:rsidRPr="0029490A">
              <w:rPr>
                <w:rFonts w:cs="Arial"/>
                <w:bCs/>
                <w:color w:val="000000"/>
                <w:spacing w:val="-6"/>
                <w:szCs w:val="20"/>
              </w:rPr>
              <w:t>sebezaměstnaných</w:t>
            </w:r>
            <w:proofErr w:type="spellEnd"/>
            <w:r w:rsidRPr="0029490A">
              <w:rPr>
                <w:rFonts w:cs="Arial"/>
                <w:bCs/>
                <w:color w:val="000000"/>
                <w:spacing w:val="-6"/>
                <w:szCs w:val="20"/>
              </w:rPr>
              <w:t xml:space="preserve"> osob (–1,5 %) i zaměstnanců (–1,4 %) srovnatelné. Jestliže po většinu loňského roku působil ve směru redukce celkové zaměstnanosti nejvíce zpracovatelský průmysl, v průběhu roku 2020 se stále více prosazovalo také uskupení obchod, doprava, ubytování a pohostinství, silně zasažené dopady </w:t>
            </w:r>
            <w:proofErr w:type="spellStart"/>
            <w:r w:rsidRPr="0029490A">
              <w:rPr>
                <w:rFonts w:cs="Arial"/>
                <w:bCs/>
                <w:color w:val="000000"/>
                <w:spacing w:val="-6"/>
                <w:szCs w:val="20"/>
              </w:rPr>
              <w:t>protipandemických</w:t>
            </w:r>
            <w:proofErr w:type="spellEnd"/>
            <w:r w:rsidRPr="0029490A">
              <w:rPr>
                <w:rFonts w:cs="Arial"/>
                <w:bCs/>
                <w:color w:val="000000"/>
                <w:spacing w:val="-6"/>
                <w:szCs w:val="20"/>
              </w:rPr>
              <w:t xml:space="preserve"> opatření. Za tři letošní čtvrtletí se v tomto uskupení počet pracovníků meziročně snížil o 30 tis., v celém průmyslu o 52 tis. Silně zasaženo bylo též uskupení profesní, vědecké, technické, administrativní a podpůrné činnosti (–23 tis.), relativně zde činil úbytek zaměstnaných téměř 5 %. S tím kontrastoval vývoj v dlouhodobě se rozvíjejících informačních a komunikačních činnostech, v nichž k letošnímu 3,7% růstu významně přispěl i vyš</w:t>
            </w:r>
            <w:r w:rsidR="00B53639">
              <w:rPr>
                <w:rFonts w:cs="Arial"/>
                <w:bCs/>
                <w:color w:val="000000"/>
                <w:spacing w:val="-6"/>
                <w:szCs w:val="20"/>
              </w:rPr>
              <w:t xml:space="preserve">ší počet </w:t>
            </w:r>
            <w:proofErr w:type="spellStart"/>
            <w:r w:rsidR="00B53639">
              <w:rPr>
                <w:rFonts w:cs="Arial"/>
                <w:bCs/>
                <w:color w:val="000000"/>
                <w:spacing w:val="-6"/>
                <w:szCs w:val="20"/>
              </w:rPr>
              <w:t>sebezaměstnaných</w:t>
            </w:r>
            <w:proofErr w:type="spellEnd"/>
            <w:r w:rsidR="00B53639">
              <w:rPr>
                <w:rFonts w:cs="Arial"/>
                <w:bCs/>
                <w:color w:val="000000"/>
                <w:spacing w:val="-6"/>
                <w:szCs w:val="20"/>
              </w:rPr>
              <w:t>. Ti mě</w:t>
            </w:r>
            <w:r w:rsidRPr="0029490A">
              <w:rPr>
                <w:rFonts w:cs="Arial"/>
                <w:bCs/>
                <w:color w:val="000000"/>
                <w:spacing w:val="-6"/>
                <w:szCs w:val="20"/>
              </w:rPr>
              <w:t xml:space="preserve">li rozhodující </w:t>
            </w:r>
            <w:r w:rsidR="00B53639">
              <w:rPr>
                <w:rFonts w:cs="Arial"/>
                <w:bCs/>
                <w:color w:val="000000"/>
                <w:spacing w:val="-6"/>
                <w:szCs w:val="20"/>
              </w:rPr>
              <w:t xml:space="preserve">roli </w:t>
            </w:r>
            <w:r w:rsidRPr="0029490A">
              <w:rPr>
                <w:rFonts w:cs="Arial"/>
                <w:bCs/>
                <w:color w:val="000000"/>
                <w:spacing w:val="-6"/>
                <w:szCs w:val="20"/>
              </w:rPr>
              <w:t>pro navýšení stavu pracovníků i ve stavebnictví, neboť počet samotných zaměstnanců zde meziročně stagnoval. Ve směru růstu počtu pracovníků v celé ekonomice působilo letos (obdobně jako v letech 2017 až 2019) nejvíce uskupení veřejná správa, obrana, vzdělávání, zdravotní a sociální péče (růst o 2,0 %, příspěvek +0,4 p. b.). Projevil se zde trend posilování ve vzdělávání, mj. vlivem vyššího počtu žáků v základním školství.</w:t>
            </w:r>
          </w:p>
        </w:tc>
      </w:tr>
      <w:tr w:rsidR="00100A8B" w:rsidRPr="0029490A" w14:paraId="26757D8E" w14:textId="77777777" w:rsidTr="005820CD">
        <w:trPr>
          <w:trHeight w:val="155"/>
        </w:trPr>
        <w:tc>
          <w:tcPr>
            <w:tcW w:w="1792" w:type="dxa"/>
            <w:shd w:val="clear" w:color="auto" w:fill="auto"/>
            <w:tcMar>
              <w:left w:w="0" w:type="dxa"/>
            </w:tcMar>
          </w:tcPr>
          <w:p w14:paraId="216C2454" w14:textId="77777777" w:rsidR="00100A8B" w:rsidRPr="0029490A" w:rsidRDefault="00100A8B" w:rsidP="005820CD">
            <w:pPr>
              <w:pStyle w:val="Marginlie"/>
              <w:rPr>
                <w:spacing w:val="-6"/>
              </w:rPr>
            </w:pPr>
            <w:r w:rsidRPr="0029490A">
              <w:rPr>
                <w:spacing w:val="-6"/>
              </w:rPr>
              <w:t xml:space="preserve">Pokles počtu odpracovaných hodin v ekonomice se v letních měsících zastavil. Vnímání negativních ekonomických dopadů </w:t>
            </w:r>
            <w:proofErr w:type="spellStart"/>
            <w:r w:rsidRPr="0029490A">
              <w:rPr>
                <w:spacing w:val="-6"/>
              </w:rPr>
              <w:t>koronavirové</w:t>
            </w:r>
            <w:proofErr w:type="spellEnd"/>
            <w:r w:rsidRPr="0029490A">
              <w:rPr>
                <w:spacing w:val="-6"/>
              </w:rPr>
              <w:t xml:space="preserve"> krize se snížilo.</w:t>
            </w:r>
          </w:p>
        </w:tc>
        <w:tc>
          <w:tcPr>
            <w:tcW w:w="216" w:type="dxa"/>
            <w:shd w:val="clear" w:color="auto" w:fill="auto"/>
            <w:tcMar>
              <w:left w:w="0" w:type="dxa"/>
            </w:tcMar>
          </w:tcPr>
          <w:p w14:paraId="4CBA5F31"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4E2A8E1" w14:textId="77777777" w:rsidR="00100A8B" w:rsidRPr="0029490A" w:rsidRDefault="00100A8B" w:rsidP="005820CD">
            <w:pPr>
              <w:spacing w:after="0"/>
              <w:rPr>
                <w:rFonts w:cs="Arial"/>
                <w:bCs/>
                <w:color w:val="000000"/>
                <w:spacing w:val="-6"/>
                <w:szCs w:val="20"/>
              </w:rPr>
            </w:pPr>
            <w:r w:rsidRPr="0029490A">
              <w:rPr>
                <w:rFonts w:cs="Arial"/>
                <w:bCs/>
                <w:color w:val="000000"/>
                <w:spacing w:val="-6"/>
                <w:szCs w:val="20"/>
              </w:rPr>
              <w:t>Letní návrat k běžným hodnotám pracovní aktivity se v celé ekonomice projevil v průměrném týdenním počtu skutečně odpracovaných hodin (v hlavním zaměstnání). Ten ve 3. čtvrtletí 2020 u zaměstnanců meziročně mírně vzrostl (+1,8 %), u podnikajících osob se téměř nezměnil (–0,5 %)</w:t>
            </w:r>
            <w:r w:rsidRPr="0029490A">
              <w:rPr>
                <w:rStyle w:val="Znakapoznpodarou"/>
                <w:bCs/>
                <w:color w:val="000000"/>
                <w:spacing w:val="-6"/>
                <w:szCs w:val="20"/>
              </w:rPr>
              <w:footnoteReference w:id="3"/>
            </w:r>
            <w:r w:rsidRPr="0029490A">
              <w:rPr>
                <w:rFonts w:cs="Arial"/>
                <w:bCs/>
                <w:color w:val="000000"/>
                <w:spacing w:val="-6"/>
                <w:szCs w:val="20"/>
              </w:rPr>
              <w:t xml:space="preserve">. K posunu došlo dle údajů VŠPS i v subjektivním vnímání hlavních aktérů na trhu práce. Ve 2. čtvrtletí pociťovalo u svého zaměstnavatele negativní dopady </w:t>
            </w:r>
            <w:proofErr w:type="spellStart"/>
            <w:r w:rsidRPr="0029490A">
              <w:rPr>
                <w:rFonts w:cs="Arial"/>
                <w:bCs/>
                <w:color w:val="000000"/>
                <w:spacing w:val="-6"/>
                <w:szCs w:val="20"/>
              </w:rPr>
              <w:t>koronavirové</w:t>
            </w:r>
            <w:proofErr w:type="spellEnd"/>
            <w:r w:rsidRPr="0029490A">
              <w:rPr>
                <w:rFonts w:cs="Arial"/>
                <w:bCs/>
                <w:color w:val="000000"/>
                <w:spacing w:val="-6"/>
                <w:szCs w:val="20"/>
              </w:rPr>
              <w:t xml:space="preserve"> krize 43 % zaměstnanců, v následujícím kvartálu „jen“ 29 %. Podobně i podíl osob vnímajících negativní dopady ve svém drobném podnikání klesl ze 60 na 45 %. V obou uvedených kategoriích byla percepce nejvíce negativních dopadů soustředěna v ubytování, stravování a pohostinství a v kulturních, zábavních a rekreačních činnostech</w:t>
            </w:r>
            <w:r w:rsidRPr="0029490A">
              <w:rPr>
                <w:rStyle w:val="Znakapoznpodarou"/>
                <w:bCs/>
                <w:color w:val="000000"/>
                <w:spacing w:val="-6"/>
                <w:szCs w:val="20"/>
              </w:rPr>
              <w:footnoteReference w:id="4"/>
            </w:r>
            <w:r w:rsidRPr="0029490A">
              <w:rPr>
                <w:rFonts w:cs="Arial"/>
                <w:bCs/>
                <w:color w:val="000000"/>
                <w:spacing w:val="-6"/>
                <w:szCs w:val="20"/>
              </w:rPr>
              <w:t>.</w:t>
            </w:r>
          </w:p>
        </w:tc>
      </w:tr>
      <w:tr w:rsidR="00100A8B" w:rsidRPr="0029490A" w14:paraId="04A69887" w14:textId="77777777" w:rsidTr="005820CD">
        <w:trPr>
          <w:trHeight w:val="155"/>
        </w:trPr>
        <w:tc>
          <w:tcPr>
            <w:tcW w:w="1792" w:type="dxa"/>
            <w:shd w:val="clear" w:color="auto" w:fill="auto"/>
            <w:tcMar>
              <w:left w:w="0" w:type="dxa"/>
            </w:tcMar>
          </w:tcPr>
          <w:p w14:paraId="045E84CF" w14:textId="77777777" w:rsidR="00100A8B" w:rsidRPr="0029490A" w:rsidRDefault="00100A8B" w:rsidP="005820CD">
            <w:pPr>
              <w:pStyle w:val="Marginlie"/>
              <w:rPr>
                <w:spacing w:val="-6"/>
              </w:rPr>
            </w:pPr>
            <w:r w:rsidRPr="0029490A">
              <w:rPr>
                <w:spacing w:val="-6"/>
              </w:rPr>
              <w:lastRenderedPageBreak/>
              <w:t>Negativní očekávání zaměstnanosti se během 3. čtvrtletí tlumila. V následujícím období ale došlo opět ke zhoršení, zejména ve vybraných službách.</w:t>
            </w:r>
          </w:p>
        </w:tc>
        <w:tc>
          <w:tcPr>
            <w:tcW w:w="216" w:type="dxa"/>
            <w:shd w:val="clear" w:color="auto" w:fill="auto"/>
            <w:tcMar>
              <w:left w:w="0" w:type="dxa"/>
            </w:tcMar>
          </w:tcPr>
          <w:p w14:paraId="3919B2F8"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9F3AFA8" w14:textId="77777777" w:rsidR="00100A8B" w:rsidRPr="0029490A" w:rsidRDefault="00100A8B" w:rsidP="005820CD">
            <w:pPr>
              <w:spacing w:after="200"/>
              <w:rPr>
                <w:rFonts w:cs="Arial"/>
                <w:bCs/>
                <w:color w:val="000000"/>
                <w:spacing w:val="-6"/>
                <w:szCs w:val="20"/>
              </w:rPr>
            </w:pPr>
            <w:r w:rsidRPr="0029490A">
              <w:rPr>
                <w:rFonts w:cs="Arial"/>
                <w:bCs/>
                <w:color w:val="000000"/>
                <w:spacing w:val="-6"/>
                <w:szCs w:val="20"/>
              </w:rPr>
              <w:t>Během podzimních měsíců došlo k výraznému zhoršení epidemiologické situace, což mělo dopady i na pracovní trh. Počet odpracovaných hodin za týden klesl v říjnu u zaměstnanců meziročně o 5,9 %, u podnikajících osob o 10,8 %. Z dalších dosud známých ukazatelů tento posun nejlépe vystihují konjunkturální statistiky. Krátkodobá očekávání podniků v oblasti zaměstnanosti se v listopadu 2020 meziměsíčně zhoršila. To platilo zejména pro vybrané služby</w:t>
            </w:r>
            <w:r w:rsidRPr="0029490A">
              <w:rPr>
                <w:rStyle w:val="Znakapoznpodarou"/>
                <w:bCs/>
                <w:color w:val="000000"/>
                <w:spacing w:val="-6"/>
                <w:szCs w:val="20"/>
              </w:rPr>
              <w:footnoteReference w:id="5"/>
            </w:r>
            <w:r w:rsidRPr="0029490A">
              <w:rPr>
                <w:rFonts w:cs="Arial"/>
                <w:bCs/>
                <w:color w:val="000000"/>
                <w:spacing w:val="-6"/>
                <w:szCs w:val="20"/>
              </w:rPr>
              <w:t xml:space="preserve">, u nichž saldo kleslo </w:t>
            </w:r>
            <w:proofErr w:type="gramStart"/>
            <w:r w:rsidRPr="0029490A">
              <w:rPr>
                <w:rFonts w:cs="Arial"/>
                <w:bCs/>
                <w:color w:val="000000"/>
                <w:spacing w:val="-6"/>
                <w:szCs w:val="20"/>
              </w:rPr>
              <w:t>z –16</w:t>
            </w:r>
            <w:proofErr w:type="gramEnd"/>
            <w:r w:rsidRPr="0029490A">
              <w:rPr>
                <w:rFonts w:cs="Arial"/>
                <w:bCs/>
                <w:color w:val="000000"/>
                <w:spacing w:val="-6"/>
                <w:szCs w:val="20"/>
              </w:rPr>
              <w:t xml:space="preserve"> na –27 bodů</w:t>
            </w:r>
            <w:r w:rsidRPr="0029490A">
              <w:rPr>
                <w:rStyle w:val="Znakapoznpodarou"/>
                <w:bCs/>
                <w:color w:val="000000"/>
                <w:spacing w:val="-6"/>
                <w:szCs w:val="20"/>
              </w:rPr>
              <w:footnoteReference w:id="6"/>
            </w:r>
            <w:r w:rsidRPr="0029490A">
              <w:rPr>
                <w:rFonts w:cs="Arial"/>
                <w:bCs/>
                <w:color w:val="000000"/>
                <w:spacing w:val="-6"/>
                <w:szCs w:val="20"/>
              </w:rPr>
              <w:t>. I přesto bylo listopadové saldo ve všech hlavních odvětvích příznivější než za vrcholu jarní krize (nejvíce v průmyslu, kterého se podzimní řízený útlum aktivit přímo nedotkl). Propouštění na přelomu let 2020 a 2021 očekávalo dle listopadového šetření 33 % podniků ve vybraných službách, 16 % podniků ve stavebnictví a 15 % podniků v průmyslu (kde byl současně i nezanedbatelný podíl podniků očekávajících růst: 12 %)</w:t>
            </w:r>
            <w:r w:rsidRPr="0029490A">
              <w:rPr>
                <w:rStyle w:val="Znakapoznpodarou"/>
                <w:bCs/>
                <w:color w:val="000000"/>
                <w:spacing w:val="-6"/>
                <w:szCs w:val="20"/>
              </w:rPr>
              <w:footnoteReference w:id="7"/>
            </w:r>
            <w:r w:rsidRPr="0029490A">
              <w:rPr>
                <w:rFonts w:cs="Arial"/>
                <w:bCs/>
                <w:color w:val="000000"/>
                <w:spacing w:val="-6"/>
                <w:szCs w:val="20"/>
              </w:rPr>
              <w:t>.</w:t>
            </w:r>
          </w:p>
        </w:tc>
      </w:tr>
      <w:tr w:rsidR="00100A8B" w:rsidRPr="0029490A" w14:paraId="1051821E" w14:textId="77777777" w:rsidTr="005820CD">
        <w:trPr>
          <w:trHeight w:val="155"/>
        </w:trPr>
        <w:tc>
          <w:tcPr>
            <w:tcW w:w="1792" w:type="dxa"/>
            <w:vMerge w:val="restart"/>
            <w:shd w:val="clear" w:color="auto" w:fill="auto"/>
            <w:tcMar>
              <w:left w:w="0" w:type="dxa"/>
            </w:tcMar>
          </w:tcPr>
          <w:p w14:paraId="06361404" w14:textId="77777777" w:rsidR="00100A8B" w:rsidRPr="0029490A" w:rsidRDefault="00100A8B" w:rsidP="005820CD">
            <w:pPr>
              <w:pStyle w:val="Marginlie"/>
              <w:rPr>
                <w:spacing w:val="-6"/>
              </w:rPr>
            </w:pPr>
          </w:p>
        </w:tc>
        <w:tc>
          <w:tcPr>
            <w:tcW w:w="216" w:type="dxa"/>
            <w:vMerge w:val="restart"/>
            <w:shd w:val="clear" w:color="auto" w:fill="auto"/>
            <w:tcMar>
              <w:left w:w="0" w:type="dxa"/>
            </w:tcMar>
          </w:tcPr>
          <w:p w14:paraId="63AA8DEE"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113D14F" w14:textId="53546BD3" w:rsidR="00100A8B" w:rsidRPr="0029490A" w:rsidRDefault="00142B29" w:rsidP="005820CD">
            <w:pPr>
              <w:spacing w:after="0"/>
              <w:rPr>
                <w:spacing w:val="-6"/>
              </w:rPr>
            </w:pPr>
            <w:r>
              <w:rPr>
                <w:rFonts w:cs="Arial"/>
                <w:b/>
                <w:bCs/>
                <w:color w:val="000000"/>
                <w:spacing w:val="-6"/>
                <w:szCs w:val="20"/>
              </w:rPr>
              <w:t>Graf č. 12</w:t>
            </w:r>
            <w:r w:rsidR="00100A8B" w:rsidRPr="0029490A">
              <w:rPr>
                <w:rFonts w:cs="Arial"/>
                <w:b/>
                <w:bCs/>
                <w:color w:val="000000"/>
                <w:spacing w:val="-6"/>
                <w:sz w:val="18"/>
                <w:szCs w:val="18"/>
              </w:rPr>
              <w:t xml:space="preserve">  </w:t>
            </w:r>
            <w:r w:rsidR="00100A8B" w:rsidRPr="0029490A">
              <w:rPr>
                <w:b/>
                <w:bCs/>
                <w:spacing w:val="-6"/>
                <w:lang w:eastAsia="en-US"/>
              </w:rPr>
              <w:t xml:space="preserve">Celková zaměstnanost </w:t>
            </w:r>
            <w:r w:rsidR="00100A8B" w:rsidRPr="0029490A">
              <w:rPr>
                <w:spacing w:val="-6"/>
                <w:lang w:eastAsia="en-US"/>
              </w:rPr>
              <w:t>(</w:t>
            </w:r>
            <w:r w:rsidR="00100A8B" w:rsidRPr="0029490A">
              <w:rPr>
                <w:spacing w:val="-6"/>
              </w:rPr>
              <w:t>meziročně v %)</w:t>
            </w:r>
            <w:r w:rsidR="00100A8B" w:rsidRPr="0029490A">
              <w:rPr>
                <w:b/>
                <w:bCs/>
                <w:spacing w:val="-6"/>
              </w:rPr>
              <w:t xml:space="preserve">, příspěvky odvětví k meziroční změně zaměstnanosti </w:t>
            </w:r>
            <w:r w:rsidR="00100A8B" w:rsidRPr="0029490A">
              <w:rPr>
                <w:spacing w:val="-6"/>
              </w:rPr>
              <w:t>(v p. b.)</w:t>
            </w:r>
            <w:r w:rsidR="00100A8B" w:rsidRPr="0029490A">
              <w:rPr>
                <w:b/>
                <w:bCs/>
                <w:spacing w:val="-6"/>
              </w:rPr>
              <w:t xml:space="preserve"> a očekávání vývoje zaměstnanosti </w:t>
            </w:r>
            <w:r w:rsidR="00100A8B" w:rsidRPr="0029490A">
              <w:rPr>
                <w:spacing w:val="-6"/>
              </w:rPr>
              <w:t>(saldo v p. b.)</w:t>
            </w:r>
          </w:p>
        </w:tc>
      </w:tr>
      <w:tr w:rsidR="00100A8B" w:rsidRPr="0029490A" w14:paraId="35A48976" w14:textId="77777777" w:rsidTr="00A419FF">
        <w:tblPrEx>
          <w:tblCellMar>
            <w:left w:w="70" w:type="dxa"/>
            <w:right w:w="70" w:type="dxa"/>
          </w:tblCellMar>
        </w:tblPrEx>
        <w:trPr>
          <w:trHeight w:val="155"/>
        </w:trPr>
        <w:tc>
          <w:tcPr>
            <w:tcW w:w="1792" w:type="dxa"/>
            <w:vMerge/>
            <w:shd w:val="clear" w:color="auto" w:fill="auto"/>
          </w:tcPr>
          <w:p w14:paraId="21F97824" w14:textId="77777777" w:rsidR="00100A8B" w:rsidRPr="0029490A" w:rsidRDefault="00100A8B" w:rsidP="005820CD">
            <w:pPr>
              <w:pStyle w:val="Marginlie"/>
              <w:rPr>
                <w:spacing w:val="-6"/>
              </w:rPr>
            </w:pPr>
          </w:p>
        </w:tc>
        <w:tc>
          <w:tcPr>
            <w:tcW w:w="216" w:type="dxa"/>
            <w:vMerge/>
            <w:shd w:val="clear" w:color="auto" w:fill="auto"/>
          </w:tcPr>
          <w:p w14:paraId="7A82BC3D" w14:textId="77777777" w:rsidR="00100A8B" w:rsidRPr="0029490A" w:rsidRDefault="00100A8B" w:rsidP="005820CD">
            <w:pPr>
              <w:pStyle w:val="Textpoznpodarou"/>
              <w:jc w:val="both"/>
              <w:rPr>
                <w:spacing w:val="-6"/>
              </w:rPr>
            </w:pPr>
          </w:p>
        </w:tc>
        <w:tc>
          <w:tcPr>
            <w:tcW w:w="7656" w:type="dxa"/>
            <w:shd w:val="clear" w:color="auto" w:fill="auto"/>
          </w:tcPr>
          <w:p w14:paraId="047C7516" w14:textId="24C7E162" w:rsidR="00100A8B" w:rsidRPr="0029490A" w:rsidRDefault="00A419FF" w:rsidP="005820CD">
            <w:pPr>
              <w:spacing w:after="0"/>
              <w:rPr>
                <w:spacing w:val="-6"/>
              </w:rPr>
            </w:pPr>
            <w:r>
              <w:rPr>
                <w:noProof/>
              </w:rPr>
              <w:drawing>
                <wp:inline distT="0" distB="0" distL="0" distR="0" wp14:anchorId="231E26F9" wp14:editId="1B0097AC">
                  <wp:extent cx="4715093" cy="3618306"/>
                  <wp:effectExtent l="0" t="0" r="0" b="127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00A8B" w:rsidRPr="0029490A" w14:paraId="215A065F" w14:textId="77777777" w:rsidTr="005820CD">
        <w:trPr>
          <w:trHeight w:val="671"/>
        </w:trPr>
        <w:tc>
          <w:tcPr>
            <w:tcW w:w="1792" w:type="dxa"/>
            <w:vMerge/>
            <w:shd w:val="clear" w:color="auto" w:fill="auto"/>
            <w:tcMar>
              <w:left w:w="0" w:type="dxa"/>
            </w:tcMar>
          </w:tcPr>
          <w:p w14:paraId="043A3DC0" w14:textId="77777777" w:rsidR="00100A8B" w:rsidRPr="0029490A" w:rsidRDefault="00100A8B" w:rsidP="005820CD">
            <w:pPr>
              <w:pStyle w:val="Marginlie"/>
              <w:rPr>
                <w:spacing w:val="-6"/>
              </w:rPr>
            </w:pPr>
          </w:p>
        </w:tc>
        <w:tc>
          <w:tcPr>
            <w:tcW w:w="216" w:type="dxa"/>
            <w:vMerge/>
            <w:shd w:val="clear" w:color="auto" w:fill="auto"/>
            <w:tcMar>
              <w:left w:w="0" w:type="dxa"/>
            </w:tcMar>
          </w:tcPr>
          <w:p w14:paraId="495FA5F9"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56F1646" w14:textId="77777777" w:rsidR="00100A8B" w:rsidRPr="0029490A" w:rsidRDefault="00100A8B" w:rsidP="005820CD">
            <w:pPr>
              <w:spacing w:after="0" w:line="240" w:lineRule="auto"/>
              <w:rPr>
                <w:rFonts w:cs="Arial"/>
                <w:spacing w:val="-6"/>
                <w:sz w:val="14"/>
                <w:szCs w:val="14"/>
              </w:rPr>
            </w:pPr>
            <w:r w:rsidRPr="0029490A">
              <w:rPr>
                <w:rFonts w:cs="Arial"/>
                <w:color w:val="0D0D0D" w:themeColor="text1" w:themeTint="F2"/>
                <w:spacing w:val="-6"/>
                <w:sz w:val="14"/>
                <w:szCs w:val="14"/>
              </w:rPr>
              <w:t>*</w:t>
            </w:r>
            <w:r w:rsidRPr="0029490A">
              <w:rPr>
                <w:rFonts w:cs="Arial"/>
                <w:spacing w:val="-6"/>
                <w:sz w:val="14"/>
                <w:szCs w:val="14"/>
              </w:rPr>
              <w:t xml:space="preserve"> Těžba a energetika; Peněžnictví a pojišťovnictví; Činnosti v oblasti nemovitostí; Kulturní, zábavní a</w:t>
            </w:r>
            <w:r w:rsidRPr="0029490A">
              <w:rPr>
                <w:spacing w:val="-6"/>
                <w:sz w:val="14"/>
                <w:szCs w:val="14"/>
              </w:rPr>
              <w:t> </w:t>
            </w:r>
            <w:r w:rsidRPr="0029490A">
              <w:rPr>
                <w:rFonts w:cs="Arial"/>
                <w:spacing w:val="-6"/>
                <w:sz w:val="14"/>
                <w:szCs w:val="14"/>
              </w:rPr>
              <w:t>rekreační činnosti.</w:t>
            </w:r>
          </w:p>
          <w:p w14:paraId="41B66CF2" w14:textId="77777777" w:rsidR="00100A8B" w:rsidRPr="0029490A" w:rsidRDefault="00100A8B" w:rsidP="005820CD">
            <w:pPr>
              <w:spacing w:after="0" w:line="240" w:lineRule="auto"/>
              <w:rPr>
                <w:rFonts w:cs="Arial"/>
                <w:spacing w:val="-6"/>
                <w:sz w:val="14"/>
                <w:szCs w:val="14"/>
              </w:rPr>
            </w:pPr>
            <w:r w:rsidRPr="0029490A">
              <w:rPr>
                <w:rFonts w:cs="Arial"/>
                <w:spacing w:val="-6"/>
                <w:sz w:val="14"/>
                <w:szCs w:val="14"/>
              </w:rPr>
              <w:t xml:space="preserve">Poznámka: Saldo </w:t>
            </w:r>
            <w:r w:rsidRPr="0029490A">
              <w:rPr>
                <w:rFonts w:cs="Arial"/>
                <w:color w:val="0D0D0D" w:themeColor="text1" w:themeTint="F2"/>
                <w:spacing w:val="-6"/>
                <w:sz w:val="14"/>
                <w:szCs w:val="14"/>
              </w:rPr>
              <w:t>očekávání vyjadřuje rozdíl v p. b. mezi kategoriemi růst versus pokles zaměstnanosti v nejbližších třech měsících. Údaje jsou sezónně očištěny a vztahují se k druhému měsíci daného čtvrtletí.</w:t>
            </w:r>
          </w:p>
          <w:p w14:paraId="0E7E60F3" w14:textId="77777777" w:rsidR="00100A8B" w:rsidRPr="0029490A" w:rsidRDefault="00100A8B" w:rsidP="005820CD">
            <w:pPr>
              <w:spacing w:after="220" w:line="240" w:lineRule="auto"/>
              <w:rPr>
                <w:rFonts w:cs="Arial"/>
                <w:color w:val="0D0D0D" w:themeColor="text1" w:themeTint="F2"/>
                <w:spacing w:val="-6"/>
                <w:sz w:val="14"/>
                <w:szCs w:val="14"/>
              </w:rPr>
            </w:pPr>
            <w:r w:rsidRPr="0029490A">
              <w:rPr>
                <w:rFonts w:cs="Arial"/>
                <w:spacing w:val="-6"/>
                <w:sz w:val="14"/>
                <w:szCs w:val="14"/>
              </w:rPr>
              <w:t>Zdroj: ČSÚ (národní účty, konjunkturální průzkumy)</w:t>
            </w:r>
          </w:p>
        </w:tc>
      </w:tr>
      <w:tr w:rsidR="00100A8B" w:rsidRPr="0029490A" w14:paraId="39B80F2D" w14:textId="77777777" w:rsidTr="005820CD">
        <w:trPr>
          <w:trHeight w:val="145"/>
        </w:trPr>
        <w:tc>
          <w:tcPr>
            <w:tcW w:w="1792" w:type="dxa"/>
            <w:shd w:val="clear" w:color="auto" w:fill="auto"/>
            <w:tcMar>
              <w:left w:w="0" w:type="dxa"/>
            </w:tcMar>
          </w:tcPr>
          <w:p w14:paraId="15B337EA" w14:textId="77777777" w:rsidR="00100A8B" w:rsidRPr="0029490A" w:rsidRDefault="00100A8B" w:rsidP="005820CD">
            <w:pPr>
              <w:pStyle w:val="Marginlie"/>
              <w:rPr>
                <w:spacing w:val="-6"/>
              </w:rPr>
            </w:pPr>
            <w:r w:rsidRPr="0029490A">
              <w:rPr>
                <w:spacing w:val="-6"/>
              </w:rPr>
              <w:t>Počet ekonomicky neaktivních se zvyšoval hlavně ve 2. čtvrtletí. I v následném období byl ale přírůstek významný.</w:t>
            </w:r>
          </w:p>
          <w:p w14:paraId="1774D7D7" w14:textId="77777777" w:rsidR="00100A8B" w:rsidRPr="0029490A" w:rsidRDefault="00100A8B" w:rsidP="005820CD">
            <w:pPr>
              <w:pStyle w:val="Marginlie"/>
              <w:rPr>
                <w:spacing w:val="-6"/>
              </w:rPr>
            </w:pPr>
          </w:p>
          <w:p w14:paraId="7888FFAF" w14:textId="77777777" w:rsidR="00100A8B" w:rsidRPr="0029490A" w:rsidRDefault="00100A8B" w:rsidP="005820CD">
            <w:pPr>
              <w:pStyle w:val="Marginlie"/>
              <w:rPr>
                <w:spacing w:val="-6"/>
              </w:rPr>
            </w:pPr>
          </w:p>
          <w:p w14:paraId="3AC5DFB3" w14:textId="77777777" w:rsidR="00100A8B" w:rsidRPr="0029490A" w:rsidRDefault="00100A8B" w:rsidP="005820CD">
            <w:pPr>
              <w:pStyle w:val="Marginlie"/>
              <w:rPr>
                <w:spacing w:val="-6"/>
              </w:rPr>
            </w:pPr>
            <w:r w:rsidRPr="0029490A">
              <w:rPr>
                <w:spacing w:val="-6"/>
              </w:rPr>
              <w:t>Trend snižování potenciálního rezervoáru pracovních sil z tuzemska se patrně zastavil.</w:t>
            </w:r>
          </w:p>
        </w:tc>
        <w:tc>
          <w:tcPr>
            <w:tcW w:w="216" w:type="dxa"/>
            <w:shd w:val="clear" w:color="auto" w:fill="auto"/>
            <w:tcMar>
              <w:left w:w="0" w:type="dxa"/>
            </w:tcMar>
          </w:tcPr>
          <w:p w14:paraId="5423AB12"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766B198" w14:textId="77777777" w:rsidR="00100A8B" w:rsidRPr="0029490A" w:rsidRDefault="00100A8B" w:rsidP="005820CD">
            <w:pPr>
              <w:spacing w:after="220"/>
              <w:rPr>
                <w:spacing w:val="-6"/>
              </w:rPr>
            </w:pPr>
            <w:r w:rsidRPr="0029490A">
              <w:rPr>
                <w:rFonts w:cs="Arial"/>
                <w:bCs/>
                <w:color w:val="000000"/>
                <w:spacing w:val="-6"/>
                <w:szCs w:val="20"/>
              </w:rPr>
              <w:t xml:space="preserve">Změny na trhu práce v 1. až 3. čtvrtletí 2020 se spíše než v nezaměstnanosti odrazily v posílení počtu </w:t>
            </w:r>
            <w:r w:rsidRPr="0029490A">
              <w:rPr>
                <w:rFonts w:cs="Arial"/>
                <w:bCs/>
                <w:color w:val="0D0D0D" w:themeColor="text1" w:themeTint="F2"/>
                <w:spacing w:val="-6"/>
                <w:szCs w:val="20"/>
              </w:rPr>
              <w:t xml:space="preserve">ekonomicky neaktivních. </w:t>
            </w:r>
            <w:r w:rsidRPr="0029490A">
              <w:rPr>
                <w:rFonts w:cs="Arial"/>
                <w:bCs/>
                <w:color w:val="000000"/>
                <w:spacing w:val="-6"/>
                <w:szCs w:val="20"/>
              </w:rPr>
              <w:t>Byť se tento počet zvyšoval i po většinu loňského roku, k významnému zrychlení meziročního tempa došlo až letos. Na počátku roku činil nárůst 59 tis. osob, ve 2. čtvrtletí již 86 tis. (nejvíce v historii ČR), ve 3. čtvrtletí pak 55 tis. Více přibývalo neaktivních žen, zejména ve věku do 45 let. U mužů šlo primárně o osoby nad 60 let. Pro tyto skupiny je typické mimo jiné častější využívání zkrácených úvazků a práce na dobu určitou. Nelze vyloučit, že část těchto osob se z pracovního trhu stáhla jen dočasně. Počet ekonomicky neaktivních uvádějících záměr pracovat byl ve 2. i 3. čtvrtletí 2020 meziročně mírně vyšší. Více než čtyři roky trvající trend redukce této potenciální pracovní mezery se tak patrně zastavil.</w:t>
            </w:r>
          </w:p>
        </w:tc>
      </w:tr>
      <w:tr w:rsidR="00100A8B" w:rsidRPr="0029490A" w14:paraId="5B3F936C" w14:textId="77777777" w:rsidTr="005820CD">
        <w:trPr>
          <w:trHeight w:val="145"/>
        </w:trPr>
        <w:tc>
          <w:tcPr>
            <w:tcW w:w="1792" w:type="dxa"/>
            <w:shd w:val="clear" w:color="auto" w:fill="auto"/>
            <w:tcMar>
              <w:left w:w="0" w:type="dxa"/>
            </w:tcMar>
          </w:tcPr>
          <w:p w14:paraId="652B0E08" w14:textId="77777777" w:rsidR="00100A8B" w:rsidRPr="0029490A" w:rsidRDefault="00100A8B" w:rsidP="005820CD">
            <w:pPr>
              <w:pStyle w:val="Marginlie"/>
              <w:rPr>
                <w:spacing w:val="-6"/>
              </w:rPr>
            </w:pPr>
            <w:r w:rsidRPr="0029490A">
              <w:rPr>
                <w:spacing w:val="-6"/>
              </w:rPr>
              <w:lastRenderedPageBreak/>
              <w:t>Obecná míra nezaměstnanosti vzrostla ve 2. čtvrtletí mírně, ve 3. čtvrtletí stagnovala.</w:t>
            </w:r>
          </w:p>
          <w:p w14:paraId="3FC63D32" w14:textId="77777777" w:rsidR="00100A8B" w:rsidRPr="0029490A" w:rsidRDefault="00100A8B" w:rsidP="005820CD">
            <w:pPr>
              <w:pStyle w:val="Marginlie"/>
              <w:rPr>
                <w:spacing w:val="-6"/>
              </w:rPr>
            </w:pPr>
          </w:p>
          <w:p w14:paraId="33267D68" w14:textId="77777777" w:rsidR="00100A8B" w:rsidRPr="0029490A" w:rsidRDefault="00100A8B" w:rsidP="005820CD">
            <w:pPr>
              <w:pStyle w:val="Marginlie"/>
              <w:rPr>
                <w:spacing w:val="-6"/>
              </w:rPr>
            </w:pPr>
          </w:p>
          <w:p w14:paraId="66A5DB3E" w14:textId="77777777" w:rsidR="00100A8B" w:rsidRPr="0029490A" w:rsidRDefault="00100A8B" w:rsidP="005820CD">
            <w:pPr>
              <w:pStyle w:val="Marginlie"/>
              <w:rPr>
                <w:spacing w:val="-6"/>
              </w:rPr>
            </w:pPr>
          </w:p>
          <w:p w14:paraId="03D8B8E9" w14:textId="77777777" w:rsidR="00100A8B" w:rsidRPr="0029490A" w:rsidRDefault="00100A8B" w:rsidP="005820CD">
            <w:pPr>
              <w:pStyle w:val="Marginlie"/>
              <w:rPr>
                <w:spacing w:val="-6"/>
              </w:rPr>
            </w:pPr>
            <w:r w:rsidRPr="0029490A">
              <w:rPr>
                <w:spacing w:val="-6"/>
              </w:rPr>
              <w:t>Proti citelnějšímu růstu nezaměstnanosti působilo letní oživení průmyslu i vládní stabilizační programy.</w:t>
            </w:r>
          </w:p>
        </w:tc>
        <w:tc>
          <w:tcPr>
            <w:tcW w:w="216" w:type="dxa"/>
            <w:shd w:val="clear" w:color="auto" w:fill="auto"/>
            <w:tcMar>
              <w:left w:w="0" w:type="dxa"/>
            </w:tcMar>
          </w:tcPr>
          <w:p w14:paraId="2C3A7EE3"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5B22A5CD" w14:textId="77777777" w:rsidR="00100A8B" w:rsidRPr="0029490A" w:rsidRDefault="00100A8B" w:rsidP="005820CD">
            <w:pPr>
              <w:spacing w:after="220"/>
              <w:rPr>
                <w:color w:val="0D0D0D" w:themeColor="text1" w:themeTint="F2"/>
                <w:spacing w:val="-6"/>
              </w:rPr>
            </w:pPr>
            <w:r w:rsidRPr="0029490A">
              <w:rPr>
                <w:color w:val="0D0D0D" w:themeColor="text1" w:themeTint="F2"/>
                <w:spacing w:val="-6"/>
              </w:rPr>
              <w:t>Obecná míra nezaměstnanosti</w:t>
            </w:r>
            <w:r w:rsidRPr="0029490A">
              <w:rPr>
                <w:rStyle w:val="Znakapoznpodarou"/>
                <w:color w:val="0D0D0D" w:themeColor="text1" w:themeTint="F2"/>
                <w:spacing w:val="-6"/>
              </w:rPr>
              <w:footnoteReference w:id="8"/>
            </w:r>
            <w:r w:rsidRPr="0029490A">
              <w:rPr>
                <w:color w:val="0D0D0D" w:themeColor="text1" w:themeTint="F2"/>
                <w:spacing w:val="-6"/>
              </w:rPr>
              <w:t xml:space="preserve"> v 1. pololetí 2020 mírně vzrostla. Jestliže v únoru činila 2,0 % a setrvávala blízko historického minima, do června vystoupala na 2,7 %. Během letního období nedoznala významnějších změn</w:t>
            </w:r>
            <w:r w:rsidRPr="0029490A">
              <w:rPr>
                <w:rStyle w:val="Znakapoznpodarou"/>
                <w:color w:val="0D0D0D" w:themeColor="text1" w:themeTint="F2"/>
                <w:spacing w:val="-6"/>
              </w:rPr>
              <w:footnoteReference w:id="9"/>
            </w:r>
            <w:r w:rsidRPr="0029490A">
              <w:rPr>
                <w:color w:val="0D0D0D" w:themeColor="text1" w:themeTint="F2"/>
                <w:spacing w:val="-6"/>
              </w:rPr>
              <w:t>. V září tak bylo bez práce 2,5 % ekonomicky aktivních mužů a 3,2 % žen. Ve srovnání s koncem roku 2019 se nezaměstnanost navýšila u mužů o 0,7 p. b., u žen o 0,9 p. b. Proti citelnějšímu růstu působily zejména vládní stabilizační programy (Antivirus</w:t>
            </w:r>
            <w:r w:rsidRPr="0029490A">
              <w:rPr>
                <w:rStyle w:val="Znakapoznpodarou"/>
                <w:color w:val="0D0D0D" w:themeColor="text1" w:themeTint="F2"/>
                <w:spacing w:val="-6"/>
              </w:rPr>
              <w:footnoteReference w:id="10"/>
            </w:r>
            <w:r w:rsidRPr="0029490A">
              <w:rPr>
                <w:color w:val="0D0D0D" w:themeColor="text1" w:themeTint="F2"/>
                <w:spacing w:val="-6"/>
              </w:rPr>
              <w:t>, ošetřovné</w:t>
            </w:r>
            <w:r w:rsidRPr="0029490A">
              <w:rPr>
                <w:rStyle w:val="Znakapoznpodarou"/>
                <w:color w:val="0D0D0D" w:themeColor="text1" w:themeTint="F2"/>
                <w:spacing w:val="-6"/>
              </w:rPr>
              <w:footnoteReference w:id="11"/>
            </w:r>
            <w:r w:rsidRPr="0029490A">
              <w:rPr>
                <w:color w:val="0D0D0D" w:themeColor="text1" w:themeTint="F2"/>
                <w:spacing w:val="-6"/>
              </w:rPr>
              <w:t xml:space="preserve">). Roli sehrálo také postupné oživení ekonomické aktivity, zejména v průmyslu. </w:t>
            </w:r>
            <w:r w:rsidRPr="0029490A">
              <w:rPr>
                <w:spacing w:val="-6"/>
              </w:rPr>
              <w:t>Pozitivní bylo, že práci stále nacházeli i dlouhodobě nezaměstnaní. Jejich počet meziročně stagnoval a v relaci k celkovému počtu nezaměstnaných (154 tis.) sestoupil k 20 % </w:t>
            </w:r>
            <w:r w:rsidRPr="0029490A">
              <w:rPr>
                <w:rFonts w:cs="Arial"/>
                <w:bCs/>
                <w:color w:val="000000"/>
                <w:spacing w:val="-6"/>
                <w:szCs w:val="20"/>
              </w:rPr>
              <w:t>–</w:t>
            </w:r>
            <w:r w:rsidRPr="0029490A">
              <w:rPr>
                <w:spacing w:val="-6"/>
              </w:rPr>
              <w:t xml:space="preserve"> nejníže od poloviny 90. let. S mírným posílením reálné nezaměstnanosti ostře kontrastovaly obavy domácností z růstu nezaměstnanosti. Ty dosáhly v listopadu</w:t>
            </w:r>
            <w:r w:rsidRPr="0029490A">
              <w:rPr>
                <w:rStyle w:val="Znakapoznpodarou"/>
                <w:spacing w:val="-6"/>
              </w:rPr>
              <w:footnoteReference w:id="12"/>
            </w:r>
            <w:r w:rsidRPr="0029490A">
              <w:rPr>
                <w:spacing w:val="-6"/>
              </w:rPr>
              <w:t xml:space="preserve"> nejvyšší úrovně od počátku roku 2009.</w:t>
            </w:r>
          </w:p>
        </w:tc>
      </w:tr>
      <w:tr w:rsidR="00100A8B" w:rsidRPr="0029490A" w14:paraId="50189358" w14:textId="77777777" w:rsidTr="005820CD">
        <w:trPr>
          <w:trHeight w:val="155"/>
        </w:trPr>
        <w:tc>
          <w:tcPr>
            <w:tcW w:w="1792" w:type="dxa"/>
            <w:vMerge w:val="restart"/>
            <w:shd w:val="clear" w:color="auto" w:fill="auto"/>
            <w:tcMar>
              <w:left w:w="0" w:type="dxa"/>
            </w:tcMar>
          </w:tcPr>
          <w:p w14:paraId="310769EE" w14:textId="77777777" w:rsidR="00100A8B" w:rsidRPr="0029490A" w:rsidRDefault="00100A8B" w:rsidP="005820CD">
            <w:pPr>
              <w:pStyle w:val="Marginlie"/>
              <w:rPr>
                <w:spacing w:val="-6"/>
              </w:rPr>
            </w:pPr>
          </w:p>
        </w:tc>
        <w:tc>
          <w:tcPr>
            <w:tcW w:w="216" w:type="dxa"/>
            <w:vMerge w:val="restart"/>
            <w:shd w:val="clear" w:color="auto" w:fill="auto"/>
            <w:tcMar>
              <w:left w:w="0" w:type="dxa"/>
            </w:tcMar>
          </w:tcPr>
          <w:p w14:paraId="0477A52F"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D08A7C1" w14:textId="3C1AF952" w:rsidR="00100A8B" w:rsidRPr="0029490A" w:rsidRDefault="00142B29" w:rsidP="005820CD">
            <w:pPr>
              <w:spacing w:after="0"/>
              <w:rPr>
                <w:b/>
                <w:spacing w:val="-6"/>
              </w:rPr>
            </w:pPr>
            <w:r>
              <w:rPr>
                <w:b/>
                <w:spacing w:val="-6"/>
              </w:rPr>
              <w:t>Graf č. 13</w:t>
            </w:r>
            <w:r w:rsidR="00100A8B" w:rsidRPr="0029490A">
              <w:rPr>
                <w:b/>
                <w:spacing w:val="-6"/>
              </w:rPr>
              <w:t xml:space="preserve">  </w:t>
            </w:r>
            <w:r w:rsidR="00100A8B" w:rsidRPr="0029490A">
              <w:rPr>
                <w:rFonts w:cs="Arial"/>
                <w:b/>
                <w:spacing w:val="-6"/>
              </w:rPr>
              <w:t xml:space="preserve">Obecná míra nezaměstnanosti </w:t>
            </w:r>
            <w:r w:rsidR="00100A8B" w:rsidRPr="0029490A">
              <w:rPr>
                <w:rFonts w:cs="Arial"/>
                <w:bCs/>
                <w:spacing w:val="-6"/>
              </w:rPr>
              <w:t>(v %)</w:t>
            </w:r>
            <w:r w:rsidR="00100A8B" w:rsidRPr="0029490A">
              <w:rPr>
                <w:rFonts w:cs="Arial"/>
                <w:b/>
                <w:spacing w:val="-6"/>
              </w:rPr>
              <w:t xml:space="preserve">, podíl dlouhodobě nezaměstnaných a osob ve věku 50 a více let mezi nezaměstnanými </w:t>
            </w:r>
            <w:r w:rsidR="00100A8B" w:rsidRPr="0029490A">
              <w:rPr>
                <w:rFonts w:cs="Arial"/>
                <w:bCs/>
                <w:spacing w:val="-6"/>
              </w:rPr>
              <w:t>(v %)</w:t>
            </w:r>
            <w:r w:rsidR="00100A8B" w:rsidRPr="0029490A">
              <w:rPr>
                <w:rFonts w:cs="Arial"/>
                <w:b/>
                <w:spacing w:val="-6"/>
              </w:rPr>
              <w:t xml:space="preserve">, ekonomicky neaktivní chtějící pracovat </w:t>
            </w:r>
            <w:r w:rsidR="00100A8B" w:rsidRPr="0029490A">
              <w:rPr>
                <w:rFonts w:cs="Arial"/>
                <w:bCs/>
                <w:spacing w:val="-6"/>
              </w:rPr>
              <w:t xml:space="preserve">(v tis.)* </w:t>
            </w:r>
            <w:r w:rsidR="00100A8B" w:rsidRPr="0029490A">
              <w:rPr>
                <w:rFonts w:cs="Arial"/>
                <w:b/>
                <w:bCs/>
                <w:spacing w:val="-6"/>
              </w:rPr>
              <w:t>a očekávání nezaměstnanosti u domácností</w:t>
            </w:r>
            <w:r w:rsidR="00100A8B" w:rsidRPr="0029490A">
              <w:rPr>
                <w:rFonts w:cs="Arial"/>
                <w:bCs/>
                <w:spacing w:val="-6"/>
              </w:rPr>
              <w:t xml:space="preserve"> (v %)**</w:t>
            </w:r>
          </w:p>
        </w:tc>
      </w:tr>
      <w:tr w:rsidR="00100A8B" w:rsidRPr="0029490A" w14:paraId="3B3578AD" w14:textId="77777777" w:rsidTr="005820CD">
        <w:tblPrEx>
          <w:tblCellMar>
            <w:left w:w="70" w:type="dxa"/>
            <w:right w:w="70" w:type="dxa"/>
          </w:tblCellMar>
        </w:tblPrEx>
        <w:trPr>
          <w:trHeight w:val="155"/>
        </w:trPr>
        <w:tc>
          <w:tcPr>
            <w:tcW w:w="1792" w:type="dxa"/>
            <w:vMerge/>
            <w:shd w:val="clear" w:color="auto" w:fill="auto"/>
          </w:tcPr>
          <w:p w14:paraId="59D9771A" w14:textId="77777777" w:rsidR="00100A8B" w:rsidRPr="0029490A" w:rsidRDefault="00100A8B" w:rsidP="005820CD">
            <w:pPr>
              <w:pStyle w:val="Marginlie"/>
              <w:rPr>
                <w:spacing w:val="-6"/>
              </w:rPr>
            </w:pPr>
          </w:p>
        </w:tc>
        <w:tc>
          <w:tcPr>
            <w:tcW w:w="216" w:type="dxa"/>
            <w:vMerge/>
            <w:shd w:val="clear" w:color="auto" w:fill="auto"/>
          </w:tcPr>
          <w:p w14:paraId="06BAFC03" w14:textId="77777777" w:rsidR="00100A8B" w:rsidRPr="0029490A" w:rsidRDefault="00100A8B" w:rsidP="005820CD">
            <w:pPr>
              <w:pStyle w:val="Textpoznpodarou"/>
              <w:jc w:val="both"/>
              <w:rPr>
                <w:spacing w:val="-6"/>
              </w:rPr>
            </w:pPr>
          </w:p>
        </w:tc>
        <w:tc>
          <w:tcPr>
            <w:tcW w:w="7656" w:type="dxa"/>
            <w:shd w:val="clear" w:color="auto" w:fill="auto"/>
          </w:tcPr>
          <w:p w14:paraId="4E62B137" w14:textId="77777777" w:rsidR="00100A8B" w:rsidRPr="0029490A" w:rsidRDefault="00100A8B" w:rsidP="005820CD">
            <w:pPr>
              <w:spacing w:after="0"/>
              <w:rPr>
                <w:spacing w:val="-6"/>
              </w:rPr>
            </w:pPr>
            <w:r w:rsidRPr="0029490A">
              <w:rPr>
                <w:noProof/>
                <w:spacing w:val="-6"/>
              </w:rPr>
              <w:drawing>
                <wp:inline distT="0" distB="0" distL="0" distR="0" wp14:anchorId="52E9C16D" wp14:editId="6CAE6114">
                  <wp:extent cx="4726940" cy="341194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00A8B" w:rsidRPr="0029490A" w14:paraId="6DA85841" w14:textId="77777777" w:rsidTr="005820CD">
        <w:trPr>
          <w:trHeight w:val="671"/>
        </w:trPr>
        <w:tc>
          <w:tcPr>
            <w:tcW w:w="1792" w:type="dxa"/>
            <w:vMerge/>
            <w:shd w:val="clear" w:color="auto" w:fill="auto"/>
            <w:tcMar>
              <w:left w:w="0" w:type="dxa"/>
            </w:tcMar>
          </w:tcPr>
          <w:p w14:paraId="0D635BB1" w14:textId="77777777" w:rsidR="00100A8B" w:rsidRPr="0029490A" w:rsidRDefault="00100A8B" w:rsidP="005820CD">
            <w:pPr>
              <w:pStyle w:val="Marginlie"/>
              <w:rPr>
                <w:spacing w:val="-6"/>
              </w:rPr>
            </w:pPr>
          </w:p>
        </w:tc>
        <w:tc>
          <w:tcPr>
            <w:tcW w:w="216" w:type="dxa"/>
            <w:vMerge/>
            <w:shd w:val="clear" w:color="auto" w:fill="auto"/>
            <w:tcMar>
              <w:left w:w="0" w:type="dxa"/>
            </w:tcMar>
          </w:tcPr>
          <w:p w14:paraId="37C15CC8"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10114970" w14:textId="77777777" w:rsidR="00100A8B" w:rsidRPr="0029490A" w:rsidRDefault="00100A8B" w:rsidP="005820CD">
            <w:pPr>
              <w:spacing w:after="0" w:line="240" w:lineRule="auto"/>
              <w:rPr>
                <w:rFonts w:cs="Arial"/>
                <w:color w:val="0D0D0D" w:themeColor="text1" w:themeTint="F2"/>
                <w:spacing w:val="-6"/>
                <w:sz w:val="14"/>
                <w:szCs w:val="14"/>
              </w:rPr>
            </w:pPr>
            <w:r w:rsidRPr="0029490A">
              <w:rPr>
                <w:rFonts w:cs="Arial"/>
                <w:color w:val="0D0D0D" w:themeColor="text1" w:themeTint="F2"/>
                <w:spacing w:val="-6"/>
                <w:sz w:val="14"/>
                <w:szCs w:val="14"/>
              </w:rPr>
              <w:t>Pozn.: Údaje o míře nezaměstnanosti jsou po sezónním očištění, ostatní ukazatele nikoliv.</w:t>
            </w:r>
          </w:p>
          <w:p w14:paraId="023B0CEE" w14:textId="77777777" w:rsidR="00100A8B" w:rsidRPr="0029490A" w:rsidRDefault="00100A8B" w:rsidP="005820CD">
            <w:pPr>
              <w:spacing w:after="0" w:line="240" w:lineRule="auto"/>
              <w:rPr>
                <w:rFonts w:cs="Arial"/>
                <w:color w:val="0D0D0D" w:themeColor="text1" w:themeTint="F2"/>
                <w:spacing w:val="-6"/>
                <w:sz w:val="14"/>
                <w:szCs w:val="14"/>
              </w:rPr>
            </w:pPr>
            <w:r w:rsidRPr="0029490A">
              <w:rPr>
                <w:rFonts w:cs="Arial"/>
                <w:bCs/>
                <w:color w:val="0D0D0D" w:themeColor="text1" w:themeTint="F2"/>
                <w:spacing w:val="-6"/>
                <w:sz w:val="14"/>
                <w:szCs w:val="14"/>
              </w:rPr>
              <w:t>*Jde o osoby, které nepracují, aktivně práci nehledají,</w:t>
            </w:r>
            <w:r w:rsidRPr="0029490A">
              <w:rPr>
                <w:rFonts w:cs="Arial"/>
                <w:color w:val="0D0D0D" w:themeColor="text1" w:themeTint="F2"/>
                <w:spacing w:val="-6"/>
                <w:sz w:val="14"/>
                <w:szCs w:val="14"/>
              </w:rPr>
              <w:t xml:space="preserve"> ale přitom uvádějí, že by chtěly pracovat.</w:t>
            </w:r>
          </w:p>
          <w:p w14:paraId="2E6BC5A0" w14:textId="77777777" w:rsidR="00100A8B" w:rsidRPr="0029490A" w:rsidRDefault="00100A8B" w:rsidP="005820CD">
            <w:pPr>
              <w:spacing w:after="0" w:line="240" w:lineRule="auto"/>
              <w:rPr>
                <w:rFonts w:cs="Arial"/>
                <w:color w:val="0D0D0D" w:themeColor="text1" w:themeTint="F2"/>
                <w:spacing w:val="-6"/>
                <w:sz w:val="14"/>
                <w:szCs w:val="14"/>
              </w:rPr>
            </w:pPr>
            <w:r w:rsidRPr="0029490A">
              <w:rPr>
                <w:rFonts w:cs="Arial"/>
                <w:color w:val="0D0D0D" w:themeColor="text1" w:themeTint="F2"/>
                <w:spacing w:val="-6"/>
                <w:sz w:val="14"/>
                <w:szCs w:val="14"/>
              </w:rPr>
              <w:t>**Sezónně očištěné saldo očekávání nezaměstnanosti v nejbližších 12 měsících (rozdíl mezi procentuální četností odpovědí domácností „růst“ a „pokles“ vyjádřený v procentních bodech). Údaje se vztahují k prostřednímu měsíci daného čtvrtletí.</w:t>
            </w:r>
          </w:p>
          <w:p w14:paraId="778969AF" w14:textId="77777777" w:rsidR="00100A8B" w:rsidRPr="0029490A" w:rsidRDefault="00100A8B" w:rsidP="005820CD">
            <w:pPr>
              <w:spacing w:after="200" w:line="240" w:lineRule="auto"/>
              <w:rPr>
                <w:rFonts w:cs="Arial"/>
                <w:color w:val="0D0D0D" w:themeColor="text1" w:themeTint="F2"/>
                <w:spacing w:val="-6"/>
                <w:sz w:val="14"/>
                <w:szCs w:val="14"/>
              </w:rPr>
            </w:pPr>
            <w:r w:rsidRPr="0029490A">
              <w:rPr>
                <w:rFonts w:cs="Arial"/>
                <w:color w:val="0D0D0D" w:themeColor="text1" w:themeTint="F2"/>
                <w:spacing w:val="-6"/>
                <w:sz w:val="14"/>
                <w:szCs w:val="14"/>
              </w:rPr>
              <w:t>Zdroj: ČSÚ (VŠPS, konjunkturální průzkum)</w:t>
            </w:r>
          </w:p>
        </w:tc>
      </w:tr>
      <w:tr w:rsidR="00100A8B" w:rsidRPr="0029490A" w14:paraId="76EBD8D1" w14:textId="77777777" w:rsidTr="005820CD">
        <w:trPr>
          <w:trHeight w:val="145"/>
        </w:trPr>
        <w:tc>
          <w:tcPr>
            <w:tcW w:w="1792" w:type="dxa"/>
            <w:shd w:val="clear" w:color="auto" w:fill="auto"/>
            <w:tcMar>
              <w:left w:w="0" w:type="dxa"/>
            </w:tcMar>
          </w:tcPr>
          <w:p w14:paraId="6E4EB537" w14:textId="77777777" w:rsidR="00100A8B" w:rsidRPr="0029490A" w:rsidRDefault="00100A8B" w:rsidP="005820CD">
            <w:pPr>
              <w:pStyle w:val="Marginlie"/>
              <w:rPr>
                <w:spacing w:val="-6"/>
              </w:rPr>
            </w:pPr>
            <w:r w:rsidRPr="0029490A">
              <w:rPr>
                <w:spacing w:val="-6"/>
              </w:rPr>
              <w:t>Počet volných pracovních míst se na přelomu 3. a 4. čtvrtletí výrazněji snížil. Přesto byl stále vyšší než počet uchazečů o práci.</w:t>
            </w:r>
          </w:p>
        </w:tc>
        <w:tc>
          <w:tcPr>
            <w:tcW w:w="216" w:type="dxa"/>
            <w:shd w:val="clear" w:color="auto" w:fill="auto"/>
            <w:tcMar>
              <w:left w:w="0" w:type="dxa"/>
            </w:tcMar>
          </w:tcPr>
          <w:p w14:paraId="5C8AE5B5"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579B2BCA" w14:textId="77777777" w:rsidR="00100A8B" w:rsidRPr="0029490A" w:rsidRDefault="00100A8B" w:rsidP="005820CD">
            <w:pPr>
              <w:spacing w:after="160"/>
              <w:rPr>
                <w:spacing w:val="-6"/>
              </w:rPr>
            </w:pPr>
            <w:r w:rsidRPr="0029490A">
              <w:rPr>
                <w:color w:val="0D0D0D" w:themeColor="text1" w:themeTint="F2"/>
                <w:spacing w:val="-6"/>
              </w:rPr>
              <w:t xml:space="preserve">Počet volných pracovních míst v nabídce </w:t>
            </w:r>
            <w:r w:rsidRPr="0029490A">
              <w:rPr>
                <w:spacing w:val="-6"/>
              </w:rPr>
              <w:t xml:space="preserve">úřadů práce se po dosažení absolutního maxima z února 2020 (352 tis.) snižoval. Větší úbytek byl hlášen zejména během září a října. Na konci října bylo nabízeno 311 tis. míst, nejméně za posledních 27 měsíců. Meziročně se celková nabídka snížila o 8 %, z toho v kategorii míst pro osoby s nižším středním odborným vzděláním a vyučené o 23 %. Pozic ale ubylo i pro uchazeče s ostatními stupni vzdělání. Pokles počtu míst byl v zásadě plošný také u hlavních tříd zaměstnání. Ve váhově dominantní kategorii – obsluha strojů a zařízení – činil 14 %. Přibyla místa jen pro kvalifikované </w:t>
            </w:r>
            <w:r w:rsidRPr="0029490A">
              <w:rPr>
                <w:spacing w:val="-6"/>
              </w:rPr>
              <w:lastRenderedPageBreak/>
              <w:t>pracovníky v zemědělství a lesnictví. Počet všech nabízených míst stále mírně převyšoval počet registrovaných uchazečů (272 tis.)</w:t>
            </w:r>
            <w:r w:rsidRPr="0029490A">
              <w:rPr>
                <w:rStyle w:val="Znakapoznpodarou"/>
                <w:spacing w:val="-6"/>
              </w:rPr>
              <w:footnoteReference w:id="13"/>
            </w:r>
            <w:r w:rsidRPr="0029490A">
              <w:rPr>
                <w:spacing w:val="-6"/>
              </w:rPr>
              <w:t>.</w:t>
            </w:r>
          </w:p>
        </w:tc>
      </w:tr>
      <w:tr w:rsidR="00100A8B" w:rsidRPr="0029490A" w14:paraId="0B548949" w14:textId="77777777" w:rsidTr="005820CD">
        <w:trPr>
          <w:trHeight w:val="145"/>
        </w:trPr>
        <w:tc>
          <w:tcPr>
            <w:tcW w:w="1792" w:type="dxa"/>
            <w:shd w:val="clear" w:color="auto" w:fill="auto"/>
            <w:tcMar>
              <w:left w:w="0" w:type="dxa"/>
            </w:tcMar>
          </w:tcPr>
          <w:p w14:paraId="50E9D478" w14:textId="77777777" w:rsidR="00100A8B" w:rsidRPr="0029490A" w:rsidRDefault="00100A8B" w:rsidP="005820CD">
            <w:pPr>
              <w:pStyle w:val="Marginlie"/>
              <w:rPr>
                <w:spacing w:val="-6"/>
              </w:rPr>
            </w:pPr>
            <w:r w:rsidRPr="0029490A">
              <w:rPr>
                <w:spacing w:val="-6"/>
              </w:rPr>
              <w:lastRenderedPageBreak/>
              <w:t>Celková míra nezaměstnanosti se za tři čtvrtletí 2020 ve většině států EU zvýšila jen mírně. Svižněji posílila u lidí do 25 let.</w:t>
            </w:r>
          </w:p>
          <w:p w14:paraId="3588D3E4" w14:textId="77777777" w:rsidR="00100A8B" w:rsidRPr="0029490A" w:rsidRDefault="00100A8B" w:rsidP="005820CD">
            <w:pPr>
              <w:pStyle w:val="Marginlie"/>
              <w:rPr>
                <w:spacing w:val="-6"/>
              </w:rPr>
            </w:pPr>
          </w:p>
          <w:p w14:paraId="5D359291" w14:textId="77777777" w:rsidR="00100A8B" w:rsidRPr="0029490A" w:rsidRDefault="00100A8B" w:rsidP="005820CD">
            <w:pPr>
              <w:pStyle w:val="Marginlie"/>
              <w:rPr>
                <w:spacing w:val="-6"/>
              </w:rPr>
            </w:pPr>
          </w:p>
          <w:p w14:paraId="6B449C1D" w14:textId="77777777" w:rsidR="00100A8B" w:rsidRPr="0029490A" w:rsidRDefault="00100A8B" w:rsidP="005820CD">
            <w:pPr>
              <w:pStyle w:val="Marginlie"/>
              <w:rPr>
                <w:spacing w:val="-6"/>
              </w:rPr>
            </w:pPr>
          </w:p>
          <w:p w14:paraId="422603C3" w14:textId="77777777" w:rsidR="00100A8B" w:rsidRPr="0029490A" w:rsidRDefault="00100A8B" w:rsidP="005820CD">
            <w:pPr>
              <w:pStyle w:val="Marginlie"/>
              <w:rPr>
                <w:spacing w:val="-6"/>
              </w:rPr>
            </w:pPr>
          </w:p>
          <w:p w14:paraId="476B3A2A" w14:textId="77777777" w:rsidR="00100A8B" w:rsidRPr="0029490A" w:rsidRDefault="00100A8B" w:rsidP="005820CD">
            <w:pPr>
              <w:pStyle w:val="Marginlie"/>
              <w:rPr>
                <w:spacing w:val="-6"/>
              </w:rPr>
            </w:pPr>
          </w:p>
          <w:p w14:paraId="77A32D6E" w14:textId="77777777" w:rsidR="00100A8B" w:rsidRPr="0029490A" w:rsidRDefault="00100A8B" w:rsidP="005820CD">
            <w:pPr>
              <w:pStyle w:val="Marginlie"/>
              <w:rPr>
                <w:spacing w:val="-6"/>
              </w:rPr>
            </w:pPr>
          </w:p>
          <w:p w14:paraId="4A12BC70" w14:textId="77777777" w:rsidR="00100A8B" w:rsidRPr="0029490A" w:rsidRDefault="00100A8B" w:rsidP="005820CD">
            <w:pPr>
              <w:pStyle w:val="Marginlie"/>
              <w:rPr>
                <w:spacing w:val="-6"/>
              </w:rPr>
            </w:pPr>
          </w:p>
          <w:p w14:paraId="4BD3E8AF" w14:textId="77777777" w:rsidR="00100A8B" w:rsidRPr="0029490A" w:rsidRDefault="00100A8B" w:rsidP="005820CD">
            <w:pPr>
              <w:pStyle w:val="Marginlie"/>
              <w:rPr>
                <w:spacing w:val="-6"/>
              </w:rPr>
            </w:pPr>
          </w:p>
          <w:p w14:paraId="1B924CCE" w14:textId="77777777" w:rsidR="00100A8B" w:rsidRPr="0029490A" w:rsidRDefault="00100A8B" w:rsidP="005820CD">
            <w:pPr>
              <w:pStyle w:val="Marginlie"/>
              <w:rPr>
                <w:spacing w:val="-6"/>
              </w:rPr>
            </w:pPr>
          </w:p>
          <w:p w14:paraId="56993C66" w14:textId="77777777" w:rsidR="00100A8B" w:rsidRPr="0029490A" w:rsidRDefault="00100A8B" w:rsidP="005820CD">
            <w:pPr>
              <w:pStyle w:val="Marginlie"/>
              <w:rPr>
                <w:spacing w:val="-6"/>
              </w:rPr>
            </w:pPr>
            <w:r w:rsidRPr="0029490A">
              <w:rPr>
                <w:spacing w:val="-6"/>
              </w:rPr>
              <w:t>Reakce pracovního trhu v USA na pandemický šok byla ve srovnání s EU silná.</w:t>
            </w:r>
          </w:p>
        </w:tc>
        <w:tc>
          <w:tcPr>
            <w:tcW w:w="216" w:type="dxa"/>
            <w:shd w:val="clear" w:color="auto" w:fill="auto"/>
            <w:tcMar>
              <w:left w:w="0" w:type="dxa"/>
            </w:tcMar>
          </w:tcPr>
          <w:p w14:paraId="4FAEEC6C"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04B0BD23" w14:textId="77777777" w:rsidR="00100A8B" w:rsidRPr="0029490A" w:rsidRDefault="00100A8B" w:rsidP="005820CD">
            <w:pPr>
              <w:spacing w:after="160"/>
              <w:rPr>
                <w:spacing w:val="-6"/>
              </w:rPr>
            </w:pPr>
            <w:r w:rsidRPr="0029490A">
              <w:rPr>
                <w:spacing w:val="-6"/>
              </w:rPr>
              <w:t>Míra obecné nezaměstnanosti</w:t>
            </w:r>
            <w:r w:rsidRPr="0029490A">
              <w:rPr>
                <w:rStyle w:val="Znakapoznpodarou"/>
                <w:color w:val="0D0D0D" w:themeColor="text1" w:themeTint="F2"/>
                <w:spacing w:val="-6"/>
              </w:rPr>
              <w:footnoteReference w:id="14"/>
            </w:r>
            <w:r w:rsidRPr="0029490A">
              <w:rPr>
                <w:spacing w:val="-6"/>
              </w:rPr>
              <w:t xml:space="preserve"> vzrostla mezi prosincem 2019 a zářím 2020 v drtivé většině zemí EU jen mírně (v celé Unii o 1,0 p. b., v ČR o 0,8). Nárůst o více než 3 p. b. zaznamenaly jen Estonsko a Litva. Shodně jako v Česku, i v celé EU sílila rychleji míra nezaměstnanosti žen (ze 6,8 % na 7,9 %) než mužů (ze 6,3 % na 7,1 %). Míra nezaměstnanosti mužů i žen v ČR se i v září nacházela v rámci států Unie na minimu. Na opačné straně spektra figurovalo Španělsko (14,6 %, muži), resp. Řecko (20,2 %, ženy). Silněji byli letos zasaženi nejmladší pracovníci. Míra nezaměstnanosti osob do 25 let vzrostla v EU za tři čtvrtletí 2020 o 2,3 p. b. (na 17,1 %), v ČR o 3,2 p. b. (na 8,1 %). K růstu o více než 10 p. b. došlo v Litvě, Estonsku a také ve Španělsku, kde bylo v září v této skupině bez práce 40 % lidí. Rozdíly mezi státy EU v dosavadních dopadech šoku na pracovní trh byly ovlivněny rychlostí i intenzitou přijatých </w:t>
            </w:r>
            <w:proofErr w:type="spellStart"/>
            <w:r w:rsidRPr="0029490A">
              <w:rPr>
                <w:spacing w:val="-6"/>
              </w:rPr>
              <w:t>protipandemických</w:t>
            </w:r>
            <w:proofErr w:type="spellEnd"/>
            <w:r w:rsidRPr="0029490A">
              <w:rPr>
                <w:spacing w:val="-6"/>
              </w:rPr>
              <w:t xml:space="preserve"> opatření, odvětvovou skladbou ekonomiky i rozsahem </w:t>
            </w:r>
            <w:r w:rsidRPr="0029490A">
              <w:rPr>
                <w:spacing w:val="-6"/>
                <w:szCs w:val="20"/>
              </w:rPr>
              <w:t>vládních stabilizačních opatření cílených na zaměstnavatele i drobné podnikatele. Odlišně reagoval na „pandemický šok“ flexibilnější pracovní trh v USA. Zatímco v březnu zde míra nezaměstnanosti dosahovala 4,4 %, v dubnu stoupla na 14,7 %. V dalších měsících již setrvale klesala. V září činila 7,9 %, a byla tak o 2 p. b. nižší než za vrcholu recese v roce 2009.</w:t>
            </w:r>
          </w:p>
        </w:tc>
      </w:tr>
      <w:tr w:rsidR="00100A8B" w:rsidRPr="0029490A" w14:paraId="514EA796" w14:textId="77777777" w:rsidTr="005820CD">
        <w:trPr>
          <w:trHeight w:val="145"/>
        </w:trPr>
        <w:tc>
          <w:tcPr>
            <w:tcW w:w="1792" w:type="dxa"/>
            <w:shd w:val="clear" w:color="auto" w:fill="auto"/>
            <w:tcMar>
              <w:left w:w="0" w:type="dxa"/>
            </w:tcMar>
          </w:tcPr>
          <w:p w14:paraId="45237762" w14:textId="77777777" w:rsidR="00100A8B" w:rsidRPr="0029490A" w:rsidRDefault="00100A8B" w:rsidP="005820CD">
            <w:pPr>
              <w:pStyle w:val="Marginlie"/>
              <w:rPr>
                <w:spacing w:val="-6"/>
              </w:rPr>
            </w:pPr>
            <w:r w:rsidRPr="0029490A">
              <w:rPr>
                <w:spacing w:val="-6"/>
              </w:rPr>
              <w:t>Meziroční růst průměrných mezd v ekonomice se v letním období vrátil k tempu z počátku roku. To ale neplatilo pro většinu tržních odvětví, kde trend oslabování mezd pokračoval.</w:t>
            </w:r>
          </w:p>
        </w:tc>
        <w:tc>
          <w:tcPr>
            <w:tcW w:w="216" w:type="dxa"/>
            <w:shd w:val="clear" w:color="auto" w:fill="auto"/>
            <w:tcMar>
              <w:left w:w="0" w:type="dxa"/>
            </w:tcMar>
          </w:tcPr>
          <w:p w14:paraId="7CA7B77A"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4936AB19" w14:textId="77777777" w:rsidR="00100A8B" w:rsidRPr="0029490A" w:rsidRDefault="00100A8B" w:rsidP="005820CD">
            <w:pPr>
              <w:spacing w:after="200"/>
              <w:rPr>
                <w:spacing w:val="-6"/>
              </w:rPr>
            </w:pPr>
            <w:r w:rsidRPr="0029490A">
              <w:rPr>
                <w:spacing w:val="-6"/>
              </w:rPr>
              <w:t>Průměrná hrubá měsíční nominální mzda zaměstnance ve 3. čtvrtletí 2020 dosáhla 35,4 tis. korun a meziročně vzrostla o 5,1 %. Proti předchozímu čtvrtletí se navýšila o 5,8 %. Tehdy však byly mzdy výrazně ovlivněny bezprecedentním poklesem počtu odpracovaných hodin. Z důvodu karanténních opatření i dlouhodobějšího poklesu poptávky došlo k omezení činnosti či dočasnému uzavření části provozoven hlavně v oblasti tržních služeb či zpracovatelského průmyslu</w:t>
            </w:r>
            <w:r w:rsidRPr="0029490A">
              <w:rPr>
                <w:rStyle w:val="Znakapoznpodarou"/>
                <w:color w:val="0D0D0D" w:themeColor="text1" w:themeTint="F2"/>
                <w:spacing w:val="-6"/>
              </w:rPr>
              <w:footnoteReference w:id="15"/>
            </w:r>
            <w:r w:rsidRPr="0029490A">
              <w:rPr>
                <w:spacing w:val="-6"/>
              </w:rPr>
              <w:t>. Důvody pro výše uvedené krácení mezd ve 3. čtvrtletí z velké části pominuly. Meziroční růst mezd v celé ekonomice se tak sice vrátil k tempu z 1. čtvrtletí (5,1 %), bylo to však téměř výhradně zásluhou jeho akcelerace v oblasti veřejných služeb, neboť v drtivé většině tržních odvětví (zejména v průmyslu či obchodu) pokračoval dlouhodobější trend oslabování mzdové dynamiky (patrný již během roku 2019). Na druhé straně proti hlubší redukci výše výdělků působily administrativní vlivy (navýšení minimální mzdy i pásem zaručených mezd) i napjatý stav na pracovním trhu na počátku roku (vyznačující se mimo jiné nedostatkem pracovní síly). Ten v některých odvětvích zčásti přetrvával i v letním období. Roli sehrála i rigidita mezd (uzavírání dlouhodobějších vnitropodnikových dohod o růstu mezd či tarifní systém v rozpočtové sféře).</w:t>
            </w:r>
          </w:p>
        </w:tc>
      </w:tr>
      <w:tr w:rsidR="00100A8B" w:rsidRPr="0029490A" w14:paraId="66A302B8" w14:textId="77777777" w:rsidTr="005820CD">
        <w:trPr>
          <w:trHeight w:val="145"/>
        </w:trPr>
        <w:tc>
          <w:tcPr>
            <w:tcW w:w="1792" w:type="dxa"/>
            <w:shd w:val="clear" w:color="auto" w:fill="auto"/>
            <w:tcMar>
              <w:left w:w="0" w:type="dxa"/>
            </w:tcMar>
          </w:tcPr>
          <w:p w14:paraId="51800699" w14:textId="77777777" w:rsidR="00100A8B" w:rsidRPr="0029490A" w:rsidRDefault="00100A8B" w:rsidP="005820CD">
            <w:pPr>
              <w:pStyle w:val="Marginlie"/>
              <w:rPr>
                <w:spacing w:val="-6"/>
              </w:rPr>
            </w:pPr>
            <w:r w:rsidRPr="0029490A">
              <w:rPr>
                <w:spacing w:val="-6"/>
              </w:rPr>
              <w:t>Mzdový růst ve zdravotní a sociální péči zrychlil na nejvyšší tempo od počátku roku 2003.</w:t>
            </w:r>
          </w:p>
          <w:p w14:paraId="378A0502" w14:textId="77777777" w:rsidR="00100A8B" w:rsidRPr="0029490A" w:rsidRDefault="00100A8B" w:rsidP="005820CD">
            <w:pPr>
              <w:pStyle w:val="Marginlie"/>
              <w:rPr>
                <w:spacing w:val="-6"/>
              </w:rPr>
            </w:pPr>
          </w:p>
          <w:p w14:paraId="44EEE702" w14:textId="77777777" w:rsidR="00100A8B" w:rsidRPr="0029490A" w:rsidRDefault="00100A8B" w:rsidP="005820CD">
            <w:pPr>
              <w:pStyle w:val="Marginlie"/>
              <w:rPr>
                <w:spacing w:val="-6"/>
              </w:rPr>
            </w:pPr>
          </w:p>
          <w:p w14:paraId="1C2103EE" w14:textId="77777777" w:rsidR="00100A8B" w:rsidRPr="0029490A" w:rsidRDefault="00100A8B" w:rsidP="005820CD">
            <w:pPr>
              <w:pStyle w:val="Marginlie"/>
              <w:rPr>
                <w:spacing w:val="-6"/>
              </w:rPr>
            </w:pPr>
          </w:p>
          <w:p w14:paraId="39A090E3" w14:textId="77777777" w:rsidR="00100A8B" w:rsidRPr="0029490A" w:rsidRDefault="00100A8B" w:rsidP="005820CD">
            <w:pPr>
              <w:pStyle w:val="Marginlie"/>
              <w:rPr>
                <w:spacing w:val="-6"/>
              </w:rPr>
            </w:pPr>
          </w:p>
          <w:p w14:paraId="5FE31C9F" w14:textId="77777777" w:rsidR="00100A8B" w:rsidRPr="0029490A" w:rsidRDefault="00100A8B" w:rsidP="005820CD">
            <w:pPr>
              <w:pStyle w:val="Marginlie"/>
              <w:rPr>
                <w:spacing w:val="-6"/>
              </w:rPr>
            </w:pPr>
          </w:p>
          <w:p w14:paraId="26CDD688" w14:textId="77777777" w:rsidR="00100A8B" w:rsidRPr="0029490A" w:rsidRDefault="00100A8B" w:rsidP="005820CD">
            <w:pPr>
              <w:pStyle w:val="Marginlie"/>
              <w:rPr>
                <w:spacing w:val="-6"/>
              </w:rPr>
            </w:pPr>
            <w:r w:rsidRPr="0029490A">
              <w:rPr>
                <w:spacing w:val="-6"/>
              </w:rPr>
              <w:t xml:space="preserve">Růst průměrných mezd v administrativních a podpůrných činnostech byl patrně ovlivněn větším propouštěním </w:t>
            </w:r>
            <w:proofErr w:type="spellStart"/>
            <w:r w:rsidRPr="0029490A">
              <w:rPr>
                <w:spacing w:val="-6"/>
              </w:rPr>
              <w:t>nízkovýdělkových</w:t>
            </w:r>
            <w:proofErr w:type="spellEnd"/>
            <w:r w:rsidRPr="0029490A">
              <w:rPr>
                <w:spacing w:val="-6"/>
              </w:rPr>
              <w:t xml:space="preserve"> agenturních pracovníků.</w:t>
            </w:r>
          </w:p>
          <w:p w14:paraId="41ABDFEB" w14:textId="77777777" w:rsidR="00100A8B" w:rsidRPr="0029490A" w:rsidRDefault="00100A8B" w:rsidP="005820CD">
            <w:pPr>
              <w:pStyle w:val="Marginlie"/>
              <w:rPr>
                <w:spacing w:val="-6"/>
              </w:rPr>
            </w:pPr>
          </w:p>
          <w:p w14:paraId="79BA2344" w14:textId="77777777" w:rsidR="00100A8B" w:rsidRPr="0029490A" w:rsidRDefault="00100A8B" w:rsidP="005820CD">
            <w:pPr>
              <w:pStyle w:val="Marginlie"/>
              <w:rPr>
                <w:spacing w:val="-6"/>
              </w:rPr>
            </w:pPr>
          </w:p>
          <w:p w14:paraId="74E7F34B" w14:textId="77777777" w:rsidR="00100A8B" w:rsidRPr="0029490A" w:rsidRDefault="00100A8B" w:rsidP="005820CD">
            <w:pPr>
              <w:pStyle w:val="Marginlie"/>
              <w:rPr>
                <w:spacing w:val="-6"/>
              </w:rPr>
            </w:pPr>
            <w:r w:rsidRPr="0029490A">
              <w:rPr>
                <w:spacing w:val="-6"/>
              </w:rPr>
              <w:t>Objem vyplacených mezd v ubytování, stravování a pohostinství propadl meziročně o sedminu. Mírněji se snížil také ve většině odvětví průmyslu.</w:t>
            </w:r>
          </w:p>
          <w:p w14:paraId="016D6D60" w14:textId="77777777" w:rsidR="00100A8B" w:rsidRPr="0029490A" w:rsidRDefault="00100A8B" w:rsidP="005820CD">
            <w:pPr>
              <w:pStyle w:val="Marginlie"/>
              <w:rPr>
                <w:spacing w:val="-6"/>
              </w:rPr>
            </w:pPr>
          </w:p>
          <w:p w14:paraId="5E09A95B" w14:textId="77777777" w:rsidR="00100A8B" w:rsidRPr="0029490A" w:rsidRDefault="00100A8B" w:rsidP="005820CD">
            <w:pPr>
              <w:pStyle w:val="Marginlie"/>
              <w:rPr>
                <w:spacing w:val="-6"/>
              </w:rPr>
            </w:pPr>
          </w:p>
          <w:p w14:paraId="33B2EBB7" w14:textId="77777777" w:rsidR="00100A8B" w:rsidRPr="0029490A" w:rsidRDefault="00100A8B" w:rsidP="005820CD">
            <w:pPr>
              <w:pStyle w:val="Marginlie"/>
              <w:rPr>
                <w:spacing w:val="-6"/>
              </w:rPr>
            </w:pPr>
          </w:p>
          <w:p w14:paraId="7209A0BF" w14:textId="77777777" w:rsidR="00100A8B" w:rsidRPr="0029490A" w:rsidRDefault="00100A8B" w:rsidP="005820CD">
            <w:pPr>
              <w:pStyle w:val="Marginlie"/>
              <w:rPr>
                <w:spacing w:val="-6"/>
              </w:rPr>
            </w:pPr>
          </w:p>
          <w:p w14:paraId="7668B459" w14:textId="77777777" w:rsidR="00100A8B" w:rsidRPr="0029490A" w:rsidRDefault="00100A8B" w:rsidP="005820CD">
            <w:pPr>
              <w:pStyle w:val="Marginlie"/>
              <w:rPr>
                <w:spacing w:val="-6"/>
              </w:rPr>
            </w:pPr>
          </w:p>
          <w:p w14:paraId="29DBA901" w14:textId="77777777" w:rsidR="00100A8B" w:rsidRPr="0029490A" w:rsidRDefault="00100A8B" w:rsidP="005820CD">
            <w:pPr>
              <w:pStyle w:val="Marginlie"/>
              <w:rPr>
                <w:spacing w:val="-6"/>
              </w:rPr>
            </w:pPr>
            <w:r w:rsidRPr="0029490A">
              <w:rPr>
                <w:spacing w:val="-6"/>
              </w:rPr>
              <w:t>Průměrná měsíční mzda v informačních a komunikačních činnostech ve 3. čtvrtletí přesála 60 tis. korun.</w:t>
            </w:r>
          </w:p>
        </w:tc>
        <w:tc>
          <w:tcPr>
            <w:tcW w:w="216" w:type="dxa"/>
            <w:shd w:val="clear" w:color="auto" w:fill="auto"/>
            <w:tcMar>
              <w:left w:w="0" w:type="dxa"/>
            </w:tcMar>
          </w:tcPr>
          <w:p w14:paraId="6AEF49C7"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8EE3CE5" w14:textId="77777777" w:rsidR="00100A8B" w:rsidRPr="0029490A" w:rsidRDefault="00100A8B" w:rsidP="005820CD">
            <w:pPr>
              <w:spacing w:after="180"/>
              <w:rPr>
                <w:spacing w:val="-6"/>
              </w:rPr>
            </w:pPr>
            <w:r w:rsidRPr="0029490A">
              <w:rPr>
                <w:spacing w:val="-6"/>
                <w:szCs w:val="20"/>
              </w:rPr>
              <w:t xml:space="preserve">Výrazně nerovnoměrný dopad </w:t>
            </w:r>
            <w:proofErr w:type="spellStart"/>
            <w:r w:rsidRPr="0029490A">
              <w:rPr>
                <w:spacing w:val="-6"/>
                <w:szCs w:val="20"/>
              </w:rPr>
              <w:t>protipandemických</w:t>
            </w:r>
            <w:proofErr w:type="spellEnd"/>
            <w:r w:rsidRPr="0029490A">
              <w:rPr>
                <w:spacing w:val="-6"/>
                <w:szCs w:val="20"/>
              </w:rPr>
              <w:t xml:space="preserve"> opatření i odlišná pružnost různých segmentů pracovního trhu (například vazba objemu výdělků na počet odpracovaných hodin) se promítly ve značně diferencovaném vývoji mezd na úrovni jednotlivých odvětví. Ve 3. čtvrtletí 2020 rostly průměrné mzdy relativně nejvíce ve zdravotní a sociální péči (+11,8 %). Vyšší meziroční tempo zde bylo zaznamenáno naposledy na počátku roku 2003. Mzdová úroveň tak dosáhla 40,9 tis. korun měsíčně a byla nejvyšší ze všech odvětví s převahou veřejných služeb. Přispěl k tomu i vyšší počet odpracovaných hodin. V ostatních odvětvích veřejných služeb byl mzdový růst vyrovnaný (7–8 %). I zde se zčásti promítly vyšší pracovní nároky některých složek státu během pandemie (policie, armáda, hygienické stanice). Z tržních odvětví si nejvíce polepšily administrativní a podpůrné činnosti, v nichž byl ovšem silný mzdový růst (+11,6 %) doprovázen hlubokým meziročním poklesem evidenčního počtu zaměstnanců (–14,8 %). Mzdový vývoj zde pravděpodobně ovlivnilo to, že byli ve větší míře propouštěni agenturní pracovníci s nízkou úrovní mezd. Výše mezd zůstala v tomto odvětví </w:t>
            </w:r>
            <w:r w:rsidRPr="0029490A">
              <w:rPr>
                <w:spacing w:val="-6"/>
                <w:szCs w:val="20"/>
              </w:rPr>
              <w:lastRenderedPageBreak/>
              <w:t>i tak velmi podprůměrná (25,1 tis. měsíčně). Méně pobírali jen zaměstnanci v ubytování, stravování a pohostinství (20,7 tis.), při růstu mzdy jen o 1,1 %. Zásadní dopad „pandemické krize“ na toto odvětví se odrazil v </w:t>
            </w:r>
            <w:proofErr w:type="gramStart"/>
            <w:r w:rsidRPr="0029490A">
              <w:rPr>
                <w:spacing w:val="-6"/>
                <w:szCs w:val="20"/>
              </w:rPr>
              <w:t>15%</w:t>
            </w:r>
            <w:proofErr w:type="gramEnd"/>
            <w:r w:rsidRPr="0029490A">
              <w:rPr>
                <w:spacing w:val="-6"/>
                <w:szCs w:val="20"/>
              </w:rPr>
              <w:t xml:space="preserve"> propadu počtu zaměstnanců. Výrazně podprůměrným tempem se zvyšovaly i mzdy v průmyslu (+2,4 %). Ve většině oborů navíc citelně klesly stavy zaměstnanců (vedle těžebního průmyslu například i ve strojírenství či elektrotechnice). Objem vyplacených mezd tak z hlavních oborů rostl jen v energetice, vodním hospodářství a potravinářství. S vývojem v průmyslu souznělo i odvětví dopravy a skladování. Nepatrně lépe se dařilo obchodu, kde sice průměrná mzda vzrostla jen polovičním tempem oproti celé ekonomice (+2,6 %), nedocházelo však k většímu úbytku zaměstnaneckých míst (–1,3 %). To platilo také pro stavebnictví či odvětví zemědělství, lesnictví a rybářství, v nichž ovšem mzdový růst i dosažená úroveň za celou ekonomikou ve 3. čtvrtletí zaostávaly. Příznivá situace dále přetrvávala v informačních a komunikačních činnostech. Při mírném růstu zaměstnanosti zde průměrná měsíční mzda vzrostla o 5,3 % a její úroveň přesáhla hranici 60 tis. korun. V peněžnictví a pojišťovnictví průměrné výdělky jako v jediném z hlavních odvětví klesly (–0,9 %), což bylo ovlivněno i vysokou loňskou základnou</w:t>
            </w:r>
            <w:r w:rsidRPr="0029490A">
              <w:rPr>
                <w:rStyle w:val="Znakapoznpodarou"/>
                <w:spacing w:val="-6"/>
                <w:szCs w:val="20"/>
              </w:rPr>
              <w:footnoteReference w:id="16"/>
            </w:r>
            <w:r w:rsidRPr="0029490A">
              <w:rPr>
                <w:spacing w:val="-6"/>
                <w:szCs w:val="20"/>
              </w:rPr>
              <w:t>. Vedle toho zde, shodně jako v oblasti ICT, hrají větší roli i nemzdové zaměstnanecké benefity.</w:t>
            </w:r>
          </w:p>
        </w:tc>
      </w:tr>
      <w:tr w:rsidR="00100A8B" w:rsidRPr="0029490A" w14:paraId="2F13C1FF" w14:textId="77777777" w:rsidTr="005820CD">
        <w:trPr>
          <w:trHeight w:val="145"/>
        </w:trPr>
        <w:tc>
          <w:tcPr>
            <w:tcW w:w="1792" w:type="dxa"/>
            <w:shd w:val="clear" w:color="auto" w:fill="auto"/>
            <w:tcMar>
              <w:left w:w="0" w:type="dxa"/>
            </w:tcMar>
          </w:tcPr>
          <w:p w14:paraId="16AC2B7B" w14:textId="77777777" w:rsidR="00100A8B" w:rsidRPr="0029490A" w:rsidRDefault="00100A8B" w:rsidP="005820CD">
            <w:pPr>
              <w:pStyle w:val="Marginlie"/>
              <w:rPr>
                <w:spacing w:val="-6"/>
              </w:rPr>
            </w:pPr>
          </w:p>
        </w:tc>
        <w:tc>
          <w:tcPr>
            <w:tcW w:w="216" w:type="dxa"/>
            <w:shd w:val="clear" w:color="auto" w:fill="auto"/>
            <w:tcMar>
              <w:left w:w="0" w:type="dxa"/>
            </w:tcMar>
          </w:tcPr>
          <w:p w14:paraId="660CD0F8"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14B99848" w14:textId="1D0D3198" w:rsidR="00100A8B" w:rsidRPr="0029490A" w:rsidRDefault="00142B29" w:rsidP="005820CD">
            <w:pPr>
              <w:spacing w:after="0"/>
              <w:rPr>
                <w:spacing w:val="-6"/>
              </w:rPr>
            </w:pPr>
            <w:r>
              <w:rPr>
                <w:b/>
                <w:spacing w:val="-6"/>
              </w:rPr>
              <w:t>Graf č. 14</w:t>
            </w:r>
            <w:r w:rsidR="00100A8B" w:rsidRPr="0029490A">
              <w:rPr>
                <w:b/>
                <w:spacing w:val="-6"/>
              </w:rPr>
              <w:t xml:space="preserve">  Průměrná nominální a reálná mzda a mzdový medián</w:t>
            </w:r>
            <w:r w:rsidR="00100A8B" w:rsidRPr="0029490A">
              <w:rPr>
                <w:spacing w:val="-6"/>
              </w:rPr>
              <w:t xml:space="preserve"> (meziročně, v %)</w:t>
            </w:r>
          </w:p>
        </w:tc>
      </w:tr>
      <w:tr w:rsidR="00100A8B" w:rsidRPr="0029490A" w14:paraId="786A95D6" w14:textId="77777777" w:rsidTr="005820CD">
        <w:tblPrEx>
          <w:tblCellMar>
            <w:left w:w="70" w:type="dxa"/>
            <w:right w:w="70" w:type="dxa"/>
          </w:tblCellMar>
        </w:tblPrEx>
        <w:trPr>
          <w:trHeight w:val="145"/>
        </w:trPr>
        <w:tc>
          <w:tcPr>
            <w:tcW w:w="1792" w:type="dxa"/>
            <w:shd w:val="clear" w:color="auto" w:fill="auto"/>
          </w:tcPr>
          <w:p w14:paraId="24062430" w14:textId="77777777" w:rsidR="00100A8B" w:rsidRPr="0029490A" w:rsidRDefault="00100A8B" w:rsidP="005820CD">
            <w:pPr>
              <w:pStyle w:val="Marginlie"/>
              <w:rPr>
                <w:spacing w:val="-6"/>
              </w:rPr>
            </w:pPr>
          </w:p>
        </w:tc>
        <w:tc>
          <w:tcPr>
            <w:tcW w:w="216" w:type="dxa"/>
            <w:shd w:val="clear" w:color="auto" w:fill="auto"/>
          </w:tcPr>
          <w:p w14:paraId="1AA70308" w14:textId="77777777" w:rsidR="00100A8B" w:rsidRPr="0029490A" w:rsidRDefault="00100A8B" w:rsidP="005820CD">
            <w:pPr>
              <w:pStyle w:val="Textpoznpodarou"/>
              <w:jc w:val="both"/>
              <w:rPr>
                <w:spacing w:val="-6"/>
              </w:rPr>
            </w:pPr>
          </w:p>
        </w:tc>
        <w:tc>
          <w:tcPr>
            <w:tcW w:w="7656" w:type="dxa"/>
            <w:shd w:val="clear" w:color="auto" w:fill="auto"/>
          </w:tcPr>
          <w:p w14:paraId="142C0939" w14:textId="77777777" w:rsidR="00100A8B" w:rsidRPr="0029490A" w:rsidRDefault="00100A8B" w:rsidP="005820CD">
            <w:pPr>
              <w:spacing w:after="0"/>
              <w:rPr>
                <w:b/>
                <w:spacing w:val="-6"/>
              </w:rPr>
            </w:pPr>
            <w:r w:rsidRPr="0029490A">
              <w:rPr>
                <w:noProof/>
                <w:spacing w:val="-6"/>
              </w:rPr>
              <w:drawing>
                <wp:inline distT="0" distB="0" distL="0" distR="0" wp14:anchorId="78CF22C4" wp14:editId="3D75A5A0">
                  <wp:extent cx="4759960" cy="3390900"/>
                  <wp:effectExtent l="0" t="0" r="254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00A8B" w:rsidRPr="0029490A" w14:paraId="18034F80" w14:textId="77777777" w:rsidTr="005820CD">
        <w:trPr>
          <w:trHeight w:val="145"/>
        </w:trPr>
        <w:tc>
          <w:tcPr>
            <w:tcW w:w="1792" w:type="dxa"/>
            <w:shd w:val="clear" w:color="auto" w:fill="auto"/>
            <w:tcMar>
              <w:left w:w="0" w:type="dxa"/>
            </w:tcMar>
          </w:tcPr>
          <w:p w14:paraId="2C03338C" w14:textId="77777777" w:rsidR="00100A8B" w:rsidRPr="0029490A" w:rsidRDefault="00100A8B" w:rsidP="005820CD">
            <w:pPr>
              <w:pStyle w:val="Marginlie"/>
              <w:rPr>
                <w:spacing w:val="-6"/>
              </w:rPr>
            </w:pPr>
          </w:p>
        </w:tc>
        <w:tc>
          <w:tcPr>
            <w:tcW w:w="216" w:type="dxa"/>
            <w:shd w:val="clear" w:color="auto" w:fill="auto"/>
            <w:tcMar>
              <w:left w:w="0" w:type="dxa"/>
            </w:tcMar>
          </w:tcPr>
          <w:p w14:paraId="11DD3EA1"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6FB865E0" w14:textId="77777777" w:rsidR="00100A8B" w:rsidRPr="0029490A" w:rsidRDefault="00100A8B" w:rsidP="005820CD">
            <w:pPr>
              <w:spacing w:after="0"/>
              <w:rPr>
                <w:spacing w:val="-6"/>
                <w:sz w:val="14"/>
                <w:szCs w:val="14"/>
              </w:rPr>
            </w:pPr>
            <w:r w:rsidRPr="0029490A">
              <w:rPr>
                <w:spacing w:val="-6"/>
                <w:sz w:val="14"/>
                <w:szCs w:val="14"/>
              </w:rPr>
              <w:t>*Zahrnuje odvětví: Veř. správa, obrana, soc. zabezpečení; Vzdělávání; Zdravotní a soc. péče; Kulturní, zábavní a rekreační činnosti.</w:t>
            </w:r>
          </w:p>
          <w:p w14:paraId="102935D8" w14:textId="77777777" w:rsidR="00100A8B" w:rsidRPr="0029490A" w:rsidRDefault="00100A8B" w:rsidP="005820CD">
            <w:pPr>
              <w:spacing w:after="200"/>
              <w:rPr>
                <w:noProof/>
                <w:spacing w:val="-6"/>
              </w:rPr>
            </w:pPr>
            <w:r w:rsidRPr="0029490A">
              <w:rPr>
                <w:spacing w:val="-6"/>
                <w:sz w:val="14"/>
                <w:szCs w:val="14"/>
              </w:rPr>
              <w:t>Zdroj: ČSÚ</w:t>
            </w:r>
          </w:p>
        </w:tc>
      </w:tr>
      <w:tr w:rsidR="00100A8B" w:rsidRPr="0029490A" w14:paraId="597B3116" w14:textId="77777777" w:rsidTr="005820CD">
        <w:trPr>
          <w:trHeight w:val="145"/>
        </w:trPr>
        <w:tc>
          <w:tcPr>
            <w:tcW w:w="1792" w:type="dxa"/>
            <w:shd w:val="clear" w:color="auto" w:fill="auto"/>
            <w:tcMar>
              <w:left w:w="0" w:type="dxa"/>
            </w:tcMar>
          </w:tcPr>
          <w:p w14:paraId="520DA589" w14:textId="77777777" w:rsidR="00100A8B" w:rsidRPr="0029490A" w:rsidRDefault="00100A8B" w:rsidP="005820CD">
            <w:pPr>
              <w:pStyle w:val="Marginlie"/>
              <w:rPr>
                <w:spacing w:val="-6"/>
              </w:rPr>
            </w:pPr>
            <w:r w:rsidRPr="0029490A">
              <w:rPr>
                <w:spacing w:val="-6"/>
              </w:rPr>
              <w:t>Průměrná mzda vzrostla za tři čtvrtletí meziročně o 3,6 %. Reálný mzdový růst se prakticky zastavil.</w:t>
            </w:r>
          </w:p>
        </w:tc>
        <w:tc>
          <w:tcPr>
            <w:tcW w:w="216" w:type="dxa"/>
            <w:shd w:val="clear" w:color="auto" w:fill="auto"/>
            <w:tcMar>
              <w:left w:w="0" w:type="dxa"/>
            </w:tcMar>
          </w:tcPr>
          <w:p w14:paraId="70944FE9"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04CA8101" w14:textId="77777777" w:rsidR="00100A8B" w:rsidRPr="0029490A" w:rsidRDefault="00100A8B" w:rsidP="005820CD">
            <w:pPr>
              <w:spacing w:after="0"/>
              <w:rPr>
                <w:spacing w:val="-6"/>
                <w:szCs w:val="20"/>
              </w:rPr>
            </w:pPr>
            <w:r w:rsidRPr="0029490A">
              <w:rPr>
                <w:spacing w:val="-6"/>
                <w:szCs w:val="20"/>
              </w:rPr>
              <w:t>Za 1. až 3. čtvrtletí průměrné mzdy v ekonomice meziročně posílily o 3,6 %. Pokles mzdy postihl ubytování, stravování a pohostinství (–2,2 %), oblast nemovitostí (–3,3 %), ale i výrobu motorových vozidel (–1,7 %), kde se projevilo dubnové uzavření části velkých provozoven. S problémy se potýkaly i kulturní, zábavní a rekreační činnosti (zpomalení růstu na 0,9 %). Tempo růstu spotřebitelských cen na rozdíl od mezd nezpomalovalo. Kupní síla zaměstnaneckých výdělků byla za tři čtvrtletí meziročně vyšší jen o 0,3 %. Méně příznivý vývoj reálných mezd byl za stejné období roku naposledy zaznamenán před sedmi lety.</w:t>
            </w:r>
          </w:p>
          <w:p w14:paraId="67C3B171" w14:textId="77777777" w:rsidR="00100A8B" w:rsidRPr="0029490A" w:rsidRDefault="00100A8B" w:rsidP="005820CD">
            <w:pPr>
              <w:spacing w:after="0"/>
              <w:rPr>
                <w:spacing w:val="-6"/>
                <w:sz w:val="14"/>
                <w:szCs w:val="14"/>
              </w:rPr>
            </w:pPr>
          </w:p>
        </w:tc>
      </w:tr>
      <w:tr w:rsidR="00100A8B" w:rsidRPr="0029490A" w14:paraId="28314CC9" w14:textId="77777777" w:rsidTr="005820CD">
        <w:trPr>
          <w:trHeight w:val="145"/>
        </w:trPr>
        <w:tc>
          <w:tcPr>
            <w:tcW w:w="1792" w:type="dxa"/>
            <w:shd w:val="clear" w:color="auto" w:fill="auto"/>
            <w:tcMar>
              <w:left w:w="0" w:type="dxa"/>
            </w:tcMar>
          </w:tcPr>
          <w:p w14:paraId="66170E8D" w14:textId="77777777" w:rsidR="00100A8B" w:rsidRPr="0029490A" w:rsidRDefault="00100A8B" w:rsidP="005820CD">
            <w:pPr>
              <w:pStyle w:val="Marginlie"/>
              <w:rPr>
                <w:spacing w:val="-6"/>
              </w:rPr>
            </w:pPr>
            <w:r w:rsidRPr="0029490A">
              <w:rPr>
                <w:spacing w:val="-6"/>
              </w:rPr>
              <w:t>Celkové mzdové diference se ve 3. čtvrtletí snižovaly.</w:t>
            </w:r>
          </w:p>
        </w:tc>
        <w:tc>
          <w:tcPr>
            <w:tcW w:w="216" w:type="dxa"/>
            <w:shd w:val="clear" w:color="auto" w:fill="auto"/>
            <w:tcMar>
              <w:left w:w="0" w:type="dxa"/>
            </w:tcMar>
          </w:tcPr>
          <w:p w14:paraId="1D963734"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6D082A9" w14:textId="77777777" w:rsidR="00100A8B" w:rsidRPr="0029490A" w:rsidRDefault="00100A8B" w:rsidP="005820CD">
            <w:pPr>
              <w:spacing w:after="0"/>
              <w:rPr>
                <w:spacing w:val="-6"/>
                <w:szCs w:val="20"/>
              </w:rPr>
            </w:pPr>
            <w:r w:rsidRPr="0029490A">
              <w:rPr>
                <w:spacing w:val="-6"/>
                <w:szCs w:val="20"/>
              </w:rPr>
              <w:t>Medián mezd se ve 3. čtvrtletí meziročně zvýšil o 5,1 % (na 31,2 tis. korun měsíčně). Podobně jako v</w:t>
            </w:r>
            <w:r w:rsidRPr="0029490A">
              <w:rPr>
                <w:spacing w:val="-6"/>
              </w:rPr>
              <w:t> </w:t>
            </w:r>
            <w:r w:rsidRPr="0029490A">
              <w:rPr>
                <w:spacing w:val="-6"/>
                <w:szCs w:val="20"/>
              </w:rPr>
              <w:t>předchozích šesti čtvrtletích se rychleji zvyšoval u žen (6,7 %) než u mužů (3,7 %). Celkové mzdové diference u zaměstnanců se ve 3. čtvrtletí snižovaly, dolní mzdový decil vzrostl více (+10,6 %) než horní (+4,1 %). V předchozím kvartálu tomu bylo naopak.</w:t>
            </w:r>
          </w:p>
        </w:tc>
      </w:tr>
    </w:tbl>
    <w:p w14:paraId="065B8820" w14:textId="77777777" w:rsidR="00100A8B" w:rsidRPr="0029490A" w:rsidRDefault="00100A8B" w:rsidP="00100A8B">
      <w:pPr>
        <w:spacing w:after="0"/>
        <w:jc w:val="left"/>
        <w:rPr>
          <w:b/>
          <w:color w:val="0D0D0D" w:themeColor="text1" w:themeTint="F2"/>
          <w:spacing w:val="-6"/>
          <w:sz w:val="2"/>
          <w:szCs w:val="2"/>
        </w:rPr>
      </w:pPr>
    </w:p>
    <w:bookmarkEnd w:id="0"/>
    <w:p w14:paraId="3E974863" w14:textId="7F85E6B3" w:rsidR="000663F0" w:rsidRPr="00E42054" w:rsidRDefault="000663F0" w:rsidP="000663F0">
      <w:pPr>
        <w:pStyle w:val="Nadpis11"/>
        <w:spacing w:after="0"/>
        <w:rPr>
          <w:b w:val="0"/>
          <w:sz w:val="2"/>
          <w:szCs w:val="2"/>
        </w:rPr>
      </w:pPr>
    </w:p>
    <w:sectPr w:rsidR="000663F0" w:rsidRPr="00E42054" w:rsidSect="00AA53A1">
      <w:headerReference w:type="even" r:id="rId12"/>
      <w:headerReference w:type="default" r:id="rId13"/>
      <w:footerReference w:type="even" r:id="rId14"/>
      <w:footerReference w:type="default" r:id="rId15"/>
      <w:pgSz w:w="11906" w:h="16838" w:code="9"/>
      <w:pgMar w:top="1134" w:right="1134" w:bottom="1418" w:left="1134" w:header="680" w:footer="737"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51C5" w14:textId="77777777" w:rsidR="0060120D" w:rsidRDefault="0060120D" w:rsidP="00E71A58">
      <w:r>
        <w:separator/>
      </w:r>
    </w:p>
  </w:endnote>
  <w:endnote w:type="continuationSeparator" w:id="0">
    <w:p w14:paraId="7E79BE89" w14:textId="77777777" w:rsidR="0060120D" w:rsidRDefault="0060120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1A0D" w14:textId="3103AF3A" w:rsidR="008D3ACD" w:rsidRPr="00932443" w:rsidRDefault="008D3AC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42B29">
      <w:rPr>
        <w:szCs w:val="16"/>
      </w:rPr>
      <w:t>34</w:t>
    </w:r>
    <w:r w:rsidRPr="00932443">
      <w:rPr>
        <w:szCs w:val="16"/>
      </w:rPr>
      <w:fldChar w:fldCharType="end"/>
    </w:r>
    <w:r w:rsidRPr="00932443">
      <w:rPr>
        <w:szCs w:val="16"/>
      </w:rPr>
      <w:tab/>
    </w:r>
    <w:r>
      <w:rPr>
        <w:szCs w:val="16"/>
      </w:rPr>
      <w:t>1. až 3. čtvrtletí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7E4B" w14:textId="692BEA19" w:rsidR="008D3ACD" w:rsidRPr="00932443" w:rsidRDefault="008D3ACD" w:rsidP="00FA6CB6">
    <w:pPr>
      <w:pStyle w:val="Zpat"/>
      <w:rPr>
        <w:szCs w:val="16"/>
      </w:rPr>
    </w:pPr>
    <w:r w:rsidRPr="00FA6CB6">
      <w:rPr>
        <w:szCs w:val="16"/>
      </w:rPr>
      <w:tab/>
    </w:r>
    <w:r>
      <w:rPr>
        <w:szCs w:val="16"/>
      </w:rPr>
      <w:t xml:space="preserve">1. až 3.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42B29">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E61E" w14:textId="77777777" w:rsidR="0060120D" w:rsidRDefault="0060120D" w:rsidP="00A21B4D">
      <w:pPr>
        <w:spacing w:after="0"/>
      </w:pPr>
      <w:r>
        <w:separator/>
      </w:r>
    </w:p>
  </w:footnote>
  <w:footnote w:type="continuationSeparator" w:id="0">
    <w:p w14:paraId="14D7D261" w14:textId="77777777" w:rsidR="0060120D" w:rsidRDefault="0060120D" w:rsidP="00E71A58">
      <w:r>
        <w:continuationSeparator/>
      </w:r>
    </w:p>
  </w:footnote>
  <w:footnote w:id="1">
    <w:p w14:paraId="655FBEAB" w14:textId="77777777" w:rsidR="008D3ACD" w:rsidRPr="00CB5B70" w:rsidRDefault="008D3ACD" w:rsidP="00100A8B">
      <w:pPr>
        <w:pStyle w:val="Textpoznpodarou"/>
        <w:rPr>
          <w:sz w:val="16"/>
          <w:szCs w:val="16"/>
        </w:rPr>
      </w:pPr>
      <w:r w:rsidRPr="00CB5B70">
        <w:rPr>
          <w:rStyle w:val="Znakapoznpodarou"/>
          <w:sz w:val="16"/>
          <w:szCs w:val="16"/>
        </w:rPr>
        <w:footnoteRef/>
      </w:r>
      <w:r w:rsidRPr="00CB5B70">
        <w:rPr>
          <w:sz w:val="16"/>
          <w:szCs w:val="16"/>
        </w:rPr>
        <w:t xml:space="preserve"> Počet cizinců evidovaných úřady práce v ČR po</w:t>
      </w:r>
      <w:r>
        <w:rPr>
          <w:sz w:val="16"/>
          <w:szCs w:val="16"/>
        </w:rPr>
        <w:t xml:space="preserve"> krátkém</w:t>
      </w:r>
      <w:r w:rsidRPr="00CB5B70">
        <w:rPr>
          <w:sz w:val="16"/>
          <w:szCs w:val="16"/>
        </w:rPr>
        <w:t xml:space="preserve"> poklesu v jarních měsících (</w:t>
      </w:r>
      <w:r>
        <w:rPr>
          <w:sz w:val="16"/>
          <w:szCs w:val="16"/>
        </w:rPr>
        <w:t>způsobeném i poza</w:t>
      </w:r>
      <w:r w:rsidRPr="00CB5B70">
        <w:rPr>
          <w:sz w:val="16"/>
          <w:szCs w:val="16"/>
        </w:rPr>
        <w:t xml:space="preserve">stavením vydávání </w:t>
      </w:r>
      <w:r>
        <w:rPr>
          <w:sz w:val="16"/>
          <w:szCs w:val="16"/>
        </w:rPr>
        <w:t xml:space="preserve">většiny </w:t>
      </w:r>
      <w:r w:rsidRPr="00CB5B70">
        <w:rPr>
          <w:sz w:val="16"/>
          <w:szCs w:val="16"/>
        </w:rPr>
        <w:t xml:space="preserve">pracovních povolení) začal opět růst. </w:t>
      </w:r>
      <w:r>
        <w:rPr>
          <w:sz w:val="16"/>
          <w:szCs w:val="16"/>
        </w:rPr>
        <w:t xml:space="preserve">Na konci října 2020 bylo celkem v evidenci rekordních 659 tis. osob s možností působení v ČR v pozici zaměstnanců. To bylo meziročně o 10 tis. více a zároveň </w:t>
      </w:r>
      <w:r w:rsidRPr="00112DF7">
        <w:rPr>
          <w:sz w:val="16"/>
          <w:szCs w:val="16"/>
        </w:rPr>
        <w:t>o</w:t>
      </w:r>
      <w:r>
        <w:rPr>
          <w:sz w:val="16"/>
          <w:szCs w:val="16"/>
        </w:rPr>
        <w:t> </w:t>
      </w:r>
      <w:r w:rsidRPr="00112DF7">
        <w:rPr>
          <w:sz w:val="16"/>
          <w:szCs w:val="16"/>
        </w:rPr>
        <w:t>57</w:t>
      </w:r>
      <w:r>
        <w:rPr>
          <w:sz w:val="16"/>
          <w:szCs w:val="16"/>
        </w:rPr>
        <w:t> tis.</w:t>
      </w:r>
      <w:r w:rsidRPr="00112DF7">
        <w:rPr>
          <w:sz w:val="16"/>
          <w:szCs w:val="16"/>
        </w:rPr>
        <w:t xml:space="preserve"> více</w:t>
      </w:r>
      <w:r>
        <w:rPr>
          <w:sz w:val="16"/>
          <w:szCs w:val="16"/>
        </w:rPr>
        <w:t xml:space="preserve"> než v červnu 2020. Z 59 % se jednalo o zaměstnance z EU či EHS, tedy cizince</w:t>
      </w:r>
      <w:r w:rsidRPr="004C76B3">
        <w:rPr>
          <w:sz w:val="16"/>
          <w:szCs w:val="16"/>
        </w:rPr>
        <w:t xml:space="preserve">, kteří </w:t>
      </w:r>
      <w:r>
        <w:rPr>
          <w:sz w:val="16"/>
          <w:szCs w:val="16"/>
        </w:rPr>
        <w:t xml:space="preserve">v Česku </w:t>
      </w:r>
      <w:r w:rsidRPr="004C76B3">
        <w:rPr>
          <w:sz w:val="16"/>
          <w:szCs w:val="16"/>
        </w:rPr>
        <w:t>nepotřebují pracovní oprávnění (</w:t>
      </w:r>
      <w:r>
        <w:rPr>
          <w:sz w:val="16"/>
          <w:szCs w:val="16"/>
        </w:rPr>
        <w:t xml:space="preserve">například </w:t>
      </w:r>
      <w:r w:rsidRPr="004C76B3">
        <w:rPr>
          <w:sz w:val="16"/>
          <w:szCs w:val="16"/>
        </w:rPr>
        <w:t>povolení k za</w:t>
      </w:r>
      <w:r>
        <w:rPr>
          <w:sz w:val="16"/>
          <w:szCs w:val="16"/>
        </w:rPr>
        <w:t>městnání, zaměstnaneckou kartu).</w:t>
      </w:r>
    </w:p>
  </w:footnote>
  <w:footnote w:id="2">
    <w:p w14:paraId="25229445" w14:textId="77777777" w:rsidR="008D3ACD" w:rsidRPr="00E54782" w:rsidRDefault="008D3ACD" w:rsidP="00100A8B">
      <w:pPr>
        <w:pStyle w:val="Textpoznpodarou"/>
        <w:jc w:val="both"/>
        <w:rPr>
          <w:spacing w:val="-2"/>
          <w:sz w:val="16"/>
          <w:szCs w:val="16"/>
        </w:rPr>
      </w:pPr>
      <w:r w:rsidRPr="00E54782">
        <w:rPr>
          <w:rStyle w:val="Znakapoznpodarou"/>
          <w:spacing w:val="-2"/>
          <w:sz w:val="16"/>
          <w:szCs w:val="16"/>
        </w:rPr>
        <w:footnoteRef/>
      </w:r>
      <w:r>
        <w:rPr>
          <w:spacing w:val="-2"/>
          <w:sz w:val="16"/>
          <w:szCs w:val="16"/>
        </w:rPr>
        <w:t xml:space="preserve"> N</w:t>
      </w:r>
      <w:r w:rsidRPr="00E54782">
        <w:rPr>
          <w:spacing w:val="-2"/>
          <w:sz w:val="16"/>
          <w:szCs w:val="16"/>
        </w:rPr>
        <w:t>ení</w:t>
      </w:r>
      <w:r>
        <w:rPr>
          <w:spacing w:val="-2"/>
          <w:sz w:val="16"/>
          <w:szCs w:val="16"/>
        </w:rPr>
        <w:t>-li</w:t>
      </w:r>
      <w:r w:rsidRPr="00E54782">
        <w:rPr>
          <w:spacing w:val="-2"/>
          <w:sz w:val="16"/>
          <w:szCs w:val="16"/>
        </w:rPr>
        <w:t xml:space="preserve"> uve</w:t>
      </w:r>
      <w:r>
        <w:rPr>
          <w:spacing w:val="-2"/>
          <w:sz w:val="16"/>
          <w:szCs w:val="16"/>
        </w:rPr>
        <w:t>deno jinak, jsou</w:t>
      </w:r>
      <w:r w:rsidRPr="00E54782">
        <w:rPr>
          <w:spacing w:val="-2"/>
          <w:sz w:val="16"/>
          <w:szCs w:val="16"/>
        </w:rPr>
        <w:t xml:space="preserve"> údaje o zaměstnanosti </w:t>
      </w:r>
      <w:r>
        <w:rPr>
          <w:spacing w:val="-2"/>
          <w:sz w:val="16"/>
          <w:szCs w:val="16"/>
        </w:rPr>
        <w:t>v této kapitole vyjádřeny</w:t>
      </w:r>
      <w:r w:rsidRPr="00E54782">
        <w:rPr>
          <w:spacing w:val="-2"/>
          <w:sz w:val="16"/>
          <w:szCs w:val="16"/>
        </w:rPr>
        <w:t xml:space="preserve"> v pojetí národních účtů po očištění o sezónní vlivy.</w:t>
      </w:r>
    </w:p>
  </w:footnote>
  <w:footnote w:id="3">
    <w:p w14:paraId="3A9ECEFE" w14:textId="77777777" w:rsidR="008D3ACD" w:rsidRPr="0082559E" w:rsidRDefault="008D3ACD" w:rsidP="00100A8B">
      <w:pPr>
        <w:pStyle w:val="Textpoznpodarou"/>
        <w:rPr>
          <w:spacing w:val="-2"/>
          <w:sz w:val="16"/>
          <w:szCs w:val="16"/>
        </w:rPr>
      </w:pPr>
      <w:r w:rsidRPr="0082559E">
        <w:rPr>
          <w:rStyle w:val="Znakapoznpodarou"/>
          <w:spacing w:val="-2"/>
          <w:sz w:val="16"/>
          <w:szCs w:val="16"/>
        </w:rPr>
        <w:footnoteRef/>
      </w:r>
      <w:r w:rsidRPr="0082559E">
        <w:rPr>
          <w:spacing w:val="-2"/>
          <w:sz w:val="16"/>
          <w:szCs w:val="16"/>
        </w:rPr>
        <w:t xml:space="preserve"> Ve 2.</w:t>
      </w:r>
      <w:r>
        <w:rPr>
          <w:spacing w:val="-2"/>
          <w:sz w:val="16"/>
          <w:szCs w:val="16"/>
        </w:rPr>
        <w:t> čtvrtlet</w:t>
      </w:r>
      <w:r w:rsidRPr="0082559E">
        <w:rPr>
          <w:spacing w:val="-2"/>
          <w:sz w:val="16"/>
          <w:szCs w:val="16"/>
        </w:rPr>
        <w:t>í přitom došlo k silnému poklesu odpracované doby</w:t>
      </w:r>
      <w:r>
        <w:rPr>
          <w:spacing w:val="-2"/>
          <w:sz w:val="16"/>
          <w:szCs w:val="16"/>
        </w:rPr>
        <w:t> </w:t>
      </w:r>
      <w:r w:rsidRPr="0082559E">
        <w:rPr>
          <w:spacing w:val="-2"/>
          <w:sz w:val="16"/>
          <w:szCs w:val="16"/>
        </w:rPr>
        <w:t>– u</w:t>
      </w:r>
      <w:r>
        <w:rPr>
          <w:spacing w:val="-2"/>
          <w:sz w:val="16"/>
          <w:szCs w:val="16"/>
        </w:rPr>
        <w:t> </w:t>
      </w:r>
      <w:r w:rsidRPr="0082559E">
        <w:rPr>
          <w:spacing w:val="-2"/>
          <w:sz w:val="16"/>
          <w:szCs w:val="16"/>
        </w:rPr>
        <w:t>zaměstnanců (vč</w:t>
      </w:r>
      <w:r>
        <w:rPr>
          <w:spacing w:val="-2"/>
          <w:sz w:val="16"/>
          <w:szCs w:val="16"/>
        </w:rPr>
        <w:t>etně</w:t>
      </w:r>
      <w:r w:rsidRPr="0082559E">
        <w:rPr>
          <w:spacing w:val="-2"/>
          <w:sz w:val="16"/>
          <w:szCs w:val="16"/>
        </w:rPr>
        <w:t xml:space="preserve"> členů produkčních družstev) o</w:t>
      </w:r>
      <w:r>
        <w:rPr>
          <w:spacing w:val="-2"/>
          <w:sz w:val="16"/>
          <w:szCs w:val="16"/>
        </w:rPr>
        <w:t> </w:t>
      </w:r>
      <w:r w:rsidRPr="0082559E">
        <w:rPr>
          <w:spacing w:val="-2"/>
          <w:sz w:val="16"/>
          <w:szCs w:val="16"/>
        </w:rPr>
        <w:t>8,8</w:t>
      </w:r>
      <w:r>
        <w:rPr>
          <w:spacing w:val="-2"/>
          <w:sz w:val="16"/>
          <w:szCs w:val="16"/>
        </w:rPr>
        <w:t> %</w:t>
      </w:r>
      <w:r w:rsidRPr="0082559E">
        <w:rPr>
          <w:spacing w:val="-2"/>
          <w:sz w:val="16"/>
          <w:szCs w:val="16"/>
        </w:rPr>
        <w:t>, u</w:t>
      </w:r>
      <w:r>
        <w:rPr>
          <w:spacing w:val="-2"/>
          <w:sz w:val="16"/>
          <w:szCs w:val="16"/>
        </w:rPr>
        <w:t> </w:t>
      </w:r>
      <w:r w:rsidRPr="0082559E">
        <w:rPr>
          <w:spacing w:val="-2"/>
          <w:sz w:val="16"/>
          <w:szCs w:val="16"/>
        </w:rPr>
        <w:t>podnikatelů (vč</w:t>
      </w:r>
      <w:r>
        <w:rPr>
          <w:spacing w:val="-2"/>
          <w:sz w:val="16"/>
          <w:szCs w:val="16"/>
        </w:rPr>
        <w:t>etně</w:t>
      </w:r>
      <w:r w:rsidRPr="0082559E">
        <w:rPr>
          <w:spacing w:val="-2"/>
          <w:sz w:val="16"/>
          <w:szCs w:val="16"/>
        </w:rPr>
        <w:t xml:space="preserve"> pomáhajících rodinných příslušníků) dokonce o</w:t>
      </w:r>
      <w:r>
        <w:rPr>
          <w:spacing w:val="-2"/>
          <w:sz w:val="16"/>
          <w:szCs w:val="16"/>
        </w:rPr>
        <w:t> </w:t>
      </w:r>
      <w:r w:rsidRPr="0082559E">
        <w:rPr>
          <w:spacing w:val="-2"/>
          <w:sz w:val="16"/>
          <w:szCs w:val="16"/>
        </w:rPr>
        <w:t>17,0</w:t>
      </w:r>
      <w:r>
        <w:rPr>
          <w:spacing w:val="-2"/>
          <w:sz w:val="16"/>
          <w:szCs w:val="16"/>
        </w:rPr>
        <w:t> %</w:t>
      </w:r>
      <w:r w:rsidRPr="0082559E">
        <w:rPr>
          <w:spacing w:val="-2"/>
          <w:sz w:val="16"/>
          <w:szCs w:val="16"/>
        </w:rPr>
        <w:t>.</w:t>
      </w:r>
    </w:p>
  </w:footnote>
  <w:footnote w:id="4">
    <w:p w14:paraId="7977BB64" w14:textId="77777777" w:rsidR="008D3ACD" w:rsidRPr="009F670F" w:rsidRDefault="008D3ACD" w:rsidP="00100A8B">
      <w:pPr>
        <w:pStyle w:val="Textpoznpodarou"/>
        <w:rPr>
          <w:sz w:val="16"/>
          <w:szCs w:val="16"/>
        </w:rPr>
      </w:pPr>
      <w:r w:rsidRPr="009F670F">
        <w:rPr>
          <w:rStyle w:val="Znakapoznpodarou"/>
          <w:sz w:val="16"/>
          <w:szCs w:val="16"/>
        </w:rPr>
        <w:footnoteRef/>
      </w:r>
      <w:r w:rsidRPr="009F670F">
        <w:rPr>
          <w:sz w:val="16"/>
          <w:szCs w:val="16"/>
        </w:rPr>
        <w:t xml:space="preserve"> I</w:t>
      </w:r>
      <w:r>
        <w:rPr>
          <w:sz w:val="16"/>
          <w:szCs w:val="16"/>
        </w:rPr>
        <w:t> </w:t>
      </w:r>
      <w:r w:rsidRPr="009F670F">
        <w:rPr>
          <w:sz w:val="16"/>
          <w:szCs w:val="16"/>
        </w:rPr>
        <w:t>přes dílčí zlepšení zůstala situace v některých odvětvích velmi problematická. Např</w:t>
      </w:r>
      <w:r>
        <w:rPr>
          <w:sz w:val="16"/>
          <w:szCs w:val="16"/>
        </w:rPr>
        <w:t>íklad</w:t>
      </w:r>
      <w:r w:rsidRPr="009F670F">
        <w:rPr>
          <w:sz w:val="16"/>
          <w:szCs w:val="16"/>
        </w:rPr>
        <w:t xml:space="preserve"> mezi podnikat</w:t>
      </w:r>
      <w:r>
        <w:rPr>
          <w:sz w:val="16"/>
          <w:szCs w:val="16"/>
        </w:rPr>
        <w:t>eli v pohostinství, ubytování a </w:t>
      </w:r>
      <w:r w:rsidRPr="009F670F">
        <w:rPr>
          <w:sz w:val="16"/>
          <w:szCs w:val="16"/>
        </w:rPr>
        <w:t>stravování pociťovalo ve 3.</w:t>
      </w:r>
      <w:r>
        <w:rPr>
          <w:sz w:val="16"/>
          <w:szCs w:val="16"/>
        </w:rPr>
        <w:t> čtvrtlet</w:t>
      </w:r>
      <w:r w:rsidRPr="009F670F">
        <w:rPr>
          <w:sz w:val="16"/>
          <w:szCs w:val="16"/>
        </w:rPr>
        <w:t>í negativní dopady (na ekonomiku, tržby, objem práce) 83</w:t>
      </w:r>
      <w:r>
        <w:rPr>
          <w:sz w:val="16"/>
          <w:szCs w:val="16"/>
        </w:rPr>
        <w:t> %</w:t>
      </w:r>
      <w:r w:rsidRPr="009F670F">
        <w:rPr>
          <w:sz w:val="16"/>
          <w:szCs w:val="16"/>
        </w:rPr>
        <w:t xml:space="preserve"> z nich (ve </w:t>
      </w:r>
      <w:r>
        <w:rPr>
          <w:sz w:val="16"/>
          <w:szCs w:val="16"/>
        </w:rPr>
        <w:t>2. čtvrtlet</w:t>
      </w:r>
      <w:r w:rsidRPr="009F670F">
        <w:rPr>
          <w:sz w:val="16"/>
          <w:szCs w:val="16"/>
        </w:rPr>
        <w:t>í 94</w:t>
      </w:r>
      <w:r>
        <w:rPr>
          <w:sz w:val="16"/>
          <w:szCs w:val="16"/>
        </w:rPr>
        <w:t> %</w:t>
      </w:r>
      <w:r w:rsidRPr="009F670F">
        <w:rPr>
          <w:sz w:val="16"/>
          <w:szCs w:val="16"/>
        </w:rPr>
        <w:t>).</w:t>
      </w:r>
    </w:p>
  </w:footnote>
  <w:footnote w:id="5">
    <w:p w14:paraId="015CD25C" w14:textId="77777777" w:rsidR="008D3ACD" w:rsidRPr="00B34C77" w:rsidRDefault="008D3ACD" w:rsidP="00100A8B">
      <w:pPr>
        <w:pStyle w:val="Textpoznpodarou"/>
        <w:rPr>
          <w:sz w:val="16"/>
          <w:szCs w:val="16"/>
        </w:rPr>
      </w:pPr>
      <w:r w:rsidRPr="00B34C77">
        <w:rPr>
          <w:rStyle w:val="Znakapoznpodarou"/>
          <w:sz w:val="16"/>
          <w:szCs w:val="16"/>
        </w:rPr>
        <w:footnoteRef/>
      </w:r>
      <w:r w:rsidRPr="00B34C77">
        <w:rPr>
          <w:sz w:val="16"/>
          <w:szCs w:val="16"/>
        </w:rPr>
        <w:t xml:space="preserve"> Zahrnují všechna odvětví služeb bez veřejných služeb </w:t>
      </w:r>
      <w:r>
        <w:rPr>
          <w:sz w:val="16"/>
          <w:szCs w:val="16"/>
        </w:rPr>
        <w:t>a také obchodu, jenž</w:t>
      </w:r>
      <w:r w:rsidRPr="00B34C77">
        <w:rPr>
          <w:sz w:val="16"/>
          <w:szCs w:val="16"/>
        </w:rPr>
        <w:t xml:space="preserve"> se sleduje jako samostatná k</w:t>
      </w:r>
      <w:r>
        <w:rPr>
          <w:sz w:val="16"/>
          <w:szCs w:val="16"/>
        </w:rPr>
        <w:t>ategorie</w:t>
      </w:r>
      <w:r w:rsidRPr="00B34C77">
        <w:rPr>
          <w:sz w:val="16"/>
          <w:szCs w:val="16"/>
        </w:rPr>
        <w:t>.</w:t>
      </w:r>
    </w:p>
  </w:footnote>
  <w:footnote w:id="6">
    <w:p w14:paraId="60FEBD9B" w14:textId="77777777" w:rsidR="008D3ACD" w:rsidRPr="00A93B34" w:rsidRDefault="008D3ACD" w:rsidP="00100A8B">
      <w:pPr>
        <w:pStyle w:val="Textpoznpodarou"/>
        <w:rPr>
          <w:sz w:val="16"/>
          <w:szCs w:val="16"/>
        </w:rPr>
      </w:pPr>
      <w:r w:rsidRPr="00A93B34">
        <w:rPr>
          <w:rStyle w:val="Znakapoznpodarou"/>
          <w:sz w:val="16"/>
          <w:szCs w:val="16"/>
        </w:rPr>
        <w:footnoteRef/>
      </w:r>
      <w:r w:rsidRPr="00A93B34">
        <w:rPr>
          <w:sz w:val="16"/>
          <w:szCs w:val="16"/>
        </w:rPr>
        <w:t xml:space="preserve"> Saldo vyjadřuje rozdíl </w:t>
      </w:r>
      <w:r>
        <w:rPr>
          <w:sz w:val="16"/>
          <w:szCs w:val="16"/>
        </w:rPr>
        <w:t>mezi podílem</w:t>
      </w:r>
      <w:r w:rsidRPr="00A93B34">
        <w:rPr>
          <w:sz w:val="16"/>
          <w:szCs w:val="16"/>
        </w:rPr>
        <w:t xml:space="preserve"> podniků očekávajících v nejbližších třech měsících zvýšení počtu zaměstnanců</w:t>
      </w:r>
      <w:r>
        <w:rPr>
          <w:sz w:val="16"/>
          <w:szCs w:val="16"/>
        </w:rPr>
        <w:t xml:space="preserve"> a podílem podniků plánujících redukci stavů. Saldo vychází ze sezónně očištěných údajů.</w:t>
      </w:r>
    </w:p>
  </w:footnote>
  <w:footnote w:id="7">
    <w:p w14:paraId="27BCC744" w14:textId="77777777" w:rsidR="008D3ACD" w:rsidRPr="00B7522F" w:rsidRDefault="008D3ACD" w:rsidP="00100A8B">
      <w:pPr>
        <w:pStyle w:val="Textpoznpodarou"/>
        <w:rPr>
          <w:sz w:val="16"/>
          <w:szCs w:val="16"/>
        </w:rPr>
      </w:pPr>
      <w:r w:rsidRPr="00B7522F">
        <w:rPr>
          <w:rStyle w:val="Znakapoznpodarou"/>
          <w:sz w:val="16"/>
          <w:szCs w:val="16"/>
        </w:rPr>
        <w:footnoteRef/>
      </w:r>
      <w:r w:rsidRPr="00B7522F">
        <w:rPr>
          <w:sz w:val="16"/>
          <w:szCs w:val="16"/>
        </w:rPr>
        <w:t xml:space="preserve"> Údaje nejsou sezónně očištěny. Sezónní vliv u</w:t>
      </w:r>
      <w:r>
        <w:rPr>
          <w:sz w:val="16"/>
          <w:szCs w:val="16"/>
        </w:rPr>
        <w:t> </w:t>
      </w:r>
      <w:r w:rsidRPr="00B7522F">
        <w:rPr>
          <w:sz w:val="16"/>
          <w:szCs w:val="16"/>
        </w:rPr>
        <w:t xml:space="preserve">zaměstnanosti je nicméně ze sledovaných </w:t>
      </w:r>
      <w:r>
        <w:rPr>
          <w:sz w:val="16"/>
          <w:szCs w:val="16"/>
        </w:rPr>
        <w:t>odvětví patrnější jen u stavebni</w:t>
      </w:r>
      <w:r w:rsidRPr="00B7522F">
        <w:rPr>
          <w:sz w:val="16"/>
          <w:szCs w:val="16"/>
        </w:rPr>
        <w:t>ctví.</w:t>
      </w:r>
    </w:p>
  </w:footnote>
  <w:footnote w:id="8">
    <w:p w14:paraId="1035467C" w14:textId="77777777" w:rsidR="008D3ACD" w:rsidRPr="004E68B1" w:rsidRDefault="008D3ACD" w:rsidP="00100A8B">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w:t>
      </w:r>
      <w:r>
        <w:rPr>
          <w:spacing w:val="-3"/>
          <w:sz w:val="16"/>
          <w:szCs w:val="16"/>
        </w:rPr>
        <w:t>Není-li uvedeno jinak, vycházejí v</w:t>
      </w:r>
      <w:r w:rsidRPr="004E68B1">
        <w:rPr>
          <w:spacing w:val="-3"/>
          <w:sz w:val="16"/>
          <w:szCs w:val="16"/>
        </w:rPr>
        <w:t>šechny údaje o nezaměstnanosti z Výběrového šetření pracovních sil.</w:t>
      </w:r>
    </w:p>
  </w:footnote>
  <w:footnote w:id="9">
    <w:p w14:paraId="66DDC129" w14:textId="77777777" w:rsidR="008D3ACD" w:rsidRPr="00D14691" w:rsidRDefault="008D3ACD" w:rsidP="00100A8B">
      <w:pPr>
        <w:pStyle w:val="Textpoznpodarou"/>
        <w:rPr>
          <w:sz w:val="16"/>
          <w:szCs w:val="16"/>
        </w:rPr>
      </w:pPr>
      <w:r w:rsidRPr="00D14691">
        <w:rPr>
          <w:rStyle w:val="Znakapoznpodarou"/>
          <w:sz w:val="16"/>
          <w:szCs w:val="16"/>
        </w:rPr>
        <w:footnoteRef/>
      </w:r>
      <w:r w:rsidRPr="00D14691">
        <w:rPr>
          <w:sz w:val="16"/>
          <w:szCs w:val="16"/>
        </w:rPr>
        <w:t xml:space="preserve"> Tyto tendence potvrzují i</w:t>
      </w:r>
      <w:r>
        <w:rPr>
          <w:sz w:val="16"/>
          <w:szCs w:val="16"/>
        </w:rPr>
        <w:t> </w:t>
      </w:r>
      <w:r w:rsidRPr="00D14691">
        <w:rPr>
          <w:sz w:val="16"/>
          <w:szCs w:val="16"/>
        </w:rPr>
        <w:t>údaje o</w:t>
      </w:r>
      <w:r>
        <w:rPr>
          <w:sz w:val="16"/>
          <w:szCs w:val="16"/>
        </w:rPr>
        <w:t> </w:t>
      </w:r>
      <w:r w:rsidRPr="00D14691">
        <w:rPr>
          <w:sz w:val="16"/>
          <w:szCs w:val="16"/>
        </w:rPr>
        <w:t>uchazečích o</w:t>
      </w:r>
      <w:r>
        <w:rPr>
          <w:sz w:val="16"/>
          <w:szCs w:val="16"/>
        </w:rPr>
        <w:t> </w:t>
      </w:r>
      <w:r w:rsidRPr="00D14691">
        <w:rPr>
          <w:sz w:val="16"/>
          <w:szCs w:val="16"/>
        </w:rPr>
        <w:t>práci registrovaných na úřadech práce v ČR. Jejich počet vztažený k celkové populaci ve věku 15</w:t>
      </w:r>
      <w:r>
        <w:rPr>
          <w:sz w:val="16"/>
          <w:szCs w:val="16"/>
        </w:rPr>
        <w:t> </w:t>
      </w:r>
      <w:r w:rsidRPr="00D14691">
        <w:rPr>
          <w:sz w:val="16"/>
          <w:szCs w:val="16"/>
        </w:rPr>
        <w:t>až 64</w:t>
      </w:r>
      <w:r>
        <w:rPr>
          <w:sz w:val="16"/>
          <w:szCs w:val="16"/>
        </w:rPr>
        <w:t> </w:t>
      </w:r>
      <w:r w:rsidRPr="00D14691">
        <w:rPr>
          <w:sz w:val="16"/>
          <w:szCs w:val="16"/>
        </w:rPr>
        <w:t>let vzrostl z únorových 3,0</w:t>
      </w:r>
      <w:r>
        <w:rPr>
          <w:sz w:val="16"/>
          <w:szCs w:val="16"/>
        </w:rPr>
        <w:t> %</w:t>
      </w:r>
      <w:r w:rsidRPr="00D14691">
        <w:rPr>
          <w:sz w:val="16"/>
          <w:szCs w:val="16"/>
        </w:rPr>
        <w:t xml:space="preserve"> na červnov</w:t>
      </w:r>
      <w:r>
        <w:rPr>
          <w:sz w:val="16"/>
          <w:szCs w:val="16"/>
        </w:rPr>
        <w:t>á</w:t>
      </w:r>
      <w:r w:rsidRPr="00D14691">
        <w:rPr>
          <w:sz w:val="16"/>
          <w:szCs w:val="16"/>
        </w:rPr>
        <w:t xml:space="preserve"> 3,</w:t>
      </w:r>
      <w:r>
        <w:rPr>
          <w:sz w:val="16"/>
          <w:szCs w:val="16"/>
        </w:rPr>
        <w:t>7 %. Na této úrovni pak setrval</w:t>
      </w:r>
      <w:r w:rsidRPr="00D14691">
        <w:rPr>
          <w:sz w:val="16"/>
          <w:szCs w:val="16"/>
        </w:rPr>
        <w:t xml:space="preserve"> až do konce října 2020.</w:t>
      </w:r>
    </w:p>
  </w:footnote>
  <w:footnote w:id="10">
    <w:p w14:paraId="644831FC" w14:textId="77777777" w:rsidR="008D3ACD" w:rsidRPr="000A68F7" w:rsidRDefault="008D3ACD" w:rsidP="00100A8B">
      <w:pPr>
        <w:pStyle w:val="Default"/>
        <w:rPr>
          <w:rFonts w:ascii="Arial" w:hAnsi="Arial" w:cs="Arial"/>
          <w:spacing w:val="-2"/>
          <w:sz w:val="16"/>
          <w:szCs w:val="16"/>
        </w:rPr>
      </w:pPr>
      <w:r w:rsidRPr="000A68F7">
        <w:rPr>
          <w:rStyle w:val="Znakapoznpodarou"/>
          <w:rFonts w:ascii="Arial" w:hAnsi="Arial" w:cs="Arial"/>
          <w:spacing w:val="-2"/>
          <w:sz w:val="16"/>
          <w:szCs w:val="16"/>
        </w:rPr>
        <w:footnoteRef/>
      </w:r>
      <w:r w:rsidRPr="000A68F7">
        <w:rPr>
          <w:rFonts w:ascii="Arial" w:hAnsi="Arial" w:cs="Arial"/>
          <w:spacing w:val="-2"/>
          <w:sz w:val="16"/>
          <w:szCs w:val="16"/>
        </w:rPr>
        <w:t xml:space="preserve"> V rámci programu Antivirus</w:t>
      </w:r>
      <w:r>
        <w:rPr>
          <w:rFonts w:ascii="Arial" w:hAnsi="Arial" w:cs="Arial"/>
          <w:spacing w:val="-2"/>
          <w:sz w:val="16"/>
          <w:szCs w:val="16"/>
        </w:rPr>
        <w:t> </w:t>
      </w:r>
      <w:r w:rsidRPr="000A68F7">
        <w:rPr>
          <w:rFonts w:ascii="Arial" w:hAnsi="Arial" w:cs="Arial"/>
          <w:spacing w:val="-2"/>
          <w:sz w:val="16"/>
          <w:szCs w:val="16"/>
        </w:rPr>
        <w:t>A+B</w:t>
      </w:r>
      <w:r>
        <w:rPr>
          <w:rFonts w:ascii="Arial" w:hAnsi="Arial" w:cs="Arial"/>
          <w:spacing w:val="-2"/>
          <w:sz w:val="16"/>
          <w:szCs w:val="16"/>
        </w:rPr>
        <w:t xml:space="preserve"> </w:t>
      </w:r>
      <w:r w:rsidRPr="000A68F7">
        <w:rPr>
          <w:rFonts w:ascii="Arial" w:hAnsi="Arial" w:cs="Arial"/>
          <w:spacing w:val="-2"/>
          <w:sz w:val="16"/>
          <w:szCs w:val="16"/>
        </w:rPr>
        <w:t xml:space="preserve">bylo od března do září 2020 </w:t>
      </w:r>
      <w:r>
        <w:rPr>
          <w:rFonts w:ascii="Arial" w:hAnsi="Arial" w:cs="Arial"/>
          <w:spacing w:val="-2"/>
          <w:sz w:val="16"/>
          <w:szCs w:val="16"/>
        </w:rPr>
        <w:t>vynaloženo</w:t>
      </w:r>
      <w:r w:rsidRPr="000A68F7">
        <w:rPr>
          <w:rFonts w:ascii="Arial" w:hAnsi="Arial" w:cs="Arial"/>
          <w:spacing w:val="-2"/>
          <w:sz w:val="16"/>
          <w:szCs w:val="16"/>
        </w:rPr>
        <w:t xml:space="preserve"> z rozpočtu MPSV 18,7</w:t>
      </w:r>
      <w:r>
        <w:rPr>
          <w:rFonts w:ascii="Arial" w:hAnsi="Arial" w:cs="Arial"/>
          <w:spacing w:val="-2"/>
          <w:sz w:val="16"/>
          <w:szCs w:val="16"/>
        </w:rPr>
        <w:t> mld.</w:t>
      </w:r>
      <w:r w:rsidRPr="000A68F7">
        <w:rPr>
          <w:rFonts w:ascii="Arial" w:hAnsi="Arial" w:cs="Arial"/>
          <w:spacing w:val="-2"/>
          <w:sz w:val="16"/>
          <w:szCs w:val="16"/>
        </w:rPr>
        <w:t xml:space="preserve"> korun. V úhrnu bylo takto částečně podpořeno 830</w:t>
      </w:r>
      <w:r>
        <w:rPr>
          <w:rFonts w:ascii="Arial" w:hAnsi="Arial" w:cs="Arial"/>
          <w:spacing w:val="-2"/>
          <w:sz w:val="16"/>
          <w:szCs w:val="16"/>
        </w:rPr>
        <w:t> tis.</w:t>
      </w:r>
      <w:r w:rsidRPr="000A68F7">
        <w:rPr>
          <w:rFonts w:ascii="Arial" w:hAnsi="Arial" w:cs="Arial"/>
          <w:spacing w:val="-2"/>
          <w:sz w:val="16"/>
          <w:szCs w:val="16"/>
        </w:rPr>
        <w:t xml:space="preserve"> pracovních míst. </w:t>
      </w:r>
      <w:r>
        <w:rPr>
          <w:rFonts w:ascii="Arial" w:hAnsi="Arial" w:cs="Arial"/>
          <w:spacing w:val="-2"/>
          <w:sz w:val="16"/>
          <w:szCs w:val="16"/>
        </w:rPr>
        <w:t xml:space="preserve">Většina firem </w:t>
      </w:r>
      <w:r w:rsidRPr="000A68F7">
        <w:rPr>
          <w:rFonts w:ascii="Arial" w:hAnsi="Arial" w:cs="Arial"/>
          <w:spacing w:val="-2"/>
          <w:sz w:val="16"/>
          <w:szCs w:val="16"/>
        </w:rPr>
        <w:t>žádala o</w:t>
      </w:r>
      <w:r>
        <w:rPr>
          <w:rFonts w:ascii="Arial" w:hAnsi="Arial" w:cs="Arial"/>
          <w:spacing w:val="-2"/>
          <w:sz w:val="16"/>
          <w:szCs w:val="16"/>
        </w:rPr>
        <w:t> </w:t>
      </w:r>
      <w:r w:rsidRPr="000A68F7">
        <w:rPr>
          <w:rFonts w:ascii="Arial" w:hAnsi="Arial" w:cs="Arial"/>
          <w:spacing w:val="-2"/>
          <w:sz w:val="16"/>
          <w:szCs w:val="16"/>
        </w:rPr>
        <w:t>příspěvek na úhradu mzdových náhrad svých zaměstnanců v jednotlivých měsících opakovaně. Čerpání podpory v průběhu roku sláblo, ve 3.</w:t>
      </w:r>
      <w:r>
        <w:rPr>
          <w:rFonts w:ascii="Arial" w:hAnsi="Arial" w:cs="Arial"/>
          <w:spacing w:val="-2"/>
          <w:sz w:val="16"/>
          <w:szCs w:val="16"/>
        </w:rPr>
        <w:t> čtvrtlet</w:t>
      </w:r>
      <w:r w:rsidRPr="000A68F7">
        <w:rPr>
          <w:rFonts w:ascii="Arial" w:hAnsi="Arial" w:cs="Arial"/>
          <w:spacing w:val="-2"/>
          <w:sz w:val="16"/>
          <w:szCs w:val="16"/>
        </w:rPr>
        <w:t>í dosáhlo 2,7</w:t>
      </w:r>
      <w:r>
        <w:rPr>
          <w:rFonts w:ascii="Arial" w:hAnsi="Arial" w:cs="Arial"/>
          <w:spacing w:val="-2"/>
          <w:sz w:val="16"/>
          <w:szCs w:val="16"/>
        </w:rPr>
        <w:t> mld.</w:t>
      </w:r>
      <w:r w:rsidRPr="000A68F7">
        <w:rPr>
          <w:rFonts w:ascii="Arial" w:hAnsi="Arial" w:cs="Arial"/>
          <w:spacing w:val="-2"/>
          <w:sz w:val="16"/>
          <w:szCs w:val="16"/>
        </w:rPr>
        <w:t xml:space="preserve"> korun.</w:t>
      </w:r>
    </w:p>
  </w:footnote>
  <w:footnote w:id="11">
    <w:p w14:paraId="40B2868F" w14:textId="77777777" w:rsidR="008D3ACD" w:rsidRPr="000A68F7" w:rsidRDefault="008D3ACD" w:rsidP="00100A8B">
      <w:pPr>
        <w:pStyle w:val="Textpoznpodarou"/>
        <w:jc w:val="both"/>
        <w:rPr>
          <w:spacing w:val="-2"/>
          <w:sz w:val="16"/>
          <w:szCs w:val="16"/>
        </w:rPr>
      </w:pPr>
      <w:r w:rsidRPr="000A68F7">
        <w:rPr>
          <w:rStyle w:val="Znakapoznpodarou"/>
          <w:spacing w:val="-2"/>
          <w:sz w:val="16"/>
          <w:szCs w:val="16"/>
        </w:rPr>
        <w:footnoteRef/>
      </w:r>
      <w:r w:rsidRPr="000A68F7">
        <w:rPr>
          <w:spacing w:val="-2"/>
          <w:sz w:val="16"/>
          <w:szCs w:val="16"/>
        </w:rPr>
        <w:t xml:space="preserve"> Celkové čerpání dávek ošetřovného činilo letos od března </w:t>
      </w:r>
      <w:r>
        <w:rPr>
          <w:spacing w:val="-2"/>
          <w:sz w:val="16"/>
          <w:szCs w:val="16"/>
        </w:rPr>
        <w:t>do</w:t>
      </w:r>
      <w:r w:rsidRPr="000A68F7">
        <w:rPr>
          <w:spacing w:val="-2"/>
          <w:sz w:val="16"/>
          <w:szCs w:val="16"/>
        </w:rPr>
        <w:t xml:space="preserve"> září 9,4 mld. korun, ve stejném období loňského roku jen 0,7 mld.</w:t>
      </w:r>
    </w:p>
  </w:footnote>
  <w:footnote w:id="12">
    <w:p w14:paraId="1BE0F903" w14:textId="77777777" w:rsidR="008D3ACD" w:rsidRPr="000A68F7" w:rsidRDefault="008D3ACD" w:rsidP="00100A8B">
      <w:pPr>
        <w:pStyle w:val="Textpoznpodarou"/>
        <w:rPr>
          <w:spacing w:val="-2"/>
          <w:sz w:val="16"/>
          <w:szCs w:val="16"/>
        </w:rPr>
      </w:pPr>
      <w:r w:rsidRPr="000A68F7">
        <w:rPr>
          <w:rStyle w:val="Znakapoznpodarou"/>
          <w:spacing w:val="-2"/>
          <w:sz w:val="16"/>
          <w:szCs w:val="16"/>
        </w:rPr>
        <w:footnoteRef/>
      </w:r>
      <w:r w:rsidRPr="000A68F7">
        <w:rPr>
          <w:spacing w:val="-2"/>
          <w:sz w:val="16"/>
          <w:szCs w:val="16"/>
        </w:rPr>
        <w:t xml:space="preserve"> Podíl domácností očekávajících v příštích 12</w:t>
      </w:r>
      <w:r>
        <w:rPr>
          <w:spacing w:val="-2"/>
          <w:sz w:val="16"/>
          <w:szCs w:val="16"/>
        </w:rPr>
        <w:t> </w:t>
      </w:r>
      <w:r w:rsidRPr="000A68F7">
        <w:rPr>
          <w:spacing w:val="-2"/>
          <w:sz w:val="16"/>
          <w:szCs w:val="16"/>
        </w:rPr>
        <w:t>měsících</w:t>
      </w:r>
      <w:r>
        <w:rPr>
          <w:spacing w:val="-2"/>
          <w:sz w:val="16"/>
          <w:szCs w:val="16"/>
        </w:rPr>
        <w:t xml:space="preserve"> růst</w:t>
      </w:r>
      <w:r w:rsidRPr="000A68F7">
        <w:rPr>
          <w:spacing w:val="-2"/>
          <w:sz w:val="16"/>
          <w:szCs w:val="16"/>
        </w:rPr>
        <w:t xml:space="preserve"> nezaměstnanosti byl o</w:t>
      </w:r>
      <w:r>
        <w:rPr>
          <w:spacing w:val="-2"/>
          <w:sz w:val="16"/>
          <w:szCs w:val="16"/>
        </w:rPr>
        <w:t> </w:t>
      </w:r>
      <w:r w:rsidRPr="000A68F7">
        <w:rPr>
          <w:spacing w:val="-2"/>
          <w:sz w:val="16"/>
          <w:szCs w:val="16"/>
        </w:rPr>
        <w:t>60</w:t>
      </w:r>
      <w:r>
        <w:rPr>
          <w:spacing w:val="-2"/>
          <w:sz w:val="16"/>
          <w:szCs w:val="16"/>
        </w:rPr>
        <w:t> p. b.</w:t>
      </w:r>
      <w:r w:rsidRPr="000A68F7">
        <w:rPr>
          <w:spacing w:val="-2"/>
          <w:sz w:val="16"/>
          <w:szCs w:val="16"/>
        </w:rPr>
        <w:t xml:space="preserve"> vyšší než podíl těch, které vyhlížely snížení.</w:t>
      </w:r>
    </w:p>
  </w:footnote>
  <w:footnote w:id="13">
    <w:p w14:paraId="20BDB27F" w14:textId="77777777" w:rsidR="008D3ACD" w:rsidRPr="00521DA5" w:rsidRDefault="008D3ACD" w:rsidP="00100A8B">
      <w:pPr>
        <w:pStyle w:val="Textpoznpodarou"/>
        <w:rPr>
          <w:spacing w:val="-3"/>
          <w:sz w:val="16"/>
          <w:szCs w:val="16"/>
        </w:rPr>
      </w:pPr>
      <w:r w:rsidRPr="00521DA5">
        <w:rPr>
          <w:rStyle w:val="Znakapoznpodarou"/>
          <w:spacing w:val="-3"/>
          <w:sz w:val="16"/>
          <w:szCs w:val="16"/>
        </w:rPr>
        <w:footnoteRef/>
      </w:r>
      <w:r w:rsidRPr="00521DA5">
        <w:rPr>
          <w:spacing w:val="-3"/>
          <w:sz w:val="16"/>
          <w:szCs w:val="16"/>
        </w:rPr>
        <w:t xml:space="preserve"> Tento stav trvá v ČR již dva a</w:t>
      </w:r>
      <w:r>
        <w:rPr>
          <w:spacing w:val="-3"/>
          <w:sz w:val="16"/>
          <w:szCs w:val="16"/>
        </w:rPr>
        <w:t> </w:t>
      </w:r>
      <w:r w:rsidRPr="00521DA5">
        <w:rPr>
          <w:spacing w:val="-3"/>
          <w:sz w:val="16"/>
          <w:szCs w:val="16"/>
        </w:rPr>
        <w:t>půl roku. V říjnu 2020 byl převis počtu míst nad uchazeči patrný ve dvou pětinách krajů a</w:t>
      </w:r>
      <w:r>
        <w:rPr>
          <w:spacing w:val="-3"/>
          <w:sz w:val="16"/>
          <w:szCs w:val="16"/>
        </w:rPr>
        <w:t> </w:t>
      </w:r>
      <w:r w:rsidRPr="00521DA5">
        <w:rPr>
          <w:spacing w:val="-3"/>
          <w:sz w:val="16"/>
          <w:szCs w:val="16"/>
        </w:rPr>
        <w:t>polovině okresů ČR.</w:t>
      </w:r>
    </w:p>
  </w:footnote>
  <w:footnote w:id="14">
    <w:p w14:paraId="287573C7" w14:textId="77777777" w:rsidR="008D3ACD" w:rsidRPr="006A4CF3" w:rsidRDefault="008D3ACD" w:rsidP="00100A8B">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Vztahuje se k osobám ve věku 15–74 let. Všechny údaje o nezaměstnanosti vyjadřují skutečnost po sezónním očištění.</w:t>
      </w:r>
    </w:p>
  </w:footnote>
  <w:footnote w:id="15">
    <w:p w14:paraId="3CE75144" w14:textId="77777777" w:rsidR="008D3ACD" w:rsidRPr="006A4CF3" w:rsidRDefault="008D3ACD" w:rsidP="00100A8B">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Podnikům postiženým dopady koronavirové krize přispíval za splnění určitých podmínek (například zachování pracovních míst) na mzdy zaměstnanců částečně stát (program Antivirus). Tyto náhrady mezd čerpali lidé z titulu překážek v práci v souvislosti s pandemií. Naopak osoby, které nepracovaly z důvodu pobírání ošetřovného či nařízené karantény, pobíraly od státu transfery, které metodicky nejsou součástí mezd (jejich čerpání tak působilo proti růstu průměrných mezd).</w:t>
      </w:r>
    </w:p>
  </w:footnote>
  <w:footnote w:id="16">
    <w:p w14:paraId="11256B7B" w14:textId="77777777" w:rsidR="008D3ACD" w:rsidRPr="002F5783" w:rsidRDefault="008D3ACD" w:rsidP="00100A8B">
      <w:pPr>
        <w:pStyle w:val="Textpoznpodarou"/>
        <w:rPr>
          <w:sz w:val="16"/>
          <w:szCs w:val="16"/>
        </w:rPr>
      </w:pPr>
      <w:r w:rsidRPr="002F5783">
        <w:rPr>
          <w:rStyle w:val="Znakapoznpodarou"/>
          <w:sz w:val="16"/>
          <w:szCs w:val="16"/>
        </w:rPr>
        <w:footnoteRef/>
      </w:r>
      <w:r w:rsidRPr="002F5783">
        <w:rPr>
          <w:sz w:val="16"/>
          <w:szCs w:val="16"/>
        </w:rPr>
        <w:t xml:space="preserve"> Ve 3.</w:t>
      </w:r>
      <w:r>
        <w:rPr>
          <w:sz w:val="16"/>
          <w:szCs w:val="16"/>
        </w:rPr>
        <w:t> čtvrtlet</w:t>
      </w:r>
      <w:r w:rsidRPr="002F5783">
        <w:rPr>
          <w:sz w:val="16"/>
          <w:szCs w:val="16"/>
        </w:rPr>
        <w:t>í 2019 zde průměrná mzda vzrostla meziročně o</w:t>
      </w:r>
      <w:r>
        <w:rPr>
          <w:sz w:val="16"/>
          <w:szCs w:val="16"/>
        </w:rPr>
        <w:t> </w:t>
      </w:r>
      <w:r w:rsidRPr="002F5783">
        <w:rPr>
          <w:sz w:val="16"/>
          <w:szCs w:val="16"/>
        </w:rPr>
        <w:t>8,1</w:t>
      </w:r>
      <w:r>
        <w:rPr>
          <w:sz w:val="16"/>
          <w:szCs w:val="16"/>
        </w:rPr>
        <w:t> %</w:t>
      </w:r>
      <w:r w:rsidRPr="002F5783">
        <w:rPr>
          <w:sz w:val="16"/>
          <w:szCs w:val="16"/>
        </w:rPr>
        <w:t>, což bylo ze všech tržních odvětví nejvíce.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85C8" w14:textId="77777777" w:rsidR="008D3ACD" w:rsidRDefault="008D3ACD" w:rsidP="00937AE2">
    <w:pPr>
      <w:pStyle w:val="Zhlav"/>
    </w:pPr>
    <w:r>
      <w:t>Vývoj ekonomiky České republiky</w:t>
    </w:r>
  </w:p>
  <w:p w14:paraId="675E4C41" w14:textId="77777777" w:rsidR="008D3ACD" w:rsidRPr="006F5416" w:rsidRDefault="008D3AC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12FB" w14:textId="77777777" w:rsidR="008D3ACD" w:rsidRDefault="008D3ACD" w:rsidP="00937AE2">
    <w:pPr>
      <w:pStyle w:val="Zhlav"/>
    </w:pPr>
    <w:r>
      <w:t>Vývoj ekonomiky České republiky</w:t>
    </w:r>
  </w:p>
  <w:p w14:paraId="0CDCFD48" w14:textId="77777777" w:rsidR="008D3ACD" w:rsidRPr="006F5416" w:rsidRDefault="008D3AC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64A"/>
    <w:rsid w:val="002C59D8"/>
    <w:rsid w:val="002C5FEB"/>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6B"/>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790"/>
    <w:rsid w:val="00AA52BF"/>
    <w:rsid w:val="00AA53A1"/>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2C3"/>
    <w:rsid w:val="00B16DD1"/>
    <w:rsid w:val="00B16EB8"/>
    <w:rsid w:val="00B17E71"/>
    <w:rsid w:val="00B17FDE"/>
    <w:rsid w:val="00B20632"/>
    <w:rsid w:val="00B2379C"/>
    <w:rsid w:val="00B23D5D"/>
    <w:rsid w:val="00B23E6E"/>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61D"/>
    <w:rsid w:val="00BA3787"/>
    <w:rsid w:val="00BA403A"/>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Trh%20pr&#225;ce\Grafy-trh%20pr&#225;ce-rok-2020-1.-3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1.a&#382;%203.%20&#269;tvrtlet&#237;%202020\Trh%20pr&#225;ce\Grafy-trh%20pr&#225;ce-rok-2020-1.-3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Trh%20pr&#225;ce\Grafy-trh%20pr&#225;ce-rok-2020-1.-3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1'!$AC$28:$AC$51</c:f>
              <c:numCache>
                <c:formatCode>#\ ##0.0</c:formatCode>
                <c:ptCount val="24"/>
                <c:pt idx="0">
                  <c:v>-6.3775886113478369E-2</c:v>
                </c:pt>
                <c:pt idx="1">
                  <c:v>-5.3530554883726662E-2</c:v>
                </c:pt>
                <c:pt idx="2">
                  <c:v>-6.4075390166381849E-2</c:v>
                </c:pt>
                <c:pt idx="3">
                  <c:v>-0.13844304699479693</c:v>
                </c:pt>
                <c:pt idx="4">
                  <c:v>-0.13446730863002626</c:v>
                </c:pt>
                <c:pt idx="5">
                  <c:v>-4.2544545507820601E-2</c:v>
                </c:pt>
                <c:pt idx="6">
                  <c:v>-3.3191194580390673E-2</c:v>
                </c:pt>
                <c:pt idx="7">
                  <c:v>6.6309323471769377E-2</c:v>
                </c:pt>
                <c:pt idx="8">
                  <c:v>9.8066936941412233E-2</c:v>
                </c:pt>
                <c:pt idx="9">
                  <c:v>2.5196330912572437E-2</c:v>
                </c:pt>
                <c:pt idx="10">
                  <c:v>2.0639846638534198E-2</c:v>
                </c:pt>
                <c:pt idx="11">
                  <c:v>-8.3455519417103677E-2</c:v>
                </c:pt>
                <c:pt idx="12">
                  <c:v>2.5814692683709294E-2</c:v>
                </c:pt>
                <c:pt idx="13">
                  <c:v>2.6984266486121962E-2</c:v>
                </c:pt>
                <c:pt idx="14">
                  <c:v>1.9988014642478076E-2</c:v>
                </c:pt>
                <c:pt idx="15">
                  <c:v>8.7933936276959376E-2</c:v>
                </c:pt>
                <c:pt idx="16">
                  <c:v>-2.5505751222282186E-2</c:v>
                </c:pt>
                <c:pt idx="17">
                  <c:v>-7.8189986559947439E-2</c:v>
                </c:pt>
                <c:pt idx="18">
                  <c:v>-0.10869950494464604</c:v>
                </c:pt>
                <c:pt idx="19">
                  <c:v>-0.12385597955281273</c:v>
                </c:pt>
                <c:pt idx="20">
                  <c:v>-0.13740972377814739</c:v>
                </c:pt>
                <c:pt idx="21">
                  <c:v>-6.0401912735190862E-2</c:v>
                </c:pt>
                <c:pt idx="22">
                  <c:v>1.6004978617476226E-2</c:v>
                </c:pt>
              </c:numCache>
            </c:numRef>
          </c:val>
          <c:extLst>
            <c:ext xmlns:c16="http://schemas.microsoft.com/office/drawing/2014/chart" uri="{C3380CC4-5D6E-409C-BE32-E72D297353CC}">
              <c16:uniqueId val="{00000000-6206-4825-ADAF-2A912B7305D9}"/>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1'!$AD$28:$AD$51</c:f>
              <c:numCache>
                <c:formatCode>#\ ##0.0</c:formatCode>
                <c:ptCount val="24"/>
                <c:pt idx="0">
                  <c:v>0.87384359543532464</c:v>
                </c:pt>
                <c:pt idx="1">
                  <c:v>0.93524489787512044</c:v>
                </c:pt>
                <c:pt idx="2">
                  <c:v>0.78267698384636852</c:v>
                </c:pt>
                <c:pt idx="3">
                  <c:v>0.94962455048902517</c:v>
                </c:pt>
                <c:pt idx="4">
                  <c:v>0.84718285167324348</c:v>
                </c:pt>
                <c:pt idx="5">
                  <c:v>0.62908867154608861</c:v>
                </c:pt>
                <c:pt idx="6">
                  <c:v>0.67775956738111331</c:v>
                </c:pt>
                <c:pt idx="7">
                  <c:v>0.54172812831113937</c:v>
                </c:pt>
                <c:pt idx="8">
                  <c:v>0.26867627785059034</c:v>
                </c:pt>
                <c:pt idx="9">
                  <c:v>0.39386843676908101</c:v>
                </c:pt>
                <c:pt idx="10">
                  <c:v>0.49256509811427385</c:v>
                </c:pt>
                <c:pt idx="11">
                  <c:v>0.47713964802096459</c:v>
                </c:pt>
                <c:pt idx="12">
                  <c:v>0.36449366956327101</c:v>
                </c:pt>
                <c:pt idx="13">
                  <c:v>0.28712009104191716</c:v>
                </c:pt>
                <c:pt idx="14">
                  <c:v>9.9194946851067806E-2</c:v>
                </c:pt>
                <c:pt idx="15">
                  <c:v>7.5749869682651877E-2</c:v>
                </c:pt>
                <c:pt idx="16">
                  <c:v>1.7065666272363354E-3</c:v>
                </c:pt>
                <c:pt idx="17">
                  <c:v>-0.1672130815311223</c:v>
                </c:pt>
                <c:pt idx="18">
                  <c:v>-0.33346453087893024</c:v>
                </c:pt>
                <c:pt idx="19">
                  <c:v>-0.72163732119892665</c:v>
                </c:pt>
                <c:pt idx="20">
                  <c:v>-0.68293147360899475</c:v>
                </c:pt>
                <c:pt idx="21">
                  <c:v>-0.86986338151940046</c:v>
                </c:pt>
                <c:pt idx="22">
                  <c:v>-1.0171028275994127</c:v>
                </c:pt>
              </c:numCache>
            </c:numRef>
          </c:val>
          <c:extLst>
            <c:ext xmlns:c16="http://schemas.microsoft.com/office/drawing/2014/chart" uri="{C3380CC4-5D6E-409C-BE32-E72D297353CC}">
              <c16:uniqueId val="{00000001-6206-4825-ADAF-2A912B7305D9}"/>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1'!$AE$28:$AE$51</c:f>
              <c:numCache>
                <c:formatCode>#\ ##0.0</c:formatCode>
                <c:ptCount val="24"/>
                <c:pt idx="0">
                  <c:v>-0.11694210540586052</c:v>
                </c:pt>
                <c:pt idx="1">
                  <c:v>-0.10810072845885586</c:v>
                </c:pt>
                <c:pt idx="2">
                  <c:v>-0.15839123886250733</c:v>
                </c:pt>
                <c:pt idx="3">
                  <c:v>-0.17189865446459995</c:v>
                </c:pt>
                <c:pt idx="4">
                  <c:v>-0.11151278826793087</c:v>
                </c:pt>
                <c:pt idx="5">
                  <c:v>-0.12826978061125432</c:v>
                </c:pt>
                <c:pt idx="6">
                  <c:v>-3.014577719148143E-2</c:v>
                </c:pt>
                <c:pt idx="7">
                  <c:v>1.7024586966207105E-2</c:v>
                </c:pt>
                <c:pt idx="8">
                  <c:v>-6.5148695688723116E-3</c:v>
                </c:pt>
                <c:pt idx="9">
                  <c:v>1.4289321905169284E-2</c:v>
                </c:pt>
                <c:pt idx="10">
                  <c:v>6.6438659970773833E-2</c:v>
                </c:pt>
                <c:pt idx="11">
                  <c:v>-6.4943430456315621E-2</c:v>
                </c:pt>
                <c:pt idx="12">
                  <c:v>0.11749356845101826</c:v>
                </c:pt>
                <c:pt idx="13">
                  <c:v>6.7179580106074471E-2</c:v>
                </c:pt>
                <c:pt idx="14">
                  <c:v>5.6406065552118925E-2</c:v>
                </c:pt>
                <c:pt idx="15">
                  <c:v>0.12562257040583413</c:v>
                </c:pt>
                <c:pt idx="16">
                  <c:v>1.8512537978063726E-2</c:v>
                </c:pt>
                <c:pt idx="17">
                  <c:v>4.2190167111752976E-2</c:v>
                </c:pt>
                <c:pt idx="18">
                  <c:v>7.6558567765870777E-2</c:v>
                </c:pt>
                <c:pt idx="19">
                  <c:v>0.13747664010699337</c:v>
                </c:pt>
                <c:pt idx="20">
                  <c:v>0.22642461038295852</c:v>
                </c:pt>
                <c:pt idx="21">
                  <c:v>-3.8250858156394729E-2</c:v>
                </c:pt>
                <c:pt idx="22">
                  <c:v>7.644411821025085E-2</c:v>
                </c:pt>
              </c:numCache>
            </c:numRef>
          </c:val>
          <c:extLst>
            <c:ext xmlns:c16="http://schemas.microsoft.com/office/drawing/2014/chart" uri="{C3380CC4-5D6E-409C-BE32-E72D297353CC}">
              <c16:uniqueId val="{00000002-6206-4825-ADAF-2A912B7305D9}"/>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1'!$AF$28:$AF$51</c:f>
              <c:numCache>
                <c:formatCode>#\ ##0.0</c:formatCode>
                <c:ptCount val="24"/>
                <c:pt idx="0">
                  <c:v>0.22879550024382489</c:v>
                </c:pt>
                <c:pt idx="1">
                  <c:v>0.47330112084625897</c:v>
                </c:pt>
                <c:pt idx="2">
                  <c:v>0.33213712914903176</c:v>
                </c:pt>
                <c:pt idx="3">
                  <c:v>0.17959968299057444</c:v>
                </c:pt>
                <c:pt idx="4">
                  <c:v>8.0583366917820948E-2</c:v>
                </c:pt>
                <c:pt idx="5">
                  <c:v>0.20992754897152985</c:v>
                </c:pt>
                <c:pt idx="6">
                  <c:v>-8.6158327395090793E-3</c:v>
                </c:pt>
                <c:pt idx="7">
                  <c:v>9.5260739725036819E-2</c:v>
                </c:pt>
                <c:pt idx="8">
                  <c:v>0.16015880233389024</c:v>
                </c:pt>
                <c:pt idx="9">
                  <c:v>-9.025834979993895E-3</c:v>
                </c:pt>
                <c:pt idx="10">
                  <c:v>0.34149737055569235</c:v>
                </c:pt>
                <c:pt idx="11">
                  <c:v>0.22106834398785968</c:v>
                </c:pt>
                <c:pt idx="12">
                  <c:v>0.14724354251393632</c:v>
                </c:pt>
                <c:pt idx="13">
                  <c:v>0.38773017907246493</c:v>
                </c:pt>
                <c:pt idx="14">
                  <c:v>0.20751769162833716</c:v>
                </c:pt>
                <c:pt idx="15">
                  <c:v>0.25882757980843152</c:v>
                </c:pt>
                <c:pt idx="16">
                  <c:v>0.37837550067789966</c:v>
                </c:pt>
                <c:pt idx="17">
                  <c:v>3.0454299666256623E-2</c:v>
                </c:pt>
                <c:pt idx="18">
                  <c:v>-8.7506055271335301E-2</c:v>
                </c:pt>
                <c:pt idx="19">
                  <c:v>-0.13427394424695629</c:v>
                </c:pt>
                <c:pt idx="20">
                  <c:v>-0.2600418368128985</c:v>
                </c:pt>
                <c:pt idx="21">
                  <c:v>-0.69118558106889738</c:v>
                </c:pt>
                <c:pt idx="22">
                  <c:v>-0.59827876002638247</c:v>
                </c:pt>
              </c:numCache>
            </c:numRef>
          </c:val>
          <c:extLst>
            <c:ext xmlns:c16="http://schemas.microsoft.com/office/drawing/2014/chart" uri="{C3380CC4-5D6E-409C-BE32-E72D297353CC}">
              <c16:uniqueId val="{00000003-6206-4825-ADAF-2A912B7305D9}"/>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1'!$AG$28:$AG$51</c:f>
              <c:numCache>
                <c:formatCode>#\ ##0.0</c:formatCode>
                <c:ptCount val="24"/>
                <c:pt idx="0">
                  <c:v>7.3874717124669956E-3</c:v>
                </c:pt>
                <c:pt idx="1">
                  <c:v>5.6060947547706408E-2</c:v>
                </c:pt>
                <c:pt idx="2">
                  <c:v>7.3237389552977303E-2</c:v>
                </c:pt>
                <c:pt idx="3">
                  <c:v>0.10393464068853153</c:v>
                </c:pt>
                <c:pt idx="4">
                  <c:v>0.12034144994565989</c:v>
                </c:pt>
                <c:pt idx="5">
                  <c:v>0.11313726215922026</c:v>
                </c:pt>
                <c:pt idx="6">
                  <c:v>0.12927604067983756</c:v>
                </c:pt>
                <c:pt idx="7">
                  <c:v>0.16693713637598337</c:v>
                </c:pt>
                <c:pt idx="8">
                  <c:v>0.13971624972775135</c:v>
                </c:pt>
                <c:pt idx="9">
                  <c:v>0.13821878661994863</c:v>
                </c:pt>
                <c:pt idx="10">
                  <c:v>0.13496598887461</c:v>
                </c:pt>
                <c:pt idx="11">
                  <c:v>0.11698506830016364</c:v>
                </c:pt>
                <c:pt idx="12">
                  <c:v>0.11067743515305851</c:v>
                </c:pt>
                <c:pt idx="13">
                  <c:v>0.13553972187091679</c:v>
                </c:pt>
                <c:pt idx="14">
                  <c:v>0.13024808795918613</c:v>
                </c:pt>
                <c:pt idx="15">
                  <c:v>0.15340000663230582</c:v>
                </c:pt>
                <c:pt idx="16">
                  <c:v>0.13609868852209775</c:v>
                </c:pt>
                <c:pt idx="17">
                  <c:v>7.0525746595541644E-2</c:v>
                </c:pt>
                <c:pt idx="18">
                  <c:v>0.12343153703463035</c:v>
                </c:pt>
                <c:pt idx="19">
                  <c:v>0.13834173611516429</c:v>
                </c:pt>
                <c:pt idx="20">
                  <c:v>0.13924773506463947</c:v>
                </c:pt>
                <c:pt idx="21">
                  <c:v>7.9061253289797295E-2</c:v>
                </c:pt>
                <c:pt idx="22">
                  <c:v>9.6680921682517407E-2</c:v>
                </c:pt>
              </c:numCache>
            </c:numRef>
          </c:val>
          <c:extLst>
            <c:ext xmlns:c16="http://schemas.microsoft.com/office/drawing/2014/chart" uri="{C3380CC4-5D6E-409C-BE32-E72D297353CC}">
              <c16:uniqueId val="{00000004-6206-4825-ADAF-2A912B7305D9}"/>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1'!$AH$28:$AH$51</c:f>
              <c:numCache>
                <c:formatCode>#\ ##0.0</c:formatCode>
                <c:ptCount val="24"/>
                <c:pt idx="0">
                  <c:v>0.11379850042183202</c:v>
                </c:pt>
                <c:pt idx="1">
                  <c:v>0.11820268366776726</c:v>
                </c:pt>
                <c:pt idx="2">
                  <c:v>0.23129653035669548</c:v>
                </c:pt>
                <c:pt idx="3">
                  <c:v>0.37241784026117603</c:v>
                </c:pt>
                <c:pt idx="4">
                  <c:v>0.26699425205615607</c:v>
                </c:pt>
                <c:pt idx="5">
                  <c:v>0.23716608218519117</c:v>
                </c:pt>
                <c:pt idx="6">
                  <c:v>0.24081927124703897</c:v>
                </c:pt>
                <c:pt idx="7">
                  <c:v>0.25506101535021469</c:v>
                </c:pt>
                <c:pt idx="8">
                  <c:v>0.4253197253437988</c:v>
                </c:pt>
                <c:pt idx="9">
                  <c:v>0.3617364642403027</c:v>
                </c:pt>
                <c:pt idx="10">
                  <c:v>0.29161615885428543</c:v>
                </c:pt>
                <c:pt idx="11">
                  <c:v>0.14112634349596684</c:v>
                </c:pt>
                <c:pt idx="12">
                  <c:v>0.15174369681839037</c:v>
                </c:pt>
                <c:pt idx="13">
                  <c:v>0.15585287803130304</c:v>
                </c:pt>
                <c:pt idx="14">
                  <c:v>7.8312780575002641E-2</c:v>
                </c:pt>
                <c:pt idx="15">
                  <c:v>0.22050552325722272</c:v>
                </c:pt>
                <c:pt idx="16">
                  <c:v>0.21302403420850086</c:v>
                </c:pt>
                <c:pt idx="17">
                  <c:v>0.16787633306650354</c:v>
                </c:pt>
                <c:pt idx="18">
                  <c:v>0.15865549346030708</c:v>
                </c:pt>
                <c:pt idx="19">
                  <c:v>9.7553379644807186E-3</c:v>
                </c:pt>
                <c:pt idx="20">
                  <c:v>-0.2382797831808324</c:v>
                </c:pt>
                <c:pt idx="21">
                  <c:v>-0.3599151378780141</c:v>
                </c:pt>
                <c:pt idx="22">
                  <c:v>-0.59777238782153574</c:v>
                </c:pt>
              </c:numCache>
            </c:numRef>
          </c:val>
          <c:extLst>
            <c:ext xmlns:c16="http://schemas.microsoft.com/office/drawing/2014/chart" uri="{C3380CC4-5D6E-409C-BE32-E72D297353CC}">
              <c16:uniqueId val="{00000005-6206-4825-ADAF-2A912B7305D9}"/>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1'!$AI$28:$AI$51</c:f>
              <c:numCache>
                <c:formatCode>#\ ##0.0</c:formatCode>
                <c:ptCount val="24"/>
                <c:pt idx="0">
                  <c:v>0.25561438026381811</c:v>
                </c:pt>
                <c:pt idx="1">
                  <c:v>0.23618959741845097</c:v>
                </c:pt>
                <c:pt idx="2">
                  <c:v>0.10591974557381781</c:v>
                </c:pt>
                <c:pt idx="3">
                  <c:v>9.8709639055718459E-2</c:v>
                </c:pt>
                <c:pt idx="4">
                  <c:v>0.36242141278378515</c:v>
                </c:pt>
                <c:pt idx="5">
                  <c:v>0.34758527415111612</c:v>
                </c:pt>
                <c:pt idx="6">
                  <c:v>0.42951950059780825</c:v>
                </c:pt>
                <c:pt idx="7">
                  <c:v>0.52568461923790011</c:v>
                </c:pt>
                <c:pt idx="8">
                  <c:v>0.43143338593628888</c:v>
                </c:pt>
                <c:pt idx="9">
                  <c:v>0.47637406936515148</c:v>
                </c:pt>
                <c:pt idx="10">
                  <c:v>0.54554133741649136</c:v>
                </c:pt>
                <c:pt idx="11">
                  <c:v>0.54623885355011015</c:v>
                </c:pt>
                <c:pt idx="12">
                  <c:v>0.39719981193497272</c:v>
                </c:pt>
                <c:pt idx="13">
                  <c:v>0.45187402919885078</c:v>
                </c:pt>
                <c:pt idx="14">
                  <c:v>0.32168967834198869</c:v>
                </c:pt>
                <c:pt idx="15">
                  <c:v>0.29320006125567516</c:v>
                </c:pt>
                <c:pt idx="16">
                  <c:v>0.3051229831675053</c:v>
                </c:pt>
                <c:pt idx="17">
                  <c:v>0.2171411832223234</c:v>
                </c:pt>
                <c:pt idx="18">
                  <c:v>0.30064052955563197</c:v>
                </c:pt>
                <c:pt idx="19">
                  <c:v>0.30635442468078694</c:v>
                </c:pt>
                <c:pt idx="20">
                  <c:v>0.39070605916962003</c:v>
                </c:pt>
                <c:pt idx="21">
                  <c:v>0.21060881421922423</c:v>
                </c:pt>
                <c:pt idx="22">
                  <c:v>0.45009255122231445</c:v>
                </c:pt>
              </c:numCache>
            </c:numRef>
          </c:val>
          <c:extLst>
            <c:ext xmlns:c16="http://schemas.microsoft.com/office/drawing/2014/chart" uri="{C3380CC4-5D6E-409C-BE32-E72D297353CC}">
              <c16:uniqueId val="{00000006-6206-4825-ADAF-2A912B7305D9}"/>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1'!$AJ$28:$AJ$51</c:f>
              <c:numCache>
                <c:formatCode>#\ ##0.0</c:formatCode>
                <c:ptCount val="24"/>
                <c:pt idx="0">
                  <c:v>-4.1849241349879523E-2</c:v>
                </c:pt>
                <c:pt idx="1">
                  <c:v>9.7841849673883693E-2</c:v>
                </c:pt>
                <c:pt idx="2">
                  <c:v>4.8115148164572706E-2</c:v>
                </c:pt>
                <c:pt idx="3">
                  <c:v>-4.5211861143632459E-2</c:v>
                </c:pt>
                <c:pt idx="4">
                  <c:v>0.13066419283038919</c:v>
                </c:pt>
                <c:pt idx="5">
                  <c:v>8.2910779442291055E-2</c:v>
                </c:pt>
                <c:pt idx="6">
                  <c:v>0.10551022017018501</c:v>
                </c:pt>
                <c:pt idx="7">
                  <c:v>0.16861073984045796</c:v>
                </c:pt>
                <c:pt idx="8">
                  <c:v>-5.0552331024152887E-2</c:v>
                </c:pt>
                <c:pt idx="9">
                  <c:v>1.1401054711571157E-3</c:v>
                </c:pt>
                <c:pt idx="10">
                  <c:v>3.7899847185385707E-2</c:v>
                </c:pt>
                <c:pt idx="11">
                  <c:v>4.0443247413313482E-2</c:v>
                </c:pt>
                <c:pt idx="12">
                  <c:v>0.19188733270582164</c:v>
                </c:pt>
                <c:pt idx="13">
                  <c:v>0.19975852829309734</c:v>
                </c:pt>
                <c:pt idx="14">
                  <c:v>-8.9415163358709041E-3</c:v>
                </c:pt>
                <c:pt idx="15">
                  <c:v>5.0301192361819347E-4</c:v>
                </c:pt>
                <c:pt idx="16">
                  <c:v>-0.10500949648679234</c:v>
                </c:pt>
                <c:pt idx="17">
                  <c:v>-4.3608788451318478E-2</c:v>
                </c:pt>
                <c:pt idx="18">
                  <c:v>4.676220211018825E-2</c:v>
                </c:pt>
                <c:pt idx="19">
                  <c:v>5.3562327314412982E-2</c:v>
                </c:pt>
                <c:pt idx="20">
                  <c:v>9.8186562924406556E-2</c:v>
                </c:pt>
                <c:pt idx="21">
                  <c:v>-0.13041567679959434</c:v>
                </c:pt>
                <c:pt idx="22">
                  <c:v>-0.12606859428522799</c:v>
                </c:pt>
              </c:numCache>
            </c:numRef>
          </c:val>
          <c:extLst>
            <c:ext xmlns:c16="http://schemas.microsoft.com/office/drawing/2014/chart" uri="{C3380CC4-5D6E-409C-BE32-E72D297353CC}">
              <c16:uniqueId val="{00000007-6206-4825-ADAF-2A912B7305D9}"/>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1'!$AK$28:$AK$51</c:f>
              <c:numCache>
                <c:formatCode>#\ ##0.0</c:formatCode>
                <c:ptCount val="24"/>
                <c:pt idx="0">
                  <c:v>1.2568722152080483</c:v>
                </c:pt>
                <c:pt idx="1">
                  <c:v>1.755209813686605</c:v>
                </c:pt>
                <c:pt idx="2">
                  <c:v>1.3509162976145745</c:v>
                </c:pt>
                <c:pt idx="3">
                  <c:v>1.3487327908819964</c:v>
                </c:pt>
                <c:pt idx="4">
                  <c:v>1.5622074293090975</c:v>
                </c:pt>
                <c:pt idx="5">
                  <c:v>1.4490012923363622</c:v>
                </c:pt>
                <c:pt idx="6">
                  <c:v>1.510931795564602</c:v>
                </c:pt>
                <c:pt idx="7">
                  <c:v>1.8366162892787088</c:v>
                </c:pt>
                <c:pt idx="8">
                  <c:v>1.4663041775407066</c:v>
                </c:pt>
                <c:pt idx="9">
                  <c:v>1.4017976803033889</c:v>
                </c:pt>
                <c:pt idx="10">
                  <c:v>1.9311643076100466</c:v>
                </c:pt>
                <c:pt idx="11">
                  <c:v>1.3946025548949592</c:v>
                </c:pt>
                <c:pt idx="12">
                  <c:v>1.5065537498241781</c:v>
                </c:pt>
                <c:pt idx="13">
                  <c:v>1.7120392741007464</c:v>
                </c:pt>
                <c:pt idx="14">
                  <c:v>0.90441574921430856</c:v>
                </c:pt>
                <c:pt idx="15">
                  <c:v>1.2157425592426989</c:v>
                </c:pt>
                <c:pt idx="16">
                  <c:v>0.92232506347222909</c:v>
                </c:pt>
                <c:pt idx="17">
                  <c:v>0.23917587311999</c:v>
                </c:pt>
                <c:pt idx="18">
                  <c:v>0.17637823883171677</c:v>
                </c:pt>
                <c:pt idx="19">
                  <c:v>-0.33427677881685725</c:v>
                </c:pt>
                <c:pt idx="20">
                  <c:v>-0.46409784983924851</c:v>
                </c:pt>
                <c:pt idx="21">
                  <c:v>-1.860362480648476</c:v>
                </c:pt>
                <c:pt idx="22">
                  <c:v>-1.7</c:v>
                </c:pt>
              </c:numCache>
            </c:numRef>
          </c:val>
          <c:smooth val="0"/>
          <c:extLst>
            <c:ext xmlns:c16="http://schemas.microsoft.com/office/drawing/2014/chart" uri="{C3380CC4-5D6E-409C-BE32-E72D297353CC}">
              <c16:uniqueId val="{00000008-6206-4825-ADAF-2A912B7305D9}"/>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1'!$AL$28:$AL$51</c:f>
              <c:numCache>
                <c:formatCode>General</c:formatCode>
                <c:ptCount val="24"/>
              </c:numCache>
            </c:numRef>
          </c:val>
          <c:smooth val="0"/>
          <c:extLst>
            <c:ext xmlns:c16="http://schemas.microsoft.com/office/drawing/2014/chart" uri="{C3380CC4-5D6E-409C-BE32-E72D297353CC}">
              <c16:uniqueId val="{00000009-6206-4825-ADAF-2A912B7305D9}"/>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1'!$AM$28:$AM$51</c:f>
              <c:numCache>
                <c:formatCode>General</c:formatCode>
                <c:ptCount val="24"/>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-7</c:v>
                </c:pt>
              </c:numCache>
            </c:numRef>
          </c:val>
          <c:smooth val="0"/>
          <c:extLst>
            <c:ext xmlns:c16="http://schemas.microsoft.com/office/drawing/2014/chart" uri="{C3380CC4-5D6E-409C-BE32-E72D297353CC}">
              <c16:uniqueId val="{0000000A-6206-4825-ADAF-2A912B7305D9}"/>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1'!$AN$28:$AN$51</c:f>
              <c:numCache>
                <c:formatCode>General</c:formatCode>
                <c:ptCount val="24"/>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c:v>
                </c:pt>
              </c:numCache>
            </c:numRef>
          </c:val>
          <c:smooth val="0"/>
          <c:extLst>
            <c:ext xmlns:c16="http://schemas.microsoft.com/office/drawing/2014/chart" uri="{C3380CC4-5D6E-409C-BE32-E72D297353CC}">
              <c16:uniqueId val="{0000000B-6206-4825-ADAF-2A912B7305D9}"/>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1'!$AO$28:$AO$51</c:f>
              <c:numCache>
                <c:formatCode>General</c:formatCode>
                <c:ptCount val="24"/>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formatCode="#\ ##0.0">
                  <c:v>1.3</c:v>
                </c:pt>
              </c:numCache>
            </c:numRef>
          </c:val>
          <c:smooth val="0"/>
          <c:extLst>
            <c:ext xmlns:c16="http://schemas.microsoft.com/office/drawing/2014/chart" uri="{C3380CC4-5D6E-409C-BE32-E72D297353CC}">
              <c16:uniqueId val="{0000000C-6206-4825-ADAF-2A912B7305D9}"/>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1'!$AP$28:$AP$51</c:f>
              <c:numCache>
                <c:formatCode>General</c:formatCode>
                <c:ptCount val="24"/>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c:v>
                </c:pt>
              </c:numCache>
            </c:numRef>
          </c:val>
          <c:smooth val="0"/>
          <c:extLst>
            <c:ext xmlns:c16="http://schemas.microsoft.com/office/drawing/2014/chart" uri="{C3380CC4-5D6E-409C-BE32-E72D297353CC}">
              <c16:uniqueId val="{0000000D-6206-4825-ADAF-2A912B7305D9}"/>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práce-2b'!$B$29:$Y$29</c:f>
              <c:numCache>
                <c:formatCode>0.0</c:formatCode>
                <c:ptCount val="24"/>
                <c:pt idx="0">
                  <c:v>5.0341067227593648</c:v>
                </c:pt>
                <c:pt idx="1">
                  <c:v>4.3099624452626131</c:v>
                </c:pt>
                <c:pt idx="2">
                  <c:v>4.0477497332042551</c:v>
                </c:pt>
                <c:pt idx="3">
                  <c:v>3.7943887127699916</c:v>
                </c:pt>
                <c:pt idx="4">
                  <c:v>3.6613216922907266</c:v>
                </c:pt>
                <c:pt idx="5">
                  <c:v>3.5606831551369456</c:v>
                </c:pt>
                <c:pt idx="6">
                  <c:v>3.3800493692598219</c:v>
                </c:pt>
                <c:pt idx="7">
                  <c:v>3.1598504059545314</c:v>
                </c:pt>
                <c:pt idx="8">
                  <c:v>2.7022104099266144</c:v>
                </c:pt>
                <c:pt idx="9">
                  <c:v>2.4828516334937416</c:v>
                </c:pt>
                <c:pt idx="10">
                  <c:v>2.2427696484149111</c:v>
                </c:pt>
                <c:pt idx="11">
                  <c:v>2.0863540850292432</c:v>
                </c:pt>
                <c:pt idx="12">
                  <c:v>1.9007533070193514</c:v>
                </c:pt>
                <c:pt idx="13">
                  <c:v>1.8236112593931739</c:v>
                </c:pt>
                <c:pt idx="14">
                  <c:v>1.8816684710676566</c:v>
                </c:pt>
                <c:pt idx="15">
                  <c:v>1.6862568597935212</c:v>
                </c:pt>
                <c:pt idx="16">
                  <c:v>1.8090046150974268</c:v>
                </c:pt>
                <c:pt idx="17">
                  <c:v>1.6696411618106692</c:v>
                </c:pt>
                <c:pt idx="18">
                  <c:v>1.7586397001968834</c:v>
                </c:pt>
                <c:pt idx="19">
                  <c:v>1.8627672338904553</c:v>
                </c:pt>
                <c:pt idx="20">
                  <c:v>1.8501559757262964</c:v>
                </c:pt>
                <c:pt idx="21">
                  <c:v>2.2704889174824974</c:v>
                </c:pt>
                <c:pt idx="22">
                  <c:v>2.4986504016381104</c:v>
                </c:pt>
              </c:numCache>
            </c:numRef>
          </c:val>
          <c:extLst>
            <c:ext xmlns:c16="http://schemas.microsoft.com/office/drawing/2014/chart" uri="{C3380CC4-5D6E-409C-BE32-E72D297353CC}">
              <c16:uniqueId val="{00000000-F38B-46B6-9DEE-1699AEF3CDF3}"/>
            </c:ext>
          </c:extLst>
        </c:ser>
        <c:ser>
          <c:idx val="1"/>
          <c:order val="1"/>
          <c:tx>
            <c:strRef>
              <c:f>'Trh práce-2b'!$A$30</c:f>
              <c:strCache>
                <c:ptCount val="1"/>
                <c:pt idx="0">
                  <c:v>Míra nezaměstnanosti žen (levá osa)</c:v>
                </c:pt>
              </c:strCache>
            </c:strRef>
          </c:tx>
          <c:spPr>
            <a:solidFill>
              <a:srgbClr val="DBDBDB"/>
            </a:solidFill>
          </c:spPr>
          <c:invertIfNegative val="0"/>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práce-2b'!$B$30:$Y$30</c:f>
              <c:numCache>
                <c:formatCode>0.0</c:formatCode>
                <c:ptCount val="24"/>
                <c:pt idx="0">
                  <c:v>6.8072911268184093</c:v>
                </c:pt>
                <c:pt idx="1">
                  <c:v>6.2589557336009705</c:v>
                </c:pt>
                <c:pt idx="2">
                  <c:v>5.9745050062576199</c:v>
                </c:pt>
                <c:pt idx="3">
                  <c:v>5.6274422151450096</c:v>
                </c:pt>
                <c:pt idx="4">
                  <c:v>5.1217733147332662</c:v>
                </c:pt>
                <c:pt idx="5">
                  <c:v>4.8394543834511508</c:v>
                </c:pt>
                <c:pt idx="6">
                  <c:v>4.7695979932502128</c:v>
                </c:pt>
                <c:pt idx="7">
                  <c:v>4.3678257913623364</c:v>
                </c:pt>
                <c:pt idx="8">
                  <c:v>4.2631620347804127</c:v>
                </c:pt>
                <c:pt idx="9">
                  <c:v>3.8827233169696034</c:v>
                </c:pt>
                <c:pt idx="10">
                  <c:v>3.3825230601807892</c:v>
                </c:pt>
                <c:pt idx="11">
                  <c:v>3.0340818133432634</c:v>
                </c:pt>
                <c:pt idx="12">
                  <c:v>3.03493814909733</c:v>
                </c:pt>
                <c:pt idx="13">
                  <c:v>2.9064695495288517</c:v>
                </c:pt>
                <c:pt idx="14">
                  <c:v>2.697779477838568</c:v>
                </c:pt>
                <c:pt idx="15">
                  <c:v>2.5796161526715662</c:v>
                </c:pt>
                <c:pt idx="16">
                  <c:v>2.4980797480947534</c:v>
                </c:pt>
                <c:pt idx="17">
                  <c:v>2.4608519756762308</c:v>
                </c:pt>
                <c:pt idx="18">
                  <c:v>2.3803783859369765</c:v>
                </c:pt>
                <c:pt idx="19">
                  <c:v>2.3503404990978241</c:v>
                </c:pt>
                <c:pt idx="20">
                  <c:v>2.3916504939784118</c:v>
                </c:pt>
                <c:pt idx="21">
                  <c:v>2.7929113857877303</c:v>
                </c:pt>
                <c:pt idx="22">
                  <c:v>3.1246412669289199</c:v>
                </c:pt>
              </c:numCache>
            </c:numRef>
          </c:val>
          <c:extLst>
            <c:ext xmlns:c16="http://schemas.microsoft.com/office/drawing/2014/chart" uri="{C3380CC4-5D6E-409C-BE32-E72D297353CC}">
              <c16:uniqueId val="{00000001-F38B-46B6-9DEE-1699AEF3CDF3}"/>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9050">
              <a:solidFill>
                <a:srgbClr val="00B050"/>
              </a:solidFill>
              <a:prstDash val="sysDash"/>
            </a:ln>
          </c:spPr>
          <c:marker>
            <c:symbol val="none"/>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práce-2b'!$B$31:$Y$31</c:f>
              <c:numCache>
                <c:formatCode>0.0</c:formatCode>
                <c:ptCount val="24"/>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27.049952874646561</c:v>
                </c:pt>
                <c:pt idx="21">
                  <c:v>20.823436262866192</c:v>
                </c:pt>
                <c:pt idx="22">
                  <c:v>20.012995451591941</c:v>
                </c:pt>
              </c:numCache>
            </c:numRef>
          </c:val>
          <c:smooth val="0"/>
          <c:extLst>
            <c:ext xmlns:c16="http://schemas.microsoft.com/office/drawing/2014/chart" uri="{C3380CC4-5D6E-409C-BE32-E72D297353CC}">
              <c16:uniqueId val="{00000002-F38B-46B6-9DEE-1699AEF3CDF3}"/>
            </c:ext>
          </c:extLst>
        </c:ser>
        <c:ser>
          <c:idx val="3"/>
          <c:order val="3"/>
          <c:tx>
            <c:strRef>
              <c:f>'Trh práce-2b'!$A$32</c:f>
              <c:strCache>
                <c:ptCount val="1"/>
                <c:pt idx="0">
                  <c:v>Podíl nezam. ve věku 50+  (pravá osa)</c:v>
                </c:pt>
              </c:strCache>
            </c:strRef>
          </c:tx>
          <c:spPr>
            <a:ln w="19050">
              <a:prstDash val="sysDash"/>
            </a:ln>
          </c:spPr>
          <c:marker>
            <c:symbol val="none"/>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práce-2b'!$B$32:$Y$32</c:f>
              <c:numCache>
                <c:formatCode>0.0</c:formatCode>
                <c:ptCount val="24"/>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24.58542745986605</c:v>
                </c:pt>
                <c:pt idx="18">
                  <c:v>26.053024855567621</c:v>
                </c:pt>
                <c:pt idx="19">
                  <c:v>25.797741107062055</c:v>
                </c:pt>
                <c:pt idx="20">
                  <c:v>24.994798670569267</c:v>
                </c:pt>
                <c:pt idx="21">
                  <c:v>21.604673181778114</c:v>
                </c:pt>
              </c:numCache>
            </c:numRef>
          </c:val>
          <c:smooth val="0"/>
          <c:extLst>
            <c:ext xmlns:c16="http://schemas.microsoft.com/office/drawing/2014/chart" uri="{C3380CC4-5D6E-409C-BE32-E72D297353CC}">
              <c16:uniqueId val="{00000003-F38B-46B6-9DEE-1699AEF3CDF3}"/>
            </c:ext>
          </c:extLst>
        </c:ser>
        <c:ser>
          <c:idx val="6"/>
          <c:order val="4"/>
          <c:tx>
            <c:strRef>
              <c:f>'Trh práce-2b'!$A$33</c:f>
              <c:strCache>
                <c:ptCount val="1"/>
                <c:pt idx="0">
                  <c:v>Ekon. neaktiv. chtějící pracovat (pr. osa)</c:v>
                </c:pt>
              </c:strCache>
            </c:strRef>
          </c:tx>
          <c:spPr>
            <a:ln w="19050">
              <a:solidFill>
                <a:srgbClr val="00B0F0"/>
              </a:solidFill>
              <a:prstDash val="solid"/>
            </a:ln>
          </c:spPr>
          <c:marker>
            <c:symbol val="none"/>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práce-2b'!$B$33:$Y$33</c:f>
              <c:numCache>
                <c:formatCode>General</c:formatCode>
                <c:ptCount val="24"/>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numCache>
            </c:numRef>
          </c:val>
          <c:smooth val="0"/>
          <c:extLst>
            <c:ext xmlns:c16="http://schemas.microsoft.com/office/drawing/2014/chart" uri="{C3380CC4-5D6E-409C-BE32-E72D297353CC}">
              <c16:uniqueId val="{00000004-F38B-46B6-9DEE-1699AEF3CDF3}"/>
            </c:ext>
          </c:extLst>
        </c:ser>
        <c:ser>
          <c:idx val="7"/>
          <c:order val="5"/>
          <c:tx>
            <c:strRef>
              <c:f>'Trh práce-2b'!$A$34</c:f>
              <c:strCache>
                <c:ptCount val="1"/>
                <c:pt idx="0">
                  <c:v>Očekávání vývoje nezam. (pr. osa)</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práce-2b'!$B$34:$Y$34</c:f>
              <c:numCache>
                <c:formatCode>#\ ##0.0</c:formatCode>
                <c:ptCount val="24"/>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60</c:v>
                </c:pt>
              </c:numCache>
            </c:numRef>
          </c:val>
          <c:smooth val="0"/>
          <c:extLst>
            <c:ext xmlns:c16="http://schemas.microsoft.com/office/drawing/2014/chart" uri="{C3380CC4-5D6E-409C-BE32-E72D297353CC}">
              <c16:uniqueId val="{00000005-F38B-46B6-9DEE-1699AEF3CDF3}"/>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8"/>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50"/>
          <c:min val="-10"/>
        </c:scaling>
        <c:delete val="0"/>
        <c:axPos val="r"/>
        <c:title>
          <c:tx>
            <c:rich>
              <a:bodyPr/>
              <a:lstStyle/>
              <a:p>
                <a:pPr>
                  <a:defRPr sz="700" b="0" i="1"/>
                </a:pPr>
                <a:r>
                  <a:rPr lang="cs-CZ" sz="700" b="0" i="1"/>
                  <a:t>Počet</a:t>
                </a:r>
                <a:r>
                  <a:rPr lang="cs-CZ" sz="700" b="0" i="1" baseline="0"/>
                  <a:t> ek. neaktivních, očekávání nezaměstnanosti</a:t>
                </a:r>
                <a:endParaRPr lang="cs-CZ" sz="700" b="0" i="1"/>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2.0411716257698633E-2"/>
          <c:y val="0.87009214574436677"/>
          <c:w val="0.96008712889427228"/>
          <c:h val="0.1262099115347277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3'!$D$29:$D$51</c:f>
              <c:numCache>
                <c:formatCode>#\ ##0.0</c:formatCode>
                <c:ptCount val="23"/>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3.9000000000000057</c:v>
                </c:pt>
                <c:pt idx="17">
                  <c:v>3.7000000000000028</c:v>
                </c:pt>
                <c:pt idx="18">
                  <c:v>3.4000000000000057</c:v>
                </c:pt>
                <c:pt idx="19">
                  <c:v>3.0999999999999943</c:v>
                </c:pt>
                <c:pt idx="20">
                  <c:v>1.4000000000000057</c:v>
                </c:pt>
                <c:pt idx="21">
                  <c:v>-2.4000000000000057</c:v>
                </c:pt>
                <c:pt idx="22" formatCode="0.0">
                  <c:v>1.7000000000000028</c:v>
                </c:pt>
              </c:numCache>
            </c:numRef>
          </c:val>
          <c:extLst>
            <c:ext xmlns:c16="http://schemas.microsoft.com/office/drawing/2014/chart" uri="{C3380CC4-5D6E-409C-BE32-E72D297353CC}">
              <c16:uniqueId val="{00000000-35DA-45E5-A0E6-50AED98ACE9F}"/>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3'!$C$29:$C$51</c:f>
              <c:numCache>
                <c:formatCode>0.0</c:formatCode>
                <c:ptCount val="23"/>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6.7000000000000028</c:v>
                </c:pt>
                <c:pt idx="17">
                  <c:v>6.5999999999999943</c:v>
                </c:pt>
                <c:pt idx="18">
                  <c:v>6.2999999999999972</c:v>
                </c:pt>
                <c:pt idx="19">
                  <c:v>6.2000000000000028</c:v>
                </c:pt>
                <c:pt idx="20">
                  <c:v>5.0999999999999943</c:v>
                </c:pt>
                <c:pt idx="21">
                  <c:v>0.59999999999999432</c:v>
                </c:pt>
                <c:pt idx="22">
                  <c:v>5.0999999999999943</c:v>
                </c:pt>
              </c:numCache>
            </c:numRef>
          </c:val>
          <c:smooth val="0"/>
          <c:extLst>
            <c:ext xmlns:c16="http://schemas.microsoft.com/office/drawing/2014/chart" uri="{C3380CC4-5D6E-409C-BE32-E72D297353CC}">
              <c16:uniqueId val="{00000001-35DA-45E5-A0E6-50AED98ACE9F}"/>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3'!$E$29:$E$51</c:f>
              <c:numCache>
                <c:formatCode>0.0</c:formatCode>
                <c:ptCount val="23"/>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5.8906444633842483</c:v>
                </c:pt>
                <c:pt idx="17">
                  <c:v>5.883790554163852</c:v>
                </c:pt>
                <c:pt idx="18">
                  <c:v>5.5271271016749779</c:v>
                </c:pt>
                <c:pt idx="19">
                  <c:v>4.4163668801731433</c:v>
                </c:pt>
                <c:pt idx="20">
                  <c:v>4.445407547286635</c:v>
                </c:pt>
                <c:pt idx="21">
                  <c:v>-3.8776687824581586</c:v>
                </c:pt>
                <c:pt idx="22">
                  <c:v>2.4245527377868825</c:v>
                </c:pt>
              </c:numCache>
            </c:numRef>
          </c:val>
          <c:smooth val="0"/>
          <c:extLst>
            <c:ext xmlns:c16="http://schemas.microsoft.com/office/drawing/2014/chart" uri="{C3380CC4-5D6E-409C-BE32-E72D297353CC}">
              <c16:uniqueId val="{00000002-35DA-45E5-A0E6-50AED98ACE9F}"/>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3'!$F$29:$F$51</c:f>
              <c:numCache>
                <c:formatCode>0.0</c:formatCode>
                <c:ptCount val="23"/>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7.819417814188597</c:v>
                </c:pt>
                <c:pt idx="17">
                  <c:v>5.5341966815054491</c:v>
                </c:pt>
                <c:pt idx="18">
                  <c:v>6.4442351674963021</c:v>
                </c:pt>
                <c:pt idx="19">
                  <c:v>4.3541090726313172</c:v>
                </c:pt>
                <c:pt idx="20">
                  <c:v>4.1063114330056862</c:v>
                </c:pt>
                <c:pt idx="21">
                  <c:v>-0.86920397532995253</c:v>
                </c:pt>
                <c:pt idx="22">
                  <c:v>2.5941607684529799</c:v>
                </c:pt>
              </c:numCache>
            </c:numRef>
          </c:val>
          <c:smooth val="0"/>
          <c:extLst>
            <c:ext xmlns:c16="http://schemas.microsoft.com/office/drawing/2014/chart" uri="{C3380CC4-5D6E-409C-BE32-E72D297353CC}">
              <c16:uniqueId val="{00000003-35DA-45E5-A0E6-50AED98ACE9F}"/>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3'!$G$29:$G$51</c:f>
              <c:numCache>
                <c:formatCode>0.0</c:formatCode>
                <c:ptCount val="23"/>
                <c:pt idx="0">
                  <c:v>3.2530785072835906</c:v>
                </c:pt>
                <c:pt idx="1">
                  <c:v>4.2345225255887042</c:v>
                </c:pt>
                <c:pt idx="2">
                  <c:v>3.7826123610902629</c:v>
                </c:pt>
                <c:pt idx="3">
                  <c:v>3.6520863050351235</c:v>
                </c:pt>
                <c:pt idx="4">
                  <c:v>4.5612595293778977</c:v>
                </c:pt>
                <c:pt idx="5">
                  <c:v>3.7795053104986027</c:v>
                </c:pt>
                <c:pt idx="6">
                  <c:v>4.8333320772190307</c:v>
                </c:pt>
                <c:pt idx="7">
                  <c:v>6.1391055152858494</c:v>
                </c:pt>
                <c:pt idx="8">
                  <c:v>5.4601382386938617</c:v>
                </c:pt>
                <c:pt idx="9">
                  <c:v>7.3051156068769734</c:v>
                </c:pt>
                <c:pt idx="10">
                  <c:v>7.9977324017314544</c:v>
                </c:pt>
                <c:pt idx="11">
                  <c:v>10.560301374473843</c:v>
                </c:pt>
                <c:pt idx="12">
                  <c:v>12.243280886238418</c:v>
                </c:pt>
                <c:pt idx="13">
                  <c:v>11.972851728597787</c:v>
                </c:pt>
                <c:pt idx="14">
                  <c:v>11.476846206392675</c:v>
                </c:pt>
                <c:pt idx="15">
                  <c:v>6.1738194342733035</c:v>
                </c:pt>
                <c:pt idx="16">
                  <c:v>8.4277306023485092</c:v>
                </c:pt>
                <c:pt idx="17">
                  <c:v>8.3006541431037011</c:v>
                </c:pt>
                <c:pt idx="18">
                  <c:v>7.3971005445620941</c:v>
                </c:pt>
                <c:pt idx="19">
                  <c:v>10.068661942530216</c:v>
                </c:pt>
                <c:pt idx="20">
                  <c:v>5.1774379809714794</c:v>
                </c:pt>
                <c:pt idx="21">
                  <c:v>5.0969396545285512</c:v>
                </c:pt>
                <c:pt idx="22">
                  <c:v>8.9001861865024825</c:v>
                </c:pt>
              </c:numCache>
            </c:numRef>
          </c:val>
          <c:smooth val="0"/>
          <c:extLst>
            <c:ext xmlns:c16="http://schemas.microsoft.com/office/drawing/2014/chart" uri="{C3380CC4-5D6E-409C-BE32-E72D297353CC}">
              <c16:uniqueId val="{00000004-35DA-45E5-A0E6-50AED98ACE9F}"/>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3'!$H$29:$H$51</c:f>
              <c:numCache>
                <c:formatCode>0.0</c:formatCode>
                <c:ptCount val="23"/>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7.0999999999999943</c:v>
                </c:pt>
                <c:pt idx="17">
                  <c:v>6.5999999999999943</c:v>
                </c:pt>
                <c:pt idx="18">
                  <c:v>7.2000000000000028</c:v>
                </c:pt>
                <c:pt idx="19">
                  <c:v>6.5999999999999943</c:v>
                </c:pt>
                <c:pt idx="20">
                  <c:v>5.9000000000000057</c:v>
                </c:pt>
                <c:pt idx="21">
                  <c:v>0.40000000000000568</c:v>
                </c:pt>
                <c:pt idx="22">
                  <c:v>5.0999999999999943</c:v>
                </c:pt>
              </c:numCache>
            </c:numRef>
          </c:val>
          <c:smooth val="0"/>
          <c:extLst>
            <c:ext xmlns:c16="http://schemas.microsoft.com/office/drawing/2014/chart" uri="{C3380CC4-5D6E-409C-BE32-E72D297353CC}">
              <c16:uniqueId val="{00000005-35DA-45E5-A0E6-50AED98ACE9F}"/>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3"/>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4.4585535014236267E-2"/>
          <c:y val="0.87578174603174608"/>
          <c:w val="0.94198822026318074"/>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FEEC-555B-468C-9496-7B0F163A8B6D}">
  <ds:schemaRefs>
    <ds:schemaRef ds:uri="http://schemas.openxmlformats.org/officeDocument/2006/bibliography"/>
  </ds:schemaRefs>
</ds:datastoreItem>
</file>

<file path=customXml/itemProps2.xml><?xml version="1.0" encoding="utf-8"?>
<ds:datastoreItem xmlns:ds="http://schemas.openxmlformats.org/officeDocument/2006/customXml" ds:itemID="{844627F8-3586-452C-A4C4-A11705E0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TotalTime>
  <Pages>5</Pages>
  <Words>2477</Words>
  <Characters>14615</Characters>
  <Application>Microsoft Office Word</Application>
  <DocSecurity>0</DocSecurity>
  <Lines>121</Lines>
  <Paragraphs>34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17058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2020-12-16T06:31:00Z</dcterms:created>
  <dcterms:modified xsi:type="dcterms:W3CDTF">2020-12-16T07:57:00Z</dcterms:modified>
</cp:coreProperties>
</file>