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7D2F" w14:textId="16463165" w:rsidR="00F27FB1" w:rsidRPr="009110F7" w:rsidRDefault="00F27FB1" w:rsidP="00EF23B5">
      <w:pPr>
        <w:pStyle w:val="Nadpis1"/>
      </w:pPr>
      <w:bookmarkStart w:id="0" w:name="_Toc26865017"/>
      <w:bookmarkStart w:id="1" w:name="_Toc42852408"/>
      <w:r w:rsidRPr="0077605B">
        <w:t>2</w:t>
      </w:r>
      <w:r>
        <w:t>. </w:t>
      </w:r>
      <w:r w:rsidRPr="0077605B">
        <w:t>Souhrnná výkonnost</w:t>
      </w:r>
      <w:bookmarkEnd w:id="1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74"/>
        <w:gridCol w:w="143"/>
        <w:gridCol w:w="80"/>
        <w:gridCol w:w="7610"/>
        <w:gridCol w:w="30"/>
      </w:tblGrid>
      <w:tr w:rsidR="00F27FB1" w:rsidRPr="009110F7" w14:paraId="231C3CD2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40D72EBE" w14:textId="77777777" w:rsidR="00F27FB1" w:rsidRDefault="00F27FB1" w:rsidP="00D07AFF">
            <w:pPr>
              <w:pStyle w:val="Marginlie"/>
            </w:pPr>
            <w:r>
              <w:t>V 1. čtvrtletí došlo k prudkému mezičtvrtletnímu propadu HDP.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1A29117B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4906916" w14:textId="77777777" w:rsidR="00F27FB1" w:rsidRPr="00014ED0" w:rsidRDefault="00F27FB1" w:rsidP="00D07AFF">
            <w:pPr>
              <w:spacing w:after="220"/>
              <w:rPr>
                <w:spacing w:val="-2"/>
              </w:rPr>
            </w:pPr>
            <w:r w:rsidRPr="00014ED0">
              <w:rPr>
                <w:spacing w:val="-2"/>
              </w:rPr>
              <w:t>Hrubý domácí produkt (HDP) v 1. čtvrtletí reálně meziročně poklesl o 2,0 %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 w:rsidRPr="00014ED0">
              <w:rPr>
                <w:spacing w:val="-2"/>
              </w:rPr>
              <w:t>. Jde o první meziroční snížení od 3. čtvrtletí 2013, období růstu tak trvalo více než šest let. Ačkoli ke zpomalování meziroční dynamiky docházelo v průběhu celého loňského roku, aktuální propad je výsledkem neočekávaného negativního šoku způsobeného opatřeními proti šíření koronavirové nákazy. Přímé restrikce i zvýšená nejistota ohledně budoucího vývoje se okamžitě projevily na propadu investiční aktivity (růst HDP zbrzdil o 1,4 p. b.)</w:t>
            </w:r>
            <w:r w:rsidRPr="00014ED0">
              <w:rPr>
                <w:rStyle w:val="Znakapoznpodarou"/>
                <w:spacing w:val="-2"/>
              </w:rPr>
              <w:footnoteReference w:id="2"/>
            </w:r>
            <w:r w:rsidRPr="00014ED0">
              <w:rPr>
                <w:spacing w:val="-2"/>
              </w:rPr>
              <w:t xml:space="preserve"> i zastavení růstu spotřeby domácností (příspěvek 0,1 p. b.). Negativně se vyvíjela rovněž bilance zahraničního obchodu, jejíž přebytek meziročně poklesl (příspěvek –0,5 p. b.). Mezičtvrtletní propad v 1. čtvrtletí dosáhl 3,3 % a dokládá sílu šoku, který na ekonomiku v 1. čtvrtletí působil. Šlo o nejhlubší pokles od 1. čtvrtletí 2009. Tehdejší situace se ale od té současné významně lišila – ekonomika byla v roce 2009 uprostřed série propadů, zatímco nyní šlo o výsledek šoku z druhé poloviny března, který pak měl silné dopady na celé čtvrtletí.</w:t>
            </w:r>
          </w:p>
        </w:tc>
      </w:tr>
      <w:tr w:rsidR="00F27FB1" w:rsidRPr="009110F7" w14:paraId="122BC798" w14:textId="77777777" w:rsidTr="005828FB"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0D56173D" w14:textId="77777777" w:rsidR="00F27FB1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3AC6358F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10183D7" w14:textId="77777777" w:rsidR="00F27FB1" w:rsidRPr="001208E3" w:rsidRDefault="00F27FB1" w:rsidP="00D07AFF">
            <w:pPr>
              <w:spacing w:after="0"/>
              <w:rPr>
                <w:b/>
                <w:szCs w:val="20"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 (objemové indexy, očištěno o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sezónní a kalendářní vlivy,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27FB1" w:rsidRPr="009110F7" w14:paraId="652AB02F" w14:textId="77777777" w:rsidTr="005828FB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/>
            <w:shd w:val="clear" w:color="auto" w:fill="auto"/>
          </w:tcPr>
          <w:p w14:paraId="3494C8B1" w14:textId="77777777" w:rsidR="00F27FB1" w:rsidRPr="009110F7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/>
            <w:shd w:val="clear" w:color="auto" w:fill="auto"/>
          </w:tcPr>
          <w:p w14:paraId="4AE40A2A" w14:textId="77777777" w:rsidR="00F27FB1" w:rsidRPr="009110F7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966BB43" w14:textId="77777777" w:rsidR="00F27FB1" w:rsidRPr="009110F7" w:rsidRDefault="00F27FB1" w:rsidP="00D07AF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2FC03C7" wp14:editId="19298E76">
                  <wp:extent cx="4737600" cy="3553200"/>
                  <wp:effectExtent l="0" t="0" r="6350" b="0"/>
                  <wp:docPr id="10" name="Graf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27FB1" w:rsidRPr="009110F7" w14:paraId="289957EF" w14:textId="77777777" w:rsidTr="005828FB"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/>
            <w:shd w:val="clear" w:color="auto" w:fill="auto"/>
            <w:tcMar>
              <w:left w:w="0" w:type="dxa"/>
            </w:tcMar>
          </w:tcPr>
          <w:p w14:paraId="31B5F9C7" w14:textId="77777777" w:rsidR="00F27FB1" w:rsidRPr="009110F7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/>
            <w:shd w:val="clear" w:color="auto" w:fill="auto"/>
            <w:tcMar>
              <w:left w:w="0" w:type="dxa"/>
            </w:tcMar>
          </w:tcPr>
          <w:p w14:paraId="2D3C270E" w14:textId="77777777" w:rsidR="00F27FB1" w:rsidRPr="009110F7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7B2FCCE" w14:textId="77777777" w:rsidR="00F27FB1" w:rsidRPr="009110F7" w:rsidRDefault="00F27FB1" w:rsidP="00D07AFF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F27FB1" w:rsidRPr="009110F7" w14:paraId="3BAF30C5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1DCF3149" w14:textId="77777777" w:rsidR="00F27FB1" w:rsidRDefault="00F27FB1" w:rsidP="00D07AFF">
            <w:pPr>
              <w:pStyle w:val="Marginlie"/>
            </w:pPr>
            <w:r>
              <w:t>Hrubý domácí produkt se propadl napříč celou EU.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30A27F9C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5063F17" w14:textId="54F2E11A" w:rsidR="00F27FB1" w:rsidRDefault="00F27FB1" w:rsidP="00F82D14">
            <w:r>
              <w:t>Řada evropských zemí zavedla podobná opatření proti šíření koronaviru jako Česko, případně samotné podniky zastavily výrobu. Zasažena tak byla většina odvětví služeb i průmyslu, zejména maloobchod a rovněž výroba motorových vozidel, která je páteří mnoha evropských ekonomik. Výsledkem byl nejvýraznější ekonomický propad od krize v letech 2008 a 2009. Meziroční pokles HDP v Evropské unii v 1. čtvrtletí dosáhl 2,6 %</w:t>
            </w:r>
            <w:r w:rsidRPr="009110F7">
              <w:rPr>
                <w:rStyle w:val="Znakapoznpodarou"/>
                <w:spacing w:val="-2"/>
              </w:rPr>
              <w:footnoteReference w:id="3"/>
            </w:r>
            <w:r>
              <w:t>. Nejhlubší pokles zažily Itálie (–5,4 %), Francie (–5,0 %) a Španělsko</w:t>
            </w:r>
            <w:r w:rsidR="00F82D14">
              <w:t xml:space="preserve"> (–4,1 %)</w:t>
            </w:r>
            <w:r>
              <w:t xml:space="preserve">. </w:t>
            </w:r>
            <w:r w:rsidR="00F82D14">
              <w:t>Nejsilnější m</w:t>
            </w:r>
            <w:r>
              <w:t>eziroční růst si v 1. čtvrtletí udržely</w:t>
            </w:r>
            <w:r w:rsidR="00F82D14">
              <w:t xml:space="preserve"> Irsko (4,5 %),</w:t>
            </w:r>
            <w:r>
              <w:t xml:space="preserve"> Rumunsko (2,7 %)</w:t>
            </w:r>
            <w:r w:rsidR="00F82D14">
              <w:t xml:space="preserve"> a Bulharsko (2,4 %).</w:t>
            </w:r>
            <w:r>
              <w:t xml:space="preserve"> Mezičtvrtletně se HDP v EU propadl o 3,</w:t>
            </w:r>
            <w:r w:rsidR="00F82D14">
              <w:t>2</w:t>
            </w:r>
            <w:r>
              <w:t xml:space="preserve"> %. To je více než v 1. čtvrtletí 2009, nejhlubším bodě tehdejší recese. Nejvíce se mezičtvrtletně propadl HDP </w:t>
            </w:r>
            <w:r w:rsidR="00F82D14">
              <w:t>v Itálii a Francii (</w:t>
            </w:r>
            <w:r>
              <w:t>shodně o 5,3 %</w:t>
            </w:r>
            <w:r w:rsidR="00F82D14">
              <w:t>) a dále na Slovensku a ve Španělsku (o 5,2 %)</w:t>
            </w:r>
            <w:r>
              <w:t xml:space="preserve">. </w:t>
            </w:r>
            <w:r w:rsidR="00F82D14">
              <w:lastRenderedPageBreak/>
              <w:t xml:space="preserve">Poměrně silný mezičtvrtletní přírůstek dosáhl HDP v Irsku (1,2 %). Rostly také ekonomiky </w:t>
            </w:r>
            <w:r>
              <w:t xml:space="preserve">ekonomiky </w:t>
            </w:r>
            <w:r w:rsidR="00F82D14">
              <w:t xml:space="preserve">Bulharska (0,3 %), </w:t>
            </w:r>
            <w:r>
              <w:t>Rumunska (0,3 %) a Švédska (0,1 %).</w:t>
            </w:r>
          </w:p>
        </w:tc>
      </w:tr>
      <w:tr w:rsidR="00F27FB1" w:rsidRPr="009110F7" w14:paraId="10C89F45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4AEEC01F" w14:textId="77777777" w:rsidR="00F27FB1" w:rsidRDefault="00F27FB1" w:rsidP="00D07AFF">
            <w:pPr>
              <w:pStyle w:val="Marginlie"/>
            </w:pPr>
            <w:r>
              <w:lastRenderedPageBreak/>
              <w:t>Vývoj na trhu práce navázal na předchozí rok. Zpomalil růst vyplacených mezd a platů a stagnovala zaměstnanost. Výrazně kleslo množství odpracovaných hodin.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444D34D6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0F0CBD5" w14:textId="77777777" w:rsidR="00F27FB1" w:rsidRPr="00014ED0" w:rsidRDefault="00F27FB1" w:rsidP="00D07AFF">
            <w:pPr>
              <w:rPr>
                <w:spacing w:val="-2"/>
              </w:rPr>
            </w:pPr>
            <w:r w:rsidRPr="00014ED0">
              <w:rPr>
                <w:spacing w:val="-2"/>
              </w:rPr>
              <w:t>Objem vyplacených mezd a platů se v 1. čtvrtletí meziročně zvýšil o 4,3 %. Ke zpomalování dynamiky docházelo v průběhu celého loňského roku. Zároveň v 1. čtvrtletí výrazně zesílil růst cenové hladiny, což ve výsledku redukovalo reálný růst výdělků na 0,4 %</w:t>
            </w:r>
            <w:r w:rsidRPr="00014ED0">
              <w:rPr>
                <w:rStyle w:val="Znakapoznpodarou"/>
                <w:spacing w:val="-2"/>
              </w:rPr>
              <w:footnoteReference w:id="4"/>
            </w:r>
            <w:r w:rsidRPr="00014ED0">
              <w:rPr>
                <w:spacing w:val="-2"/>
              </w:rPr>
              <w:t>, což byl nejmenší přírůstek za posledních šest let. Navýšení objemu vyplacených prostředků bylo zcela způsobeno navýšením průměrného výdělku, protože celková zaměstnanost</w:t>
            </w:r>
            <w:r w:rsidRPr="00014ED0">
              <w:rPr>
                <w:rStyle w:val="Znakapoznpodarou"/>
                <w:spacing w:val="-2"/>
              </w:rPr>
              <w:footnoteReference w:id="5"/>
            </w:r>
            <w:r w:rsidRPr="00014ED0">
              <w:rPr>
                <w:spacing w:val="-2"/>
              </w:rPr>
              <w:t xml:space="preserve"> se meziročně snížila o 0,5 %. Přitom zaměstnanost vyjádřená počtem odpracovaných hodin se propadla meziročně i mezičtvrtletně o 4,7 %. Jde o jediný významnější dopad restrikcí, který byl patrný na trhu práce v 1. čtvrtletí.</w:t>
            </w:r>
          </w:p>
        </w:tc>
      </w:tr>
      <w:tr w:rsidR="00F27FB1" w:rsidRPr="009110F7" w14:paraId="3D103C5E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7B92DB53" w14:textId="77777777" w:rsidR="00F27FB1" w:rsidRDefault="00F27FB1" w:rsidP="00D07AFF">
            <w:pPr>
              <w:pStyle w:val="Marginlie"/>
            </w:pPr>
            <w:r>
              <w:t>Ve všech sledovaných odvětvích meziročně narostl objem vyplacených mezd a platů.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4BF5075F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228AA0C" w14:textId="77777777" w:rsidR="00F27FB1" w:rsidRDefault="00F27FB1" w:rsidP="00D07AFF">
            <w:r>
              <w:t>Objem vyplacených mezd a platů meziročně rostl ve všech sledovaných odvětvích. Nejvíc se zvýšily mzdy a platy v činnostech v oblasti nemovitostí (12,5 %), výrazně je ale podpořilo navýšení zaměstnanosti o 3,7 %. Dalším odvětvím, kde přetrvávala velmi výrazná dynamika, byly informační a komunikační činnosti (10,9 % při růstu zaměstnanosti 4,7 %). Zrychlil také růst objemu vyplacených prostředků v peněžnictví a pojišťovnictví (7,6 %). Na 7,0 % zpomalil meziroční přírůstek mezd a platů v odvětvích s převahou vládního sektoru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t>, kde také došlo k nárůstu zaměstnanosti o 2,3 %. Ve stavebnictví se udržel růst objemu příjmů na 5,5 % a navýšila se zde i zaměstnanost (3,2 %). Výrazné zpomalení bylo patrné u odvětví služeb, která opatření proti šíření nákazy nejvíce zasáhla – obchod, doprava, ubytování a pohostinství (3,3 %) a profesní, vědecké, technické a administrativní činnosti (2,1 %). Nejméně rostly mzdy a platy ve zpracovatelském průmyslu (1,0 % při poklesu zaměstnanosti o 2,6 %).</w:t>
            </w:r>
          </w:p>
        </w:tc>
      </w:tr>
      <w:tr w:rsidR="00F27FB1" w:rsidRPr="009110F7" w14:paraId="56F9BE79" w14:textId="77777777" w:rsidTr="005828FB"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32E8A9DB" w14:textId="77777777" w:rsidR="00F27FB1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22C909E2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58CD5FB" w14:textId="77777777" w:rsidR="00F27FB1" w:rsidRDefault="00F27FB1" w:rsidP="00D07AFF">
            <w:pPr>
              <w:spacing w:after="0"/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r>
              <w:rPr>
                <w:b/>
                <w:sz w:val="18"/>
                <w:szCs w:val="18"/>
              </w:rPr>
              <w:t xml:space="preserve">č. 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 výdajových složek k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změně HDP* (objemové indexy, meziroční růst, příspěvky v p.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b., HDP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27FB1" w:rsidRPr="009110F7" w14:paraId="67B934D7" w14:textId="77777777" w:rsidTr="005828FB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/>
            <w:shd w:val="clear" w:color="auto" w:fill="auto"/>
          </w:tcPr>
          <w:p w14:paraId="460CFBF4" w14:textId="77777777" w:rsidR="00F27FB1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/>
            <w:shd w:val="clear" w:color="auto" w:fill="auto"/>
          </w:tcPr>
          <w:p w14:paraId="7B2A8ADE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A1E4E93" w14:textId="77777777" w:rsidR="00F27FB1" w:rsidRDefault="00F27FB1" w:rsidP="00D07AF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A4AFBF1" wp14:editId="4558FF23">
                  <wp:extent cx="4737100" cy="3503981"/>
                  <wp:effectExtent l="0" t="0" r="6350" b="127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27FB1" w:rsidRPr="009110F7" w14:paraId="25C14466" w14:textId="77777777" w:rsidTr="005828FB"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/>
            <w:shd w:val="clear" w:color="auto" w:fill="auto"/>
            <w:tcMar>
              <w:left w:w="0" w:type="dxa"/>
            </w:tcMar>
          </w:tcPr>
          <w:p w14:paraId="472D1B55" w14:textId="77777777" w:rsidR="00F27FB1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/>
            <w:shd w:val="clear" w:color="auto" w:fill="auto"/>
            <w:tcMar>
              <w:left w:w="0" w:type="dxa"/>
            </w:tcMar>
          </w:tcPr>
          <w:p w14:paraId="287E760E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683B953" w14:textId="77777777" w:rsidR="00F27FB1" w:rsidRDefault="00F27FB1" w:rsidP="00D07AF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56696E82" w14:textId="77777777" w:rsidR="00F27FB1" w:rsidRDefault="00F27FB1" w:rsidP="00D07AFF"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F27FB1" w:rsidRPr="009110F7" w14:paraId="6D0BA5BD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0269C85D" w14:textId="77777777" w:rsidR="00F27FB1" w:rsidRDefault="00F27FB1" w:rsidP="00D07AFF">
            <w:pPr>
              <w:pStyle w:val="Marginlie"/>
            </w:pPr>
            <w:r>
              <w:lastRenderedPageBreak/>
              <w:t>Růst domácí spotřeby téměř výhradně podpořily vládní instituce.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2F3839F4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B1418E4" w14:textId="77777777" w:rsidR="00F27FB1" w:rsidRDefault="00F27FB1" w:rsidP="00D07AFF">
            <w:r>
              <w:t>Výdaje na konečnou spotřebu v 1. čtvrtletí celkově meziročně vzrostly o 2,1 % a k meziročnímu růstu HDP přispěly 1,6 p. b. Mezičtvrtletně se spotřeba zvýšila o 0,2 %. Bližší pohled ukázal, že za nárůstem spotřeby stály výhradně vládní instituce. U těch se výdaje meziročně zvýšily o 7,1 % a mezičtvrtletně o 5,2 %. Spotřeba vládních institucí tak přispěla k meziročnímu růstu HDP 1,4 p. b. Spotřeba domácností v 1. čtvrtletí meziročně stagnovala a tím se přerušila 27 čtvrtletí trvající série přírůstků. Mezičtvrtletně se spotřeba domácností propadla o 2,0 %. Mírný meziroční růst si udržela spotřeba předmětů krátkodobé spotřeby (0,9 %)</w:t>
            </w:r>
            <w:r>
              <w:rPr>
                <w:rStyle w:val="Znakapoznpodarou"/>
              </w:rPr>
              <w:footnoteReference w:id="7"/>
            </w:r>
            <w:r>
              <w:t>. Naopak výrazný propad se odehrál u střednědobých (–8,4 %) i dlouhodobých (–4,0 %) statků. Spotřeba služeb klesla meziročně o 0,4 %.</w:t>
            </w:r>
          </w:p>
        </w:tc>
      </w:tr>
      <w:tr w:rsidR="00F27FB1" w:rsidRPr="009110F7" w14:paraId="66739442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72E2255D" w14:textId="77777777" w:rsidR="00F27FB1" w:rsidRDefault="00F27FB1" w:rsidP="00D07AFF">
            <w:pPr>
              <w:pStyle w:val="Marginlie"/>
            </w:pPr>
            <w:r>
              <w:t>Náhlé omezení ekonomické aktivity vedlo k největšímu zaznamenanému propadu investiční aktivity.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68C05B97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686A4F8" w14:textId="77777777" w:rsidR="00F27FB1" w:rsidRDefault="00F27FB1" w:rsidP="00D07AFF">
            <w:r>
              <w:t>Výdaje na tvorbu hrubého kapitálu se v 1. čtvrtletí meziročně snížily o 11,4 % (příspěvek k růstu HDP –3,0 p. b.), z toho tvorba hrubého fixního kapitálu klesla o 5,5 %, nejvíce od konce roku 2012. Negativně na růst HDP v 1. čtvrtletí působila i změna zásob, zejména kvůli vysoké srovnávací základně stejného období loňského roku. Mezičtvrtletně se výdaje na hrubý kapitál propadly o 14,6 %, z toho tvorba hrubého fixního kapitálu klesla o 9,7 %. U obou ukazatelů jde o největší mezičtvrtletní propad v celé časové řadě. Investiční aktivita oslabovala plošně z pohledu sektorů i věcného členění. Nejistota domácností se ukázala na jediné kategorii, kde se udržel alespoň slabý meziroční růst. Tou bylo obydlí (0,7 %)</w:t>
            </w:r>
            <w:r w:rsidRPr="009110F7">
              <w:rPr>
                <w:rStyle w:val="Znakapoznpodarou"/>
              </w:rPr>
              <w:footnoteReference w:id="8"/>
            </w:r>
            <w:r>
              <w:t>. Nepřímo bylo vidět zmrazení investiční aktivity ze strany nefinančních podniků. Nejvíce totiž klesly investice do ICT a ostatních strojů a zařízení (–8,6 %), dále do dopravních prostředků a zařízení</w:t>
            </w:r>
            <w:r>
              <w:br/>
              <w:t>(–7,6 %), produktů duševního vlastnictví (–4,3 %, první pokles od konce roku 2013) a ostatních budov a staveb (–3,8 %).</w:t>
            </w:r>
          </w:p>
        </w:tc>
      </w:tr>
      <w:tr w:rsidR="00F27FB1" w:rsidRPr="009110F7" w14:paraId="5F6B48BD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7B0BA3D4" w14:textId="77777777" w:rsidR="00F27FB1" w:rsidRDefault="00F27FB1" w:rsidP="00D07AFF">
            <w:pPr>
              <w:pStyle w:val="Marginlie"/>
            </w:pPr>
            <w:r>
              <w:t>Bilance zahraničního obchodu růst HDP brzdila. Krizí byl více zasažen obchod se zbožím.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089905E3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1839154" w14:textId="77777777" w:rsidR="00F27FB1" w:rsidRDefault="00F27FB1" w:rsidP="00D07AFF">
            <w:r>
              <w:t>Vývoz se v 1. čtvrtletí reálně meziročně snížil o 2,4 %</w:t>
            </w:r>
            <w:r w:rsidRPr="009110F7">
              <w:rPr>
                <w:rStyle w:val="Znakapoznpodarou"/>
              </w:rPr>
              <w:footnoteReference w:id="9"/>
            </w:r>
            <w:r>
              <w:t>. Propad se týkal výhradně vývozu zboží (–3,1 %). Export služeb rostl pomaleji než v předchozích obdobích, zvýšil se ale o 1,3 %. Podobný byl vývoj importu. Ten v 1. čtvrtletí meziročně reálně klesl o 2,1 %, u zboží se ale propadl o 2,5 % a dovoz služeb se drobně zvýšil o 0,5 %. I u služeb šlo však o výrazné zpomalení. Mezičtvrtletně vývoz klesl třetí čtvrtletí v řadě, tentokrát o 2,6 %. Pokles se opět týkal zejména zboží (–3,1 %), méně pak služeb</w:t>
            </w:r>
            <w:r>
              <w:br/>
              <w:t>(–0,3 %). Výrazněji se mezikvartálně propadl dovoz, a to o 3,5 %. Bilance zahraničního obchodu v 1. čtvrtletí dosáhla přebytku 79,2 mld. korun. Kladné saldo meziročně kleslo o 2,9 mld. Bilance tak působila ve směru poklesu HDP a z meziročního tempa v 1. čtvrtletí ubrala 0,5 p. b. Silněji ale klesl přebytek obchodu se zbožím (–6,2 mld.), zatímco u služeb se přebytek meziročně zvýšil o 3,3 mld. korun.</w:t>
            </w:r>
          </w:p>
        </w:tc>
      </w:tr>
      <w:tr w:rsidR="00F27FB1" w:rsidRPr="009110F7" w14:paraId="04D69E20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31D25300" w14:textId="77777777" w:rsidR="00F27FB1" w:rsidRDefault="00F27FB1" w:rsidP="00D07AFF">
            <w:pPr>
              <w:pStyle w:val="Marginlie"/>
            </w:pPr>
            <w:r>
              <w:t>Výrazně se meziročně propadla hrubá přidaná hodnota ve zpracovatelském průmyslu.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6CC706C2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5B1F90" w14:textId="77777777" w:rsidR="00F27FB1" w:rsidRPr="00F93F2C" w:rsidRDefault="00F27FB1" w:rsidP="00D07AFF">
            <w:r>
              <w:t>Hrubá přidaná hodnota (HPH) se v 1. čtvrtletí reálně meziročně snížila o 1,3 %</w:t>
            </w:r>
            <w:r>
              <w:rPr>
                <w:rStyle w:val="Znakapoznpodarou"/>
              </w:rPr>
              <w:footnoteReference w:id="10"/>
            </w:r>
            <w:r>
              <w:t>. Propad se odehrál ve většině odvětví. K meziročnímu propadu HPH nejvíce přispíval pokles ve zpracovatelském průmyslu (–3,4 %, příspěvek –0,9 p. b.). Ostatní průmyslová odvětví k poklesu HPH přispěla 0,2 p. b. Shodně 0,1 p. b. ve směru meziročního růstu HPH přispělo stavebnictví (růst HPH o 2,5 %) a zemědělství, lesnictví a rybářství (5,3 %). Co se týká odvětví služeb, k celkovému poklesu HPH přispěly 0,5 p. b. Jednotlivá odvětví ale byla restrikcemi zasažena rozdílně. Nejvíce se meziročně propadla HPH v uskupení obchod, doprava, ubytování a pohostinství (</w:t>
            </w:r>
            <w:r>
              <w:noBreakHyphen/>
              <w:t xml:space="preserve">4,9 %, příspěvek k celkovému růstu HPH –0,9 p. b.). To zahrnuje většinu oborů, na které přímo zacílila vládní opatření. Meziroční pokles dále zasáhl profesní, vědecké, technické a administrativní činnosti (–1,8 %) a mírně také peněžnictví a pojišťovnictví (–0,4 %). Informační a komunikační činnosti si díky své povaze (možnost alternativních </w:t>
            </w:r>
            <w:r>
              <w:lastRenderedPageBreak/>
              <w:t>forem práce, posílení důležitosti komunikační infrastruktury) i přes oslabení udržely meziroční růst 3,8 %. Rostla rovněž HPH činností v oblasti nemovitostí.</w:t>
            </w:r>
          </w:p>
        </w:tc>
      </w:tr>
      <w:tr w:rsidR="00F27FB1" w:rsidRPr="009110F7" w14:paraId="41ABF0D0" w14:textId="77777777" w:rsidTr="005828FB">
        <w:trPr>
          <w:gridAfter w:val="1"/>
          <w:wAfter w:w="25" w:type="dxa"/>
          <w:trHeight w:val="145"/>
        </w:trPr>
        <w:tc>
          <w:tcPr>
            <w:tcW w:w="1806" w:type="dxa"/>
            <w:gridSpan w:val="2"/>
            <w:shd w:val="clear" w:color="auto" w:fill="auto"/>
            <w:tcMar>
              <w:left w:w="0" w:type="dxa"/>
            </w:tcMar>
          </w:tcPr>
          <w:p w14:paraId="387CD7B0" w14:textId="77777777" w:rsidR="00F27FB1" w:rsidRDefault="00F27FB1" w:rsidP="00D07AFF">
            <w:pPr>
              <w:pStyle w:val="Marginlie"/>
            </w:pPr>
            <w:r>
              <w:lastRenderedPageBreak/>
              <w:t>Zasaženo bylo uskupení obchod, doprava, ubytování a pohostinství.</w:t>
            </w:r>
          </w:p>
        </w:tc>
        <w:tc>
          <w:tcPr>
            <w:tcW w:w="223" w:type="dxa"/>
            <w:gridSpan w:val="2"/>
            <w:shd w:val="clear" w:color="auto" w:fill="auto"/>
            <w:tcMar>
              <w:left w:w="0" w:type="dxa"/>
            </w:tcMar>
          </w:tcPr>
          <w:p w14:paraId="286B5F45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3295DC" w14:textId="77777777" w:rsidR="00F27FB1" w:rsidRDefault="00F27FB1" w:rsidP="00D07AFF">
            <w:r>
              <w:t>Mezičtvrtletní propad HPH v 1. kvartálu dosáhl 2,5 %. S výjimkou stavebnictví a zemědělství, lesnictví a rybářství (shodně 0,7 %) se HPH oproti předchozímu čtvrtletí snižovala všude. Nejvíce se propadla v uskupení obchod, doprava, ubytování a pohostinství (–5,4 %). Výrazný propad proběhl u profesních, vědeckých, technických a administrativních činností (–4,2 %) a rovněž ve zpracovatelském průmyslu (–2,9 %) a činnostech v oblasti nemovitostí (–2,1 %). Hrubá přidaná hodnota v informačních a komunikačních činnostech klesla o 1,1 % a v peněžnictví a pojišťovnictví o 0,7 %.</w:t>
            </w:r>
          </w:p>
        </w:tc>
      </w:tr>
      <w:tr w:rsidR="00F27FB1" w:rsidRPr="009110F7" w14:paraId="41EEF52D" w14:textId="77777777" w:rsidTr="005828FB"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7C4237DF" w14:textId="77777777" w:rsidR="00F27FB1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13665DD3" w14:textId="77777777" w:rsidR="00F27FB1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92A2C36" w14:textId="77777777" w:rsidR="00F27FB1" w:rsidRPr="001208E3" w:rsidRDefault="00F27FB1" w:rsidP="00D07AFF">
            <w:pPr>
              <w:spacing w:after="0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Graf č. 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 odvětví k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změně HPH (objemové indexy, meziroční příspěvky v p.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b., HPH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27FB1" w:rsidRPr="009110F7" w14:paraId="21C4E53A" w14:textId="77777777" w:rsidTr="005828FB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/>
            <w:shd w:val="clear" w:color="auto" w:fill="auto"/>
          </w:tcPr>
          <w:p w14:paraId="074085DC" w14:textId="77777777" w:rsidR="00F27FB1" w:rsidRPr="009110F7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/>
            <w:shd w:val="clear" w:color="auto" w:fill="auto"/>
          </w:tcPr>
          <w:p w14:paraId="515BF97A" w14:textId="77777777" w:rsidR="00F27FB1" w:rsidRPr="009110F7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07E8BC5" w14:textId="77777777" w:rsidR="00F27FB1" w:rsidRPr="009110F7" w:rsidRDefault="00F27FB1" w:rsidP="00D07AF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658D504" wp14:editId="28F0DB7D">
                  <wp:extent cx="4737600" cy="3553200"/>
                  <wp:effectExtent l="0" t="0" r="635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27FB1" w:rsidRPr="009110F7" w14:paraId="03B64830" w14:textId="77777777" w:rsidTr="005828FB">
        <w:trPr>
          <w:gridAfter w:val="1"/>
          <w:wAfter w:w="25" w:type="dxa"/>
          <w:trHeight w:val="170"/>
        </w:trPr>
        <w:tc>
          <w:tcPr>
            <w:tcW w:w="1806" w:type="dxa"/>
            <w:gridSpan w:val="2"/>
            <w:vMerge/>
            <w:shd w:val="clear" w:color="auto" w:fill="auto"/>
            <w:tcMar>
              <w:left w:w="0" w:type="dxa"/>
            </w:tcMar>
          </w:tcPr>
          <w:p w14:paraId="199AA1B0" w14:textId="77777777" w:rsidR="00F27FB1" w:rsidRPr="009110F7" w:rsidRDefault="00F27FB1" w:rsidP="00D07AFF">
            <w:pPr>
              <w:pStyle w:val="Marginlie"/>
            </w:pPr>
          </w:p>
        </w:tc>
        <w:tc>
          <w:tcPr>
            <w:tcW w:w="223" w:type="dxa"/>
            <w:gridSpan w:val="2"/>
            <w:vMerge/>
            <w:shd w:val="clear" w:color="auto" w:fill="auto"/>
            <w:tcMar>
              <w:left w:w="0" w:type="dxa"/>
            </w:tcMar>
          </w:tcPr>
          <w:p w14:paraId="5C399894" w14:textId="77777777" w:rsidR="00F27FB1" w:rsidRPr="009110F7" w:rsidRDefault="00F27FB1" w:rsidP="00D07AF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89F5616" w14:textId="77777777" w:rsidR="00F27FB1" w:rsidRPr="009110F7" w:rsidRDefault="00F27FB1" w:rsidP="00D07AFF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  <w:tr w:rsidR="00E66768" w:rsidRPr="002102B2" w14:paraId="690978EC" w14:textId="77777777" w:rsidTr="005828FB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B69EDD1" w14:textId="3D3FC0A8" w:rsidR="00E66768" w:rsidRDefault="00E66768" w:rsidP="00E66768">
            <w:pPr>
              <w:pStyle w:val="Marginlie"/>
            </w:pPr>
            <w:bookmarkStart w:id="2" w:name="_GoBack"/>
            <w:bookmarkEnd w:id="0"/>
            <w:bookmarkEnd w:id="2"/>
          </w:p>
        </w:tc>
        <w:tc>
          <w:tcPr>
            <w:tcW w:w="217" w:type="dxa"/>
            <w:gridSpan w:val="2"/>
            <w:shd w:val="clear" w:color="auto" w:fill="auto"/>
            <w:tcMar>
              <w:left w:w="0" w:type="dxa"/>
            </w:tcMar>
          </w:tcPr>
          <w:p w14:paraId="09D54B83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3"/>
            <w:shd w:val="clear" w:color="auto" w:fill="auto"/>
            <w:tcMar>
              <w:left w:w="0" w:type="dxa"/>
            </w:tcMar>
          </w:tcPr>
          <w:p w14:paraId="56BE993C" w14:textId="0B7AAA2C" w:rsidR="00E66768" w:rsidRPr="0067514E" w:rsidRDefault="00E66768" w:rsidP="00E66768">
            <w:pPr>
              <w:pStyle w:val="Textpoznpodarou"/>
              <w:spacing w:after="210" w:line="276" w:lineRule="auto"/>
              <w:jc w:val="both"/>
              <w:rPr>
                <w:rFonts w:cs="Arial"/>
                <w:color w:val="0D0D0D" w:themeColor="text1" w:themeTint="F2"/>
                <w:spacing w:val="-6"/>
              </w:rPr>
            </w:pPr>
          </w:p>
        </w:tc>
      </w:tr>
      <w:tr w:rsidR="00E66768" w:rsidRPr="002102B2" w14:paraId="7949263B" w14:textId="77777777" w:rsidTr="005828FB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3FD2D7F" w14:textId="51CEBBEE" w:rsidR="00E66768" w:rsidRDefault="00E66768" w:rsidP="00E66768">
            <w:pPr>
              <w:pStyle w:val="Marginlie"/>
            </w:pPr>
          </w:p>
        </w:tc>
        <w:tc>
          <w:tcPr>
            <w:tcW w:w="217" w:type="dxa"/>
            <w:gridSpan w:val="2"/>
            <w:shd w:val="clear" w:color="auto" w:fill="auto"/>
            <w:tcMar>
              <w:left w:w="0" w:type="dxa"/>
            </w:tcMar>
          </w:tcPr>
          <w:p w14:paraId="62C72B2A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3"/>
            <w:shd w:val="clear" w:color="auto" w:fill="auto"/>
            <w:tcMar>
              <w:left w:w="0" w:type="dxa"/>
            </w:tcMar>
          </w:tcPr>
          <w:p w14:paraId="0DCFD5C9" w14:textId="7BDF1579" w:rsidR="00E66768" w:rsidRPr="0031122A" w:rsidRDefault="00E66768" w:rsidP="00E66768">
            <w:pPr>
              <w:pStyle w:val="Textpoznpodarou"/>
              <w:spacing w:line="276" w:lineRule="auto"/>
              <w:jc w:val="both"/>
              <w:rPr>
                <w:rFonts w:cs="Arial"/>
                <w:color w:val="0D0D0D" w:themeColor="text1" w:themeTint="F2"/>
                <w:spacing w:val="-6"/>
              </w:rPr>
            </w:pPr>
          </w:p>
        </w:tc>
      </w:tr>
      <w:tr w:rsidR="00E66768" w:rsidRPr="00F704D2" w14:paraId="0940F3F7" w14:textId="77777777" w:rsidTr="005828FB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064C97B4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43648804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3"/>
            <w:shd w:val="clear" w:color="auto" w:fill="auto"/>
            <w:tcMar>
              <w:left w:w="0" w:type="dxa"/>
            </w:tcMar>
          </w:tcPr>
          <w:p w14:paraId="02C2E111" w14:textId="3847CBB4" w:rsidR="00E66768" w:rsidRPr="0067514E" w:rsidRDefault="00E66768" w:rsidP="00E66768">
            <w:pPr>
              <w:spacing w:after="40" w:line="240" w:lineRule="auto"/>
              <w:jc w:val="left"/>
              <w:rPr>
                <w:rFonts w:cs="Arial"/>
                <w:bCs/>
                <w:spacing w:val="-6"/>
              </w:rPr>
            </w:pPr>
          </w:p>
        </w:tc>
      </w:tr>
      <w:tr w:rsidR="00E66768" w14:paraId="1430B861" w14:textId="77777777" w:rsidTr="005828F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1BDBF359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gridSpan w:val="2"/>
            <w:vMerge/>
            <w:shd w:val="clear" w:color="auto" w:fill="auto"/>
          </w:tcPr>
          <w:p w14:paraId="601352AC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3"/>
            <w:shd w:val="clear" w:color="auto" w:fill="auto"/>
          </w:tcPr>
          <w:p w14:paraId="605767A9" w14:textId="355E7EE6" w:rsidR="00E66768" w:rsidRPr="0067514E" w:rsidRDefault="00E66768" w:rsidP="00E66768">
            <w:pPr>
              <w:spacing w:after="0"/>
              <w:rPr>
                <w:spacing w:val="-6"/>
              </w:rPr>
            </w:pPr>
          </w:p>
        </w:tc>
      </w:tr>
      <w:tr w:rsidR="00E66768" w:rsidRPr="00343AC1" w14:paraId="09E62E71" w14:textId="77777777" w:rsidTr="005828FB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2C1E2FFD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gridSpan w:val="2"/>
            <w:vMerge/>
            <w:shd w:val="clear" w:color="auto" w:fill="auto"/>
            <w:tcMar>
              <w:left w:w="0" w:type="dxa"/>
            </w:tcMar>
          </w:tcPr>
          <w:p w14:paraId="1D23D315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3"/>
            <w:shd w:val="clear" w:color="auto" w:fill="auto"/>
            <w:tcMar>
              <w:left w:w="0" w:type="dxa"/>
            </w:tcMar>
          </w:tcPr>
          <w:p w14:paraId="563D54AC" w14:textId="053ED64C" w:rsidR="00E66768" w:rsidRPr="0067514E" w:rsidRDefault="00E66768" w:rsidP="00E66768">
            <w:pPr>
              <w:spacing w:after="220" w:line="240" w:lineRule="auto"/>
              <w:rPr>
                <w:rFonts w:cs="Arial"/>
                <w:color w:val="0D0D0D" w:themeColor="text1" w:themeTint="F2"/>
                <w:spacing w:val="-6"/>
                <w:sz w:val="14"/>
                <w:szCs w:val="14"/>
              </w:rPr>
            </w:pPr>
          </w:p>
        </w:tc>
      </w:tr>
    </w:tbl>
    <w:p w14:paraId="400EECF4" w14:textId="3CAC1181" w:rsidR="00965797" w:rsidRPr="00C41D54" w:rsidRDefault="00965797" w:rsidP="0067514E">
      <w:pPr>
        <w:pStyle w:val="Nadpis11"/>
        <w:rPr>
          <w:b w:val="0"/>
          <w:sz w:val="2"/>
          <w:szCs w:val="2"/>
          <w:highlight w:val="yellow"/>
        </w:rPr>
      </w:pPr>
    </w:p>
    <w:sectPr w:rsidR="00965797" w:rsidRPr="00C41D54" w:rsidSect="005828F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02A3" w14:textId="77777777" w:rsidR="00F91F93" w:rsidRDefault="00F91F93" w:rsidP="00E71A58">
      <w:r>
        <w:separator/>
      </w:r>
    </w:p>
  </w:endnote>
  <w:endnote w:type="continuationSeparator" w:id="0">
    <w:p w14:paraId="62A87E97" w14:textId="77777777" w:rsidR="00F91F93" w:rsidRDefault="00F91F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3B12571B" w:rsidR="00441F8B" w:rsidRPr="00932443" w:rsidRDefault="00441F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828FB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1520336F" w:rsidR="00441F8B" w:rsidRPr="00932443" w:rsidRDefault="00441F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828FB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548A" w14:textId="77777777" w:rsidR="00F91F93" w:rsidRDefault="00F91F93" w:rsidP="00A21B4D">
      <w:pPr>
        <w:spacing w:after="0"/>
      </w:pPr>
      <w:r>
        <w:separator/>
      </w:r>
    </w:p>
  </w:footnote>
  <w:footnote w:type="continuationSeparator" w:id="0">
    <w:p w14:paraId="5358C7ED" w14:textId="77777777" w:rsidR="00F91F93" w:rsidRDefault="00F91F93" w:rsidP="00E71A58">
      <w:r>
        <w:continuationSeparator/>
      </w:r>
    </w:p>
  </w:footnote>
  <w:footnote w:id="1">
    <w:p w14:paraId="3B210681" w14:textId="77777777" w:rsidR="00441F8B" w:rsidRPr="00EF1EE3" w:rsidRDefault="00441F8B" w:rsidP="00F27FB1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 po </w:t>
      </w:r>
      <w:r w:rsidRPr="00EF1EE3">
        <w:rPr>
          <w:sz w:val="16"/>
          <w:szCs w:val="16"/>
        </w:rPr>
        <w:t>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 2. 6. 2020</w:t>
      </w:r>
      <w:r w:rsidRPr="00EF1EE3">
        <w:rPr>
          <w:sz w:val="16"/>
          <w:szCs w:val="16"/>
        </w:rPr>
        <w:t>.</w:t>
      </w:r>
    </w:p>
  </w:footnote>
  <w:footnote w:id="2">
    <w:p w14:paraId="7D035043" w14:textId="77777777" w:rsidR="00441F8B" w:rsidRPr="009C6EA8" w:rsidRDefault="00441F8B" w:rsidP="00F27FB1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14:paraId="032B0C89" w14:textId="4AF3D2F3" w:rsidR="00441F8B" w:rsidRPr="00BB319F" w:rsidRDefault="00441F8B" w:rsidP="00F27FB1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Lucembursko.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4">
    <w:p w14:paraId="258C905B" w14:textId="77777777" w:rsidR="00441F8B" w:rsidRPr="009C6EA8" w:rsidRDefault="00441F8B" w:rsidP="00F27FB1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5">
    <w:p w14:paraId="1C8AA976" w14:textId="77777777" w:rsidR="00441F8B" w:rsidRDefault="00441F8B" w:rsidP="00F27FB1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6">
    <w:p w14:paraId="0E93D967" w14:textId="77777777" w:rsidR="00441F8B" w:rsidRPr="00771972" w:rsidRDefault="00441F8B" w:rsidP="00F27FB1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7">
    <w:p w14:paraId="59080D79" w14:textId="77777777" w:rsidR="00441F8B" w:rsidRPr="00954992" w:rsidRDefault="00441F8B" w:rsidP="00F27FB1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 a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bez sezónního očištění.</w:t>
      </w:r>
    </w:p>
  </w:footnote>
  <w:footnote w:id="8">
    <w:p w14:paraId="24F9B89F" w14:textId="77777777" w:rsidR="00441F8B" w:rsidRPr="0021552C" w:rsidRDefault="00441F8B" w:rsidP="00F27FB1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9">
    <w:p w14:paraId="1B2C6130" w14:textId="77777777" w:rsidR="00441F8B" w:rsidRPr="00167B30" w:rsidRDefault="00441F8B" w:rsidP="00F27FB1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10">
    <w:p w14:paraId="10993579" w14:textId="77777777" w:rsidR="00441F8B" w:rsidRPr="00F50C3D" w:rsidRDefault="00441F8B" w:rsidP="00F27FB1">
      <w:pPr>
        <w:pStyle w:val="Textpoznpodarou"/>
        <w:rPr>
          <w:sz w:val="16"/>
          <w:szCs w:val="16"/>
        </w:rPr>
      </w:pPr>
      <w:r w:rsidRPr="00F50C3D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>Poměrně výrazný rozdíl mezi dynamikou HDP a HPH vychází z definice obou ukazatelů. Hrubý domácí produkt je roven HPH + daním z produktů – dotacím na produkty. V 1. čtvrtletí došlo k výraznému propadu objemu daní z produktů, což se negativně projevilo na dynamice HDP.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441F8B" w:rsidRDefault="00441F8B" w:rsidP="00937AE2">
    <w:pPr>
      <w:pStyle w:val="Zhlav"/>
    </w:pPr>
    <w:r>
      <w:t>Vývoj ekonomiky České republiky</w:t>
    </w:r>
  </w:p>
  <w:p w14:paraId="675E4C41" w14:textId="77777777" w:rsidR="00441F8B" w:rsidRPr="006F5416" w:rsidRDefault="00441F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441F8B" w:rsidRDefault="00441F8B" w:rsidP="00937AE2">
    <w:pPr>
      <w:pStyle w:val="Zhlav"/>
    </w:pPr>
    <w:r>
      <w:t>Vývoj ekonomiky České republiky</w:t>
    </w:r>
  </w:p>
  <w:p w14:paraId="0CDCFD48" w14:textId="77777777" w:rsidR="00441F8B" w:rsidRPr="006F5416" w:rsidRDefault="00441F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8FB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656B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1F93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1'!$A$17:$B$37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1'!$C$17:$C$37</c:f>
              <c:numCache>
                <c:formatCode>#,##0.0</c:formatCode>
                <c:ptCount val="21"/>
                <c:pt idx="0">
                  <c:v>5.2291028386835023</c:v>
                </c:pt>
                <c:pt idx="1">
                  <c:v>5.8032839302925225</c:v>
                </c:pt>
                <c:pt idx="2">
                  <c:v>5.6129957330324913</c:v>
                </c:pt>
                <c:pt idx="3">
                  <c:v>4.9021515966682472</c:v>
                </c:pt>
                <c:pt idx="4">
                  <c:v>3.5397876725335777</c:v>
                </c:pt>
                <c:pt idx="5">
                  <c:v>2.3880974325794</c:v>
                </c:pt>
                <c:pt idx="6">
                  <c:v>1.7456220336081003</c:v>
                </c:pt>
                <c:pt idx="7">
                  <c:v>1.7908390550106787</c:v>
                </c:pt>
                <c:pt idx="8">
                  <c:v>2.9314543599314931</c:v>
                </c:pt>
                <c:pt idx="9">
                  <c:v>5.0765771064926923</c:v>
                </c:pt>
                <c:pt idx="10">
                  <c:v>5.1042926824662658</c:v>
                </c:pt>
                <c:pt idx="11">
                  <c:v>5.0625427043875106</c:v>
                </c:pt>
                <c:pt idx="12">
                  <c:v>4.1134039034848087</c:v>
                </c:pt>
                <c:pt idx="13" formatCode="General">
                  <c:v>2.2285818121587511</c:v>
                </c:pt>
                <c:pt idx="14" formatCode="General">
                  <c:v>2.3691205820336023</c:v>
                </c:pt>
                <c:pt idx="15">
                  <c:v>2.6297732768110222</c:v>
                </c:pt>
                <c:pt idx="16">
                  <c:v>2.7820874256218957</c:v>
                </c:pt>
                <c:pt idx="17" formatCode="General">
                  <c:v>2.6856608272710361</c:v>
                </c:pt>
                <c:pt idx="18" formatCode="General">
                  <c:v>2.4784474877561706</c:v>
                </c:pt>
                <c:pt idx="19" formatCode="General">
                  <c:v>2.0441326449706025</c:v>
                </c:pt>
                <c:pt idx="20" formatCode="General">
                  <c:v>-1.9843098660156926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FC-444A-90F8-80E60321859A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1'!$A$17:$B$37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1'!$D$17:$D$37</c:f>
              <c:numCache>
                <c:formatCode>#,##0.0</c:formatCode>
                <c:ptCount val="21"/>
                <c:pt idx="0">
                  <c:v>2.1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2.1</c:v>
                </c:pt>
                <c:pt idx="5">
                  <c:v>2</c:v>
                </c:pt>
                <c:pt idx="6">
                  <c:v>1.9</c:v>
                </c:pt>
                <c:pt idx="7">
                  <c:v>2.2000000000000002</c:v>
                </c:pt>
                <c:pt idx="8">
                  <c:v>2.4</c:v>
                </c:pt>
                <c:pt idx="9">
                  <c:v>2.8</c:v>
                </c:pt>
                <c:pt idx="10">
                  <c:v>3.1</c:v>
                </c:pt>
                <c:pt idx="11">
                  <c:v>3.1</c:v>
                </c:pt>
                <c:pt idx="12">
                  <c:v>2.7</c:v>
                </c:pt>
                <c:pt idx="13">
                  <c:v>2.4</c:v>
                </c:pt>
                <c:pt idx="14">
                  <c:v>1.9</c:v>
                </c:pt>
                <c:pt idx="15">
                  <c:v>1.5</c:v>
                </c:pt>
                <c:pt idx="16">
                  <c:v>1.7</c:v>
                </c:pt>
                <c:pt idx="17">
                  <c:v>1.5</c:v>
                </c:pt>
                <c:pt idx="18">
                  <c:v>1.6</c:v>
                </c:pt>
                <c:pt idx="19">
                  <c:v>1.3</c:v>
                </c:pt>
                <c:pt idx="20">
                  <c:v>-2.6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FC-444A-90F8-80E603218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1'!$A$17:$B$37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1'!$E$17:$E$37</c:f>
              <c:numCache>
                <c:formatCode>#,##0.0</c:formatCode>
                <c:ptCount val="21"/>
                <c:pt idx="0">
                  <c:v>1.6044918247373232</c:v>
                </c:pt>
                <c:pt idx="1">
                  <c:v>1.4809609934735306</c:v>
                </c:pt>
                <c:pt idx="2">
                  <c:v>1.100605324096577</c:v>
                </c:pt>
                <c:pt idx="3">
                  <c:v>0.63131798439482623</c:v>
                </c:pt>
                <c:pt idx="4">
                  <c:v>0.28495459804372558</c:v>
                </c:pt>
                <c:pt idx="5">
                  <c:v>0.35217142431780246</c:v>
                </c:pt>
                <c:pt idx="6">
                  <c:v>0.46620881346103715</c:v>
                </c:pt>
                <c:pt idx="7">
                  <c:v>0.67603979520221458</c:v>
                </c:pt>
                <c:pt idx="8">
                  <c:v>1.4086957434134035</c:v>
                </c:pt>
                <c:pt idx="9">
                  <c:v>2.4435411317384563</c:v>
                </c:pt>
                <c:pt idx="10">
                  <c:v>0.49270833333332575</c:v>
                </c:pt>
                <c:pt idx="11">
                  <c:v>0.63604882673431007</c:v>
                </c:pt>
                <c:pt idx="12">
                  <c:v>0.49256592776798414</c:v>
                </c:pt>
                <c:pt idx="13">
                  <c:v>0.58894948263854019</c:v>
                </c:pt>
                <c:pt idx="14">
                  <c:v>0.63086071068421745</c:v>
                </c:pt>
                <c:pt idx="15">
                  <c:v>0.89228876676017421</c:v>
                </c:pt>
                <c:pt idx="16">
                  <c:v>0.6417082200326405</c:v>
                </c:pt>
                <c:pt idx="17" formatCode="General">
                  <c:v>0.4945804104272753</c:v>
                </c:pt>
                <c:pt idx="18" formatCode="General">
                  <c:v>0.42779383125697734</c:v>
                </c:pt>
                <c:pt idx="19" formatCode="General">
                  <c:v>0.4646962377140369</c:v>
                </c:pt>
                <c:pt idx="20" formatCode="General">
                  <c:v>-3.3313701457997098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FC-444A-90F8-80E60321859A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1'!$A$17:$B$37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1'!$F$17:$F$37</c:f>
              <c:numCache>
                <c:formatCode>#,##0.0</c:formatCode>
                <c:ptCount val="21"/>
                <c:pt idx="0">
                  <c:v>0.8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0.6</c:v>
                </c:pt>
                <c:pt idx="5">
                  <c:v>0.4</c:v>
                </c:pt>
                <c:pt idx="6">
                  <c:v>0.4</c:v>
                </c:pt>
                <c:pt idx="7">
                  <c:v>0.8</c:v>
                </c:pt>
                <c:pt idx="8">
                  <c:v>0.7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0.4</c:v>
                </c:pt>
                <c:pt idx="13">
                  <c:v>0.4</c:v>
                </c:pt>
                <c:pt idx="14">
                  <c:v>0.3</c:v>
                </c:pt>
                <c:pt idx="15">
                  <c:v>0.5</c:v>
                </c:pt>
                <c:pt idx="16">
                  <c:v>0.5</c:v>
                </c:pt>
                <c:pt idx="17">
                  <c:v>0.2</c:v>
                </c:pt>
                <c:pt idx="18">
                  <c:v>0.4</c:v>
                </c:pt>
                <c:pt idx="19">
                  <c:v>0.2</c:v>
                </c:pt>
                <c:pt idx="20">
                  <c:v>-3.3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FC-444A-90F8-80E603218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3'!$D$14:$D$38</c:f>
              <c:numCache>
                <c:formatCode>#,##0.0</c:formatCode>
                <c:ptCount val="25"/>
                <c:pt idx="0">
                  <c:v>-0.34466465253407302</c:v>
                </c:pt>
                <c:pt idx="1">
                  <c:v>2.6060603139314679E-2</c:v>
                </c:pt>
                <c:pt idx="2">
                  <c:v>0.63044507278831585</c:v>
                </c:pt>
                <c:pt idx="3">
                  <c:v>1.1281972482474159</c:v>
                </c:pt>
                <c:pt idx="4">
                  <c:v>0.94195606426351952</c:v>
                </c:pt>
                <c:pt idx="5">
                  <c:v>0.87267234692188866</c:v>
                </c:pt>
                <c:pt idx="6">
                  <c:v>0.96328129540429486</c:v>
                </c:pt>
                <c:pt idx="7">
                  <c:v>1.222915570039836</c:v>
                </c:pt>
                <c:pt idx="8">
                  <c:v>0.95450177579030715</c:v>
                </c:pt>
                <c:pt idx="9">
                  <c:v>0.99768716054784257</c:v>
                </c:pt>
                <c:pt idx="10">
                  <c:v>1.2072935249511725</c:v>
                </c:pt>
                <c:pt idx="11">
                  <c:v>1.1321291783183882</c:v>
                </c:pt>
                <c:pt idx="12">
                  <c:v>1.9306412987223565</c:v>
                </c:pt>
                <c:pt idx="13">
                  <c:v>2.2637400631644424</c:v>
                </c:pt>
                <c:pt idx="14">
                  <c:v>2.0808457010674362</c:v>
                </c:pt>
                <c:pt idx="15">
                  <c:v>1.9303094594010355</c:v>
                </c:pt>
                <c:pt idx="16">
                  <c:v>1.1809328409042479</c:v>
                </c:pt>
                <c:pt idx="17">
                  <c:v>0.97522383325499351</c:v>
                </c:pt>
                <c:pt idx="18">
                  <c:v>0.71494739738076218</c:v>
                </c:pt>
                <c:pt idx="19">
                  <c:v>0.59541814159009543</c:v>
                </c:pt>
                <c:pt idx="20">
                  <c:v>1.2384079231639256</c:v>
                </c:pt>
                <c:pt idx="21">
                  <c:v>1.2322368201608158</c:v>
                </c:pt>
                <c:pt idx="22">
                  <c:v>1.1454946087500353</c:v>
                </c:pt>
                <c:pt idx="23">
                  <c:v>1.3315880650721048</c:v>
                </c:pt>
                <c:pt idx="24">
                  <c:v>0.12797483985117372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E-4E48-8F3A-29EC55DE16D4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3'!$E$14:$E$38</c:f>
              <c:numCache>
                <c:formatCode>#,##0.0</c:formatCode>
                <c:ptCount val="25"/>
                <c:pt idx="0">
                  <c:v>0.20577198825120416</c:v>
                </c:pt>
                <c:pt idx="1">
                  <c:v>0.33883190557992837</c:v>
                </c:pt>
                <c:pt idx="2">
                  <c:v>1.2158794576732425E-2</c:v>
                </c:pt>
                <c:pt idx="3">
                  <c:v>0.40389733446089826</c:v>
                </c:pt>
                <c:pt idx="4">
                  <c:v>0.39699853206845465</c:v>
                </c:pt>
                <c:pt idx="5">
                  <c:v>0.40872197803912458</c:v>
                </c:pt>
                <c:pt idx="6">
                  <c:v>0.66145512560413866</c:v>
                </c:pt>
                <c:pt idx="7">
                  <c:v>0.47605014025303921</c:v>
                </c:pt>
                <c:pt idx="8">
                  <c:v>0.46151762486829956</c:v>
                </c:pt>
                <c:pt idx="9">
                  <c:v>0.57240355195671144</c:v>
                </c:pt>
                <c:pt idx="10">
                  <c:v>0.46340271694691726</c:v>
                </c:pt>
                <c:pt idx="11">
                  <c:v>0.42895930420689293</c:v>
                </c:pt>
                <c:pt idx="12">
                  <c:v>0.34244893163489387</c:v>
                </c:pt>
                <c:pt idx="13">
                  <c:v>0.223244500567059</c:v>
                </c:pt>
                <c:pt idx="14">
                  <c:v>0.14063749951504498</c:v>
                </c:pt>
                <c:pt idx="15">
                  <c:v>0.27003435806965481</c:v>
                </c:pt>
                <c:pt idx="16">
                  <c:v>0.52119655301101397</c:v>
                </c:pt>
                <c:pt idx="17">
                  <c:v>0.53590023308227619</c:v>
                </c:pt>
                <c:pt idx="18">
                  <c:v>0.75048967270375855</c:v>
                </c:pt>
                <c:pt idx="19">
                  <c:v>0.64706442020280963</c:v>
                </c:pt>
                <c:pt idx="20">
                  <c:v>0.44248975086021647</c:v>
                </c:pt>
                <c:pt idx="21">
                  <c:v>0.54035293556943409</c:v>
                </c:pt>
                <c:pt idx="22">
                  <c:v>0.69799862848490202</c:v>
                </c:pt>
                <c:pt idx="23">
                  <c:v>0.3289306707528134</c:v>
                </c:pt>
                <c:pt idx="24">
                  <c:v>1.4295033850547236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1E-4E48-8F3A-29EC55DE16D4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3'!$G$14:$G$38</c:f>
              <c:numCache>
                <c:formatCode>#,##0.0</c:formatCode>
                <c:ptCount val="25"/>
                <c:pt idx="0">
                  <c:v>-2.3991466431909317E-2</c:v>
                </c:pt>
                <c:pt idx="1">
                  <c:v>1.7451742182379062</c:v>
                </c:pt>
                <c:pt idx="2">
                  <c:v>1.1824385369018755</c:v>
                </c:pt>
                <c:pt idx="3">
                  <c:v>0.45289756665603148</c:v>
                </c:pt>
                <c:pt idx="4">
                  <c:v>3.0879371652551999</c:v>
                </c:pt>
                <c:pt idx="5">
                  <c:v>3.9987987862631074</c:v>
                </c:pt>
                <c:pt idx="6">
                  <c:v>2.5754146120567754</c:v>
                </c:pt>
                <c:pt idx="7">
                  <c:v>1.0444753655053425</c:v>
                </c:pt>
                <c:pt idx="8">
                  <c:v>0.71387118611405975</c:v>
                </c:pt>
                <c:pt idx="9">
                  <c:v>-1.5854482705709272</c:v>
                </c:pt>
                <c:pt idx="10">
                  <c:v>-0.93062122867821062</c:v>
                </c:pt>
                <c:pt idx="11">
                  <c:v>-0.56122869504757711</c:v>
                </c:pt>
                <c:pt idx="12">
                  <c:v>-1.1403609447470813</c:v>
                </c:pt>
                <c:pt idx="13">
                  <c:v>0.83977617499799451</c:v>
                </c:pt>
                <c:pt idx="14">
                  <c:v>1.6317033595386747</c:v>
                </c:pt>
                <c:pt idx="15">
                  <c:v>2.2014216093427894</c:v>
                </c:pt>
                <c:pt idx="16">
                  <c:v>2.4097867369615757</c:v>
                </c:pt>
                <c:pt idx="17">
                  <c:v>0.5170262523036262</c:v>
                </c:pt>
                <c:pt idx="18">
                  <c:v>0.77040241880421423</c:v>
                </c:pt>
                <c:pt idx="19">
                  <c:v>9.4373662010904788E-2</c:v>
                </c:pt>
                <c:pt idx="20">
                  <c:v>1.0613335745329571</c:v>
                </c:pt>
                <c:pt idx="21">
                  <c:v>-0.36238929231745187</c:v>
                </c:pt>
                <c:pt idx="22">
                  <c:v>-0.41084313126944683</c:v>
                </c:pt>
                <c:pt idx="23">
                  <c:v>2.2623784732541168</c:v>
                </c:pt>
                <c:pt idx="24">
                  <c:v>-3.0448027669364581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1E-4E48-8F3A-29EC55DE16D4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3'!$F$14:$F$38</c:f>
              <c:numCache>
                <c:formatCode>#,##0.0</c:formatCode>
                <c:ptCount val="25"/>
                <c:pt idx="0">
                  <c:v>1.754622759396387</c:v>
                </c:pt>
                <c:pt idx="1">
                  <c:v>0.26870369648226777</c:v>
                </c:pt>
                <c:pt idx="2">
                  <c:v>1.5495167456083836</c:v>
                </c:pt>
                <c:pt idx="3">
                  <c:v>1.4172294109942891</c:v>
                </c:pt>
                <c:pt idx="4">
                  <c:v>0.8334594136688902</c:v>
                </c:pt>
                <c:pt idx="5">
                  <c:v>0.55449022657338531</c:v>
                </c:pt>
                <c:pt idx="6">
                  <c:v>1.4429305167076234</c:v>
                </c:pt>
                <c:pt idx="7">
                  <c:v>2.1830803377751762</c:v>
                </c:pt>
                <c:pt idx="8">
                  <c:v>1.3738808387312025</c:v>
                </c:pt>
                <c:pt idx="9">
                  <c:v>2.3568205392256898</c:v>
                </c:pt>
                <c:pt idx="10">
                  <c:v>0.95573888207662083</c:v>
                </c:pt>
                <c:pt idx="11">
                  <c:v>0.73950653042841519</c:v>
                </c:pt>
                <c:pt idx="12">
                  <c:v>1.7564908410868183</c:v>
                </c:pt>
                <c:pt idx="13">
                  <c:v>1.7148679176152966</c:v>
                </c:pt>
                <c:pt idx="14">
                  <c:v>1.2243070658653634</c:v>
                </c:pt>
                <c:pt idx="15">
                  <c:v>0.64430687048366675</c:v>
                </c:pt>
                <c:pt idx="16">
                  <c:v>-1.7752529049995136E-2</c:v>
                </c:pt>
                <c:pt idx="17">
                  <c:v>0.17484982683298256</c:v>
                </c:pt>
                <c:pt idx="18">
                  <c:v>0.10210794575161497</c:v>
                </c:pt>
                <c:pt idx="19">
                  <c:v>1.2503464785579967</c:v>
                </c:pt>
                <c:pt idx="20">
                  <c:v>1.1250091092773973E-2</c:v>
                </c:pt>
                <c:pt idx="21">
                  <c:v>1.2532787641542766</c:v>
                </c:pt>
                <c:pt idx="22">
                  <c:v>1.022544176517203</c:v>
                </c:pt>
                <c:pt idx="23">
                  <c:v>-1.9053435473948666</c:v>
                </c:pt>
                <c:pt idx="24">
                  <c:v>-0.52851154054414851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1E-4E48-8F3A-29EC55DE1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3'!$A$14:$B$38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'souhrnná výkonnost 3'!$C$14:$C$38</c:f>
              <c:numCache>
                <c:formatCode>#,##0.0</c:formatCode>
                <c:ptCount val="25"/>
                <c:pt idx="0">
                  <c:v>1.6119852610403171</c:v>
                </c:pt>
                <c:pt idx="1">
                  <c:v>2.4036588344783354</c:v>
                </c:pt>
                <c:pt idx="2">
                  <c:v>3.402592096510773</c:v>
                </c:pt>
                <c:pt idx="3">
                  <c:v>3.4266275487343023</c:v>
                </c:pt>
                <c:pt idx="4">
                  <c:v>5.2291125501287894</c:v>
                </c:pt>
                <c:pt idx="5">
                  <c:v>5.8032884808543201</c:v>
                </c:pt>
                <c:pt idx="6">
                  <c:v>5.6130021167368085</c:v>
                </c:pt>
                <c:pt idx="7">
                  <c:v>4.9021199420951973</c:v>
                </c:pt>
                <c:pt idx="8">
                  <c:v>3.5397769924422562</c:v>
                </c:pt>
                <c:pt idx="9">
                  <c:v>2.3881436873594453</c:v>
                </c:pt>
                <c:pt idx="10">
                  <c:v>1.7456690011057816</c:v>
                </c:pt>
                <c:pt idx="11">
                  <c:v>1.7908504273152204</c:v>
                </c:pt>
                <c:pt idx="12">
                  <c:v>2.9314357771400381</c:v>
                </c:pt>
                <c:pt idx="13">
                  <c:v>5.0765227202416554</c:v>
                </c:pt>
                <c:pt idx="14">
                  <c:v>5.1042255357996851</c:v>
                </c:pt>
                <c:pt idx="15">
                  <c:v>5.0625760160056359</c:v>
                </c:pt>
                <c:pt idx="16">
                  <c:v>4.113399930983519</c:v>
                </c:pt>
                <c:pt idx="17">
                  <c:v>2.2285878567247295</c:v>
                </c:pt>
                <c:pt idx="18">
                  <c:v>2.3691471449424455</c:v>
                </c:pt>
                <c:pt idx="19">
                  <c:v>2.6297132249435577</c:v>
                </c:pt>
                <c:pt idx="20">
                  <c:v>2.7821232477531339</c:v>
                </c:pt>
                <c:pt idx="21">
                  <c:v>2.6857018943744748</c:v>
                </c:pt>
                <c:pt idx="22">
                  <c:v>2.4784595234327327</c:v>
                </c:pt>
                <c:pt idx="23">
                  <c:v>2.0441416457255031</c:v>
                </c:pt>
                <c:pt idx="24">
                  <c:v>-1.9843519955433493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41E-4E48-8F3A-29EC55DE1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4'!$C$14:$C$38</c:f>
              <c:numCache>
                <c:formatCode>#,##0.0</c:formatCode>
                <c:ptCount val="25"/>
                <c:pt idx="0">
                  <c:v>0.10327092328203805</c:v>
                </c:pt>
                <c:pt idx="1">
                  <c:v>0.23269520427919901</c:v>
                </c:pt>
                <c:pt idx="2">
                  <c:v>0.28194365656542186</c:v>
                </c:pt>
                <c:pt idx="3">
                  <c:v>0.24824540125917496</c:v>
                </c:pt>
                <c:pt idx="4">
                  <c:v>0.26628454758778369</c:v>
                </c:pt>
                <c:pt idx="5">
                  <c:v>0.14949552444378822</c:v>
                </c:pt>
                <c:pt idx="6">
                  <c:v>9.560398576111212E-2</c:v>
                </c:pt>
                <c:pt idx="7">
                  <c:v>9.4659050791023117E-2</c:v>
                </c:pt>
                <c:pt idx="8">
                  <c:v>3.38185905666414E-3</c:v>
                </c:pt>
                <c:pt idx="9">
                  <c:v>0.12010108099372553</c:v>
                </c:pt>
                <c:pt idx="10">
                  <c:v>0.11928892387646116</c:v>
                </c:pt>
                <c:pt idx="11">
                  <c:v>8.912121122008794E-2</c:v>
                </c:pt>
                <c:pt idx="12">
                  <c:v>2.0661665656224161E-2</c:v>
                </c:pt>
                <c:pt idx="13">
                  <c:v>-9.060397457564992E-2</c:v>
                </c:pt>
                <c:pt idx="14">
                  <c:v>-0.1383708603508515</c:v>
                </c:pt>
                <c:pt idx="15">
                  <c:v>-6.7127512709389422E-2</c:v>
                </c:pt>
                <c:pt idx="16">
                  <c:v>4.3330467804160236E-2</c:v>
                </c:pt>
                <c:pt idx="17">
                  <c:v>0.1226773065485962</c:v>
                </c:pt>
                <c:pt idx="18">
                  <c:v>0.15388197244705223</c:v>
                </c:pt>
                <c:pt idx="19">
                  <c:v>0.12896499083982724</c:v>
                </c:pt>
                <c:pt idx="20">
                  <c:v>2.5313888605371329E-2</c:v>
                </c:pt>
                <c:pt idx="21">
                  <c:v>2.1317900195731328E-2</c:v>
                </c:pt>
                <c:pt idx="22">
                  <c:v>2.8240177277312213E-2</c:v>
                </c:pt>
                <c:pt idx="23">
                  <c:v>5.5680490263702927E-2</c:v>
                </c:pt>
                <c:pt idx="24">
                  <c:v>0.10931961786011227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9-4755-AE03-6E81190458DE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4'!$D$14:$D$38</c:f>
              <c:numCache>
                <c:formatCode>#,##0.0</c:formatCode>
                <c:ptCount val="25"/>
                <c:pt idx="0">
                  <c:v>0.37772844403727041</c:v>
                </c:pt>
                <c:pt idx="1">
                  <c:v>1.1859630233858338</c:v>
                </c:pt>
                <c:pt idx="2">
                  <c:v>1.9694331350285428</c:v>
                </c:pt>
                <c:pt idx="3">
                  <c:v>2.590547170334732</c:v>
                </c:pt>
                <c:pt idx="4">
                  <c:v>2.059969378684416</c:v>
                </c:pt>
                <c:pt idx="5">
                  <c:v>1.651966663269814</c:v>
                </c:pt>
                <c:pt idx="6">
                  <c:v>1.4183675868663133</c:v>
                </c:pt>
                <c:pt idx="7">
                  <c:v>0.71493469675474686</c:v>
                </c:pt>
                <c:pt idx="8">
                  <c:v>1.0587965236381895</c:v>
                </c:pt>
                <c:pt idx="9">
                  <c:v>0.58666698548746488</c:v>
                </c:pt>
                <c:pt idx="10">
                  <c:v>0.78345988868193084</c:v>
                </c:pt>
                <c:pt idx="11">
                  <c:v>1.0287702111104504</c:v>
                </c:pt>
                <c:pt idx="12">
                  <c:v>1.9010392905126703</c:v>
                </c:pt>
                <c:pt idx="13">
                  <c:v>3.4182392747721453</c:v>
                </c:pt>
                <c:pt idx="14">
                  <c:v>3.6661529694016184</c:v>
                </c:pt>
                <c:pt idx="15">
                  <c:v>2.9671701619247015</c:v>
                </c:pt>
                <c:pt idx="16">
                  <c:v>1.5924778102369037</c:v>
                </c:pt>
                <c:pt idx="17">
                  <c:v>0.16147466592295665</c:v>
                </c:pt>
                <c:pt idx="18">
                  <c:v>-0.2265542468745792</c:v>
                </c:pt>
                <c:pt idx="19">
                  <c:v>0.16877028418296994</c:v>
                </c:pt>
                <c:pt idx="20">
                  <c:v>0.23028959568633331</c:v>
                </c:pt>
                <c:pt idx="21">
                  <c:v>0.3005289792159006</c:v>
                </c:pt>
                <c:pt idx="22">
                  <c:v>0.35338158321054997</c:v>
                </c:pt>
                <c:pt idx="23">
                  <c:v>-6.0323223057564677E-2</c:v>
                </c:pt>
                <c:pt idx="24">
                  <c:v>-0.86536098206253975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B9-4755-AE03-6E81190458DE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4'!$E$14:$E$38</c:f>
              <c:numCache>
                <c:formatCode>#,##0.0</c:formatCode>
                <c:ptCount val="25"/>
                <c:pt idx="0">
                  <c:v>0.3608155675574945</c:v>
                </c:pt>
                <c:pt idx="1">
                  <c:v>0.11006534446942351</c:v>
                </c:pt>
                <c:pt idx="2">
                  <c:v>-0.10139412231119316</c:v>
                </c:pt>
                <c:pt idx="3">
                  <c:v>-0.15771568852179829</c:v>
                </c:pt>
                <c:pt idx="4">
                  <c:v>-9.9963418393016701E-2</c:v>
                </c:pt>
                <c:pt idx="5">
                  <c:v>8.807575951667701E-3</c:v>
                </c:pt>
                <c:pt idx="6">
                  <c:v>1.1684997950884624E-2</c:v>
                </c:pt>
                <c:pt idx="7">
                  <c:v>-0.13386535147937628</c:v>
                </c:pt>
                <c:pt idx="8">
                  <c:v>-0.45864825929601738</c:v>
                </c:pt>
                <c:pt idx="9">
                  <c:v>-0.32291108060646145</c:v>
                </c:pt>
                <c:pt idx="10">
                  <c:v>-0.37881944494448766</c:v>
                </c:pt>
                <c:pt idx="11">
                  <c:v>-0.13472107189033511</c:v>
                </c:pt>
                <c:pt idx="12">
                  <c:v>5.6239162616814387E-2</c:v>
                </c:pt>
                <c:pt idx="13">
                  <c:v>4.4230730683970876E-2</c:v>
                </c:pt>
                <c:pt idx="14">
                  <c:v>6.7840541801028387E-2</c:v>
                </c:pt>
                <c:pt idx="15">
                  <c:v>-2.5113128208830382E-2</c:v>
                </c:pt>
                <c:pt idx="16">
                  <c:v>-0.19539558548550606</c:v>
                </c:pt>
                <c:pt idx="17">
                  <c:v>-0.16275648398934928</c:v>
                </c:pt>
                <c:pt idx="18" formatCode="General">
                  <c:v>1.3843354762812204E-2</c:v>
                </c:pt>
                <c:pt idx="19" formatCode="General">
                  <c:v>-0.10594894019695877</c:v>
                </c:pt>
                <c:pt idx="20" formatCode="General">
                  <c:v>9.2374947081174247E-2</c:v>
                </c:pt>
                <c:pt idx="21" formatCode="General">
                  <c:v>7.1201995979468413E-2</c:v>
                </c:pt>
                <c:pt idx="22" formatCode="General">
                  <c:v>-0.14661860351297781</c:v>
                </c:pt>
                <c:pt idx="23" formatCode="General">
                  <c:v>1.6183959188860862E-2</c:v>
                </c:pt>
                <c:pt idx="24" formatCode="General">
                  <c:v>-0.23658125087337989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B9-4755-AE03-6E81190458DE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4'!$F$14:$F$38</c:f>
              <c:numCache>
                <c:formatCode>#,##0.0</c:formatCode>
                <c:ptCount val="25"/>
                <c:pt idx="0">
                  <c:v>0.21797461545334479</c:v>
                </c:pt>
                <c:pt idx="1">
                  <c:v>8.7245853666114953E-2</c:v>
                </c:pt>
                <c:pt idx="2">
                  <c:v>3.407524595211904E-2</c:v>
                </c:pt>
                <c:pt idx="3">
                  <c:v>0.11666973663550313</c:v>
                </c:pt>
                <c:pt idx="4">
                  <c:v>0.10380768205040228</c:v>
                </c:pt>
                <c:pt idx="5">
                  <c:v>0.26161294736530888</c:v>
                </c:pt>
                <c:pt idx="6">
                  <c:v>0.36000633297194701</c:v>
                </c:pt>
                <c:pt idx="7">
                  <c:v>0.16260274397931943</c:v>
                </c:pt>
                <c:pt idx="8">
                  <c:v>-5.3066473746695028E-2</c:v>
                </c:pt>
                <c:pt idx="9">
                  <c:v>-0.24720655881401407</c:v>
                </c:pt>
                <c:pt idx="10">
                  <c:v>-0.2921718454579274</c:v>
                </c:pt>
                <c:pt idx="11">
                  <c:v>-0.26341653342115456</c:v>
                </c:pt>
                <c:pt idx="12">
                  <c:v>-0.20931022274257244</c:v>
                </c:pt>
                <c:pt idx="13">
                  <c:v>-8.9707874424024656E-2</c:v>
                </c:pt>
                <c:pt idx="14">
                  <c:v>-0.16563091980150987</c:v>
                </c:pt>
                <c:pt idx="15">
                  <c:v>-5.4074781328859352E-2</c:v>
                </c:pt>
                <c:pt idx="16">
                  <c:v>2.0317746617857207E-2</c:v>
                </c:pt>
                <c:pt idx="17">
                  <c:v>0.2062735458554408</c:v>
                </c:pt>
                <c:pt idx="18">
                  <c:v>0.2175224952867183</c:v>
                </c:pt>
                <c:pt idx="19">
                  <c:v>0.23376664655650201</c:v>
                </c:pt>
                <c:pt idx="20">
                  <c:v>0.1602327294784904</c:v>
                </c:pt>
                <c:pt idx="21">
                  <c:v>0.19765818760512943</c:v>
                </c:pt>
                <c:pt idx="22">
                  <c:v>0.24247853978936121</c:v>
                </c:pt>
                <c:pt idx="23">
                  <c:v>0.17254502186384324</c:v>
                </c:pt>
                <c:pt idx="24">
                  <c:v>0.1475780887515695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B9-4755-AE03-6E81190458DE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4'!$G$14:$G$38</c:f>
              <c:numCache>
                <c:formatCode>#,##0.0</c:formatCode>
                <c:ptCount val="25"/>
                <c:pt idx="0">
                  <c:v>1.2434826511850188</c:v>
                </c:pt>
                <c:pt idx="1">
                  <c:v>1.3514601452448771</c:v>
                </c:pt>
                <c:pt idx="2">
                  <c:v>1.6168480473690585</c:v>
                </c:pt>
                <c:pt idx="3">
                  <c:v>1.7199521082386058</c:v>
                </c:pt>
                <c:pt idx="4">
                  <c:v>2.2210135975907166</c:v>
                </c:pt>
                <c:pt idx="5">
                  <c:v>2.8541009603152143</c:v>
                </c:pt>
                <c:pt idx="6">
                  <c:v>3.0964431248416622</c:v>
                </c:pt>
                <c:pt idx="7">
                  <c:v>3.3052613495317993</c:v>
                </c:pt>
                <c:pt idx="8">
                  <c:v>2.6068688455059759</c:v>
                </c:pt>
                <c:pt idx="9">
                  <c:v>1.9990022976544159</c:v>
                </c:pt>
                <c:pt idx="10">
                  <c:v>1.2791961941919765</c:v>
                </c:pt>
                <c:pt idx="11">
                  <c:v>1.1726961110215921</c:v>
                </c:pt>
                <c:pt idx="12">
                  <c:v>1.1198723777850697</c:v>
                </c:pt>
                <c:pt idx="13">
                  <c:v>1.8175538641913864</c:v>
                </c:pt>
                <c:pt idx="14">
                  <c:v>1.6785892165515754</c:v>
                </c:pt>
                <c:pt idx="15">
                  <c:v>1.979467472110398</c:v>
                </c:pt>
                <c:pt idx="16">
                  <c:v>2.4796782729053737</c:v>
                </c:pt>
                <c:pt idx="17">
                  <c:v>2.0331100590497093</c:v>
                </c:pt>
                <c:pt idx="18" formatCode="General">
                  <c:v>2.4152729343184873</c:v>
                </c:pt>
                <c:pt idx="19" formatCode="General">
                  <c:v>2.4649049325032455</c:v>
                </c:pt>
                <c:pt idx="20" formatCode="General">
                  <c:v>2.1792980796625976</c:v>
                </c:pt>
                <c:pt idx="21" formatCode="General">
                  <c:v>1.9155103819708819</c:v>
                </c:pt>
                <c:pt idx="22" formatCode="General">
                  <c:v>1.7835509289904592</c:v>
                </c:pt>
                <c:pt idx="23" formatCode="General">
                  <c:v>1.5286670232369217</c:v>
                </c:pt>
                <c:pt idx="24" formatCode="General">
                  <c:v>-0.49019426804067701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B9-4755-AE03-6E8119045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4'!$A$14:$B$38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'souhrnná výkonnost 4'!$H$14:$H$38</c:f>
              <c:numCache>
                <c:formatCode>#,##0.0</c:formatCode>
                <c:ptCount val="25"/>
                <c:pt idx="0">
                  <c:v>2.3242841787100321</c:v>
                </c:pt>
                <c:pt idx="1">
                  <c:v>2.9725274544266607</c:v>
                </c:pt>
                <c:pt idx="2">
                  <c:v>3.7839037019436175</c:v>
                </c:pt>
                <c:pt idx="3">
                  <c:v>4.5087488484021181</c:v>
                </c:pt>
                <c:pt idx="4">
                  <c:v>4.6270444497680643</c:v>
                </c:pt>
                <c:pt idx="5">
                  <c:v>5.0628974959777935</c:v>
                </c:pt>
                <c:pt idx="6">
                  <c:v>5.1769019836327601</c:v>
                </c:pt>
                <c:pt idx="7">
                  <c:v>4.3720734965723125</c:v>
                </c:pt>
                <c:pt idx="8">
                  <c:v>3.3567782921467995</c:v>
                </c:pt>
                <c:pt idx="9">
                  <c:v>2.2893161137021707</c:v>
                </c:pt>
                <c:pt idx="10">
                  <c:v>1.6037323521340028</c:v>
                </c:pt>
                <c:pt idx="11">
                  <c:v>1.922857301673119</c:v>
                </c:pt>
                <c:pt idx="12">
                  <c:v>2.8822306247702869</c:v>
                </c:pt>
                <c:pt idx="13">
                  <c:v>5.0931754403063252</c:v>
                </c:pt>
                <c:pt idx="14">
                  <c:v>5.0870941409032184</c:v>
                </c:pt>
                <c:pt idx="15">
                  <c:v>4.7458033834709425</c:v>
                </c:pt>
                <c:pt idx="16">
                  <c:v>4.1236830875357668</c:v>
                </c:pt>
                <c:pt idx="17">
                  <c:v>2.329334470402415</c:v>
                </c:pt>
                <c:pt idx="18">
                  <c:v>2.5646883885996488</c:v>
                </c:pt>
                <c:pt idx="19">
                  <c:v>2.8916497531126026</c:v>
                </c:pt>
                <c:pt idx="20">
                  <c:v>2.7631034742066447</c:v>
                </c:pt>
                <c:pt idx="21">
                  <c:v>2.624896293472645</c:v>
                </c:pt>
                <c:pt idx="22">
                  <c:v>2.3046222387228568</c:v>
                </c:pt>
                <c:pt idx="23">
                  <c:v>1.7882082771336343</c:v>
                </c:pt>
                <c:pt idx="24">
                  <c:v>-1.3045685511349348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2B9-4755-AE03-6E8119045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9BB-9034-47DB-AB75-B3CFE3857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516CE-B9B0-4F2C-A7E9-5B7E328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1430</Words>
  <Characters>7938</Characters>
  <Application>Microsoft Office Word</Application>
  <DocSecurity>0</DocSecurity>
  <Lines>134</Lines>
  <Paragraphs>41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9327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2020-06-12T09:08:00Z</dcterms:created>
  <dcterms:modified xsi:type="dcterms:W3CDTF">2020-06-12T09:15:00Z</dcterms:modified>
</cp:coreProperties>
</file>