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F4B3" w14:textId="64854BB6" w:rsidR="00C41D54" w:rsidRPr="009110F7" w:rsidRDefault="00C41D54" w:rsidP="00C41D54">
      <w:pPr>
        <w:pStyle w:val="Nadpis11"/>
      </w:pPr>
      <w:bookmarkStart w:id="0" w:name="_Toc532558287"/>
      <w:bookmarkStart w:id="1" w:name="_Toc42852413"/>
      <w:r w:rsidRPr="009110F7">
        <w:t>7.</w:t>
      </w:r>
      <w:r>
        <w:t> </w:t>
      </w:r>
      <w:r w:rsidRPr="009110F7">
        <w:t>Měnové podmínky</w:t>
      </w:r>
      <w:bookmarkEnd w:id="1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C41D54" w:rsidRPr="00E66062" w14:paraId="4DE6F133" w14:textId="77777777" w:rsidTr="00C41D54">
        <w:trPr>
          <w:trHeight w:val="145"/>
        </w:trPr>
        <w:tc>
          <w:tcPr>
            <w:tcW w:w="1802" w:type="dxa"/>
            <w:shd w:val="clear" w:color="auto" w:fill="auto"/>
            <w:tcMar>
              <w:left w:w="0" w:type="dxa"/>
            </w:tcMar>
          </w:tcPr>
          <w:p w14:paraId="43AC6B3E" w14:textId="77777777" w:rsidR="00C41D54" w:rsidRDefault="00C41D54" w:rsidP="00C41D54">
            <w:pPr>
              <w:pStyle w:val="Marginlie"/>
            </w:pPr>
            <w:r>
              <w:t>V průběhu 1. čtvrtletí došlo k několika změnám v nastavení základních měnověpolitických úrokových sazeb.</w:t>
            </w:r>
          </w:p>
        </w:tc>
        <w:tc>
          <w:tcPr>
            <w:tcW w:w="229" w:type="dxa"/>
            <w:shd w:val="clear" w:color="auto" w:fill="auto"/>
            <w:tcMar>
              <w:left w:w="0" w:type="dxa"/>
            </w:tcMar>
          </w:tcPr>
          <w:p w14:paraId="489AF8DF" w14:textId="77777777" w:rsidR="00C41D54" w:rsidRDefault="00C41D54" w:rsidP="00C41D5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C4A6A8F" w14:textId="77777777" w:rsidR="00C41D54" w:rsidRPr="00E66062" w:rsidRDefault="00C41D54" w:rsidP="00C41D54">
            <w:pPr>
              <w:rPr>
                <w:spacing w:val="-2"/>
              </w:rPr>
            </w:pPr>
            <w:r>
              <w:rPr>
                <w:spacing w:val="-2"/>
              </w:rPr>
              <w:t>Ekonomický vývoj v 1. čtvrtletí byl značně turbulentní, což se také odráželo na posunech v nastavení základních měnověpolitických úrokových sazeb. V první polovině února nejprve došlo v reakci na zvýšené inflační tlaky k navýšení repo sazby o 0,25 p. b. na 2,25 %. Byl tak vytvořen prostor pro následné uvolnění měnové politiky, ke kterému došlo v březnu ve dvou krocích. Nejprve 17. března poklesla repo sazba na 1,75 % a o deset dní později byla snížena na 1,00 %. Diskontní sazba ke konci března činila 0,05 % a lombardní 2,00 %. Restrikce uvalené na ekonomiku se od poloviny března silně projevily také v kurzu koruny vůči euru a dolaru. V průběhu ledna se kurz koruny vůči euru pohyboval v pásmu nad hranicí 25 korun</w:t>
            </w:r>
            <w:r>
              <w:rPr>
                <w:rStyle w:val="Znakapoznpodarou"/>
                <w:spacing w:val="-2"/>
              </w:rPr>
              <w:footnoteReference w:id="1"/>
            </w:r>
            <w:r>
              <w:rPr>
                <w:spacing w:val="-2"/>
              </w:rPr>
              <w:t>. Mírné oslabování kurzu probíhalo od poloviny února, v březnu pak dále zrychlovalo. K prudkému oslabení z 26 korun na 27 korun za euro došlo v reakci na</w:t>
            </w:r>
            <w:r>
              <w:t xml:space="preserve"> omezení volného pohybu od 16. března v souvislosti s vyhlášením nouzového stavu</w:t>
            </w:r>
            <w:r>
              <w:rPr>
                <w:spacing w:val="-2"/>
              </w:rPr>
              <w:t>. Nejslabší hodnotu měl kurz 24. března, a to 27,81 koruny za euro. Podobně se vyvíjel kurz vůči dolaru. Nejsilnější byla koruna 9. března (22,27 CZK/USD), následně prudce oslabovala až na 25,57 koruny za dolar 19. března.</w:t>
            </w:r>
          </w:p>
        </w:tc>
      </w:tr>
      <w:tr w:rsidR="00C41D54" w:rsidRPr="00E66062" w14:paraId="44F626FB" w14:textId="77777777" w:rsidTr="00C41D54">
        <w:trPr>
          <w:trHeight w:val="145"/>
        </w:trPr>
        <w:tc>
          <w:tcPr>
            <w:tcW w:w="1802" w:type="dxa"/>
            <w:shd w:val="clear" w:color="auto" w:fill="auto"/>
            <w:tcMar>
              <w:left w:w="0" w:type="dxa"/>
            </w:tcMar>
          </w:tcPr>
          <w:p w14:paraId="2FC0181B" w14:textId="77777777" w:rsidR="00C41D54" w:rsidRDefault="00C41D54" w:rsidP="00C41D54">
            <w:pPr>
              <w:pStyle w:val="Marginlie"/>
            </w:pPr>
            <w:r>
              <w:t>Výnosy na dluhopisech ke konci března klesly.</w:t>
            </w:r>
          </w:p>
        </w:tc>
        <w:tc>
          <w:tcPr>
            <w:tcW w:w="229" w:type="dxa"/>
            <w:shd w:val="clear" w:color="auto" w:fill="auto"/>
            <w:tcMar>
              <w:left w:w="0" w:type="dxa"/>
            </w:tcMar>
          </w:tcPr>
          <w:p w14:paraId="776990D5" w14:textId="77777777" w:rsidR="00C41D54" w:rsidRDefault="00C41D54" w:rsidP="00C41D5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7E63118" w14:textId="77777777" w:rsidR="00C41D54" w:rsidRPr="00E66062" w:rsidRDefault="00C41D54" w:rsidP="00C41D54">
            <w:pPr>
              <w:rPr>
                <w:spacing w:val="-1"/>
              </w:rPr>
            </w:pPr>
            <w:r>
              <w:rPr>
                <w:spacing w:val="-1"/>
              </w:rPr>
              <w:t>Mezibankovní úrokové sazby citlivě reagovaly na posuny v měnové politice. Tříměsíční sazba PRIBOR se tak od ledna k 29. únoru zvýšila na 2,34 % a následně klesla na 2,00 % ke konci března. Výnosy vládních dluhopisů v lednu oproti konci roku 2019 vzrostly. U krátkodobých a střednědobých to bylo o přibližně dvě desetiny procentního bodu (na 1,55 % a 1,51 %), u desetiletých dluhopisů se sazba zvýšila o desetinu procentního bodu na 1,62 %. Výnosy se na nové úrovni v průběhu února držely, v březnu ale opět klesly. Ke konci března tak průměrná úroková sazba na krátkodobých dluhopisech činila 1,27 %, na střednědobých 1,23 % a dlouhodobých 1,28 %. Zejména v případě dluhopisů s dlouhodobou splatností se jednalo o opačný posun oproti jiným zemím EU. Jedním z možných vysvětlení může být právě výrazné oslabení koruny, které za předpokladu opětovného návratu na původní hladinu kurzu zajistí věřitelům operujícím v cizích měnách vyšší výnos než jen samotný úrok.</w:t>
            </w:r>
          </w:p>
        </w:tc>
      </w:tr>
      <w:tr w:rsidR="00C41D54" w:rsidRPr="00E66062" w14:paraId="243CCA6A" w14:textId="77777777" w:rsidTr="00C41D54">
        <w:trPr>
          <w:trHeight w:val="145"/>
        </w:trPr>
        <w:tc>
          <w:tcPr>
            <w:tcW w:w="1802" w:type="dxa"/>
            <w:shd w:val="clear" w:color="auto" w:fill="auto"/>
            <w:tcMar>
              <w:left w:w="0" w:type="dxa"/>
            </w:tcMar>
          </w:tcPr>
          <w:p w14:paraId="32424D0B" w14:textId="77777777" w:rsidR="00C41D54" w:rsidRDefault="00C41D54" w:rsidP="00C41D54">
            <w:pPr>
              <w:pStyle w:val="Marginlie"/>
            </w:pPr>
            <w:r>
              <w:t>Kleslo úročení vkladů s dohodnutou splatností méně než 1 rok.</w:t>
            </w:r>
          </w:p>
        </w:tc>
        <w:tc>
          <w:tcPr>
            <w:tcW w:w="229" w:type="dxa"/>
            <w:shd w:val="clear" w:color="auto" w:fill="auto"/>
            <w:tcMar>
              <w:left w:w="0" w:type="dxa"/>
            </w:tcMar>
          </w:tcPr>
          <w:p w14:paraId="34925B04" w14:textId="77777777" w:rsidR="00C41D54" w:rsidRDefault="00C41D54" w:rsidP="00C41D5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DBA6EE2" w14:textId="77777777" w:rsidR="00C41D54" w:rsidRPr="00E66062" w:rsidRDefault="00C41D54" w:rsidP="00C41D54">
            <w:pPr>
              <w:rPr>
                <w:spacing w:val="-3"/>
              </w:rPr>
            </w:pPr>
            <w:r>
              <w:rPr>
                <w:spacing w:val="-3"/>
              </w:rPr>
              <w:t>Klientské úrokové sazby na měnověpolitický vývoj reagovaly jen částečně. V případě běžných účtů domácností přetrvávaly na úrovni technické nuly. Pohyby byly patrné u vkladů s dohodnutou splatností. Zejména u těch se splatností do jednoho roku došlo během 1. čtvrtletí k propadu průměrné úrokové sazby (–0,1 p. b. na 1,38 %). Drobný pokles proběhl rovněž u vkladů s dohodnutou splatností od 1 do 2 let (k 31. březnu 2,07 %), naopak u dlouhodobých vkladů se úročení zvýšilo o 0,34 p. b. na 2,17 %. Nefinančním podnikům se v posledním roce mírně zlepšily podmínky na běžných účtech, v 1. čtvrtletí se ale průměrné úročení opět mírně snížilo na 0,16 %. Podobně jako domácnostem se i podnikům v 1. kvartálu snížily úrokové sazby na vkladech s dohodnutou splatností do 1 roku. Růst objemu vkladů ale v 1. čtvrtletí zrychlil, což ovlivnilo i vývoj celkové peněžní zásoby. Podle sektorového členění se meziročně zvýšil zejména objem vkladů vládního sektoru a dále finančních institucí a nefinančních podniků. Z časového hlediska v 1. čtvrtletí zrychlil zejména nárůst objemu netermínovaných vkladů.</w:t>
            </w:r>
          </w:p>
        </w:tc>
      </w:tr>
      <w:tr w:rsidR="00C41D54" w14:paraId="488647DF" w14:textId="77777777" w:rsidTr="00C41D54">
        <w:trPr>
          <w:trHeight w:val="145"/>
        </w:trPr>
        <w:tc>
          <w:tcPr>
            <w:tcW w:w="1802" w:type="dxa"/>
            <w:shd w:val="clear" w:color="auto" w:fill="auto"/>
            <w:tcMar>
              <w:left w:w="0" w:type="dxa"/>
            </w:tcMar>
          </w:tcPr>
          <w:p w14:paraId="4B2E1727" w14:textId="77777777" w:rsidR="00C41D54" w:rsidRDefault="00C41D54" w:rsidP="00C41D54">
            <w:pPr>
              <w:pStyle w:val="Marginlie"/>
            </w:pPr>
            <w:r>
              <w:t>Domácnostem se snížily úrokové sazby na spotřebních úvěrech.</w:t>
            </w:r>
          </w:p>
        </w:tc>
        <w:tc>
          <w:tcPr>
            <w:tcW w:w="229" w:type="dxa"/>
            <w:shd w:val="clear" w:color="auto" w:fill="auto"/>
            <w:tcMar>
              <w:left w:w="0" w:type="dxa"/>
            </w:tcMar>
          </w:tcPr>
          <w:p w14:paraId="423B1A6B" w14:textId="77777777" w:rsidR="00C41D54" w:rsidRDefault="00C41D54" w:rsidP="00C41D5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071603F" w14:textId="1C8527EC" w:rsidR="00C41D54" w:rsidRDefault="00C41D54" w:rsidP="001C351D">
            <w:r>
              <w:t xml:space="preserve">Úrokové sazby spotřebních úvěrů pro domácnosti v 1. čtvrtletí v průměru poklesly na 8,14 %, zejména díky úvěrům se splatností mezi 1 až 5 lety, kde sazby spadly poprvé pod 8% hranici. Úročení úvěrů na nákup bytové nemovitosti v průměru drobně vzrostlo, hlavně u delších fixací. V 1. čtvrtletí se výrazně zdražilo úvěrové financování pro živnostníky – oproti konci loňského roku o 0,59 p. b. na 6,06 %. Ve 2. pololetí 2019 zrychlil růst objemu poskytnutých úvěrů na spotřebu a v letošním 1. čtvrtletí se meziroční tempo udrželo na 9,0 %. Meziroční nárůst objemu úvěrů na bydlení dosáhl </w:t>
            </w:r>
            <w:r>
              <w:lastRenderedPageBreak/>
              <w:t>v 1. čtvrtletí 7,1 %, z toho objem hypotečních úvěrů, které tvoří naprostou většinu půjček na bydlení, se zvýšil o 7,6 %. Po roce tak vyprchal vliv změny v klasifikaci</w:t>
            </w:r>
            <w:r>
              <w:rPr>
                <w:rStyle w:val="Znakapoznpodarou"/>
              </w:rPr>
              <w:footnoteReference w:id="2"/>
            </w:r>
            <w:r>
              <w:t xml:space="preserve">, kvůli které se objem hypotečních úvěrů zvyšoval i o více než 10 %. </w:t>
            </w:r>
            <w:r w:rsidR="001C351D">
              <w:t>Nových hypotečních smluv bylo k 31. 3. uzavřeno 49,5 tisíce, což je meziroční nárůst o 9,1 tisíc. Po tříletém období poklesů a stagnace vzrostl zejména počet nových smluv na pořízení bytových nemovitostí (+7,4 tisíce).</w:t>
            </w:r>
            <w:r w:rsidR="009D2C46">
              <w:t xml:space="preserve"> Průměrná hodnota nové hypoteční smlouvy na bytovou nemovitost vzrostla a dosáhla 2,1 mil. korun. </w:t>
            </w:r>
          </w:p>
        </w:tc>
      </w:tr>
      <w:tr w:rsidR="00C41D54" w14:paraId="07B54918" w14:textId="77777777" w:rsidTr="00C41D54">
        <w:trPr>
          <w:trHeight w:val="145"/>
        </w:trPr>
        <w:tc>
          <w:tcPr>
            <w:tcW w:w="1802" w:type="dxa"/>
            <w:shd w:val="clear" w:color="auto" w:fill="auto"/>
            <w:tcMar>
              <w:left w:w="0" w:type="dxa"/>
            </w:tcMar>
          </w:tcPr>
          <w:p w14:paraId="628020EF" w14:textId="77777777" w:rsidR="00C41D54" w:rsidRDefault="00C41D54" w:rsidP="00C41D54">
            <w:pPr>
              <w:pStyle w:val="Marginlie"/>
            </w:pPr>
            <w:r>
              <w:lastRenderedPageBreak/>
              <w:t>Vysoký podíl úvěrů v cizí měně ovlivňuje celkovou dynamiku objemu půjček poskytnutých nefinančním podnikům.</w:t>
            </w:r>
          </w:p>
        </w:tc>
        <w:tc>
          <w:tcPr>
            <w:tcW w:w="229" w:type="dxa"/>
            <w:shd w:val="clear" w:color="auto" w:fill="auto"/>
            <w:tcMar>
              <w:left w:w="0" w:type="dxa"/>
            </w:tcMar>
          </w:tcPr>
          <w:p w14:paraId="687C5261" w14:textId="77777777" w:rsidR="00C41D54" w:rsidRDefault="00C41D54" w:rsidP="00C41D5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471401D" w14:textId="77777777" w:rsidR="00C41D54" w:rsidRDefault="00C41D54" w:rsidP="00C41D54">
            <w:r>
              <w:t xml:space="preserve">Nefinančním podnikům se během 1. čtvrtletí zdražil přístup k úvěrům zejména v kategorii půjček do 7,5 mil. korun (+0,34 p. b. na 4,45 %). U střední kategorie </w:t>
            </w:r>
            <w:r>
              <w:br/>
              <w:t>(7,5–30 mil.) úroková sazba mírně poklesla (–0,1 p. b. na 3,43 %) a nejvýhodnější podmínky byly u půjček nad 30 mil. korun (–0,49 p. b. na 3,1 %). Meziroční růst objemu úvěrů a pohledávek v 1. čtvrtletí zrychlil na 6,4 %, a to hlavně vlivem 11,5% navýšení objemu dlouhodobých půjček. Nadále pokračoval trend úvěrů v cizí měně, které k 31. březnu tvořily 36,5 % celkového objemu půjček. Důvodem skokového nárůstu je patrně oslabení koruny. Vysoký objem úvěrů v cizí měně kombinovaný s oslabením kurzu koruny je jedním z vysvětlení zrychlení celkové dynamiky úvěrů. Z hlediska jednotlivých sekcí klasifikace ekonomických činností v 1. čtvrtletí nejvíce meziročně narůstaly poskytnuté půjčky v peněžnictví a pojišťovnictví a ve stavebnictví (shodně 12,1 %), dále v činnostech v oblasti nemovitostí (10,3 %) a ubytování, stravování a pohostinství (10,2 %). Zrychlila dynamika úvěrů ve zpracovatelském průmyslu (5,9 %). Meziroční pokles objemu poskytnutých úvěrů pokračoval v dopravě a skladování (–4,6 %), informačních a komunikačních činnostech (–2,2 %).</w:t>
            </w:r>
          </w:p>
        </w:tc>
      </w:tr>
      <w:tr w:rsidR="00C41D54" w14:paraId="244BC2C2" w14:textId="77777777" w:rsidTr="00C41D54">
        <w:trPr>
          <w:trHeight w:val="304"/>
        </w:trPr>
        <w:tc>
          <w:tcPr>
            <w:tcW w:w="1802" w:type="dxa"/>
            <w:vMerge w:val="restart"/>
            <w:shd w:val="clear" w:color="auto" w:fill="auto"/>
            <w:tcMar>
              <w:left w:w="0" w:type="dxa"/>
            </w:tcMar>
          </w:tcPr>
          <w:p w14:paraId="50C1C5CE" w14:textId="77777777" w:rsidR="00C41D54" w:rsidRDefault="00C41D54" w:rsidP="00C41D54">
            <w:pPr>
              <w:pStyle w:val="Marginlie"/>
            </w:pPr>
          </w:p>
        </w:tc>
        <w:tc>
          <w:tcPr>
            <w:tcW w:w="229" w:type="dxa"/>
            <w:vMerge w:val="restart"/>
            <w:shd w:val="clear" w:color="auto" w:fill="auto"/>
            <w:tcMar>
              <w:left w:w="0" w:type="dxa"/>
            </w:tcMar>
          </w:tcPr>
          <w:p w14:paraId="34CE507F" w14:textId="77777777" w:rsidR="00C41D54" w:rsidRDefault="00C41D54" w:rsidP="00C41D5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9F2D7C0" w14:textId="77777777" w:rsidR="00C41D54" w:rsidRDefault="00C41D54" w:rsidP="00C41D54">
            <w:pPr>
              <w:spacing w:after="0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Graf č. 15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spacing w:val="-4"/>
                <w:sz w:val="18"/>
                <w:szCs w:val="18"/>
              </w:rPr>
              <w:t xml:space="preserve">Tržní úrokové sazby </w:t>
            </w:r>
            <w:r w:rsidRPr="00AB2A66">
              <w:rPr>
                <w:bCs/>
                <w:spacing w:val="-4"/>
                <w:sz w:val="18"/>
                <w:szCs w:val="18"/>
              </w:rPr>
              <w:t>(v %)</w:t>
            </w:r>
          </w:p>
        </w:tc>
      </w:tr>
      <w:tr w:rsidR="00C41D54" w:rsidRPr="009110F7" w14:paraId="53161832" w14:textId="77777777" w:rsidTr="00C41D54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shd w:val="clear" w:color="auto" w:fill="auto"/>
          </w:tcPr>
          <w:p w14:paraId="097B566F" w14:textId="77777777" w:rsidR="00C41D54" w:rsidRPr="009110F7" w:rsidRDefault="00C41D54" w:rsidP="00C41D54">
            <w:pPr>
              <w:pStyle w:val="Marginlie"/>
            </w:pPr>
          </w:p>
        </w:tc>
        <w:tc>
          <w:tcPr>
            <w:tcW w:w="229" w:type="dxa"/>
            <w:vMerge/>
            <w:shd w:val="clear" w:color="auto" w:fill="auto"/>
          </w:tcPr>
          <w:p w14:paraId="5BAF9E83" w14:textId="77777777" w:rsidR="00C41D54" w:rsidRPr="009110F7" w:rsidRDefault="00C41D54" w:rsidP="00C41D5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7B60FEA6" w14:textId="77777777" w:rsidR="00C41D54" w:rsidRPr="009110F7" w:rsidRDefault="00C41D54" w:rsidP="00C41D54">
            <w:pPr>
              <w:spacing w:after="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B9B7754" wp14:editId="163DBFF6">
                  <wp:extent cx="4737600" cy="3432550"/>
                  <wp:effectExtent l="0" t="0" r="6350" b="0"/>
                  <wp:docPr id="3" name="Graf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41D54" w:rsidRPr="009110F7" w14:paraId="2E275D6E" w14:textId="77777777" w:rsidTr="00C41D54">
        <w:trPr>
          <w:trHeight w:val="170"/>
        </w:trPr>
        <w:tc>
          <w:tcPr>
            <w:tcW w:w="1802" w:type="dxa"/>
            <w:vMerge/>
            <w:shd w:val="clear" w:color="auto" w:fill="auto"/>
            <w:tcMar>
              <w:left w:w="0" w:type="dxa"/>
            </w:tcMar>
          </w:tcPr>
          <w:p w14:paraId="11AB139A" w14:textId="77777777" w:rsidR="00C41D54" w:rsidRPr="009110F7" w:rsidRDefault="00C41D54" w:rsidP="00C41D54">
            <w:pPr>
              <w:pStyle w:val="Marginlie"/>
            </w:pPr>
          </w:p>
        </w:tc>
        <w:tc>
          <w:tcPr>
            <w:tcW w:w="229" w:type="dxa"/>
            <w:vMerge/>
            <w:shd w:val="clear" w:color="auto" w:fill="auto"/>
            <w:tcMar>
              <w:left w:w="0" w:type="dxa"/>
            </w:tcMar>
          </w:tcPr>
          <w:p w14:paraId="6B1BC1D3" w14:textId="77777777" w:rsidR="00C41D54" w:rsidRPr="009110F7" w:rsidRDefault="00C41D54" w:rsidP="00C41D5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2E7B56A" w14:textId="77777777" w:rsidR="00C41D54" w:rsidRPr="009110F7" w:rsidRDefault="00C41D54" w:rsidP="00C41D54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ČNB</w:t>
            </w:r>
          </w:p>
        </w:tc>
      </w:tr>
    </w:tbl>
    <w:p w14:paraId="37380819" w14:textId="77777777" w:rsidR="00C41D54" w:rsidRPr="00485E82" w:rsidRDefault="00C41D54" w:rsidP="00C41D54">
      <w:pPr>
        <w:pStyle w:val="Nadpis11"/>
        <w:rPr>
          <w:b w:val="0"/>
          <w:sz w:val="2"/>
          <w:szCs w:val="2"/>
          <w:highlight w:val="yellow"/>
        </w:rPr>
      </w:pPr>
    </w:p>
    <w:p w14:paraId="400EECF4" w14:textId="16CE7F8B" w:rsidR="00965797" w:rsidRPr="00C41D54" w:rsidRDefault="00965797" w:rsidP="00B451E9">
      <w:pPr>
        <w:spacing w:after="0" w:line="240" w:lineRule="auto"/>
        <w:jc w:val="left"/>
        <w:rPr>
          <w:b/>
          <w:sz w:val="2"/>
          <w:szCs w:val="2"/>
          <w:highlight w:val="yellow"/>
        </w:rPr>
      </w:pPr>
      <w:bookmarkStart w:id="2" w:name="_GoBack"/>
      <w:bookmarkEnd w:id="0"/>
      <w:bookmarkEnd w:id="2"/>
    </w:p>
    <w:sectPr w:rsidR="00965797" w:rsidRPr="00C41D54" w:rsidSect="00B451E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148C" w14:textId="77777777" w:rsidR="00963980" w:rsidRDefault="00963980" w:rsidP="00E71A58">
      <w:r>
        <w:separator/>
      </w:r>
    </w:p>
  </w:endnote>
  <w:endnote w:type="continuationSeparator" w:id="0">
    <w:p w14:paraId="0B32343D" w14:textId="77777777" w:rsidR="00963980" w:rsidRDefault="0096398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08ECA4FE" w:rsidR="00441F8B" w:rsidRPr="00932443" w:rsidRDefault="00441F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451E9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299963AE" w:rsidR="00441F8B" w:rsidRPr="00932443" w:rsidRDefault="00441F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čtvrtletí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451E9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0C83" w14:textId="77777777" w:rsidR="00963980" w:rsidRDefault="00963980" w:rsidP="00A21B4D">
      <w:pPr>
        <w:spacing w:after="0"/>
      </w:pPr>
      <w:r>
        <w:separator/>
      </w:r>
    </w:p>
  </w:footnote>
  <w:footnote w:type="continuationSeparator" w:id="0">
    <w:p w14:paraId="471DC4D3" w14:textId="77777777" w:rsidR="00963980" w:rsidRDefault="00963980" w:rsidP="00E71A58">
      <w:r>
        <w:continuationSeparator/>
      </w:r>
    </w:p>
  </w:footnote>
  <w:footnote w:id="1">
    <w:p w14:paraId="59FA1050" w14:textId="77777777" w:rsidR="00441F8B" w:rsidRPr="004470E6" w:rsidRDefault="00441F8B" w:rsidP="00C41D54">
      <w:pPr>
        <w:pStyle w:val="Textpoznpodarou"/>
        <w:rPr>
          <w:sz w:val="16"/>
          <w:szCs w:val="16"/>
        </w:rPr>
      </w:pPr>
      <w:r w:rsidRPr="004470E6">
        <w:rPr>
          <w:rStyle w:val="Znakapoznpodarou"/>
          <w:sz w:val="16"/>
          <w:szCs w:val="16"/>
        </w:rPr>
        <w:footnoteRef/>
      </w:r>
      <w:r w:rsidRPr="004470E6">
        <w:rPr>
          <w:sz w:val="16"/>
          <w:szCs w:val="16"/>
        </w:rPr>
        <w:t xml:space="preserve"> Není</w:t>
      </w:r>
      <w:r>
        <w:rPr>
          <w:sz w:val="16"/>
          <w:szCs w:val="16"/>
        </w:rPr>
        <w:noBreakHyphen/>
      </w:r>
      <w:r w:rsidRPr="004470E6">
        <w:rPr>
          <w:sz w:val="16"/>
          <w:szCs w:val="16"/>
        </w:rPr>
        <w:t>li uvedeno jinak, je zdrojem údajů v této kapitole databáze ARAD České národní banky.</w:t>
      </w:r>
    </w:p>
  </w:footnote>
  <w:footnote w:id="2">
    <w:p w14:paraId="6950C5FF" w14:textId="77777777" w:rsidR="00441F8B" w:rsidRPr="00C26AB2" w:rsidRDefault="00441F8B" w:rsidP="00C41D54">
      <w:pPr>
        <w:rPr>
          <w:sz w:val="16"/>
          <w:szCs w:val="16"/>
        </w:rPr>
      </w:pPr>
      <w:r w:rsidRPr="00C26AB2">
        <w:rPr>
          <w:rStyle w:val="Znakapoznpodarou"/>
          <w:sz w:val="16"/>
          <w:szCs w:val="16"/>
        </w:rPr>
        <w:footnoteRef/>
      </w:r>
      <w:r w:rsidRPr="00C26AB2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>důsledku úpravy definice hypotečního úvěru podle novelizovaného zákona č.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>190/2004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>Sb.</w:t>
      </w:r>
      <w:r>
        <w:rPr>
          <w:sz w:val="16"/>
          <w:szCs w:val="16"/>
        </w:rPr>
        <w:t>,</w:t>
      </w:r>
      <w:r w:rsidRPr="00C26AB2">
        <w:rPr>
          <w:sz w:val="16"/>
          <w:szCs w:val="16"/>
        </w:rPr>
        <w:t xml:space="preserve"> s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>účinností od 4.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>1.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>2019, o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>dluhopisech</w:t>
      </w:r>
      <w:r>
        <w:rPr>
          <w:sz w:val="16"/>
          <w:szCs w:val="16"/>
        </w:rPr>
        <w:t>, byla část spotřebních úvěrů přesunuta do kategorie hypotečních úvěrů.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441F8B" w:rsidRDefault="00441F8B" w:rsidP="00937AE2">
    <w:pPr>
      <w:pStyle w:val="Zhlav"/>
    </w:pPr>
    <w:r>
      <w:t>Vývoj ekonomiky České republiky</w:t>
    </w:r>
  </w:p>
  <w:p w14:paraId="675E4C41" w14:textId="77777777" w:rsidR="00441F8B" w:rsidRPr="006F5416" w:rsidRDefault="00441F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441F8B" w:rsidRDefault="00441F8B" w:rsidP="00937AE2">
    <w:pPr>
      <w:pStyle w:val="Zhlav"/>
    </w:pPr>
    <w:r>
      <w:t>Vývoj ekonomiky České republiky</w:t>
    </w:r>
  </w:p>
  <w:p w14:paraId="0CDCFD48" w14:textId="77777777" w:rsidR="00441F8B" w:rsidRPr="006F5416" w:rsidRDefault="00441F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980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1E9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656B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dc6bece553a4e0ca/Dokumenty/Pr&#225;ce/Anal&#253;za/Q/2020Q1/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'[Makroanalýza grafy.xlsx]Měnové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'[Makroanalýza grafy.xlsx]Měnové podmínky 1'!$A$42:$B$104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grafy.xlsx]Měnové podmínky 1'!$C$42:$C$104</c:f>
              <c:numCache>
                <c:formatCode>0.00</c:formatCode>
                <c:ptCount val="63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 formatCode="General">
                  <c:v>0.05</c:v>
                </c:pt>
                <c:pt idx="13" formatCode="General">
                  <c:v>0.05</c:v>
                </c:pt>
                <c:pt idx="14" formatCode="General">
                  <c:v>0.05</c:v>
                </c:pt>
                <c:pt idx="15" formatCode="General">
                  <c:v>0.05</c:v>
                </c:pt>
                <c:pt idx="16" formatCode="General">
                  <c:v>0.05</c:v>
                </c:pt>
                <c:pt idx="17" formatCode="General">
                  <c:v>0.05</c:v>
                </c:pt>
                <c:pt idx="18" formatCode="General">
                  <c:v>0.05</c:v>
                </c:pt>
                <c:pt idx="19" formatCode="General">
                  <c:v>0.05</c:v>
                </c:pt>
                <c:pt idx="20" formatCode="General">
                  <c:v>0.05</c:v>
                </c:pt>
                <c:pt idx="21" formatCode="General">
                  <c:v>0.05</c:v>
                </c:pt>
                <c:pt idx="22" formatCode="General">
                  <c:v>0.05</c:v>
                </c:pt>
                <c:pt idx="23" formatCode="General">
                  <c:v>0.05</c:v>
                </c:pt>
                <c:pt idx="24" formatCode="General">
                  <c:v>0.05</c:v>
                </c:pt>
                <c:pt idx="25" formatCode="General">
                  <c:v>0.05</c:v>
                </c:pt>
                <c:pt idx="26" formatCode="General">
                  <c:v>0.05</c:v>
                </c:pt>
                <c:pt idx="27" formatCode="General">
                  <c:v>0.05</c:v>
                </c:pt>
                <c:pt idx="28" formatCode="General">
                  <c:v>0.05</c:v>
                </c:pt>
                <c:pt idx="29" formatCode="General">
                  <c:v>0.05</c:v>
                </c:pt>
                <c:pt idx="30" formatCode="General">
                  <c:v>0.05</c:v>
                </c:pt>
                <c:pt idx="31" formatCode="General">
                  <c:v>0.25</c:v>
                </c:pt>
                <c:pt idx="32" formatCode="General">
                  <c:v>0.25</c:v>
                </c:pt>
                <c:pt idx="33" formatCode="General">
                  <c:v>0.25</c:v>
                </c:pt>
                <c:pt idx="34" formatCode="General">
                  <c:v>0.5</c:v>
                </c:pt>
                <c:pt idx="35" formatCode="General">
                  <c:v>0.5</c:v>
                </c:pt>
                <c:pt idx="36" formatCode="General">
                  <c:v>0.5</c:v>
                </c:pt>
                <c:pt idx="37" formatCode="General">
                  <c:v>0.75</c:v>
                </c:pt>
                <c:pt idx="38" formatCode="General">
                  <c:v>0.75</c:v>
                </c:pt>
                <c:pt idx="39" formatCode="General">
                  <c:v>0.75</c:v>
                </c:pt>
                <c:pt idx="40" formatCode="General">
                  <c:v>0.75</c:v>
                </c:pt>
                <c:pt idx="41" formatCode="General">
                  <c:v>1</c:v>
                </c:pt>
                <c:pt idx="42" formatCode="General">
                  <c:v>1</c:v>
                </c:pt>
                <c:pt idx="43" formatCode="General">
                  <c:v>1.25</c:v>
                </c:pt>
                <c:pt idx="44" formatCode="General">
                  <c:v>1.5</c:v>
                </c:pt>
                <c:pt idx="45" formatCode="General">
                  <c:v>1.5</c:v>
                </c:pt>
                <c:pt idx="46" formatCode="General">
                  <c:v>1.75</c:v>
                </c:pt>
                <c:pt idx="47" formatCode="General">
                  <c:v>1.75</c:v>
                </c:pt>
                <c:pt idx="48" formatCode="General">
                  <c:v>1.75</c:v>
                </c:pt>
                <c:pt idx="49" formatCode="General">
                  <c:v>1.75</c:v>
                </c:pt>
                <c:pt idx="50" formatCode="General">
                  <c:v>1.75</c:v>
                </c:pt>
                <c:pt idx="51" formatCode="General">
                  <c:v>1.75</c:v>
                </c:pt>
                <c:pt idx="52" formatCode="General">
                  <c:v>2</c:v>
                </c:pt>
                <c:pt idx="53" formatCode="General">
                  <c:v>2</c:v>
                </c:pt>
                <c:pt idx="54" formatCode="General">
                  <c:v>2</c:v>
                </c:pt>
                <c:pt idx="55" formatCode="General">
                  <c:v>2</c:v>
                </c:pt>
                <c:pt idx="56" formatCode="General">
                  <c:v>2</c:v>
                </c:pt>
                <c:pt idx="57" formatCode="General">
                  <c:v>2</c:v>
                </c:pt>
                <c:pt idx="58" formatCode="General">
                  <c:v>2</c:v>
                </c:pt>
                <c:pt idx="59" formatCode="General">
                  <c:v>2</c:v>
                </c:pt>
                <c:pt idx="60" formatCode="General">
                  <c:v>2</c:v>
                </c:pt>
                <c:pt idx="61" formatCode="General">
                  <c:v>2.25</c:v>
                </c:pt>
                <c:pt idx="62" formatCode="General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D-406F-8CE1-AF968B24A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'[Makroanalýza grafy.xlsx]Měnové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'[Makroanalýza grafy.xlsx]Měnové podmínky 1'!$A$42:$B$104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grafy.xlsx]Měnové podmínky 1'!$F$42:$F$104</c:f>
              <c:numCache>
                <c:formatCode>General</c:formatCode>
                <c:ptCount val="63"/>
                <c:pt idx="0">
                  <c:v>0.09</c:v>
                </c:pt>
                <c:pt idx="1">
                  <c:v>0.06</c:v>
                </c:pt>
                <c:pt idx="2">
                  <c:v>0.04</c:v>
                </c:pt>
                <c:pt idx="3">
                  <c:v>-0.03</c:v>
                </c:pt>
                <c:pt idx="4">
                  <c:v>0.04</c:v>
                </c:pt>
                <c:pt idx="5">
                  <c:v>0.11</c:v>
                </c:pt>
                <c:pt idx="6">
                  <c:v>0.02</c:v>
                </c:pt>
                <c:pt idx="7">
                  <c:v>-7.0000000000000007E-2</c:v>
                </c:pt>
                <c:pt idx="8">
                  <c:v>-0.3</c:v>
                </c:pt>
                <c:pt idx="9">
                  <c:v>-0.28000000000000003</c:v>
                </c:pt>
                <c:pt idx="10">
                  <c:v>-0.33</c:v>
                </c:pt>
                <c:pt idx="11">
                  <c:v>-0.38</c:v>
                </c:pt>
                <c:pt idx="12">
                  <c:v>-0.21</c:v>
                </c:pt>
                <c:pt idx="13">
                  <c:v>-0.18</c:v>
                </c:pt>
                <c:pt idx="14">
                  <c:v>-0.17</c:v>
                </c:pt>
                <c:pt idx="15">
                  <c:v>-0.08</c:v>
                </c:pt>
                <c:pt idx="16">
                  <c:v>-0.04</c:v>
                </c:pt>
                <c:pt idx="17">
                  <c:v>-0.05</c:v>
                </c:pt>
                <c:pt idx="18">
                  <c:v>-0.13</c:v>
                </c:pt>
                <c:pt idx="19">
                  <c:v>-0.22</c:v>
                </c:pt>
                <c:pt idx="20">
                  <c:v>-0.5</c:v>
                </c:pt>
                <c:pt idx="21">
                  <c:v>-0.74</c:v>
                </c:pt>
                <c:pt idx="22">
                  <c:v>-0.73</c:v>
                </c:pt>
                <c:pt idx="23">
                  <c:v>-0.81</c:v>
                </c:pt>
                <c:pt idx="24">
                  <c:v>-0.88</c:v>
                </c:pt>
                <c:pt idx="25">
                  <c:v>-0.53</c:v>
                </c:pt>
                <c:pt idx="26">
                  <c:v>-0.44</c:v>
                </c:pt>
                <c:pt idx="27">
                  <c:v>-0.23</c:v>
                </c:pt>
                <c:pt idx="28">
                  <c:v>-0.24</c:v>
                </c:pt>
                <c:pt idx="29">
                  <c:v>-0.25</c:v>
                </c:pt>
                <c:pt idx="30">
                  <c:v>-0.28999999999999998</c:v>
                </c:pt>
                <c:pt idx="31">
                  <c:v>-0.33</c:v>
                </c:pt>
                <c:pt idx="32">
                  <c:v>-0.28999999999999998</c:v>
                </c:pt>
                <c:pt idx="33">
                  <c:v>0.12</c:v>
                </c:pt>
                <c:pt idx="34">
                  <c:v>0.31</c:v>
                </c:pt>
                <c:pt idx="35">
                  <c:v>0.19</c:v>
                </c:pt>
                <c:pt idx="36">
                  <c:v>0.46</c:v>
                </c:pt>
                <c:pt idx="37">
                  <c:v>0.55000000000000004</c:v>
                </c:pt>
                <c:pt idx="38">
                  <c:v>0.62</c:v>
                </c:pt>
                <c:pt idx="39">
                  <c:v>0.6</c:v>
                </c:pt>
                <c:pt idx="40">
                  <c:v>0.7</c:v>
                </c:pt>
                <c:pt idx="41">
                  <c:v>0.89</c:v>
                </c:pt>
                <c:pt idx="42">
                  <c:v>1.0900000000000001</c:v>
                </c:pt>
                <c:pt idx="43">
                  <c:v>1.26</c:v>
                </c:pt>
                <c:pt idx="44">
                  <c:v>1.34</c:v>
                </c:pt>
                <c:pt idx="45">
                  <c:v>1.44</c:v>
                </c:pt>
                <c:pt idx="46">
                  <c:v>1.49</c:v>
                </c:pt>
                <c:pt idx="47">
                  <c:v>1.52</c:v>
                </c:pt>
                <c:pt idx="48">
                  <c:v>1.66</c:v>
                </c:pt>
                <c:pt idx="49">
                  <c:v>1.74</c:v>
                </c:pt>
                <c:pt idx="50">
                  <c:v>1.71</c:v>
                </c:pt>
                <c:pt idx="51">
                  <c:v>1.63</c:v>
                </c:pt>
                <c:pt idx="52">
                  <c:v>1.62</c:v>
                </c:pt>
                <c:pt idx="53">
                  <c:v>1.52</c:v>
                </c:pt>
                <c:pt idx="54">
                  <c:v>1.35</c:v>
                </c:pt>
                <c:pt idx="55">
                  <c:v>0.85</c:v>
                </c:pt>
                <c:pt idx="56">
                  <c:v>1.07</c:v>
                </c:pt>
                <c:pt idx="57">
                  <c:v>1.17</c:v>
                </c:pt>
                <c:pt idx="58">
                  <c:v>1.33</c:v>
                </c:pt>
                <c:pt idx="59">
                  <c:v>1.36</c:v>
                </c:pt>
                <c:pt idx="60">
                  <c:v>1.55</c:v>
                </c:pt>
                <c:pt idx="61">
                  <c:v>1.57</c:v>
                </c:pt>
                <c:pt idx="62">
                  <c:v>1.27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CD-406F-8CE1-AF968B24A90A}"/>
            </c:ext>
          </c:extLst>
        </c:ser>
        <c:ser>
          <c:idx val="1"/>
          <c:order val="2"/>
          <c:tx>
            <c:strRef>
              <c:f>'[Makroanalýza grafy.xlsx]Měnové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'[Makroanalýza grafy.xlsx]Měnové podmínky 1'!$A$42:$B$104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grafy.xlsx]Měnové podmínky 1'!$D$42:$D$104</c:f>
              <c:numCache>
                <c:formatCode>General</c:formatCode>
                <c:ptCount val="63"/>
                <c:pt idx="0">
                  <c:v>0.33</c:v>
                </c:pt>
                <c:pt idx="1">
                  <c:v>0.33</c:v>
                </c:pt>
                <c:pt idx="2">
                  <c:v>0.32</c:v>
                </c:pt>
                <c:pt idx="3">
                  <c:v>0.31</c:v>
                </c:pt>
                <c:pt idx="4">
                  <c:v>0.31</c:v>
                </c:pt>
                <c:pt idx="5">
                  <c:v>0.31</c:v>
                </c:pt>
                <c:pt idx="6">
                  <c:v>0.31</c:v>
                </c:pt>
                <c:pt idx="7">
                  <c:v>0.31</c:v>
                </c:pt>
                <c:pt idx="8">
                  <c:v>0.3</c:v>
                </c:pt>
                <c:pt idx="9">
                  <c:v>0.28999999999999998</c:v>
                </c:pt>
                <c:pt idx="10">
                  <c:v>0.28999999999999998</c:v>
                </c:pt>
                <c:pt idx="11">
                  <c:v>0.28999999999999998</c:v>
                </c:pt>
                <c:pt idx="12">
                  <c:v>0.28999999999999998</c:v>
                </c:pt>
                <c:pt idx="13">
                  <c:v>0.28000000000000003</c:v>
                </c:pt>
                <c:pt idx="14">
                  <c:v>0.28999999999999998</c:v>
                </c:pt>
                <c:pt idx="15">
                  <c:v>0.28999999999999998</c:v>
                </c:pt>
                <c:pt idx="16">
                  <c:v>0.28999999999999998</c:v>
                </c:pt>
                <c:pt idx="17">
                  <c:v>0.28999999999999998</c:v>
                </c:pt>
                <c:pt idx="18">
                  <c:v>0.28999999999999998</c:v>
                </c:pt>
                <c:pt idx="19">
                  <c:v>0.28999999999999998</c:v>
                </c:pt>
                <c:pt idx="20">
                  <c:v>0.28999999999999998</c:v>
                </c:pt>
                <c:pt idx="21">
                  <c:v>0.28999999999999998</c:v>
                </c:pt>
                <c:pt idx="22">
                  <c:v>0.28999999999999998</c:v>
                </c:pt>
                <c:pt idx="23">
                  <c:v>0.28999999999999998</c:v>
                </c:pt>
                <c:pt idx="24">
                  <c:v>0.28000000000000003</c:v>
                </c:pt>
                <c:pt idx="25">
                  <c:v>0.28000000000000003</c:v>
                </c:pt>
                <c:pt idx="26">
                  <c:v>0.28000000000000003</c:v>
                </c:pt>
                <c:pt idx="27">
                  <c:v>0.28999999999999998</c:v>
                </c:pt>
                <c:pt idx="28">
                  <c:v>0.3</c:v>
                </c:pt>
                <c:pt idx="29">
                  <c:v>0.3</c:v>
                </c:pt>
                <c:pt idx="30">
                  <c:v>0.3</c:v>
                </c:pt>
                <c:pt idx="31">
                  <c:v>0.43</c:v>
                </c:pt>
                <c:pt idx="32">
                  <c:v>0.46</c:v>
                </c:pt>
                <c:pt idx="33">
                  <c:v>0.51</c:v>
                </c:pt>
                <c:pt idx="34">
                  <c:v>0.71</c:v>
                </c:pt>
                <c:pt idx="35">
                  <c:v>0.75</c:v>
                </c:pt>
                <c:pt idx="36">
                  <c:v>0.77</c:v>
                </c:pt>
                <c:pt idx="37">
                  <c:v>0.9</c:v>
                </c:pt>
                <c:pt idx="38">
                  <c:v>0.9</c:v>
                </c:pt>
                <c:pt idx="39">
                  <c:v>0.9</c:v>
                </c:pt>
                <c:pt idx="40">
                  <c:v>0.9</c:v>
                </c:pt>
                <c:pt idx="41">
                  <c:v>0.93</c:v>
                </c:pt>
                <c:pt idx="42">
                  <c:v>1.18</c:v>
                </c:pt>
                <c:pt idx="43">
                  <c:v>1.45</c:v>
                </c:pt>
                <c:pt idx="44">
                  <c:v>1.54</c:v>
                </c:pt>
                <c:pt idx="45">
                  <c:v>1.76</c:v>
                </c:pt>
                <c:pt idx="46">
                  <c:v>1.99</c:v>
                </c:pt>
                <c:pt idx="47">
                  <c:v>2.0099999999999998</c:v>
                </c:pt>
                <c:pt idx="48">
                  <c:v>2.0099999999999998</c:v>
                </c:pt>
                <c:pt idx="49">
                  <c:v>2.0099999999999998</c:v>
                </c:pt>
                <c:pt idx="50">
                  <c:v>2.0299999999999998</c:v>
                </c:pt>
                <c:pt idx="51">
                  <c:v>2.02</c:v>
                </c:pt>
                <c:pt idx="52">
                  <c:v>2.19</c:v>
                </c:pt>
                <c:pt idx="53">
                  <c:v>2.17</c:v>
                </c:pt>
                <c:pt idx="54">
                  <c:v>2.16</c:v>
                </c:pt>
                <c:pt idx="55">
                  <c:v>2.14</c:v>
                </c:pt>
                <c:pt idx="56">
                  <c:v>2.14</c:v>
                </c:pt>
                <c:pt idx="57">
                  <c:v>2.17</c:v>
                </c:pt>
                <c:pt idx="58">
                  <c:v>2.1800000000000002</c:v>
                </c:pt>
                <c:pt idx="59">
                  <c:v>2.1800000000000002</c:v>
                </c:pt>
                <c:pt idx="60">
                  <c:v>2.17</c:v>
                </c:pt>
                <c:pt idx="61">
                  <c:v>2.34</c:v>
                </c:pt>
                <c:pt idx="6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CD-406F-8CE1-AF968B24A90A}"/>
            </c:ext>
          </c:extLst>
        </c:ser>
        <c:ser>
          <c:idx val="4"/>
          <c:order val="3"/>
          <c:tx>
            <c:strRef>
              <c:f>'[Makroanalýza grafy.xlsx]Měnové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'[Makroanalýza grafy.xlsx]Měnové podmínky 1'!$A$42:$B$104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grafy.xlsx]Měnové podmínky 1'!$G$42:$G$104</c:f>
              <c:numCache>
                <c:formatCode>General</c:formatCode>
                <c:ptCount val="63"/>
                <c:pt idx="0">
                  <c:v>0.13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0.05</c:v>
                </c:pt>
                <c:pt idx="4">
                  <c:v>0.22</c:v>
                </c:pt>
                <c:pt idx="5">
                  <c:v>0.43</c:v>
                </c:pt>
                <c:pt idx="6">
                  <c:v>0.35</c:v>
                </c:pt>
                <c:pt idx="7">
                  <c:v>0.2</c:v>
                </c:pt>
                <c:pt idx="8">
                  <c:v>0.06</c:v>
                </c:pt>
                <c:pt idx="9">
                  <c:v>-0.05</c:v>
                </c:pt>
                <c:pt idx="10">
                  <c:v>-0.05</c:v>
                </c:pt>
                <c:pt idx="11">
                  <c:v>-0.11</c:v>
                </c:pt>
                <c:pt idx="12">
                  <c:v>0.04</c:v>
                </c:pt>
                <c:pt idx="13">
                  <c:v>-0.08</c:v>
                </c:pt>
                <c:pt idx="14">
                  <c:v>-0.1</c:v>
                </c:pt>
                <c:pt idx="15">
                  <c:v>0.04</c:v>
                </c:pt>
                <c:pt idx="16">
                  <c:v>7.0000000000000007E-2</c:v>
                </c:pt>
                <c:pt idx="17">
                  <c:v>0.05</c:v>
                </c:pt>
                <c:pt idx="18">
                  <c:v>-0.02</c:v>
                </c:pt>
                <c:pt idx="19">
                  <c:v>-0.09</c:v>
                </c:pt>
                <c:pt idx="20">
                  <c:v>-0.19</c:v>
                </c:pt>
                <c:pt idx="21">
                  <c:v>-0.17</c:v>
                </c:pt>
                <c:pt idx="22">
                  <c:v>-0.17</c:v>
                </c:pt>
                <c:pt idx="23">
                  <c:v>-0.21</c:v>
                </c:pt>
                <c:pt idx="24">
                  <c:v>-0.22</c:v>
                </c:pt>
                <c:pt idx="25">
                  <c:v>0.09</c:v>
                </c:pt>
                <c:pt idx="26">
                  <c:v>0.1</c:v>
                </c:pt>
                <c:pt idx="27">
                  <c:v>0.16</c:v>
                </c:pt>
                <c:pt idx="28">
                  <c:v>0.04</c:v>
                </c:pt>
                <c:pt idx="29">
                  <c:v>-0.03</c:v>
                </c:pt>
                <c:pt idx="30">
                  <c:v>0.14000000000000001</c:v>
                </c:pt>
                <c:pt idx="31">
                  <c:v>0.09</c:v>
                </c:pt>
                <c:pt idx="32">
                  <c:v>0.1</c:v>
                </c:pt>
                <c:pt idx="33">
                  <c:v>0.63</c:v>
                </c:pt>
                <c:pt idx="34">
                  <c:v>0.87</c:v>
                </c:pt>
                <c:pt idx="35">
                  <c:v>0.68</c:v>
                </c:pt>
                <c:pt idx="36">
                  <c:v>0.99</c:v>
                </c:pt>
                <c:pt idx="37">
                  <c:v>1.07</c:v>
                </c:pt>
                <c:pt idx="38">
                  <c:v>1.0900000000000001</c:v>
                </c:pt>
                <c:pt idx="39">
                  <c:v>1.05</c:v>
                </c:pt>
                <c:pt idx="40">
                  <c:v>1.21</c:v>
                </c:pt>
                <c:pt idx="41">
                  <c:v>1.41</c:v>
                </c:pt>
                <c:pt idx="42">
                  <c:v>1.44</c:v>
                </c:pt>
                <c:pt idx="43">
                  <c:v>1.55</c:v>
                </c:pt>
                <c:pt idx="44">
                  <c:v>1.7</c:v>
                </c:pt>
                <c:pt idx="45">
                  <c:v>1.81</c:v>
                </c:pt>
                <c:pt idx="46">
                  <c:v>1.79</c:v>
                </c:pt>
                <c:pt idx="47">
                  <c:v>1.71</c:v>
                </c:pt>
                <c:pt idx="48">
                  <c:v>1.6</c:v>
                </c:pt>
                <c:pt idx="49">
                  <c:v>1.61</c:v>
                </c:pt>
                <c:pt idx="50">
                  <c:v>1.7</c:v>
                </c:pt>
                <c:pt idx="51">
                  <c:v>1.63</c:v>
                </c:pt>
                <c:pt idx="52">
                  <c:v>1.57</c:v>
                </c:pt>
                <c:pt idx="53">
                  <c:v>1.43</c:v>
                </c:pt>
                <c:pt idx="54">
                  <c:v>1.31</c:v>
                </c:pt>
                <c:pt idx="55">
                  <c:v>0.89</c:v>
                </c:pt>
                <c:pt idx="56">
                  <c:v>1.1299999999999999</c:v>
                </c:pt>
                <c:pt idx="57">
                  <c:v>1.23</c:v>
                </c:pt>
                <c:pt idx="58">
                  <c:v>1.32</c:v>
                </c:pt>
                <c:pt idx="59">
                  <c:v>1.31</c:v>
                </c:pt>
                <c:pt idx="60">
                  <c:v>1.51</c:v>
                </c:pt>
                <c:pt idx="61">
                  <c:v>1.52</c:v>
                </c:pt>
                <c:pt idx="62">
                  <c:v>1.23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BCD-406F-8CE1-AF968B24A90A}"/>
            </c:ext>
          </c:extLst>
        </c:ser>
        <c:ser>
          <c:idx val="2"/>
          <c:order val="4"/>
          <c:tx>
            <c:strRef>
              <c:f>'[Makroanalýza grafy.xlsx]Měnové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'[Makroanalýza grafy.xlsx]Měnové podmínky 1'!$A$42:$B$104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grafy.xlsx]Měnové podmínky 1'!$E$42:$E$104</c:f>
              <c:numCache>
                <c:formatCode>General</c:formatCode>
                <c:ptCount val="63"/>
                <c:pt idx="0">
                  <c:v>0.51</c:v>
                </c:pt>
                <c:pt idx="1">
                  <c:v>0.51</c:v>
                </c:pt>
                <c:pt idx="2">
                  <c:v>0.49</c:v>
                </c:pt>
                <c:pt idx="3">
                  <c:v>0.48</c:v>
                </c:pt>
                <c:pt idx="4">
                  <c:v>0.48</c:v>
                </c:pt>
                <c:pt idx="5">
                  <c:v>0.48</c:v>
                </c:pt>
                <c:pt idx="6">
                  <c:v>0.48</c:v>
                </c:pt>
                <c:pt idx="7">
                  <c:v>0.48</c:v>
                </c:pt>
                <c:pt idx="8">
                  <c:v>0.47</c:v>
                </c:pt>
                <c:pt idx="9">
                  <c:v>0.46</c:v>
                </c:pt>
                <c:pt idx="10">
                  <c:v>0.46</c:v>
                </c:pt>
                <c:pt idx="11">
                  <c:v>0.46</c:v>
                </c:pt>
                <c:pt idx="12">
                  <c:v>0.45</c:v>
                </c:pt>
                <c:pt idx="13">
                  <c:v>0.45</c:v>
                </c:pt>
                <c:pt idx="14">
                  <c:v>0.45</c:v>
                </c:pt>
                <c:pt idx="15">
                  <c:v>0.45</c:v>
                </c:pt>
                <c:pt idx="16">
                  <c:v>0.45</c:v>
                </c:pt>
                <c:pt idx="17">
                  <c:v>0.45</c:v>
                </c:pt>
                <c:pt idx="18">
                  <c:v>0.45</c:v>
                </c:pt>
                <c:pt idx="19">
                  <c:v>0.45</c:v>
                </c:pt>
                <c:pt idx="20">
                  <c:v>0.45</c:v>
                </c:pt>
                <c:pt idx="21">
                  <c:v>0.45</c:v>
                </c:pt>
                <c:pt idx="22">
                  <c:v>0.45</c:v>
                </c:pt>
                <c:pt idx="23">
                  <c:v>0.45</c:v>
                </c:pt>
                <c:pt idx="24">
                  <c:v>0.44</c:v>
                </c:pt>
                <c:pt idx="25">
                  <c:v>0.44</c:v>
                </c:pt>
                <c:pt idx="26">
                  <c:v>0.44</c:v>
                </c:pt>
                <c:pt idx="27">
                  <c:v>0.45</c:v>
                </c:pt>
                <c:pt idx="28">
                  <c:v>0.46</c:v>
                </c:pt>
                <c:pt idx="29">
                  <c:v>0.46</c:v>
                </c:pt>
                <c:pt idx="30">
                  <c:v>0.47</c:v>
                </c:pt>
                <c:pt idx="31">
                  <c:v>0.6</c:v>
                </c:pt>
                <c:pt idx="32">
                  <c:v>0.64</c:v>
                </c:pt>
                <c:pt idx="33">
                  <c:v>0.69</c:v>
                </c:pt>
                <c:pt idx="34">
                  <c:v>0.91</c:v>
                </c:pt>
                <c:pt idx="35">
                  <c:v>0.96</c:v>
                </c:pt>
                <c:pt idx="36">
                  <c:v>0.98</c:v>
                </c:pt>
                <c:pt idx="37">
                  <c:v>1.1100000000000001</c:v>
                </c:pt>
                <c:pt idx="38">
                  <c:v>1.1200000000000001</c:v>
                </c:pt>
                <c:pt idx="39">
                  <c:v>1.1200000000000001</c:v>
                </c:pt>
                <c:pt idx="40">
                  <c:v>1.1200000000000001</c:v>
                </c:pt>
                <c:pt idx="41">
                  <c:v>1.1499999999999999</c:v>
                </c:pt>
                <c:pt idx="42">
                  <c:v>1.39</c:v>
                </c:pt>
                <c:pt idx="43">
                  <c:v>1.67</c:v>
                </c:pt>
                <c:pt idx="44">
                  <c:v>1.79</c:v>
                </c:pt>
                <c:pt idx="45">
                  <c:v>1.95</c:v>
                </c:pt>
                <c:pt idx="46">
                  <c:v>2.1800000000000002</c:v>
                </c:pt>
                <c:pt idx="47">
                  <c:v>2.21</c:v>
                </c:pt>
                <c:pt idx="48">
                  <c:v>2.21</c:v>
                </c:pt>
                <c:pt idx="49">
                  <c:v>2.2000000000000002</c:v>
                </c:pt>
                <c:pt idx="50">
                  <c:v>2.2000000000000002</c:v>
                </c:pt>
                <c:pt idx="51">
                  <c:v>2.21</c:v>
                </c:pt>
                <c:pt idx="52">
                  <c:v>2.3199999999999998</c:v>
                </c:pt>
                <c:pt idx="53">
                  <c:v>2.29</c:v>
                </c:pt>
                <c:pt idx="54">
                  <c:v>2.2799999999999998</c:v>
                </c:pt>
                <c:pt idx="55">
                  <c:v>2.2200000000000002</c:v>
                </c:pt>
                <c:pt idx="56">
                  <c:v>2.2000000000000002</c:v>
                </c:pt>
                <c:pt idx="57">
                  <c:v>2.2799999999999998</c:v>
                </c:pt>
                <c:pt idx="58">
                  <c:v>2.2799999999999998</c:v>
                </c:pt>
                <c:pt idx="59">
                  <c:v>2.27</c:v>
                </c:pt>
                <c:pt idx="60">
                  <c:v>2.27</c:v>
                </c:pt>
                <c:pt idx="61">
                  <c:v>2.42</c:v>
                </c:pt>
                <c:pt idx="62">
                  <c:v>2.0099999999999998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BCD-406F-8CE1-AF968B24A90A}"/>
            </c:ext>
          </c:extLst>
        </c:ser>
        <c:ser>
          <c:idx val="5"/>
          <c:order val="5"/>
          <c:tx>
            <c:strRef>
              <c:f>'[Makroanalýza grafy.xlsx]Měnové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'[Makroanalýza grafy.xlsx]Měnové podmínky 1'!$A$42:$B$104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'[Makroanalýza grafy.xlsx]Měnové podmínky 1'!$H$42:$H$104</c:f>
              <c:numCache>
                <c:formatCode>General</c:formatCode>
                <c:ptCount val="63"/>
                <c:pt idx="0">
                  <c:v>0.35</c:v>
                </c:pt>
                <c:pt idx="1">
                  <c:v>0.4</c:v>
                </c:pt>
                <c:pt idx="2">
                  <c:v>0.35</c:v>
                </c:pt>
                <c:pt idx="3">
                  <c:v>0.26</c:v>
                </c:pt>
                <c:pt idx="4">
                  <c:v>0.6</c:v>
                </c:pt>
                <c:pt idx="5">
                  <c:v>1.01</c:v>
                </c:pt>
                <c:pt idx="6">
                  <c:v>0.97</c:v>
                </c:pt>
                <c:pt idx="7">
                  <c:v>0.74</c:v>
                </c:pt>
                <c:pt idx="8">
                  <c:v>0.68</c:v>
                </c:pt>
                <c:pt idx="9">
                  <c:v>0.56000000000000005</c:v>
                </c:pt>
                <c:pt idx="10">
                  <c:v>0.49</c:v>
                </c:pt>
                <c:pt idx="11">
                  <c:v>0.49</c:v>
                </c:pt>
                <c:pt idx="12">
                  <c:v>0.62</c:v>
                </c:pt>
                <c:pt idx="13">
                  <c:v>0.46</c:v>
                </c:pt>
                <c:pt idx="14">
                  <c:v>0.35</c:v>
                </c:pt>
                <c:pt idx="15">
                  <c:v>0.43</c:v>
                </c:pt>
                <c:pt idx="16">
                  <c:v>0.46</c:v>
                </c:pt>
                <c:pt idx="17">
                  <c:v>0.45</c:v>
                </c:pt>
                <c:pt idx="18">
                  <c:v>0.37</c:v>
                </c:pt>
                <c:pt idx="19">
                  <c:v>0.28999999999999998</c:v>
                </c:pt>
                <c:pt idx="20">
                  <c:v>0.25</c:v>
                </c:pt>
                <c:pt idx="21">
                  <c:v>0.37</c:v>
                </c:pt>
                <c:pt idx="22">
                  <c:v>0.55000000000000004</c:v>
                </c:pt>
                <c:pt idx="23">
                  <c:v>0.53</c:v>
                </c:pt>
                <c:pt idx="24">
                  <c:v>0.47</c:v>
                </c:pt>
                <c:pt idx="25">
                  <c:v>0.63</c:v>
                </c:pt>
                <c:pt idx="26">
                  <c:v>0.87</c:v>
                </c:pt>
                <c:pt idx="27">
                  <c:v>0.96</c:v>
                </c:pt>
                <c:pt idx="28">
                  <c:v>0.74</c:v>
                </c:pt>
                <c:pt idx="29">
                  <c:v>0.77</c:v>
                </c:pt>
                <c:pt idx="30">
                  <c:v>0.9</c:v>
                </c:pt>
                <c:pt idx="31">
                  <c:v>0.83</c:v>
                </c:pt>
                <c:pt idx="32">
                  <c:v>0.97</c:v>
                </c:pt>
                <c:pt idx="33">
                  <c:v>1.45</c:v>
                </c:pt>
                <c:pt idx="34">
                  <c:v>1.68</c:v>
                </c:pt>
                <c:pt idx="35">
                  <c:v>1.5</c:v>
                </c:pt>
                <c:pt idx="36">
                  <c:v>1.77</c:v>
                </c:pt>
                <c:pt idx="37">
                  <c:v>1.82</c:v>
                </c:pt>
                <c:pt idx="38">
                  <c:v>1.81</c:v>
                </c:pt>
                <c:pt idx="39">
                  <c:v>1.74</c:v>
                </c:pt>
                <c:pt idx="40">
                  <c:v>1.89</c:v>
                </c:pt>
                <c:pt idx="41">
                  <c:v>2.14</c:v>
                </c:pt>
                <c:pt idx="42">
                  <c:v>2.11</c:v>
                </c:pt>
                <c:pt idx="43">
                  <c:v>2.14</c:v>
                </c:pt>
                <c:pt idx="44">
                  <c:v>2.14</c:v>
                </c:pt>
                <c:pt idx="45">
                  <c:v>2.14</c:v>
                </c:pt>
                <c:pt idx="46">
                  <c:v>2.0699999999999998</c:v>
                </c:pt>
                <c:pt idx="47">
                  <c:v>2.0099999999999998</c:v>
                </c:pt>
                <c:pt idx="48">
                  <c:v>1.85</c:v>
                </c:pt>
                <c:pt idx="49">
                  <c:v>1.76</c:v>
                </c:pt>
                <c:pt idx="50">
                  <c:v>1.82</c:v>
                </c:pt>
                <c:pt idx="51">
                  <c:v>1.82</c:v>
                </c:pt>
                <c:pt idx="52">
                  <c:v>1.86</c:v>
                </c:pt>
                <c:pt idx="53">
                  <c:v>1.58</c:v>
                </c:pt>
                <c:pt idx="54">
                  <c:v>1.36</c:v>
                </c:pt>
                <c:pt idx="55">
                  <c:v>0.99</c:v>
                </c:pt>
                <c:pt idx="56">
                  <c:v>1.24</c:v>
                </c:pt>
                <c:pt idx="57">
                  <c:v>1.32</c:v>
                </c:pt>
                <c:pt idx="58">
                  <c:v>1.47</c:v>
                </c:pt>
                <c:pt idx="59">
                  <c:v>1.51</c:v>
                </c:pt>
                <c:pt idx="60">
                  <c:v>1.62</c:v>
                </c:pt>
                <c:pt idx="61">
                  <c:v>1.47</c:v>
                </c:pt>
                <c:pt idx="62">
                  <c:v>1.28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BCD-406F-8CE1-AF968B24A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E307-5BC2-463C-9796-D373252D9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601E1-663E-4C3C-8C38-47FED2F7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2</Pages>
  <Words>924</Words>
  <Characters>5130</Characters>
  <Application>Microsoft Office Word</Application>
  <DocSecurity>0</DocSecurity>
  <Lines>86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6027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2020-06-12T09:08:00Z</dcterms:created>
  <dcterms:modified xsi:type="dcterms:W3CDTF">2020-06-12T09:25:00Z</dcterms:modified>
</cp:coreProperties>
</file>