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FEAE5" w14:textId="77777777" w:rsidR="00E66768" w:rsidRDefault="00E66768" w:rsidP="00E66768">
      <w:pPr>
        <w:pStyle w:val="Nadpis11"/>
      </w:pPr>
      <w:bookmarkStart w:id="0" w:name="_Toc42852414"/>
      <w:bookmarkStart w:id="1" w:name="_GoBack"/>
      <w:bookmarkEnd w:id="1"/>
      <w:r w:rsidRPr="009110F7"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E66768" w:rsidRPr="003C07E6" w14:paraId="7C3EEE99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F0333A0" w14:textId="77777777" w:rsidR="00E66768" w:rsidRDefault="00E66768" w:rsidP="00E66768">
            <w:pPr>
              <w:pStyle w:val="Marginlie"/>
            </w:pPr>
            <w:r>
              <w:t>Deficit hospodaření státního rozpočtu se výrazně prohloubil. V rámci 1. čtvrtletí šlo o druhý nejvyšší schodek v historii ČR.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8E05232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0BE3688" w14:textId="77777777" w:rsidR="00E66768" w:rsidRPr="00333835" w:rsidRDefault="00E66768" w:rsidP="00E66768">
            <w:pPr>
              <w:spacing w:after="210"/>
              <w:rPr>
                <w:spacing w:val="-2"/>
              </w:rPr>
            </w:pPr>
            <w:r w:rsidRPr="00333835">
              <w:rPr>
                <w:spacing w:val="-2"/>
              </w:rPr>
              <w:t>Za 1.</w:t>
            </w:r>
            <w:r>
              <w:rPr>
                <w:spacing w:val="-2"/>
              </w:rPr>
              <w:t> čtvrtlet</w:t>
            </w:r>
            <w:r w:rsidRPr="00333835">
              <w:rPr>
                <w:spacing w:val="-2"/>
              </w:rPr>
              <w:t>í 2020 dosáhl státní rozpočet (SR)</w:t>
            </w:r>
            <w:r w:rsidRPr="00333835">
              <w:rPr>
                <w:rStyle w:val="Znakapoznpodarou"/>
                <w:spacing w:val="-2"/>
              </w:rPr>
              <w:footnoteReference w:id="1"/>
            </w:r>
            <w:r w:rsidRPr="00333835">
              <w:rPr>
                <w:spacing w:val="-2"/>
              </w:rPr>
              <w:t xml:space="preserve"> schodku 44,7</w:t>
            </w:r>
            <w:r>
              <w:rPr>
                <w:spacing w:val="-2"/>
              </w:rPr>
              <w:t> mld.</w:t>
            </w:r>
            <w:r w:rsidRPr="00333835">
              <w:rPr>
                <w:spacing w:val="-2"/>
              </w:rPr>
              <w:t xml:space="preserve"> korun, jenž byl meziročně o</w:t>
            </w:r>
            <w:r>
              <w:rPr>
                <w:spacing w:val="-2"/>
              </w:rPr>
              <w:t> </w:t>
            </w:r>
            <w:r w:rsidRPr="00333835">
              <w:rPr>
                <w:spacing w:val="-2"/>
              </w:rPr>
              <w:t>35,5</w:t>
            </w:r>
            <w:r>
              <w:rPr>
                <w:spacing w:val="-2"/>
              </w:rPr>
              <w:t> mld.</w:t>
            </w:r>
            <w:r w:rsidRPr="00333835">
              <w:rPr>
                <w:spacing w:val="-2"/>
              </w:rPr>
              <w:t xml:space="preserve"> </w:t>
            </w:r>
            <w:r>
              <w:rPr>
                <w:spacing w:val="-2"/>
              </w:rPr>
              <w:t>větší</w:t>
            </w:r>
            <w:r w:rsidRPr="00333835">
              <w:rPr>
                <w:spacing w:val="-2"/>
              </w:rPr>
              <w:t>. Letošní deficit patřil v rámci 1.</w:t>
            </w:r>
            <w:r>
              <w:rPr>
                <w:spacing w:val="-2"/>
              </w:rPr>
              <w:t> čtvrtlet</w:t>
            </w:r>
            <w:r w:rsidRPr="00333835">
              <w:rPr>
                <w:spacing w:val="-2"/>
              </w:rPr>
              <w:t>í k</w:t>
            </w:r>
            <w:r>
              <w:rPr>
                <w:spacing w:val="-2"/>
              </w:rPr>
              <w:t> </w:t>
            </w:r>
            <w:r w:rsidRPr="00333835">
              <w:rPr>
                <w:spacing w:val="-2"/>
              </w:rPr>
              <w:t>nejvyšším v historii samostatné</w:t>
            </w:r>
            <w:r>
              <w:rPr>
                <w:spacing w:val="-2"/>
              </w:rPr>
              <w:t> </w:t>
            </w:r>
            <w:r w:rsidRPr="00333835">
              <w:rPr>
                <w:spacing w:val="-2"/>
              </w:rPr>
              <w:t>ČR, neboť se tě</w:t>
            </w:r>
            <w:r>
              <w:rPr>
                <w:spacing w:val="-2"/>
              </w:rPr>
              <w:t>s</w:t>
            </w:r>
            <w:r w:rsidRPr="00333835">
              <w:rPr>
                <w:spacing w:val="-2"/>
              </w:rPr>
              <w:t>ně přiblížil rekordní úrovni z roku 2010</w:t>
            </w:r>
            <w:r>
              <w:rPr>
                <w:spacing w:val="-2"/>
              </w:rPr>
              <w:t xml:space="preserve"> (45,9 mld.), která byla ovlivněna dopady hluboké hospodářské recese</w:t>
            </w:r>
            <w:r w:rsidRPr="00333835">
              <w:rPr>
                <w:spacing w:val="-2"/>
              </w:rPr>
              <w:t>. V samotném březnu činil schodek 17,3</w:t>
            </w:r>
            <w:r>
              <w:rPr>
                <w:spacing w:val="-2"/>
              </w:rPr>
              <w:t> mld.</w:t>
            </w:r>
            <w:r w:rsidRPr="00333835">
              <w:rPr>
                <w:spacing w:val="-2"/>
              </w:rPr>
              <w:t>, avšak</w:t>
            </w:r>
            <w:r>
              <w:rPr>
                <w:spacing w:val="-2"/>
              </w:rPr>
              <w:t xml:space="preserve"> i</w:t>
            </w:r>
            <w:r w:rsidRPr="00333835">
              <w:rPr>
                <w:spacing w:val="-2"/>
              </w:rPr>
              <w:t xml:space="preserve"> předchozí letošní měsíce zaznamenaly citelně horší výsledky, než </w:t>
            </w:r>
            <w:r>
              <w:rPr>
                <w:spacing w:val="-2"/>
              </w:rPr>
              <w:t xml:space="preserve">jaké </w:t>
            </w:r>
            <w:r w:rsidRPr="00333835">
              <w:rPr>
                <w:spacing w:val="-2"/>
              </w:rPr>
              <w:t>byly ve stejném období roku 2019. Souhrnný deficit za 1.</w:t>
            </w:r>
            <w:r>
              <w:rPr>
                <w:spacing w:val="-2"/>
              </w:rPr>
              <w:t> čtvrtlet</w:t>
            </w:r>
            <w:r w:rsidRPr="00333835">
              <w:rPr>
                <w:spacing w:val="-2"/>
              </w:rPr>
              <w:t>í 2020 již převýšil celoroční původně schválený schodek (40</w:t>
            </w:r>
            <w:r>
              <w:rPr>
                <w:spacing w:val="-2"/>
              </w:rPr>
              <w:t> mld.</w:t>
            </w:r>
            <w:r w:rsidRPr="00333835">
              <w:rPr>
                <w:spacing w:val="-2"/>
              </w:rPr>
              <w:t>)</w:t>
            </w:r>
            <w:r w:rsidRPr="00333835">
              <w:rPr>
                <w:rStyle w:val="Znakapoznpodarou"/>
                <w:spacing w:val="-2"/>
              </w:rPr>
              <w:footnoteReference w:id="2"/>
            </w:r>
            <w:r w:rsidRPr="00333835">
              <w:rPr>
                <w:spacing w:val="-2"/>
              </w:rPr>
              <w:t>. Skutečné saldo hospodaření bylo výrazně ovlivněno svižným růstem výdajů (meziročně +48,5</w:t>
            </w:r>
            <w:r>
              <w:rPr>
                <w:spacing w:val="-2"/>
              </w:rPr>
              <w:t> mld.</w:t>
            </w:r>
            <w:r w:rsidRPr="00333835">
              <w:rPr>
                <w:spacing w:val="-2"/>
              </w:rPr>
              <w:t>). Projevovalo se i</w:t>
            </w:r>
            <w:r>
              <w:rPr>
                <w:spacing w:val="-2"/>
              </w:rPr>
              <w:t> </w:t>
            </w:r>
            <w:r w:rsidRPr="00333835">
              <w:rPr>
                <w:spacing w:val="-2"/>
              </w:rPr>
              <w:t xml:space="preserve">pokračující zvolňování dynamiky </w:t>
            </w:r>
            <w:r>
              <w:rPr>
                <w:spacing w:val="-2"/>
              </w:rPr>
              <w:t xml:space="preserve">růstu </w:t>
            </w:r>
            <w:r w:rsidRPr="00333835">
              <w:rPr>
                <w:spacing w:val="-2"/>
              </w:rPr>
              <w:t>většiny významných daňových příjmů, poziti</w:t>
            </w:r>
            <w:r>
              <w:rPr>
                <w:spacing w:val="-2"/>
              </w:rPr>
              <w:t>vně naopak působilo rychlejší</w:t>
            </w:r>
            <w:r w:rsidRPr="00333835">
              <w:rPr>
                <w:spacing w:val="-2"/>
              </w:rPr>
              <w:t xml:space="preserve"> čerpání eurofondů (projevující se s mírným zpožděním vyšším objemem proplacených prostředků z rozpočtu EU). </w:t>
            </w:r>
            <w:r w:rsidRPr="00333835">
              <w:rPr>
                <w:rFonts w:cs="Arial"/>
                <w:color w:val="0D0D0D" w:themeColor="text1" w:themeTint="F2"/>
                <w:spacing w:val="-2"/>
              </w:rPr>
              <w:t>Saldo</w:t>
            </w:r>
            <w:r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333835">
              <w:rPr>
                <w:rFonts w:cs="Arial"/>
                <w:color w:val="0D0D0D" w:themeColor="text1" w:themeTint="F2"/>
                <w:spacing w:val="-2"/>
              </w:rPr>
              <w:t>SR, jež představuje dominantní položku deficitu či přebytku hospodaření sektoru vládních institucí, dosáhlo v 1.</w:t>
            </w:r>
            <w:r>
              <w:rPr>
                <w:rFonts w:cs="Arial"/>
                <w:color w:val="0D0D0D" w:themeColor="text1" w:themeTint="F2"/>
                <w:spacing w:val="-2"/>
              </w:rPr>
              <w:t> čtvrtlet</w:t>
            </w:r>
            <w:r w:rsidRPr="00333835">
              <w:rPr>
                <w:rFonts w:cs="Arial"/>
                <w:color w:val="0D0D0D" w:themeColor="text1" w:themeTint="F2"/>
                <w:spacing w:val="-2"/>
              </w:rPr>
              <w:t>í v</w:t>
            </w:r>
            <w:r w:rsidRPr="00333835">
              <w:rPr>
                <w:color w:val="0D0D0D" w:themeColor="text1" w:themeTint="F2"/>
                <w:spacing w:val="-2"/>
              </w:rPr>
              <w:t>e vztahu</w:t>
            </w:r>
            <w:r w:rsidRPr="00333835">
              <w:rPr>
                <w:rFonts w:cs="Arial"/>
                <w:color w:val="0D0D0D" w:themeColor="text1" w:themeTint="F2"/>
                <w:spacing w:val="-2"/>
              </w:rPr>
              <w:t xml:space="preserve"> k</w:t>
            </w:r>
            <w:r w:rsidRPr="00333835">
              <w:rPr>
                <w:color w:val="0D0D0D" w:themeColor="text1" w:themeTint="F2"/>
                <w:spacing w:val="-2"/>
              </w:rPr>
              <w:t> </w:t>
            </w:r>
            <w:r>
              <w:rPr>
                <w:rFonts w:cs="Arial"/>
                <w:color w:val="000000" w:themeColor="text1"/>
                <w:spacing w:val="-2"/>
              </w:rPr>
              <w:t xml:space="preserve">nominálnímu HDP </w:t>
            </w:r>
            <w:r w:rsidRPr="0067514E">
              <w:rPr>
                <w:spacing w:val="-6"/>
              </w:rPr>
              <w:t>–</w:t>
            </w:r>
            <w:r>
              <w:rPr>
                <w:rFonts w:cs="Arial"/>
                <w:color w:val="000000" w:themeColor="text1"/>
                <w:spacing w:val="-2"/>
              </w:rPr>
              <w:t>3,4</w:t>
            </w:r>
            <w:r w:rsidRPr="00333835">
              <w:rPr>
                <w:rFonts w:cs="Arial"/>
                <w:color w:val="000000" w:themeColor="text1"/>
                <w:spacing w:val="-2"/>
              </w:rPr>
              <w:t> %.</w:t>
            </w:r>
            <w:r>
              <w:rPr>
                <w:rFonts w:cs="Arial"/>
                <w:color w:val="000000" w:themeColor="text1"/>
                <w:spacing w:val="-2"/>
              </w:rPr>
              <w:t xml:space="preserve"> Horší poměr byl dosažen naposledy ve 2. čtvrtletí 2012.</w:t>
            </w:r>
          </w:p>
        </w:tc>
      </w:tr>
      <w:tr w:rsidR="00E66768" w:rsidRPr="003C07E6" w14:paraId="57C2322F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155452B4" w14:textId="77777777" w:rsidR="00E66768" w:rsidRDefault="00E66768" w:rsidP="00E66768">
            <w:pPr>
              <w:pStyle w:val="Marginlie"/>
            </w:pPr>
            <w:r>
              <w:t>Celkové daňové inkaso bylo již v 1. čtvrtletí zčásti negativně ovlivněno útlumem ekonomiky i poskytnutými daňovými úlevami.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EF58540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C05DB7E" w14:textId="68008B74" w:rsidR="00E66768" w:rsidRPr="00A107FA" w:rsidRDefault="00E66768" w:rsidP="00E66768">
            <w:pPr>
              <w:spacing w:after="210"/>
              <w:rPr>
                <w:spacing w:val="-4"/>
              </w:rPr>
            </w:pPr>
            <w:r w:rsidRPr="00A107FA">
              <w:rPr>
                <w:spacing w:val="-4"/>
              </w:rPr>
              <w:t>Celkové příjmy SR vzrostly v 1. čtvrtletí meziročně o 3,6 %, což se významně nelišilo od původního rozpočtového očekávání. Celostátní daňové inkaso (vč. pojistného) bylo vyšší o 4,6 %, pokračovalo tak mírné zvolňování patrné již ve druhé polovině roku 2019. Za první dva měsíce letošního roku ale rostlo inkaso o 7,8 %, v březnu stagnovalo. Jeho výpadek</w:t>
            </w:r>
            <w:r>
              <w:rPr>
                <w:spacing w:val="-4"/>
              </w:rPr>
              <w:t xml:space="preserve">  vlivem </w:t>
            </w:r>
            <w:r w:rsidRPr="00A107FA">
              <w:rPr>
                <w:spacing w:val="-4"/>
              </w:rPr>
              <w:t>útlum</w:t>
            </w:r>
            <w:r>
              <w:rPr>
                <w:spacing w:val="-4"/>
              </w:rPr>
              <w:t>u hospodářské aktivity (zejména v  tržních služ</w:t>
            </w:r>
            <w:r w:rsidRPr="00A107FA">
              <w:rPr>
                <w:spacing w:val="-4"/>
              </w:rPr>
              <w:t>b</w:t>
            </w:r>
            <w:r>
              <w:rPr>
                <w:spacing w:val="-4"/>
              </w:rPr>
              <w:t>ách</w:t>
            </w:r>
            <w:r w:rsidRPr="00A107FA">
              <w:rPr>
                <w:spacing w:val="-4"/>
              </w:rPr>
              <w:t xml:space="preserve">) </w:t>
            </w:r>
            <w:r>
              <w:rPr>
                <w:spacing w:val="-4"/>
              </w:rPr>
              <w:t xml:space="preserve">i </w:t>
            </w:r>
            <w:r w:rsidRPr="00A107FA">
              <w:rPr>
                <w:spacing w:val="-4"/>
              </w:rPr>
              <w:t>vládou poskytnutými daňovými úlevami</w:t>
            </w:r>
            <w:r w:rsidRPr="00A107FA">
              <w:rPr>
                <w:rStyle w:val="Znakapoznpodarou"/>
                <w:spacing w:val="-4"/>
              </w:rPr>
              <w:footnoteReference w:id="3"/>
            </w:r>
            <w:r w:rsidRPr="00A107FA">
              <w:rPr>
                <w:spacing w:val="-4"/>
              </w:rPr>
              <w:t xml:space="preserve"> se ale naplno projevil až během dubna</w:t>
            </w:r>
            <w:r w:rsidRPr="00A107FA">
              <w:rPr>
                <w:rStyle w:val="Znakapoznpodarou"/>
                <w:spacing w:val="-4"/>
              </w:rPr>
              <w:footnoteReference w:id="4"/>
            </w:r>
            <w:r w:rsidRPr="00A107FA">
              <w:rPr>
                <w:spacing w:val="-4"/>
              </w:rPr>
              <w:t>. Příznivě naopak v 1. čtvrtletí působil mírný růst příjmů z rozpočtu EU</w:t>
            </w:r>
            <w:r w:rsidRPr="00A107FA">
              <w:rPr>
                <w:rStyle w:val="Znakapoznpodarou"/>
                <w:spacing w:val="-4"/>
              </w:rPr>
              <w:footnoteReference w:id="5"/>
            </w:r>
            <w:r w:rsidRPr="00A107FA">
              <w:rPr>
                <w:spacing w:val="-4"/>
              </w:rPr>
              <w:t xml:space="preserve"> (o 7 % na 30,7 mld. korun) i rozpočtově plánovaný převod ze zvláštních účtů privatizace (13 mld.</w:t>
            </w:r>
            <w:r>
              <w:rPr>
                <w:spacing w:val="-4"/>
              </w:rPr>
              <w:t>), jenž</w:t>
            </w:r>
            <w:r w:rsidRPr="00A107FA">
              <w:rPr>
                <w:spacing w:val="-4"/>
              </w:rPr>
              <w:t xml:space="preserve"> se uskutečnil i loni (18 mld.).</w:t>
            </w:r>
          </w:p>
        </w:tc>
      </w:tr>
      <w:tr w:rsidR="00E66768" w:rsidRPr="003C07E6" w14:paraId="0C068604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00C24DE" w14:textId="77777777" w:rsidR="00E66768" w:rsidRDefault="00E66768" w:rsidP="00E66768">
            <w:pPr>
              <w:pStyle w:val="Marginlie"/>
            </w:pPr>
            <w:r>
              <w:t>Výběr DPH v prvních dvou měsících meziročně svižně rostl, v březnu o 3,7 % klesl.</w:t>
            </w:r>
          </w:p>
          <w:p w14:paraId="7CEF32C9" w14:textId="77777777" w:rsidR="00E66768" w:rsidRDefault="00E66768" w:rsidP="00E66768">
            <w:pPr>
              <w:pStyle w:val="Marginlie"/>
            </w:pPr>
          </w:p>
          <w:p w14:paraId="7F7C3690" w14:textId="77777777" w:rsidR="00E66768" w:rsidRDefault="00E66768" w:rsidP="00E66768">
            <w:pPr>
              <w:pStyle w:val="Marginlie"/>
            </w:pPr>
          </w:p>
          <w:p w14:paraId="5B4621BB" w14:textId="77777777" w:rsidR="00E66768" w:rsidRDefault="00E66768" w:rsidP="00E66768">
            <w:pPr>
              <w:pStyle w:val="Marginlie"/>
            </w:pPr>
          </w:p>
          <w:p w14:paraId="2C88E0AC" w14:textId="77777777" w:rsidR="00E66768" w:rsidRDefault="00E66768" w:rsidP="00E66768">
            <w:pPr>
              <w:pStyle w:val="Marginlie"/>
            </w:pPr>
            <w:r>
              <w:t>Inkaso spotřebních daní bylo ovlivněno předzásobením u tabákových výrobků a lihu i propadem cen pohonných hmot.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A1FE2E1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44F94A6" w14:textId="77777777" w:rsidR="00E66768" w:rsidRPr="0067514E" w:rsidRDefault="00E66768" w:rsidP="00E66768">
            <w:pPr>
              <w:spacing w:after="210"/>
              <w:rPr>
                <w:spacing w:val="-6"/>
              </w:rPr>
            </w:pPr>
            <w:r w:rsidRPr="0067514E">
              <w:rPr>
                <w:spacing w:val="-6"/>
              </w:rPr>
              <w:t>Příjem SR z váhově nejvýznam</w:t>
            </w:r>
            <w:r>
              <w:rPr>
                <w:spacing w:val="-6"/>
              </w:rPr>
              <w:t>nější daně – DPH – vzrostl v 1. čtvrtletí o 5,9</w:t>
            </w:r>
            <w:r w:rsidRPr="0067514E">
              <w:rPr>
                <w:spacing w:val="-6"/>
              </w:rPr>
              <w:t> %</w:t>
            </w:r>
            <w:r>
              <w:rPr>
                <w:spacing w:val="-6"/>
              </w:rPr>
              <w:t>. Relativně vysoké tempo souvisí s tím, že inkaso zahrnuje i platbu daňové povinnosti za prosinec 2019, resp. poslední loňské čtvrtletí. I tak se ale již zčásti projevil vliv protipandemických opatření, neboť v samotném březnu činil meziroční pokles inkasa 3,7 %. Letošní růst inkasa byl tlumen i nižšími sazbami (MHD, teplo, chlad), opačný efekt měly vyšší výdaje vládního sektoru. Celkové inkaso SR ze spotřebních daní posílilo o 7,7 %, především vlivem vyššího výběru daně z tabákových výrobků (+21 %) a lihu (+34 %). V obou případech se projevil vliv předzásobení se před růstem sazeb daně u těchto komodit od roku 2020. U minerálních olejů, které jsou váhově dominantní položkou spotřebních daní, kleslo inkaso v 1. čtvrtletí o 1,7 %, podobné tempo se udrželo i v samotném březnu. Spotřebu zde mohlo ovlivnit výrazné snížení březnové ceny pohonných hmot.</w:t>
            </w:r>
          </w:p>
        </w:tc>
      </w:tr>
      <w:tr w:rsidR="00E66768" w:rsidRPr="003C07E6" w14:paraId="15804365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14FF588" w14:textId="77777777" w:rsidR="00E66768" w:rsidRDefault="00E66768" w:rsidP="00E66768">
            <w:pPr>
              <w:pStyle w:val="Marginlie"/>
            </w:pPr>
            <w:r>
              <w:t>Inkaso příjmové daně ze závislé činnosti si udrželo svižné růstové tempo i v březnu, výběr korporátní daně jen stagnoval.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38B5772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3A67FC4" w14:textId="77777777" w:rsidR="00E66768" w:rsidRPr="005C5C04" w:rsidRDefault="00E66768" w:rsidP="00E66768">
            <w:pPr>
              <w:spacing w:after="0"/>
              <w:rPr>
                <w:spacing w:val="-2"/>
              </w:rPr>
            </w:pPr>
            <w:r w:rsidRPr="005C5C04">
              <w:rPr>
                <w:spacing w:val="-2"/>
              </w:rPr>
              <w:t>Inkaso korporátní daně plynoucí do</w:t>
            </w:r>
            <w:r>
              <w:rPr>
                <w:spacing w:val="-2"/>
              </w:rPr>
              <w:t> SR vzrostlo</w:t>
            </w:r>
            <w:r w:rsidRPr="005C5C04">
              <w:rPr>
                <w:spacing w:val="-2"/>
              </w:rPr>
              <w:t xml:space="preserve"> v 1.</w:t>
            </w:r>
            <w:r>
              <w:rPr>
                <w:spacing w:val="-2"/>
              </w:rPr>
              <w:t> čtvrtlet</w:t>
            </w:r>
            <w:r w:rsidRPr="005C5C04">
              <w:rPr>
                <w:spacing w:val="-2"/>
              </w:rPr>
              <w:t>í meziročně o</w:t>
            </w:r>
            <w:r>
              <w:rPr>
                <w:spacing w:val="-2"/>
              </w:rPr>
              <w:t> </w:t>
            </w:r>
            <w:r w:rsidRPr="005C5C04">
              <w:rPr>
                <w:spacing w:val="-2"/>
              </w:rPr>
              <w:t>1,6</w:t>
            </w:r>
            <w:r>
              <w:rPr>
                <w:spacing w:val="-2"/>
              </w:rPr>
              <w:t> %</w:t>
            </w:r>
            <w:r w:rsidRPr="005C5C04">
              <w:rPr>
                <w:spacing w:val="-2"/>
              </w:rPr>
              <w:t>. V březnu, kdy podniky odvád</w:t>
            </w:r>
            <w:r>
              <w:rPr>
                <w:spacing w:val="-2"/>
              </w:rPr>
              <w:t>ějí čtvrtlet</w:t>
            </w:r>
            <w:r w:rsidRPr="005C5C04">
              <w:rPr>
                <w:spacing w:val="-2"/>
              </w:rPr>
              <w:t>ní zálohy, výběr stagnoval. Z příjmové daně ze závislé činnosti získal SR v 1.</w:t>
            </w:r>
            <w:r>
              <w:rPr>
                <w:spacing w:val="-2"/>
              </w:rPr>
              <w:t> čtvrtlet</w:t>
            </w:r>
            <w:r w:rsidRPr="005C5C04">
              <w:rPr>
                <w:spacing w:val="-2"/>
              </w:rPr>
              <w:t>í o</w:t>
            </w:r>
            <w:r>
              <w:rPr>
                <w:spacing w:val="-2"/>
              </w:rPr>
              <w:t> </w:t>
            </w:r>
            <w:r w:rsidRPr="005C5C04">
              <w:rPr>
                <w:spacing w:val="-2"/>
              </w:rPr>
              <w:t>9,9</w:t>
            </w:r>
            <w:r>
              <w:rPr>
                <w:spacing w:val="-2"/>
              </w:rPr>
              <w:t> %</w:t>
            </w:r>
            <w:r w:rsidRPr="005C5C04">
              <w:rPr>
                <w:spacing w:val="-2"/>
              </w:rPr>
              <w:t xml:space="preserve"> více. Ani během března meziroční tempo výrazněji nepropadlo (+8,8 %)</w:t>
            </w:r>
            <w:r>
              <w:rPr>
                <w:spacing w:val="-2"/>
              </w:rPr>
              <w:t>, neboť nedošlo k citel</w:t>
            </w:r>
            <w:r w:rsidRPr="005C5C04">
              <w:rPr>
                <w:spacing w:val="-2"/>
              </w:rPr>
              <w:t>nějšímu nárůstu nezaměstnanosti a</w:t>
            </w:r>
            <w:r>
              <w:rPr>
                <w:spacing w:val="-2"/>
              </w:rPr>
              <w:t> </w:t>
            </w:r>
            <w:r w:rsidRPr="005C5C04">
              <w:rPr>
                <w:spacing w:val="-2"/>
              </w:rPr>
              <w:t>rovněž u průměrných výdělků se projevila určitá setrvač</w:t>
            </w:r>
            <w:r>
              <w:rPr>
                <w:spacing w:val="-2"/>
              </w:rPr>
              <w:t>nost. Růst inkasa byl podpořen také</w:t>
            </w:r>
            <w:r w:rsidRPr="005C5C04">
              <w:rPr>
                <w:spacing w:val="-2"/>
              </w:rPr>
              <w:t xml:space="preserve"> pokračujícím navyšováním minimální mzdy. Naproti tomu březnové inkaso </w:t>
            </w:r>
            <w:r w:rsidRPr="005C5C04">
              <w:rPr>
                <w:rFonts w:cs="Arial"/>
                <w:color w:val="0D0D0D" w:themeColor="text1" w:themeTint="F2"/>
                <w:spacing w:val="-2"/>
              </w:rPr>
              <w:t xml:space="preserve">daně </w:t>
            </w:r>
            <w:r w:rsidRPr="005C5C04">
              <w:rPr>
                <w:rFonts w:cs="Arial"/>
                <w:spacing w:val="-2"/>
              </w:rPr>
              <w:t>ze samostatné výdělečné činnosti</w:t>
            </w:r>
            <w:r w:rsidRPr="005C5C04">
              <w:rPr>
                <w:spacing w:val="-2"/>
              </w:rPr>
              <w:t xml:space="preserve"> meziročně propadlo o</w:t>
            </w:r>
            <w:r>
              <w:rPr>
                <w:spacing w:val="-2"/>
              </w:rPr>
              <w:t> </w:t>
            </w:r>
            <w:r w:rsidRPr="005C5C04">
              <w:rPr>
                <w:spacing w:val="-2"/>
              </w:rPr>
              <w:t>36</w:t>
            </w:r>
            <w:r>
              <w:rPr>
                <w:spacing w:val="-2"/>
              </w:rPr>
              <w:t> %</w:t>
            </w:r>
            <w:r w:rsidRPr="005C5C04">
              <w:rPr>
                <w:spacing w:val="-2"/>
              </w:rPr>
              <w:t xml:space="preserve"> (–2,1</w:t>
            </w:r>
            <w:r>
              <w:rPr>
                <w:spacing w:val="-2"/>
              </w:rPr>
              <w:t> mld. Kč</w:t>
            </w:r>
            <w:r w:rsidRPr="005C5C04">
              <w:rPr>
                <w:spacing w:val="-2"/>
              </w:rPr>
              <w:t>), z velké části vlivem odkladu či zmírnění daňové povinnosti. Tempo růstu inkasa daně z příjmů fyzických osob vybírané srážkou zůstalo i</w:t>
            </w:r>
            <w:r>
              <w:rPr>
                <w:spacing w:val="-2"/>
              </w:rPr>
              <w:t> </w:t>
            </w:r>
            <w:r w:rsidRPr="005C5C04">
              <w:rPr>
                <w:spacing w:val="-2"/>
              </w:rPr>
              <w:t>v 1.</w:t>
            </w:r>
            <w:r>
              <w:rPr>
                <w:spacing w:val="-2"/>
              </w:rPr>
              <w:t> čtvrtlet</w:t>
            </w:r>
            <w:r w:rsidRPr="005C5C04">
              <w:rPr>
                <w:spacing w:val="-2"/>
              </w:rPr>
              <w:t>í vysoké (+15,8</w:t>
            </w:r>
            <w:r>
              <w:rPr>
                <w:spacing w:val="-2"/>
              </w:rPr>
              <w:t> %</w:t>
            </w:r>
            <w:r w:rsidRPr="005C5C04">
              <w:rPr>
                <w:spacing w:val="-2"/>
              </w:rPr>
              <w:t>, za celý loňský rok +11,3 %). To může souviset s častě</w:t>
            </w:r>
            <w:r>
              <w:rPr>
                <w:spacing w:val="-2"/>
              </w:rPr>
              <w:t>jším využíváním částečných úvaz</w:t>
            </w:r>
            <w:r w:rsidRPr="005C5C04">
              <w:rPr>
                <w:spacing w:val="-2"/>
              </w:rPr>
              <w:t>k</w:t>
            </w:r>
            <w:r>
              <w:rPr>
                <w:spacing w:val="-2"/>
              </w:rPr>
              <w:t>ů</w:t>
            </w:r>
            <w:r w:rsidRPr="005C5C04">
              <w:rPr>
                <w:spacing w:val="-2"/>
              </w:rPr>
              <w:t xml:space="preserve"> nebo také s růstem míry úspor domácností.</w:t>
            </w:r>
            <w:r>
              <w:rPr>
                <w:spacing w:val="-2"/>
              </w:rPr>
              <w:t xml:space="preserve"> Roli hrála také výše klientských úrokových sazeb.</w:t>
            </w:r>
          </w:p>
        </w:tc>
      </w:tr>
      <w:tr w:rsidR="00E66768" w:rsidRPr="00F704D2" w14:paraId="5D531847" w14:textId="77777777" w:rsidTr="00E66768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74A62E37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647DA7C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D958D1B" w14:textId="73A0A5EC" w:rsidR="00E66768" w:rsidRPr="00B80CE9" w:rsidRDefault="00E66768" w:rsidP="00E66768">
            <w:pPr>
              <w:spacing w:after="0" w:line="240" w:lineRule="auto"/>
              <w:rPr>
                <w:rFonts w:cs="Arial"/>
                <w:bCs/>
              </w:rPr>
            </w:pPr>
            <w:r w:rsidRPr="00B80CE9">
              <w:rPr>
                <w:rFonts w:cs="Arial"/>
                <w:b/>
                <w:bCs/>
                <w:color w:val="000000"/>
                <w:szCs w:val="20"/>
              </w:rPr>
              <w:t>Graf č. 16</w:t>
            </w:r>
            <w:r w:rsidRPr="00B80C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80CE9">
              <w:rPr>
                <w:rFonts w:cs="Arial"/>
                <w:b/>
                <w:bCs/>
              </w:rPr>
              <w:t xml:space="preserve">Celostátní inkasa vybraných daňových příjmů </w:t>
            </w:r>
            <w:r w:rsidRPr="00B80CE9">
              <w:rPr>
                <w:rFonts w:cs="Arial"/>
                <w:bCs/>
              </w:rPr>
              <w:t>(</w:t>
            </w:r>
            <w:r w:rsidRPr="00B80CE9">
              <w:t>meziročně</w:t>
            </w:r>
            <w:r w:rsidRPr="00B80CE9">
              <w:rPr>
                <w:bCs/>
              </w:rPr>
              <w:t xml:space="preserve"> v %)</w:t>
            </w:r>
            <w:r w:rsidRPr="00B80CE9">
              <w:rPr>
                <w:bCs/>
              </w:rPr>
              <w:br/>
            </w:r>
            <w:r w:rsidRPr="00B80CE9">
              <w:rPr>
                <w:rFonts w:cs="Arial"/>
                <w:b/>
                <w:bCs/>
              </w:rPr>
              <w:t>a saldo státního rozpočtu</w:t>
            </w:r>
            <w:r w:rsidRPr="00B80CE9">
              <w:t xml:space="preserve"> </w:t>
            </w:r>
            <w:r>
              <w:rPr>
                <w:rFonts w:cs="Arial"/>
                <w:bCs/>
              </w:rPr>
              <w:t>(v mld. korun, pravá osa</w:t>
            </w:r>
            <w:r w:rsidRPr="00B80CE9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v rámci 1. čtvrtletí</w:t>
            </w:r>
          </w:p>
        </w:tc>
      </w:tr>
      <w:tr w:rsidR="00E66768" w14:paraId="46DD9BEE" w14:textId="77777777" w:rsidTr="00E6676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57D742F8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78310280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0B39E39C" w14:textId="77777777" w:rsidR="00E66768" w:rsidRPr="0067514E" w:rsidRDefault="00E66768" w:rsidP="00E66768">
            <w:pPr>
              <w:spacing w:after="0"/>
              <w:rPr>
                <w:spacing w:val="-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90645D" wp14:editId="1E0EEC95">
                  <wp:extent cx="4770051" cy="3484487"/>
                  <wp:effectExtent l="0" t="0" r="0" b="1905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66768" w:rsidRPr="007B3A78" w14:paraId="3DF43A3A" w14:textId="77777777" w:rsidTr="00E66768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3EB3E582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16788339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84ED0C4" w14:textId="77777777" w:rsidR="00E66768" w:rsidRDefault="00E66768" w:rsidP="00E66768">
            <w:pPr>
              <w:spacing w:after="0" w:line="240" w:lineRule="auto"/>
              <w:jc w:val="left"/>
              <w:rPr>
                <w:spacing w:val="-6"/>
                <w:sz w:val="14"/>
                <w:szCs w:val="14"/>
              </w:rPr>
            </w:pPr>
            <w:r w:rsidRPr="00B80CE9">
              <w:rPr>
                <w:spacing w:val="-6"/>
                <w:sz w:val="14"/>
                <w:szCs w:val="14"/>
              </w:rPr>
              <w:t>*Saldo očištěné o</w:t>
            </w:r>
            <w:r>
              <w:rPr>
                <w:spacing w:val="-6"/>
                <w:sz w:val="14"/>
                <w:szCs w:val="14"/>
              </w:rPr>
              <w:t xml:space="preserve"> prostředky na programy a </w:t>
            </w:r>
            <w:r w:rsidRPr="00B80CE9">
              <w:rPr>
                <w:spacing w:val="-6"/>
                <w:sz w:val="14"/>
                <w:szCs w:val="14"/>
              </w:rPr>
              <w:t>projekty z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 xml:space="preserve">rozpočtu EU </w:t>
            </w:r>
            <w:r>
              <w:rPr>
                <w:spacing w:val="-6"/>
                <w:sz w:val="14"/>
                <w:szCs w:val="14"/>
              </w:rPr>
              <w:t>(vč. finančních mechanismů)</w:t>
            </w:r>
            <w:r w:rsidRPr="00B80CE9">
              <w:rPr>
                <w:spacing w:val="-6"/>
                <w:sz w:val="14"/>
                <w:szCs w:val="14"/>
              </w:rPr>
              <w:t>, které byly předfinancovány ze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>SR a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>následně jsou proplácen</w:t>
            </w:r>
            <w:r>
              <w:rPr>
                <w:spacing w:val="-6"/>
                <w:sz w:val="14"/>
                <w:szCs w:val="14"/>
              </w:rPr>
              <w:t>y z rozpočtu EU a FM. Údaje jsou k dispozici počínaje rokem 2013.</w:t>
            </w:r>
          </w:p>
          <w:p w14:paraId="72ABA560" w14:textId="77777777" w:rsidR="00E66768" w:rsidRPr="0067514E" w:rsidRDefault="00E66768" w:rsidP="00E66768">
            <w:pPr>
              <w:spacing w:after="200" w:line="240" w:lineRule="auto"/>
              <w:jc w:val="left"/>
              <w:rPr>
                <w:rFonts w:cs="Arial"/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Zdroj: MF ČR</w:t>
            </w:r>
          </w:p>
        </w:tc>
      </w:tr>
      <w:tr w:rsidR="00E66768" w:rsidRPr="008266F0" w14:paraId="06F76122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D6AA1B4" w14:textId="77777777" w:rsidR="00E66768" w:rsidRDefault="00E66768" w:rsidP="00E66768">
            <w:pPr>
              <w:pStyle w:val="Marginlie"/>
            </w:pPr>
            <w:r>
              <w:t>V březnu vzrostly výdaje SR meziročně o více než pětinu.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ECA600A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4D33DD2" w14:textId="77777777" w:rsidR="00E66768" w:rsidRPr="0067514E" w:rsidRDefault="00E66768" w:rsidP="00E66768">
            <w:pPr>
              <w:spacing w:after="220"/>
              <w:rPr>
                <w:spacing w:val="-6"/>
              </w:rPr>
            </w:pPr>
            <w:r>
              <w:rPr>
                <w:spacing w:val="-6"/>
              </w:rPr>
              <w:t xml:space="preserve">Celkové výdaje SR byly v 1. čtvrtletí meziročně o 13,0 % vyšší. Rostly jen nepatrně nižším tempem (o 0,4 p. b.) než na počátku roku 2019, kdy bylo v rámci 1. čtvrtletí dosaženo maximálního tempa za posledních jedenáct let. Zatímco v prvních dvou měsících letošního roku byly výdaje o 8,2 % vyšší, v březnu již o 21,4 %. Na tomto zrychlení se podílela nejen </w:t>
            </w:r>
            <w:r>
              <w:t>zvýšená potřeba ochranných pomůcek a dalšího materiálu v souvislosti s řešením pandemie koronaviru</w:t>
            </w:r>
            <w:r w:rsidRPr="00333835">
              <w:rPr>
                <w:rStyle w:val="Znakapoznpodarou"/>
                <w:spacing w:val="-2"/>
              </w:rPr>
              <w:footnoteReference w:id="6"/>
            </w:r>
            <w:r>
              <w:t>, ale také vyšší čerpání kapitálových výdajů.</w:t>
            </w:r>
          </w:p>
        </w:tc>
      </w:tr>
      <w:tr w:rsidR="00E66768" w:rsidRPr="008266F0" w14:paraId="73862E98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B55FF89" w14:textId="77777777" w:rsidR="00E66768" w:rsidRDefault="00E66768" w:rsidP="00E66768">
            <w:pPr>
              <w:pStyle w:val="Marginlie"/>
            </w:pPr>
            <w:r>
              <w:t>K posílení výdajů za celé čtvrtletí přispěly vyšší alokace na sociální dávky, platy učitelů, dotace příspěvkovým organizacím a výdaje na nákupy materiálu.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D390EBA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0F6B4E2" w14:textId="77777777" w:rsidR="00E66768" w:rsidRPr="0067514E" w:rsidRDefault="00E66768" w:rsidP="00E66768">
            <w:pPr>
              <w:spacing w:after="220"/>
              <w:rPr>
                <w:spacing w:val="-6"/>
              </w:rPr>
            </w:pPr>
            <w:r>
              <w:rPr>
                <w:spacing w:val="-6"/>
              </w:rPr>
              <w:t>Na meziročním růstu běžných výdajů v 1. čtvrtletí (+41,5 mld. korun) se nejvíce podílely vyšší výdaje na důchody (+9,7 mld.), neinvestiční</w:t>
            </w:r>
            <w:r w:rsidRPr="00D00E04">
              <w:rPr>
                <w:spacing w:val="-6"/>
              </w:rPr>
              <w:t xml:space="preserve"> transfery veřejným rozpočtům územní úrovně</w:t>
            </w:r>
            <w:r>
              <w:rPr>
                <w:spacing w:val="-6"/>
              </w:rPr>
              <w:t xml:space="preserve"> (+7,5 mld., primárně na platy zaměstnanců v regionálním školství</w:t>
            </w:r>
            <w:r w:rsidRPr="00333835">
              <w:rPr>
                <w:rStyle w:val="Znakapoznpodarou"/>
                <w:spacing w:val="-2"/>
              </w:rPr>
              <w:footnoteReference w:id="7"/>
            </w:r>
            <w:r>
              <w:rPr>
                <w:spacing w:val="-6"/>
              </w:rPr>
              <w:t xml:space="preserve"> a dále i posílení výdajů na sociální služby), obdobné dotace příspěvkovým organizacím vč. vysokých škol a výzkumných organizací (+6,3 mld.) a nedůchodové sociální dávky (+5,4 mld.). Posílily také výdaje na neinvestiční nákupy a na státní dluh. Významnější pokles byl patrný jen u odvodů do rozpočtu EU (o 2,8 mld.); meziroční srovnání je zde částečně ovlivněno přesunem části loňských plateb do již první poloviny roku v souvislosti s plánovaným odchodem Velké Británie z EU.</w:t>
            </w:r>
          </w:p>
        </w:tc>
      </w:tr>
      <w:tr w:rsidR="00E66768" w:rsidRPr="008266F0" w14:paraId="5569DA18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DB67E04" w14:textId="77777777" w:rsidR="00E66768" w:rsidRDefault="00E66768" w:rsidP="00E66768">
            <w:pPr>
              <w:pStyle w:val="Marginlie"/>
            </w:pPr>
            <w:r>
              <w:t>Kapitálové výdaje vzrostly, především díky národním projektům. Podíl investic na všech výdajích SR byl nejvyšší za poslední čtyři roky.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D0D68F2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67FF1BD" w14:textId="77777777" w:rsidR="00E66768" w:rsidRPr="0067514E" w:rsidRDefault="00E66768" w:rsidP="00E66768">
            <w:pPr>
              <w:spacing w:after="220"/>
              <w:rPr>
                <w:spacing w:val="-6"/>
              </w:rPr>
            </w:pPr>
            <w:r>
              <w:rPr>
                <w:spacing w:val="-6"/>
              </w:rPr>
              <w:t>Na investice směřovalo v 1. čtvrtletí 23,4 mld. korun, meziročně o 42 % více. Toto zvýšení bylo taženo především výdaji financovanými z národních zdrojů (+5,7 mld. korun). Výdaje s předpokládaným krytím ze strany EU vzrostly mírněji (+1,2 mld.). Posílení investic</w:t>
            </w:r>
            <w:r w:rsidRPr="0067514E">
              <w:rPr>
                <w:spacing w:val="-6"/>
              </w:rPr>
              <w:t xml:space="preserve"> z více než poloviny souviselo s vyššími transfery státnímu fondu dopravní infrastruktury</w:t>
            </w:r>
            <w:r>
              <w:rPr>
                <w:spacing w:val="-6"/>
              </w:rPr>
              <w:t xml:space="preserve">. Výdaje na spolufinancování programů ČR a EU, které v 1. čtvrtletí tvořily bezmála dvě třetiny všech investic SR, byly nejvíce čerpány v rámci Integrovaného regionálního operačního programu (4,8 mld.) a OP Doprava (4,0 mld.). </w:t>
            </w:r>
            <w:r w:rsidRPr="0067514E">
              <w:rPr>
                <w:spacing w:val="-6"/>
              </w:rPr>
              <w:t>Podíl investic na všec</w:t>
            </w:r>
            <w:r>
              <w:rPr>
                <w:spacing w:val="-6"/>
              </w:rPr>
              <w:t>h výdajích SR vzrostl na 5,5</w:t>
            </w:r>
            <w:r w:rsidRPr="0067514E">
              <w:rPr>
                <w:spacing w:val="-6"/>
              </w:rPr>
              <w:t> % a</w:t>
            </w:r>
            <w:r>
              <w:rPr>
                <w:spacing w:val="-6"/>
              </w:rPr>
              <w:t> v rámci 1. čtvrtletí byl nejvyšší za poslední čtyři roky. Od ledna do března 2020 byla ale vyčerpána jen šestina celoročně plánované rozpočtové částky.</w:t>
            </w:r>
          </w:p>
        </w:tc>
      </w:tr>
      <w:tr w:rsidR="00E66768" w:rsidRPr="008266F0" w14:paraId="189535B7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8E09CEA" w14:textId="77777777" w:rsidR="00E66768" w:rsidRDefault="00E66768" w:rsidP="00E66768">
            <w:pPr>
              <w:pStyle w:val="Marginlie"/>
            </w:pPr>
            <w:r>
              <w:lastRenderedPageBreak/>
              <w:t>Dynamický růst výdajů na důchody pokračoval. Na rozdíl od loňského roku již nebyl plně kryt výběrem pojistného.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BF0A0D0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956234E" w14:textId="77777777" w:rsidR="00E66768" w:rsidRPr="0067514E" w:rsidRDefault="00E66768" w:rsidP="00E66768">
            <w:pPr>
              <w:spacing w:after="210"/>
              <w:rPr>
                <w:spacing w:val="-6"/>
              </w:rPr>
            </w:pPr>
            <w:r w:rsidRPr="0067514E">
              <w:rPr>
                <w:spacing w:val="-6"/>
              </w:rPr>
              <w:t xml:space="preserve">Podíl výdajů SR směřujících na všechny sociální dávky </w:t>
            </w:r>
            <w:r>
              <w:rPr>
                <w:spacing w:val="-6"/>
              </w:rPr>
              <w:t>klesal třetím rokem v řadě. V 1. čtvrtletí</w:t>
            </w:r>
            <w:r w:rsidRPr="0067514E">
              <w:rPr>
                <w:spacing w:val="-6"/>
              </w:rPr>
              <w:t xml:space="preserve"> </w:t>
            </w:r>
            <w:r>
              <w:rPr>
                <w:spacing w:val="-6"/>
              </w:rPr>
              <w:t>činil 38,8 % (meziročně o 1 p. b. méně)</w:t>
            </w:r>
            <w:r w:rsidRPr="0067514E">
              <w:rPr>
                <w:spacing w:val="-6"/>
              </w:rPr>
              <w:t>.</w:t>
            </w:r>
            <w:r>
              <w:rPr>
                <w:spacing w:val="-6"/>
              </w:rPr>
              <w:t xml:space="preserve"> Plných 77 % těchto výdajů bylo alokováno</w:t>
            </w:r>
            <w:r w:rsidRPr="0067514E">
              <w:rPr>
                <w:spacing w:val="-6"/>
              </w:rPr>
              <w:t xml:space="preserve"> na důchody</w:t>
            </w:r>
            <w:r>
              <w:rPr>
                <w:spacing w:val="-6"/>
              </w:rPr>
              <w:t xml:space="preserve"> (126,2 mld. korun)</w:t>
            </w:r>
            <w:r w:rsidRPr="0067514E">
              <w:rPr>
                <w:spacing w:val="-6"/>
              </w:rPr>
              <w:t>.</w:t>
            </w:r>
            <w:r>
              <w:rPr>
                <w:spacing w:val="-6"/>
              </w:rPr>
              <w:t xml:space="preserve"> Výdaje na důchody posílily o 8,3 % a jen těsně zaostaly za loňským tempem – nejvyšším za posledních devět let. 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 xml:space="preserve">Při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faktické 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stagnaci celkového počtu osob pobírajících důchod (včetně starobních důchodců) se plně projevil vliv zákonných úprav</w:t>
            </w:r>
            <w:r w:rsidRPr="0067514E">
              <w:rPr>
                <w:rStyle w:val="Znakapoznpodarou"/>
                <w:spacing w:val="-6"/>
              </w:rPr>
              <w:footnoteReference w:id="8"/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.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V důsledku poklesu výkonu ekonomiky v 1. čtvrtletí a s tím souvisejícího vlivu na trh práce (snížení zaměstnanosti, pokles odpracovaných hodin) citelně zvolnilo růstové tempo výběru důchodového pojistného (na 4,5 %, nejméně od konce roku 2014). 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Saldo důchodového účtu</w:t>
            </w:r>
            <w:r w:rsidRPr="0067514E">
              <w:rPr>
                <w:rStyle w:val="Znakapoznpodarou"/>
                <w:color w:val="0D0D0D" w:themeColor="text1" w:themeTint="F2"/>
                <w:spacing w:val="-6"/>
              </w:rPr>
              <w:footnoteReference w:id="9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se tak po dvou přebytkových letech vrátilo k deficitu. Ten v 1. čtvrtletí čítal 3,5 mld. korun.</w:t>
            </w:r>
          </w:p>
        </w:tc>
      </w:tr>
      <w:tr w:rsidR="00E66768" w:rsidRPr="008266F0" w14:paraId="65A73A06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F3A60CF" w14:textId="77777777" w:rsidR="00E66768" w:rsidRDefault="00E66768" w:rsidP="00E66768">
            <w:pPr>
              <w:pStyle w:val="Marginlie"/>
            </w:pPr>
            <w:r>
              <w:t>Zrychlení růstu výdajů na ostatní sociální dávky bylo ovlivněno zvýšením rodičovského příspěvku.</w:t>
            </w:r>
          </w:p>
          <w:p w14:paraId="6DA0A8EF" w14:textId="77777777" w:rsidR="00E66768" w:rsidRDefault="00E66768" w:rsidP="00E66768">
            <w:pPr>
              <w:pStyle w:val="Marginlie"/>
            </w:pPr>
          </w:p>
          <w:p w14:paraId="477DBA75" w14:textId="77777777" w:rsidR="00E66768" w:rsidRDefault="00E66768" w:rsidP="00E66768">
            <w:pPr>
              <w:pStyle w:val="Marginlie"/>
            </w:pPr>
          </w:p>
          <w:p w14:paraId="3D66E80E" w14:textId="77777777" w:rsidR="00E66768" w:rsidRDefault="00E66768" w:rsidP="00E66768">
            <w:pPr>
              <w:pStyle w:val="Marginlie"/>
            </w:pPr>
          </w:p>
          <w:p w14:paraId="2FE13ADA" w14:textId="77777777" w:rsidR="00E66768" w:rsidRDefault="00E66768" w:rsidP="00E66768">
            <w:pPr>
              <w:pStyle w:val="Marginlie"/>
            </w:pPr>
            <w:r>
              <w:t>Čerpání dávek vázaných na příjem domácnosti dále meziročně klesalo, byť nižším tempem.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E9B87E5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FB96010" w14:textId="77777777" w:rsidR="00E66768" w:rsidRPr="0067514E" w:rsidRDefault="00E66768" w:rsidP="00E66768">
            <w:pPr>
              <w:pStyle w:val="Textpoznpodarou"/>
              <w:spacing w:after="210"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Objem výdajů na nedůchodové sociální dávky (37,7 mld. korun) vzrostl meziročně o šestinu, nejvíce za posledních sedm let. Na rozdíl od posledního pětiletí, kdy byl nejvíce tažen vyššími dávkami z nemocenského pojištění, přispěly letos k růstu primárně dávky státní sociální podpory (SSP, meziročně vyšší o 26 %, resp. 2,3 mld.). V nich se odrazilo zákonné navýšení rodičovského příspěvku. Naopak čerpání všech ostatních dávek SSP kleslo (např. u přídavků na dítě o 12 %, u příspěvků na bydlení o 4 %). O stále dobré finanční situaci domácností vypovídá i pokračující pokles dávek hmotné nouze (o 11 %), oproti předešlým dvěma rokům bylo však tempo sotva poloviční. Zrychlil naopak růst objemu příspěvků na péči (+25 %, resp. 1,6 mld.) i na podporu nezaměstnaným (+7 %)</w:t>
            </w:r>
            <w:r w:rsidRPr="00333835">
              <w:rPr>
                <w:rStyle w:val="Znakapoznpodarou"/>
                <w:spacing w:val="-2"/>
              </w:rPr>
              <w:footnoteReference w:id="10"/>
            </w:r>
            <w:r>
              <w:rPr>
                <w:spacing w:val="-6"/>
              </w:rPr>
              <w:t>. Čerpání dávek nemocenského pojištění vzrostlo meziročně o desetinu a za posledních šest let se dokonce zdvojnásobilo.</w:t>
            </w:r>
          </w:p>
        </w:tc>
      </w:tr>
      <w:tr w:rsidR="00E66768" w:rsidRPr="002102B2" w14:paraId="690978EC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B69EDD1" w14:textId="77777777" w:rsidR="00E66768" w:rsidRDefault="00E66768" w:rsidP="00E66768">
            <w:pPr>
              <w:pStyle w:val="Marginlie"/>
            </w:pPr>
            <w:r>
              <w:t>Státní dluh během 1. čtvrtletí vzrostl o 8,1 %, nejvíce od počátku roku 2017.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09D54B83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6BE993C" w14:textId="5B64D825" w:rsidR="00E66768" w:rsidRPr="0067514E" w:rsidRDefault="00E66768" w:rsidP="00E66768">
            <w:pPr>
              <w:pStyle w:val="Textpoznpodarou"/>
              <w:spacing w:after="210"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Stá</w:t>
            </w:r>
            <w:r w:rsidR="00093868">
              <w:rPr>
                <w:rFonts w:cs="Arial"/>
                <w:color w:val="0D0D0D" w:themeColor="text1" w:themeTint="F2"/>
                <w:spacing w:val="-6"/>
              </w:rPr>
              <w:t>t</w:t>
            </w:r>
            <w:r>
              <w:rPr>
                <w:rFonts w:cs="Arial"/>
                <w:color w:val="0D0D0D" w:themeColor="text1" w:themeTint="F2"/>
                <w:spacing w:val="-6"/>
              </w:rPr>
              <w:t>ní dluh se během 1. čtvrtletí zvýšil z 1 640,2 mld. na 1 772,8 mld. korun. Oproti konci loňského roku tak vzrostl o 8,1 %, vyšší růst byl naposledy zaznamenán na počátku roku 2017. Ve srovnání s počátkem roku 2019 došlo letos k citelnému navýšení objemu výpůjčních operací, ale i splátek. Hodnota nových výpůjček v 1. čtvrtletí činila 245,3 mld. korun. Šlo hlavně o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středně- a dlouhodobé státní dluhopisy vydané na domácím trhu k pokrytí plánovaných splátek státního dluhu v roce 2020. Významná byla i rezervní emise státních pokladničních poukázek ve výši 68,6 mld. v souvislosti se zvýšením krizového schodku SR. K meziročnímu zvýšení celkového státního dluhu o 2,4 % přispěl výhradně vnitřní dluh (+56,5 mld.), korunová hodnota vnějšího dluhu se naopak o 15,3 mld. snížila. Ve srovnání s koncem roku 2019 však vnější dluh narostl (+8,6 mld.), převážně vlivem kurzových ztrát. Na konci března 2020 tvořil vnější dluh necelou osminu celkového státního dluhu, nejméně od konce roku 2004. 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>Klíčovým držitelem korunových státních dluhopisů zůstávají finanční instituce (s</w:t>
            </w:r>
            <w:r>
              <w:rPr>
                <w:rFonts w:cs="Arial"/>
                <w:color w:val="0D0D0D" w:themeColor="text1" w:themeTint="F2"/>
                <w:spacing w:val="-6"/>
              </w:rPr>
              <w:t> 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>podílem 56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>). Nerezidenti drželi 39</w:t>
            </w:r>
            <w:r>
              <w:rPr>
                <w:rFonts w:cs="Arial"/>
                <w:color w:val="0D0D0D" w:themeColor="text1" w:themeTint="F2"/>
                <w:spacing w:val="-6"/>
              </w:rPr>
              <w:t> %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 xml:space="preserve"> dluhopisů, jejich zastoupení se za poslední dva roky výrazně neměnilo.</w:t>
            </w:r>
          </w:p>
        </w:tc>
      </w:tr>
      <w:tr w:rsidR="00E66768" w:rsidRPr="002102B2" w14:paraId="7949263B" w14:textId="77777777" w:rsidTr="00E66768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B70E5AE" w14:textId="77777777" w:rsidR="00E66768" w:rsidRDefault="00E66768" w:rsidP="00E66768">
            <w:pPr>
              <w:pStyle w:val="Marginlie"/>
            </w:pPr>
            <w:r>
              <w:t>Míra zadlužení sektoru vládních institucí v ČR klesla na konci roku 2019 na desetileté minimum.</w:t>
            </w:r>
          </w:p>
          <w:p w14:paraId="252805ED" w14:textId="77777777" w:rsidR="00E66768" w:rsidRDefault="00E66768" w:rsidP="00E66768">
            <w:pPr>
              <w:pStyle w:val="Marginlie"/>
            </w:pPr>
          </w:p>
          <w:p w14:paraId="0B78140A" w14:textId="77777777" w:rsidR="00E66768" w:rsidRDefault="00E66768" w:rsidP="00E66768">
            <w:pPr>
              <w:pStyle w:val="Marginlie"/>
            </w:pPr>
          </w:p>
          <w:p w14:paraId="18A58D4A" w14:textId="77777777" w:rsidR="00E66768" w:rsidRDefault="00E66768" w:rsidP="00E66768">
            <w:pPr>
              <w:pStyle w:val="Marginlie"/>
            </w:pPr>
          </w:p>
          <w:p w14:paraId="222A1891" w14:textId="77777777" w:rsidR="00E66768" w:rsidRDefault="00E66768" w:rsidP="00E66768">
            <w:pPr>
              <w:pStyle w:val="Marginlie"/>
            </w:pPr>
          </w:p>
          <w:p w14:paraId="43FD2D7F" w14:textId="77777777" w:rsidR="00E66768" w:rsidRDefault="00E66768" w:rsidP="00E66768">
            <w:pPr>
              <w:pStyle w:val="Marginlie"/>
            </w:pPr>
            <w:r>
              <w:t>Saldo hospodaření vládních institucí se v ČR i většině států EU během loňského roku zhoršovalo.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2C72B2A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DCFD5C9" w14:textId="77777777" w:rsidR="00E66768" w:rsidRPr="0031122A" w:rsidRDefault="00E66768" w:rsidP="00E66768">
            <w:pPr>
              <w:pStyle w:val="Textpoznpodarou"/>
              <w:spacing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  <w:r w:rsidRPr="00C75C88">
              <w:rPr>
                <w:rFonts w:cs="Arial"/>
                <w:color w:val="0D0D0D" w:themeColor="text1" w:themeTint="F2"/>
                <w:spacing w:val="-6"/>
              </w:rPr>
              <w:t xml:space="preserve">Na konci roku 2019 čítal konsolidovaný dluh sektoru vládních institucí dle údajů ČSÚ </w:t>
            </w:r>
            <w:r>
              <w:rPr>
                <w:rFonts w:cs="Arial"/>
                <w:color w:val="0D0D0D" w:themeColor="text1" w:themeTint="F2"/>
                <w:spacing w:val="-6"/>
              </w:rPr>
              <w:t>(</w:t>
            </w:r>
            <w:r w:rsidRPr="00C75C88">
              <w:rPr>
                <w:rFonts w:cs="Arial"/>
                <w:color w:val="0D0D0D" w:themeColor="text1" w:themeTint="F2"/>
                <w:spacing w:val="-6"/>
              </w:rPr>
              <w:t>prvně notifikovaných Eurostatem</w:t>
            </w:r>
            <w:r>
              <w:rPr>
                <w:rFonts w:cs="Arial"/>
                <w:color w:val="0D0D0D" w:themeColor="text1" w:themeTint="F2"/>
                <w:spacing w:val="-6"/>
              </w:rPr>
              <w:t>)</w:t>
            </w:r>
            <w:r w:rsidRPr="00C75C88">
              <w:rPr>
                <w:rFonts w:cs="Arial"/>
                <w:color w:val="0D0D0D" w:themeColor="text1" w:themeTint="F2"/>
                <w:spacing w:val="-6"/>
              </w:rPr>
              <w:t xml:space="preserve"> 1 738,7 mld. korun a míra za</w:t>
            </w:r>
            <w:r>
              <w:rPr>
                <w:rFonts w:cs="Arial"/>
                <w:color w:val="0D0D0D" w:themeColor="text1" w:themeTint="F2"/>
                <w:spacing w:val="-6"/>
              </w:rPr>
              <w:t>dlužení</w:t>
            </w:r>
            <w:r w:rsidRPr="00C75C88">
              <w:rPr>
                <w:rFonts w:cs="Arial"/>
                <w:color w:val="0D0D0D" w:themeColor="text1" w:themeTint="F2"/>
                <w:spacing w:val="-6"/>
              </w:rPr>
              <w:t xml:space="preserve"> 30,76</w:t>
            </w:r>
            <w:r>
              <w:rPr>
                <w:rFonts w:cs="Arial"/>
                <w:color w:val="0D0D0D" w:themeColor="text1" w:themeTint="F2"/>
                <w:spacing w:val="-6"/>
              </w:rPr>
              <w:t> % HDP (jedenáctileté</w:t>
            </w:r>
            <w:r w:rsidRPr="00C75C88">
              <w:rPr>
                <w:rFonts w:cs="Arial"/>
                <w:color w:val="0D0D0D" w:themeColor="text1" w:themeTint="F2"/>
                <w:spacing w:val="-6"/>
              </w:rPr>
              <w:t xml:space="preserve"> minimum</w:t>
            </w:r>
            <w:r>
              <w:rPr>
                <w:rFonts w:cs="Arial"/>
                <w:color w:val="0D0D0D" w:themeColor="text1" w:themeTint="F2"/>
                <w:spacing w:val="-6"/>
              </w:rPr>
              <w:t>). Saldo hospodaření za celý rok 2019 činilo +0,27 % HDP</w:t>
            </w:r>
            <w:r w:rsidRPr="0067514E">
              <w:rPr>
                <w:rStyle w:val="Znakapoznpodarou"/>
                <w:color w:val="000000" w:themeColor="text1"/>
                <w:spacing w:val="-6"/>
              </w:rPr>
              <w:footnoteReference w:id="11"/>
            </w:r>
            <w:r w:rsidRPr="00C75C88">
              <w:rPr>
                <w:rFonts w:cs="Arial"/>
                <w:color w:val="0D0D0D" w:themeColor="text1" w:themeTint="F2"/>
                <w:spacing w:val="-6"/>
              </w:rPr>
              <w:t>.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V EU27 činila míra zadlužení 77,8 % HDP, meziročně o 1,8 % méně. Již pátým rokem pokračoval trend mírné redukce zadlužení. Nejvíce se v roce 2019 snížilo zadlužení na Kypru (</w:t>
            </w:r>
            <w:r>
              <w:rPr>
                <w:spacing w:val="-6"/>
              </w:rPr>
              <w:t>–</w:t>
            </w:r>
            <w:r>
              <w:rPr>
                <w:rFonts w:cs="Arial"/>
                <w:color w:val="0D0D0D" w:themeColor="text1" w:themeTint="F2"/>
                <w:spacing w:val="-6"/>
              </w:rPr>
              <w:t>5,1 p. b.), mírný růst byl registrován jen ve třech málo zadlužených ekonomikách (Litva, Rumunsko, Lucembursko). Ve většině zemí EU (vč. ČR) se loni zadluženost snižovala pomaleji než v roce 2018. Česko dále patřilo do čtveřice nejméně zadlužených ekonomik Unie. Přebytkem hospodaření sektoru vládních institucí se loni mohlo pyšnit šestnáct států – nejvíce Dánsko (+3,6 % HDP), z velkých ekonomik EU zejména Německo (+1,4 %). Hlubší deficit sužoval Španělsko (</w:t>
            </w:r>
            <w:r>
              <w:rPr>
                <w:spacing w:val="-6"/>
              </w:rPr>
              <w:t>–</w:t>
            </w:r>
            <w:r>
              <w:rPr>
                <w:rFonts w:cs="Arial"/>
                <w:color w:val="0D0D0D" w:themeColor="text1" w:themeTint="F2"/>
                <w:spacing w:val="-6"/>
              </w:rPr>
              <w:t>2,8 %), Francii (</w:t>
            </w:r>
            <w:r>
              <w:rPr>
                <w:spacing w:val="-6"/>
              </w:rPr>
              <w:t>–</w:t>
            </w:r>
            <w:r>
              <w:rPr>
                <w:rFonts w:cs="Arial"/>
                <w:color w:val="0D0D0D" w:themeColor="text1" w:themeTint="F2"/>
                <w:spacing w:val="-6"/>
              </w:rPr>
              <w:t>3,0 %) a Rumunsko (</w:t>
            </w:r>
            <w:r>
              <w:rPr>
                <w:spacing w:val="-6"/>
              </w:rPr>
              <w:t>–</w:t>
            </w:r>
            <w:r>
              <w:rPr>
                <w:rFonts w:cs="Arial"/>
                <w:color w:val="0D0D0D" w:themeColor="text1" w:themeTint="F2"/>
                <w:spacing w:val="-6"/>
              </w:rPr>
              <w:t>4,3 %). Ve většině států docházelo vinou zpomalování výkonu ekonomiky během loňska ke zhoršování salda hospodaření vládního sektoru (v EU27 dle sezónně očištěných dat z </w:t>
            </w:r>
            <w:r>
              <w:rPr>
                <w:spacing w:val="-6"/>
              </w:rPr>
              <w:t>–0,4 % HDP v 1. čtvrtletí na–0,7 % ve 4. čtvrtletí 2019).</w:t>
            </w:r>
          </w:p>
        </w:tc>
      </w:tr>
      <w:tr w:rsidR="00E66768" w:rsidRPr="00F704D2" w14:paraId="0940F3F7" w14:textId="77777777" w:rsidTr="00E66768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064C97B4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43648804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2C2E111" w14:textId="444E9EAF" w:rsidR="00E66768" w:rsidRPr="0067514E" w:rsidRDefault="00E66768" w:rsidP="00E66768">
            <w:pPr>
              <w:spacing w:after="40" w:line="240" w:lineRule="auto"/>
              <w:jc w:val="left"/>
              <w:rPr>
                <w:rFonts w:cs="Arial"/>
                <w:bCs/>
                <w:spacing w:val="-6"/>
              </w:rPr>
            </w:pPr>
            <w:r w:rsidRPr="0067514E">
              <w:rPr>
                <w:b/>
                <w:spacing w:val="-6"/>
              </w:rPr>
              <w:t xml:space="preserve">Graf č. 17  </w:t>
            </w:r>
            <w:r w:rsidRPr="0067514E">
              <w:rPr>
                <w:rFonts w:cs="Arial"/>
                <w:b/>
                <w:bCs/>
                <w:spacing w:val="-6"/>
              </w:rPr>
              <w:t>Vybrané výdaje státního rozpočtu</w:t>
            </w:r>
            <w:r>
              <w:rPr>
                <w:rFonts w:cs="Arial"/>
                <w:bCs/>
                <w:spacing w:val="-6"/>
              </w:rPr>
              <w:t xml:space="preserve">  </w:t>
            </w:r>
            <w:r>
              <w:rPr>
                <w:rFonts w:cs="Arial"/>
                <w:b/>
                <w:bCs/>
              </w:rPr>
              <w:t>v rámci 1. čtvrtletí</w:t>
            </w:r>
            <w:r>
              <w:rPr>
                <w:rFonts w:cs="Arial"/>
                <w:bCs/>
                <w:spacing w:val="-6"/>
              </w:rPr>
              <w:t xml:space="preserve"> (v mld. korun</w:t>
            </w:r>
            <w:r w:rsidRPr="0067514E">
              <w:rPr>
                <w:rFonts w:cs="Arial"/>
                <w:bCs/>
                <w:spacing w:val="-6"/>
              </w:rPr>
              <w:t>)</w:t>
            </w:r>
          </w:p>
        </w:tc>
      </w:tr>
      <w:tr w:rsidR="00E66768" w14:paraId="1430B861" w14:textId="77777777" w:rsidTr="00E6676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1BDBF359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601352AC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605767A9" w14:textId="77777777" w:rsidR="00E66768" w:rsidRPr="0067514E" w:rsidRDefault="00E66768" w:rsidP="00E66768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65B41498" wp14:editId="5F960DB3">
                  <wp:extent cx="4752230" cy="3533034"/>
                  <wp:effectExtent l="0" t="0" r="0" b="0"/>
                  <wp:docPr id="21" name="Graf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66768" w:rsidRPr="00343AC1" w14:paraId="09E62E71" w14:textId="77777777" w:rsidTr="00E66768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2C1E2FFD" w14:textId="77777777" w:rsidR="00E66768" w:rsidRDefault="00E66768" w:rsidP="00E66768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1D23D315" w14:textId="77777777" w:rsidR="00E66768" w:rsidRDefault="00E66768" w:rsidP="00E66768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02657BC3" w14:textId="77777777" w:rsidR="00E66768" w:rsidRPr="0067514E" w:rsidRDefault="00E66768" w:rsidP="00E66768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*Pokrýv</w:t>
            </w:r>
            <w:r>
              <w:rPr>
                <w:spacing w:val="-6"/>
                <w:sz w:val="14"/>
                <w:szCs w:val="14"/>
              </w:rPr>
              <w:t>ají</w:t>
            </w:r>
            <w:r w:rsidRPr="0067514E">
              <w:rPr>
                <w:spacing w:val="-6"/>
                <w:sz w:val="14"/>
                <w:szCs w:val="14"/>
              </w:rPr>
              <w:t xml:space="preserve"> výdaje na platy v ústředních orgánech státní správy. Nezahrnuj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např. mzdové výdaje na regionální školství.</w:t>
            </w:r>
          </w:p>
          <w:p w14:paraId="0A49A4FC" w14:textId="77777777" w:rsidR="00E66768" w:rsidRDefault="00E66768" w:rsidP="00E66768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**Zahrnuje i dávky pěstounské péče.</w:t>
            </w:r>
          </w:p>
          <w:p w14:paraId="464B136B" w14:textId="77777777" w:rsidR="00E66768" w:rsidRDefault="00E66768" w:rsidP="00E66768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***Zahrnuj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dávky pomoci v hmotné nouzi, dávky osobám se zdravotním postižením, příspěvek na péči dle z</w:t>
            </w:r>
            <w:r>
              <w:rPr>
                <w:spacing w:val="-6"/>
                <w:sz w:val="14"/>
                <w:szCs w:val="14"/>
              </w:rPr>
              <w:t>ákona o sociálních službách.</w:t>
            </w:r>
          </w:p>
          <w:p w14:paraId="4934BF5C" w14:textId="77777777" w:rsidR="00E66768" w:rsidRDefault="00E66768" w:rsidP="00E66768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****Obsahuj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zejména výdaje na nákup služeb, materiálu, energií či ostatních služeb (např. výdaje na opravy a udržování).</w:t>
            </w:r>
          </w:p>
          <w:p w14:paraId="079E12A1" w14:textId="77777777" w:rsidR="00E66768" w:rsidRPr="0067514E" w:rsidRDefault="00E66768" w:rsidP="00E66768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*****Odpovídá saldu rozpočtové kapitoly Státní dluh.</w:t>
            </w:r>
          </w:p>
          <w:p w14:paraId="563D54AC" w14:textId="77777777" w:rsidR="00E66768" w:rsidRPr="0067514E" w:rsidRDefault="00E66768" w:rsidP="00E66768">
            <w:pPr>
              <w:spacing w:after="220" w:line="240" w:lineRule="auto"/>
              <w:rPr>
                <w:rFonts w:cs="Arial"/>
                <w:color w:val="0D0D0D" w:themeColor="text1" w:themeTint="F2"/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Zdroj: MF ČR, MPSV</w:t>
            </w:r>
          </w:p>
        </w:tc>
      </w:tr>
    </w:tbl>
    <w:p w14:paraId="400EECF4" w14:textId="3CAC1181" w:rsidR="00965797" w:rsidRPr="00C41D54" w:rsidRDefault="00965797" w:rsidP="0067514E">
      <w:pPr>
        <w:pStyle w:val="Nadpis11"/>
        <w:rPr>
          <w:b w:val="0"/>
          <w:sz w:val="2"/>
          <w:szCs w:val="2"/>
          <w:highlight w:val="yellow"/>
        </w:rPr>
      </w:pPr>
    </w:p>
    <w:sectPr w:rsidR="00965797" w:rsidRPr="00C41D54" w:rsidSect="00DE5F8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FE2A" w14:textId="77777777" w:rsidR="004E020F" w:rsidRDefault="004E020F" w:rsidP="00E71A58">
      <w:r>
        <w:separator/>
      </w:r>
    </w:p>
  </w:endnote>
  <w:endnote w:type="continuationSeparator" w:id="0">
    <w:p w14:paraId="11BFF184" w14:textId="77777777" w:rsidR="004E020F" w:rsidRDefault="004E020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52EE0A9B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DE5F89">
      <w:rPr>
        <w:szCs w:val="16"/>
      </w:rPr>
      <w:t>30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5B21BD8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DE5F89">
      <w:rPr>
        <w:rStyle w:val="ZpatChar"/>
        <w:szCs w:val="16"/>
      </w:rPr>
      <w:t>31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C506" w14:textId="77777777" w:rsidR="004E020F" w:rsidRDefault="004E020F" w:rsidP="00A21B4D">
      <w:pPr>
        <w:spacing w:after="0"/>
      </w:pPr>
      <w:r>
        <w:separator/>
      </w:r>
    </w:p>
  </w:footnote>
  <w:footnote w:type="continuationSeparator" w:id="0">
    <w:p w14:paraId="72D7643B" w14:textId="77777777" w:rsidR="004E020F" w:rsidRDefault="004E020F" w:rsidP="00E71A58">
      <w:r>
        <w:continuationSeparator/>
      </w:r>
    </w:p>
  </w:footnote>
  <w:footnote w:id="1">
    <w:p w14:paraId="7B6FD236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 w:rsidRPr="007F5302">
        <w:rPr>
          <w:color w:val="0D0D0D" w:themeColor="text1" w:themeTint="F2"/>
          <w:sz w:val="16"/>
          <w:szCs w:val="16"/>
        </w:rPr>
        <w:t xml:space="preserve">Pokud není uvedeno jinak, vycházejí všechny údaje týkající se státního rozpočtu </w:t>
      </w:r>
      <w:r w:rsidRPr="007F5302">
        <w:rPr>
          <w:rFonts w:cs="Arial"/>
          <w:color w:val="0D0D0D" w:themeColor="text1" w:themeTint="F2"/>
          <w:sz w:val="16"/>
          <w:szCs w:val="16"/>
        </w:rPr>
        <w:t>z</w:t>
      </w:r>
      <w:r>
        <w:rPr>
          <w:rFonts w:cs="Arial"/>
          <w:color w:val="0D0D0D" w:themeColor="text1" w:themeTint="F2"/>
          <w:sz w:val="16"/>
          <w:szCs w:val="16"/>
        </w:rPr>
        <w:t> </w:t>
      </w:r>
      <w:r w:rsidRPr="007F5302">
        <w:rPr>
          <w:rFonts w:cs="Arial"/>
          <w:color w:val="0D0D0D" w:themeColor="text1" w:themeTint="F2"/>
          <w:sz w:val="16"/>
          <w:szCs w:val="16"/>
        </w:rPr>
        <w:t>dat Ministerstva financí o pokladním plnění.</w:t>
      </w:r>
    </w:p>
  </w:footnote>
  <w:footnote w:id="2">
    <w:p w14:paraId="0BE05935" w14:textId="77777777" w:rsidR="00441F8B" w:rsidRPr="00E847B6" w:rsidRDefault="00441F8B" w:rsidP="00E66768">
      <w:pPr>
        <w:pStyle w:val="Textpoznpodarou"/>
        <w:jc w:val="both"/>
        <w:rPr>
          <w:spacing w:val="-2"/>
          <w:sz w:val="16"/>
          <w:szCs w:val="16"/>
        </w:rPr>
      </w:pPr>
      <w:r w:rsidRPr="00E847B6">
        <w:rPr>
          <w:rStyle w:val="Znakapoznpodarou"/>
          <w:spacing w:val="-2"/>
          <w:sz w:val="16"/>
          <w:szCs w:val="16"/>
        </w:rPr>
        <w:footnoteRef/>
      </w:r>
      <w:r w:rsidRPr="00E847B6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Tento deficit vycházel ze zákona o státním rozpočtu ČR (schváleného 4. prosince 2019). </w:t>
      </w:r>
      <w:r w:rsidRPr="00E847B6">
        <w:rPr>
          <w:color w:val="0D0D0D" w:themeColor="text1" w:themeTint="F2"/>
          <w:spacing w:val="-2"/>
          <w:sz w:val="16"/>
          <w:szCs w:val="16"/>
        </w:rPr>
        <w:t>V průběhu března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E847B6">
        <w:rPr>
          <w:color w:val="0D0D0D" w:themeColor="text1" w:themeTint="F2"/>
          <w:spacing w:val="-2"/>
          <w:sz w:val="16"/>
          <w:szCs w:val="16"/>
        </w:rPr>
        <w:t xml:space="preserve">dubna </w:t>
      </w:r>
      <w:r>
        <w:rPr>
          <w:color w:val="0D0D0D" w:themeColor="text1" w:themeTint="F2"/>
          <w:spacing w:val="-2"/>
          <w:sz w:val="16"/>
          <w:szCs w:val="16"/>
        </w:rPr>
        <w:t xml:space="preserve">2020 </w:t>
      </w:r>
      <w:r w:rsidRPr="00E847B6">
        <w:rPr>
          <w:color w:val="0D0D0D" w:themeColor="text1" w:themeTint="F2"/>
          <w:spacing w:val="-2"/>
          <w:sz w:val="16"/>
          <w:szCs w:val="16"/>
        </w:rPr>
        <w:t xml:space="preserve">byly </w:t>
      </w:r>
      <w:r>
        <w:rPr>
          <w:color w:val="0D0D0D" w:themeColor="text1" w:themeTint="F2"/>
          <w:spacing w:val="-2"/>
          <w:sz w:val="16"/>
          <w:szCs w:val="16"/>
        </w:rPr>
        <w:t xml:space="preserve">v důsledku očekávání negativních dopadů koronavirové krize </w:t>
      </w:r>
      <w:r w:rsidRPr="00E847B6">
        <w:rPr>
          <w:color w:val="0D0D0D" w:themeColor="text1" w:themeTint="F2"/>
          <w:spacing w:val="-2"/>
          <w:sz w:val="16"/>
          <w:szCs w:val="16"/>
        </w:rPr>
        <w:t>schváleny zákony počítající s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E847B6">
        <w:rPr>
          <w:color w:val="0D0D0D" w:themeColor="text1" w:themeTint="F2"/>
          <w:spacing w:val="-2"/>
          <w:sz w:val="16"/>
          <w:szCs w:val="16"/>
        </w:rPr>
        <w:t>prohloubením plánovaného deficitu až na 300</w:t>
      </w:r>
      <w:r>
        <w:rPr>
          <w:color w:val="0D0D0D" w:themeColor="text1" w:themeTint="F2"/>
          <w:spacing w:val="-2"/>
          <w:sz w:val="16"/>
          <w:szCs w:val="16"/>
        </w:rPr>
        <w:t> mld.</w:t>
      </w:r>
      <w:r w:rsidRPr="00E847B6">
        <w:rPr>
          <w:color w:val="0D0D0D" w:themeColor="text1" w:themeTint="F2"/>
          <w:spacing w:val="-2"/>
          <w:sz w:val="16"/>
          <w:szCs w:val="16"/>
        </w:rPr>
        <w:t xml:space="preserve"> korun.</w:t>
      </w:r>
    </w:p>
  </w:footnote>
  <w:footnote w:id="3">
    <w:p w14:paraId="38CAF5D6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Jde zejména o </w:t>
      </w:r>
      <w:r w:rsidRPr="00633C5C">
        <w:rPr>
          <w:color w:val="0D0D0D" w:themeColor="text1" w:themeTint="F2"/>
          <w:spacing w:val="-2"/>
          <w:sz w:val="16"/>
          <w:szCs w:val="16"/>
        </w:rPr>
        <w:t>odklad záloh OSVČ na</w:t>
      </w:r>
      <w:r>
        <w:rPr>
          <w:color w:val="0D0D0D" w:themeColor="text1" w:themeTint="F2"/>
          <w:spacing w:val="-2"/>
          <w:sz w:val="16"/>
          <w:szCs w:val="16"/>
        </w:rPr>
        <w:t xml:space="preserve"> sociální a zdravotní pojištění či o </w:t>
      </w:r>
      <w:r w:rsidRPr="007C4206">
        <w:rPr>
          <w:color w:val="0D0D0D" w:themeColor="text1" w:themeTint="F2"/>
          <w:spacing w:val="-2"/>
          <w:sz w:val="16"/>
          <w:szCs w:val="16"/>
        </w:rPr>
        <w:t>prodloužení lhůty pro podání přiznání k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7C4206">
        <w:rPr>
          <w:color w:val="0D0D0D" w:themeColor="text1" w:themeTint="F2"/>
          <w:spacing w:val="-2"/>
          <w:sz w:val="16"/>
          <w:szCs w:val="16"/>
        </w:rPr>
        <w:t>dani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7C4206">
        <w:rPr>
          <w:color w:val="0D0D0D" w:themeColor="text1" w:themeTint="F2"/>
          <w:spacing w:val="-2"/>
          <w:sz w:val="16"/>
          <w:szCs w:val="16"/>
        </w:rPr>
        <w:t>příjmů fyzických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7C4206">
        <w:rPr>
          <w:color w:val="0D0D0D" w:themeColor="text1" w:themeTint="F2"/>
          <w:spacing w:val="-2"/>
          <w:sz w:val="16"/>
          <w:szCs w:val="16"/>
        </w:rPr>
        <w:t>právnických osob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7C4206">
        <w:rPr>
          <w:color w:val="0D0D0D" w:themeColor="text1" w:themeTint="F2"/>
          <w:spacing w:val="-2"/>
          <w:sz w:val="16"/>
          <w:szCs w:val="16"/>
        </w:rPr>
        <w:t>její zaplacení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7C4206">
        <w:rPr>
          <w:color w:val="0D0D0D" w:themeColor="text1" w:themeTint="F2"/>
          <w:spacing w:val="-2"/>
          <w:sz w:val="16"/>
          <w:szCs w:val="16"/>
        </w:rPr>
        <w:t>1</w:t>
      </w:r>
      <w:r>
        <w:rPr>
          <w:color w:val="0D0D0D" w:themeColor="text1" w:themeTint="F2"/>
          <w:spacing w:val="-2"/>
          <w:sz w:val="16"/>
          <w:szCs w:val="16"/>
        </w:rPr>
        <w:t>. </w:t>
      </w:r>
      <w:r w:rsidRPr="007C4206">
        <w:rPr>
          <w:color w:val="0D0D0D" w:themeColor="text1" w:themeTint="F2"/>
          <w:spacing w:val="-2"/>
          <w:sz w:val="16"/>
          <w:szCs w:val="16"/>
        </w:rPr>
        <w:t>dubna na 1</w:t>
      </w:r>
      <w:r>
        <w:rPr>
          <w:color w:val="0D0D0D" w:themeColor="text1" w:themeTint="F2"/>
          <w:spacing w:val="-2"/>
          <w:sz w:val="16"/>
          <w:szCs w:val="16"/>
        </w:rPr>
        <w:t>. </w:t>
      </w:r>
      <w:r w:rsidRPr="007C4206">
        <w:rPr>
          <w:color w:val="0D0D0D" w:themeColor="text1" w:themeTint="F2"/>
          <w:spacing w:val="-2"/>
          <w:sz w:val="16"/>
          <w:szCs w:val="16"/>
        </w:rPr>
        <w:t>července</w:t>
      </w:r>
      <w:r>
        <w:rPr>
          <w:color w:val="0D0D0D" w:themeColor="text1" w:themeTint="F2"/>
          <w:spacing w:val="-2"/>
          <w:sz w:val="16"/>
          <w:szCs w:val="16"/>
        </w:rPr>
        <w:t>.</w:t>
      </w:r>
    </w:p>
  </w:footnote>
  <w:footnote w:id="4">
    <w:p w14:paraId="5D45D354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Celostátní daňové inkaso kleslo během dubna meziročně o 17 %, bez započtení pojistného na sociální zabezpečení dokonce o 32 %. Celkový letošní schodek státního rozpočtu se během dubna takřka zdvojnásobil, kumulativně za čtyři měsíce již činil 93,8 mld. korun.</w:t>
      </w:r>
    </w:p>
  </w:footnote>
  <w:footnote w:id="5">
    <w:p w14:paraId="5AC92D62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>Zahrnují i příjmy z tzv. Finančních mechanism</w:t>
      </w:r>
      <w:r w:rsidRPr="008272F8">
        <w:rPr>
          <w:sz w:val="16"/>
          <w:szCs w:val="16"/>
        </w:rPr>
        <w:t xml:space="preserve">ů </w:t>
      </w:r>
      <w:r w:rsidRPr="008272F8">
        <w:rPr>
          <w:rStyle w:val="Zdraznn"/>
          <w:i w:val="0"/>
          <w:iCs w:val="0"/>
          <w:color w:val="0D0D0D" w:themeColor="text1" w:themeTint="F2"/>
          <w:spacing w:val="-2"/>
          <w:sz w:val="16"/>
          <w:szCs w:val="16"/>
        </w:rPr>
        <w:t>(EHP a</w:t>
      </w:r>
      <w:r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 </w:t>
      </w:r>
      <w:r w:rsidRPr="00D0716A"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Norské fondy, Program švýcarsko</w:t>
      </w:r>
      <w:r>
        <w:rPr>
          <w:rStyle w:val="Zdraznn"/>
          <w:i w:val="0"/>
          <w:color w:val="0D0D0D" w:themeColor="text1" w:themeTint="F2"/>
          <w:spacing w:val="-2"/>
          <w:sz w:val="16"/>
          <w:szCs w:val="16"/>
        </w:rPr>
        <w:noBreakHyphen/>
      </w:r>
      <w:r w:rsidRPr="00D0716A"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české spolupráce)</w:t>
      </w:r>
      <w:r>
        <w:rPr>
          <w:rStyle w:val="Zdraznn"/>
          <w:i w:val="0"/>
          <w:color w:val="0D0D0D" w:themeColor="text1" w:themeTint="F2"/>
          <w:spacing w:val="-2"/>
          <w:sz w:val="16"/>
          <w:szCs w:val="16"/>
        </w:rPr>
        <w:t>.</w:t>
      </w:r>
    </w:p>
  </w:footnote>
  <w:footnote w:id="6">
    <w:p w14:paraId="72DEE9B5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>V březnu představoval nákup materiálu 5,3 mld. korun, meziročně o 3,8 mld. více (podobně jako za celé 1. čtvrtletí).</w:t>
      </w:r>
    </w:p>
  </w:footnote>
  <w:footnote w:id="7">
    <w:p w14:paraId="6CB8AE2D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Růst výdajů na </w:t>
      </w:r>
      <w:r>
        <w:rPr>
          <w:color w:val="0D0D0D" w:themeColor="text1" w:themeTint="F2"/>
          <w:sz w:val="16"/>
          <w:szCs w:val="16"/>
        </w:rPr>
        <w:t>platy zaměstnanců v regionálním školství dosáhl od 1. ledna 2020 výše 10 %.</w:t>
      </w:r>
    </w:p>
  </w:footnote>
  <w:footnote w:id="8">
    <w:p w14:paraId="03FEE412" w14:textId="77777777" w:rsidR="00441F8B" w:rsidRPr="006D61C4" w:rsidRDefault="00441F8B" w:rsidP="00E66768">
      <w:pPr>
        <w:pStyle w:val="Textpoznpodarou"/>
        <w:jc w:val="both"/>
        <w:rPr>
          <w:sz w:val="16"/>
          <w:szCs w:val="16"/>
        </w:rPr>
      </w:pPr>
      <w:r w:rsidRPr="006D61C4">
        <w:rPr>
          <w:rStyle w:val="Znakapoznpodarou"/>
          <w:sz w:val="16"/>
          <w:szCs w:val="16"/>
        </w:rPr>
        <w:footnoteRef/>
      </w:r>
      <w:r w:rsidRPr="006D61C4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Základní výměra</w:t>
      </w:r>
      <w:r w:rsidRPr="008274EF">
        <w:rPr>
          <w:color w:val="0D0D0D" w:themeColor="text1" w:themeTint="F2"/>
          <w:spacing w:val="-2"/>
          <w:sz w:val="16"/>
          <w:szCs w:val="16"/>
        </w:rPr>
        <w:t xml:space="preserve"> důchodu </w:t>
      </w:r>
      <w:r>
        <w:rPr>
          <w:color w:val="0D0D0D" w:themeColor="text1" w:themeTint="F2"/>
          <w:spacing w:val="-2"/>
          <w:sz w:val="16"/>
          <w:szCs w:val="16"/>
        </w:rPr>
        <w:t>se zvýšila o 220 korun (3 490 korun), procentní výměra vzrostla o 5,2 % a o dodatečnou částku 151 korun. Průměrný starobní důchod byl posílen o 900 korun, resp. o 6,7 % měsíčně.</w:t>
      </w:r>
    </w:p>
  </w:footnote>
  <w:footnote w:id="9">
    <w:p w14:paraId="6480336B" w14:textId="77777777" w:rsidR="00441F8B" w:rsidRPr="006B5B53" w:rsidRDefault="00441F8B" w:rsidP="00E66768">
      <w:pPr>
        <w:pStyle w:val="Textpoznpodarou"/>
        <w:jc w:val="both"/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 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Ve výdajích nejsou zahrnuty prostředky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 xml:space="preserve"> na správu systému důchodového </w:t>
      </w:r>
      <w:r w:rsidRPr="004D1257">
        <w:rPr>
          <w:rFonts w:cs="Arial"/>
          <w:color w:val="0D0D0D" w:themeColor="text1" w:themeTint="F2"/>
          <w:spacing w:val="-4"/>
          <w:sz w:val="16"/>
          <w:szCs w:val="16"/>
        </w:rPr>
        <w:t>pojištění (v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 za celý rok</w:t>
      </w:r>
      <w:r w:rsidRPr="004D1257">
        <w:rPr>
          <w:rFonts w:cs="Arial"/>
          <w:color w:val="0D0D0D" w:themeColor="text1" w:themeTint="F2"/>
          <w:spacing w:val="-4"/>
          <w:sz w:val="16"/>
          <w:szCs w:val="16"/>
        </w:rPr>
        <w:t xml:space="preserve"> 2019 dosáhly </w:t>
      </w:r>
      <w:r>
        <w:rPr>
          <w:rFonts w:cs="Arial"/>
          <w:color w:val="000000" w:themeColor="text1"/>
          <w:spacing w:val="-4"/>
          <w:sz w:val="16"/>
          <w:szCs w:val="16"/>
        </w:rPr>
        <w:t>dle údajů MF 6,3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 mld. korun).</w:t>
      </w:r>
    </w:p>
  </w:footnote>
  <w:footnote w:id="10">
    <w:p w14:paraId="25418882" w14:textId="77777777" w:rsidR="00441F8B" w:rsidRPr="007F5302" w:rsidRDefault="00441F8B" w:rsidP="00E66768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>Počet registrovaných uchazečů o práci meziročně stagnoval, vzrostl ale podíl osob s nárokem na podporu (v březnu na 37 % uchazečů).</w:t>
      </w:r>
    </w:p>
  </w:footnote>
  <w:footnote w:id="11">
    <w:p w14:paraId="5E1EA7A2" w14:textId="77777777" w:rsidR="00441F8B" w:rsidRDefault="00441F8B" w:rsidP="00E66768">
      <w:pPr>
        <w:pStyle w:val="Textpoznpodarou"/>
        <w:rPr>
          <w:color w:val="0D0D0D" w:themeColor="text1" w:themeTint="F2"/>
          <w:spacing w:val="-3"/>
          <w:sz w:val="16"/>
          <w:szCs w:val="16"/>
        </w:rPr>
      </w:pPr>
      <w:r w:rsidRPr="00E9220F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E9220F">
        <w:rPr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 xml:space="preserve">Podrobnější rozbor hospodaření sektoru vládních institucí v ČR je uveden v předchozí zprávě o vývoji ekonomiky ČR: </w:t>
      </w:r>
      <w:hyperlink r:id="rId1" w:history="1">
        <w:r w:rsidRPr="009C6F2F">
          <w:rPr>
            <w:rStyle w:val="Hypertextovodkaz"/>
            <w:spacing w:val="-2"/>
            <w:sz w:val="16"/>
            <w:szCs w:val="16"/>
          </w:rPr>
          <w:t>https://www.czso.cz/csu/czso/vyvoj-ekonomiky-ceske-republiky-4-ctvrtleti-2019</w:t>
        </w:r>
      </w:hyperlink>
      <w:r>
        <w:rPr>
          <w:color w:val="0D0D0D" w:themeColor="text1" w:themeTint="F2"/>
          <w:spacing w:val="-3"/>
          <w:sz w:val="16"/>
          <w:szCs w:val="16"/>
        </w:rPr>
        <w:t>.</w:t>
      </w:r>
    </w:p>
    <w:p w14:paraId="5911EBD5" w14:textId="77777777" w:rsidR="00441F8B" w:rsidRPr="00D12C2F" w:rsidRDefault="00441F8B" w:rsidP="00E66768">
      <w:pPr>
        <w:pStyle w:val="Textpoznpodarou"/>
        <w:rPr>
          <w:color w:val="0D0D0D" w:themeColor="text1" w:themeTint="F2"/>
          <w:spacing w:val="-2"/>
          <w:sz w:val="16"/>
          <w:szCs w:val="16"/>
        </w:rPr>
      </w:pPr>
      <w:r w:rsidRPr="0061451F">
        <w:rPr>
          <w:color w:val="0D0D0D" w:themeColor="text1" w:themeTint="F2"/>
          <w:spacing w:val="-3"/>
          <w:sz w:val="16"/>
          <w:szCs w:val="16"/>
        </w:rPr>
        <w:t>Předběžné údaje o dluhu a deficitu sektoru vládních institucí za 1.</w:t>
      </w:r>
      <w:r>
        <w:rPr>
          <w:color w:val="0D0D0D" w:themeColor="text1" w:themeTint="F2"/>
          <w:spacing w:val="-3"/>
          <w:sz w:val="16"/>
          <w:szCs w:val="16"/>
        </w:rPr>
        <w:t> čtvrtlet</w:t>
      </w:r>
      <w:r w:rsidRPr="0061451F">
        <w:rPr>
          <w:color w:val="0D0D0D" w:themeColor="text1" w:themeTint="F2"/>
          <w:spacing w:val="-3"/>
          <w:sz w:val="16"/>
          <w:szCs w:val="16"/>
        </w:rPr>
        <w:t>í 2020 zveřejní ČSÚ 1</w:t>
      </w:r>
      <w:r>
        <w:rPr>
          <w:color w:val="0D0D0D" w:themeColor="text1" w:themeTint="F2"/>
          <w:spacing w:val="-3"/>
          <w:sz w:val="16"/>
          <w:szCs w:val="16"/>
        </w:rPr>
        <w:t>. </w:t>
      </w:r>
      <w:r w:rsidRPr="0061451F">
        <w:rPr>
          <w:color w:val="0D0D0D" w:themeColor="text1" w:themeTint="F2"/>
          <w:spacing w:val="-3"/>
          <w:sz w:val="16"/>
          <w:szCs w:val="16"/>
        </w:rPr>
        <w:t>července, Eurostat na konci července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020F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5F89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vyvoj-ekonomiky-ceske-republiky-4-ctvrtleti-20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St&#225;tn&#237;%20rozpo&#269;et\Grafy-st&#225;tn&#237;%20rozpo&#269;et-rok-2020-1q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St&#225;tn&#237;%20rozpo&#269;et\Grafy-st&#225;tn&#237;%20rozpo&#269;et-rok-2020-1q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941807701508628E-2"/>
          <c:y val="1.7107238390107405E-2"/>
          <c:w val="0.85025814723822324"/>
          <c:h val="0.81082663967425594"/>
        </c:manualLayout>
      </c:layout>
      <c:barChart>
        <c:barDir val="col"/>
        <c:grouping val="clustered"/>
        <c:varyColors val="0"/>
        <c:ser>
          <c:idx val="2"/>
          <c:order val="4"/>
          <c:tx>
            <c:strRef>
              <c:f>'Státní rozpočet-příjmy'!$A$37</c:f>
              <c:strCache>
                <c:ptCount val="1"/>
                <c:pt idx="0">
                  <c:v>Saldo státního rozpočtu (SR, 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rozpočet-příjmy'!$B$37:$N$37</c:f>
              <c:numCache>
                <c:formatCode>#\ ##0.0</c:formatCode>
                <c:ptCount val="13"/>
                <c:pt idx="0">
                  <c:v>-13.347</c:v>
                </c:pt>
                <c:pt idx="1">
                  <c:v>-2.3460000000000001</c:v>
                </c:pt>
                <c:pt idx="2">
                  <c:v>-45.942</c:v>
                </c:pt>
                <c:pt idx="3">
                  <c:v>-25.202000000000002</c:v>
                </c:pt>
                <c:pt idx="4">
                  <c:v>-22.69</c:v>
                </c:pt>
                <c:pt idx="5">
                  <c:v>13.97</c:v>
                </c:pt>
                <c:pt idx="6">
                  <c:v>43.59</c:v>
                </c:pt>
                <c:pt idx="7">
                  <c:v>19.91</c:v>
                </c:pt>
                <c:pt idx="8">
                  <c:v>43.6</c:v>
                </c:pt>
                <c:pt idx="9">
                  <c:v>4.68</c:v>
                </c:pt>
                <c:pt idx="10">
                  <c:v>16.260000000000002</c:v>
                </c:pt>
                <c:pt idx="11">
                  <c:v>-9.24</c:v>
                </c:pt>
                <c:pt idx="12">
                  <c:v>-44.70771591839997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DA-4841-BC40-3ECF607A7AD2}"/>
            </c:ext>
          </c:extLst>
        </c:ser>
        <c:ser>
          <c:idx val="5"/>
          <c:order val="5"/>
          <c:tx>
            <c:strRef>
              <c:f>'Státní rozpočet-příjmy'!$A$38</c:f>
              <c:strCache>
                <c:ptCount val="1"/>
                <c:pt idx="0">
                  <c:v>Saldo SR očištěné o vliv EU a FM* (pr.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rozpočet-příjmy'!$B$38:$N$38</c:f>
              <c:numCache>
                <c:formatCode>General</c:formatCode>
                <c:ptCount val="13"/>
                <c:pt idx="5" formatCode="0.0">
                  <c:v>-9.4</c:v>
                </c:pt>
                <c:pt idx="6" formatCode="0.0">
                  <c:v>11</c:v>
                </c:pt>
                <c:pt idx="7">
                  <c:v>-18.100000000000001</c:v>
                </c:pt>
                <c:pt idx="8" formatCode="#\ ##0.0">
                  <c:v>-11.9</c:v>
                </c:pt>
                <c:pt idx="9" formatCode="#\ ##0.0">
                  <c:v>-4.5599999999999996</c:v>
                </c:pt>
                <c:pt idx="10" formatCode="#\ ##0.0">
                  <c:v>-5.26</c:v>
                </c:pt>
                <c:pt idx="11" formatCode="#\ ##0.0">
                  <c:v>-6.1961843930897658</c:v>
                </c:pt>
                <c:pt idx="12" formatCode="#\ ##0.0">
                  <c:v>-41.582504753719945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DA-4841-BC40-3ECF607A7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2"/>
        <c:axId val="539204576"/>
        <c:axId val="556140592"/>
      </c:barChart>
      <c:lineChart>
        <c:grouping val="standard"/>
        <c:varyColors val="0"/>
        <c:ser>
          <c:idx val="0"/>
          <c:order val="0"/>
          <c:tx>
            <c:strRef>
              <c:f>'Státní rozpočet-příjmy'!$A$33</c:f>
              <c:strCache>
                <c:ptCount val="1"/>
                <c:pt idx="0">
                  <c:v>Daně z příjmů fyz. osob ze závislé činnosti</c:v>
                </c:pt>
              </c:strCache>
            </c:strRef>
          </c:tx>
          <c:spPr>
            <a:ln w="19050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rozpočet-příjmy'!$B$33:$N$33</c:f>
              <c:numCache>
                <c:formatCode>0.0</c:formatCode>
                <c:ptCount val="13"/>
                <c:pt idx="0">
                  <c:v>1.2636612021857729</c:v>
                </c:pt>
                <c:pt idx="1">
                  <c:v>-4.5531197301855002</c:v>
                </c:pt>
                <c:pt idx="2">
                  <c:v>-1.7314487632508815</c:v>
                </c:pt>
                <c:pt idx="3">
                  <c:v>3.8475368572455864</c:v>
                </c:pt>
                <c:pt idx="4">
                  <c:v>3.8781163434903192</c:v>
                </c:pt>
                <c:pt idx="5">
                  <c:v>4.5000000000000142</c:v>
                </c:pt>
                <c:pt idx="6">
                  <c:v>0.7655502392344431</c:v>
                </c:pt>
                <c:pt idx="7">
                  <c:v>1.772712883823985</c:v>
                </c:pt>
                <c:pt idx="8">
                  <c:v>8.2426127527216266</c:v>
                </c:pt>
                <c:pt idx="9">
                  <c:v>10.287356321839098</c:v>
                </c:pt>
                <c:pt idx="10">
                  <c:v>15.398645127670662</c:v>
                </c:pt>
                <c:pt idx="11">
                  <c:v>12.485888462406862</c:v>
                </c:pt>
                <c:pt idx="12">
                  <c:v>9.9123042259534344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DA-4841-BC40-3ECF607A7AD2}"/>
            </c:ext>
          </c:extLst>
        </c:ser>
        <c:ser>
          <c:idx val="1"/>
          <c:order val="1"/>
          <c:tx>
            <c:strRef>
              <c:f>'Státní rozpočet-příjmy'!$A$34</c:f>
              <c:strCache>
                <c:ptCount val="1"/>
                <c:pt idx="0">
                  <c:v>Daně z příjmů právnických osob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rozpočet-příjmy'!$B$34:$N$34</c:f>
              <c:numCache>
                <c:formatCode>0.0</c:formatCode>
                <c:ptCount val="13"/>
                <c:pt idx="0">
                  <c:v>18.38259175056838</c:v>
                </c:pt>
                <c:pt idx="1">
                  <c:v>-14.074074074074076</c:v>
                </c:pt>
                <c:pt idx="2">
                  <c:v>-3.1928480204342691E-2</c:v>
                </c:pt>
                <c:pt idx="3">
                  <c:v>-8.6234429894602442</c:v>
                </c:pt>
                <c:pt idx="4">
                  <c:v>-0.66410346032854761</c:v>
                </c:pt>
                <c:pt idx="5">
                  <c:v>-0.49261083743841994</c:v>
                </c:pt>
                <c:pt idx="6">
                  <c:v>2.5813295615275962</c:v>
                </c:pt>
                <c:pt idx="7">
                  <c:v>7.2388831437435215</c:v>
                </c:pt>
                <c:pt idx="8">
                  <c:v>12.600450016072017</c:v>
                </c:pt>
                <c:pt idx="9">
                  <c:v>10.248358549814427</c:v>
                </c:pt>
                <c:pt idx="10">
                  <c:v>1.1651993785603452</c:v>
                </c:pt>
                <c:pt idx="11">
                  <c:v>3.7880726900435064</c:v>
                </c:pt>
                <c:pt idx="12">
                  <c:v>1.9680718055980151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DA-4841-BC40-3ECF607A7AD2}"/>
            </c:ext>
          </c:extLst>
        </c:ser>
        <c:ser>
          <c:idx val="3"/>
          <c:order val="2"/>
          <c:tx>
            <c:strRef>
              <c:f>'Státní rozpočet-příjmy'!$A$35</c:f>
              <c:strCache>
                <c:ptCount val="1"/>
                <c:pt idx="0">
                  <c:v>DPH</c:v>
                </c:pt>
              </c:strCache>
            </c:strRef>
          </c:tx>
          <c:spPr>
            <a:ln w="19050">
              <a:solidFill>
                <a:srgbClr val="7DBB2D"/>
              </a:solidFill>
              <a:prstDash val="solid"/>
            </a:ln>
          </c:spPr>
          <c:marker>
            <c:symbol val="none"/>
          </c:marker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rozpočet-příjmy'!$B$35:$N$35</c:f>
              <c:numCache>
                <c:formatCode>0.0</c:formatCode>
                <c:ptCount val="13"/>
                <c:pt idx="0">
                  <c:v>4.3689320388349557</c:v>
                </c:pt>
                <c:pt idx="1">
                  <c:v>-6.4254952627045583</c:v>
                </c:pt>
                <c:pt idx="2">
                  <c:v>11.616347569955821</c:v>
                </c:pt>
                <c:pt idx="3">
                  <c:v>-6.6138875144318092</c:v>
                </c:pt>
                <c:pt idx="4">
                  <c:v>3.2144118685976792</c:v>
                </c:pt>
                <c:pt idx="5">
                  <c:v>25.496235455167707</c:v>
                </c:pt>
                <c:pt idx="6">
                  <c:v>15.121352604308711</c:v>
                </c:pt>
                <c:pt idx="7">
                  <c:v>-14.307710529432683</c:v>
                </c:pt>
                <c:pt idx="8">
                  <c:v>4.1879751209398677</c:v>
                </c:pt>
                <c:pt idx="9">
                  <c:v>8.6229769169541015</c:v>
                </c:pt>
                <c:pt idx="10">
                  <c:v>13.14118221787983</c:v>
                </c:pt>
                <c:pt idx="11">
                  <c:v>-0.16191709844561331</c:v>
                </c:pt>
                <c:pt idx="12">
                  <c:v>5.7174974991134349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CDA-4841-BC40-3ECF607A7AD2}"/>
            </c:ext>
          </c:extLst>
        </c:ser>
        <c:ser>
          <c:idx val="4"/>
          <c:order val="3"/>
          <c:tx>
            <c:strRef>
              <c:f>'Státní rozpočet-příjmy'!$A$36</c:f>
              <c:strCache>
                <c:ptCount val="1"/>
                <c:pt idx="0">
                  <c:v>Spotřební daň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984807"/>
              </a:solidFill>
              <a:ln>
                <a:noFill/>
              </a:ln>
            </c:spPr>
          </c:marker>
          <c:cat>
            <c:numRef>
              <c:f>'Státní rozpočet-příjmy'!$B$32:$N$32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'Státní rozpočet-příjmy'!$B$36:$N$36</c:f>
              <c:numCache>
                <c:formatCode>0.0</c:formatCode>
                <c:ptCount val="13"/>
                <c:pt idx="0">
                  <c:v>-0.98070230939575254</c:v>
                </c:pt>
                <c:pt idx="1">
                  <c:v>-13.322683706070293</c:v>
                </c:pt>
                <c:pt idx="2">
                  <c:v>28.603022484334673</c:v>
                </c:pt>
                <c:pt idx="3">
                  <c:v>-3.6113499570077323</c:v>
                </c:pt>
                <c:pt idx="4">
                  <c:v>9.5450490633363074</c:v>
                </c:pt>
                <c:pt idx="5">
                  <c:v>9.9077090119435383</c:v>
                </c:pt>
                <c:pt idx="6">
                  <c:v>13.879970363052593</c:v>
                </c:pt>
                <c:pt idx="7">
                  <c:v>-27.998265018434182</c:v>
                </c:pt>
                <c:pt idx="8">
                  <c:v>8.162650602409613</c:v>
                </c:pt>
                <c:pt idx="9">
                  <c:v>2.339181286549703</c:v>
                </c:pt>
                <c:pt idx="10">
                  <c:v>3.4013605442176953</c:v>
                </c:pt>
                <c:pt idx="11">
                  <c:v>-3.8421052631579045</c:v>
                </c:pt>
                <c:pt idx="12">
                  <c:v>7.1724296093322408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DA-4841-BC40-3ECF607A7A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467712"/>
        <c:axId val="194473984"/>
      </c:lineChart>
      <c:catAx>
        <c:axId val="19446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94473984"/>
        <c:crosses val="autoZero"/>
        <c:auto val="1"/>
        <c:lblAlgn val="ctr"/>
        <c:lblOffset val="0"/>
        <c:noMultiLvlLbl val="0"/>
      </c:catAx>
      <c:valAx>
        <c:axId val="194473984"/>
        <c:scaling>
          <c:orientation val="minMax"/>
          <c:max val="50"/>
          <c:min val="-5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Jednotlivé</a:t>
                </a:r>
                <a:r>
                  <a:rPr lang="cs-CZ" sz="700" b="0" i="1" baseline="0"/>
                  <a:t> druhy příjmů (změna v %)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194467712"/>
        <c:crosses val="autoZero"/>
        <c:crossBetween val="between"/>
        <c:majorUnit val="10"/>
      </c:valAx>
      <c:valAx>
        <c:axId val="556140592"/>
        <c:scaling>
          <c:orientation val="minMax"/>
          <c:min val="-5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Saldo státního rozpočtu (v mld. korun)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539204576"/>
        <c:crosses val="max"/>
        <c:crossBetween val="between"/>
      </c:valAx>
      <c:catAx>
        <c:axId val="539204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14059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0"/>
          <c:y val="0.87940118588475147"/>
          <c:w val="0.99403086548232933"/>
          <c:h val="0.1133968118585998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233554716266127E-2"/>
          <c:y val="1.7112323287741892E-2"/>
          <c:w val="0.82968371809808084"/>
          <c:h val="0.76067747074773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'SR-výdaje-celorok-2019'!$B$30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rgbClr val="D3D3D3"/>
            </a:solidFill>
            <a:ln>
              <a:noFill/>
            </a:ln>
          </c:spPr>
          <c:invertIfNegative val="0"/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'SR-výdaje-celorok-2019'!$B$34:$B$46</c:f>
              <c:numCache>
                <c:formatCode>0.0</c:formatCode>
                <c:ptCount val="13"/>
                <c:pt idx="0">
                  <c:v>251.64</c:v>
                </c:pt>
                <c:pt idx="1">
                  <c:v>242.03</c:v>
                </c:pt>
                <c:pt idx="2">
                  <c:v>262.01</c:v>
                </c:pt>
                <c:pt idx="3">
                  <c:v>252.45</c:v>
                </c:pt>
                <c:pt idx="4">
                  <c:v>258.94</c:v>
                </c:pt>
                <c:pt idx="5">
                  <c:v>261.20999999999998</c:v>
                </c:pt>
                <c:pt idx="6">
                  <c:v>265.72000000000003</c:v>
                </c:pt>
                <c:pt idx="7">
                  <c:v>274.76</c:v>
                </c:pt>
                <c:pt idx="8">
                  <c:v>278.33</c:v>
                </c:pt>
                <c:pt idx="9">
                  <c:v>296.72000000000003</c:v>
                </c:pt>
                <c:pt idx="10">
                  <c:v>317.70999999999998</c:v>
                </c:pt>
                <c:pt idx="11">
                  <c:v>357.12</c:v>
                </c:pt>
                <c:pt idx="12">
                  <c:v>398.64712341415998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CB-4C4A-A385-80984D76B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'SR-výdaje-celorok-2019'!$C$30</c:f>
              <c:strCache>
                <c:ptCount val="1"/>
                <c:pt idx="0">
                  <c:v>Platy a související výdaje*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'SR-výdaje-celorok-2019'!$C$34:$C$46</c:f>
              <c:numCache>
                <c:formatCode>0.0</c:formatCode>
                <c:ptCount val="13"/>
                <c:pt idx="0">
                  <c:v>14.73</c:v>
                </c:pt>
                <c:pt idx="1">
                  <c:v>15.14</c:v>
                </c:pt>
                <c:pt idx="2">
                  <c:v>15.42</c:v>
                </c:pt>
                <c:pt idx="3">
                  <c:v>14.05</c:v>
                </c:pt>
                <c:pt idx="4">
                  <c:v>14.35</c:v>
                </c:pt>
                <c:pt idx="5">
                  <c:v>14.46</c:v>
                </c:pt>
                <c:pt idx="6">
                  <c:v>14.8</c:v>
                </c:pt>
                <c:pt idx="7">
                  <c:v>15.8</c:v>
                </c:pt>
                <c:pt idx="8">
                  <c:v>16.75</c:v>
                </c:pt>
                <c:pt idx="9">
                  <c:v>17.75</c:v>
                </c:pt>
                <c:pt idx="10">
                  <c:v>20.47</c:v>
                </c:pt>
                <c:pt idx="11">
                  <c:v>22.19</c:v>
                </c:pt>
                <c:pt idx="12">
                  <c:v>23.3823472427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CB-4C4A-A385-80984D76B287}"/>
            </c:ext>
          </c:extLst>
        </c:ser>
        <c:ser>
          <c:idx val="6"/>
          <c:order val="2"/>
          <c:tx>
            <c:strRef>
              <c:f>'SR-výdaje-celorok-2019'!$D$30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'SR-výdaje-celorok-2019'!$D$34:$D$46</c:f>
              <c:numCache>
                <c:formatCode>0.0</c:formatCode>
                <c:ptCount val="13"/>
                <c:pt idx="0">
                  <c:v>1.87</c:v>
                </c:pt>
                <c:pt idx="1">
                  <c:v>3.07</c:v>
                </c:pt>
                <c:pt idx="2">
                  <c:v>4.21</c:v>
                </c:pt>
                <c:pt idx="3">
                  <c:v>3.62</c:v>
                </c:pt>
                <c:pt idx="4">
                  <c:v>2.63</c:v>
                </c:pt>
                <c:pt idx="5">
                  <c:v>2.82</c:v>
                </c:pt>
                <c:pt idx="6">
                  <c:v>2.86</c:v>
                </c:pt>
                <c:pt idx="7">
                  <c:v>2.56</c:v>
                </c:pt>
                <c:pt idx="8">
                  <c:v>2.4500000000000002</c:v>
                </c:pt>
                <c:pt idx="9">
                  <c:v>2.42</c:v>
                </c:pt>
                <c:pt idx="10">
                  <c:v>2.21</c:v>
                </c:pt>
                <c:pt idx="11">
                  <c:v>2.30140118962</c:v>
                </c:pt>
                <c:pt idx="12">
                  <c:v>2.4618649264500001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CB-4C4A-A385-80984D76B287}"/>
            </c:ext>
          </c:extLst>
        </c:ser>
        <c:ser>
          <c:idx val="7"/>
          <c:order val="3"/>
          <c:tx>
            <c:strRef>
              <c:f>'SR-výdaje-celorok-2019'!$E$30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'SR-výdaje-celorok-2019'!$E$34:$E$46</c:f>
              <c:numCache>
                <c:formatCode>General</c:formatCode>
                <c:ptCount val="13"/>
                <c:pt idx="0">
                  <c:v>11.07</c:v>
                </c:pt>
                <c:pt idx="1">
                  <c:v>10.199999999999999</c:v>
                </c:pt>
                <c:pt idx="2">
                  <c:v>10.3</c:v>
                </c:pt>
                <c:pt idx="3">
                  <c:v>9.3800000000000008</c:v>
                </c:pt>
                <c:pt idx="4">
                  <c:v>8.89</c:v>
                </c:pt>
                <c:pt idx="5">
                  <c:v>9.2200000000000006</c:v>
                </c:pt>
                <c:pt idx="6">
                  <c:v>9.3699999999999992</c:v>
                </c:pt>
                <c:pt idx="7">
                  <c:v>9.33</c:v>
                </c:pt>
                <c:pt idx="8">
                  <c:v>9.3800000000000008</c:v>
                </c:pt>
                <c:pt idx="9">
                  <c:v>9.2899999999999991</c:v>
                </c:pt>
                <c:pt idx="10">
                  <c:v>9.48</c:v>
                </c:pt>
                <c:pt idx="11" formatCode="0.00">
                  <c:v>9.5169305102399999</c:v>
                </c:pt>
                <c:pt idx="12">
                  <c:v>11.83410995721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BCB-4C4A-A385-80984D76B287}"/>
            </c:ext>
          </c:extLst>
        </c:ser>
        <c:ser>
          <c:idx val="2"/>
          <c:order val="4"/>
          <c:tx>
            <c:strRef>
              <c:f>'SR-výdaje-celorok-2019'!$F$30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'SR-výdaje-celorok-2019'!$F$34:$F$46</c:f>
              <c:numCache>
                <c:formatCode>0.00</c:formatCode>
                <c:ptCount val="13"/>
                <c:pt idx="0">
                  <c:v>9.09</c:v>
                </c:pt>
                <c:pt idx="1">
                  <c:v>7.27</c:v>
                </c:pt>
                <c:pt idx="2">
                  <c:v>6.07</c:v>
                </c:pt>
                <c:pt idx="3">
                  <c:v>6.07</c:v>
                </c:pt>
                <c:pt idx="4">
                  <c:v>5.21</c:v>
                </c:pt>
                <c:pt idx="5">
                  <c:v>5.3</c:v>
                </c:pt>
                <c:pt idx="6">
                  <c:v>5.47</c:v>
                </c:pt>
                <c:pt idx="7">
                  <c:v>6.21</c:v>
                </c:pt>
                <c:pt idx="8">
                  <c:v>6.67</c:v>
                </c:pt>
                <c:pt idx="9">
                  <c:v>7.47</c:v>
                </c:pt>
                <c:pt idx="10">
                  <c:v>8.2899999999999991</c:v>
                </c:pt>
                <c:pt idx="11">
                  <c:v>9.92</c:v>
                </c:pt>
                <c:pt idx="12">
                  <c:v>10.97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BCB-4C4A-A385-80984D76B287}"/>
            </c:ext>
          </c:extLst>
        </c:ser>
        <c:ser>
          <c:idx val="3"/>
          <c:order val="5"/>
          <c:tx>
            <c:strRef>
              <c:f>'SR-výdaje-celorok-2019'!$G$30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'SR-výdaje-celorok-2019'!$G$34:$G$46</c:f>
              <c:numCache>
                <c:formatCode>0.00</c:formatCode>
                <c:ptCount val="13"/>
                <c:pt idx="0">
                  <c:v>7.8000000000000007</c:v>
                </c:pt>
                <c:pt idx="1">
                  <c:v>7.1</c:v>
                </c:pt>
                <c:pt idx="2">
                  <c:v>7.1999999999999993</c:v>
                </c:pt>
                <c:pt idx="3">
                  <c:v>6.68</c:v>
                </c:pt>
                <c:pt idx="4">
                  <c:v>6.37</c:v>
                </c:pt>
                <c:pt idx="5">
                  <c:v>7.64</c:v>
                </c:pt>
                <c:pt idx="6">
                  <c:v>8.2100000000000009</c:v>
                </c:pt>
                <c:pt idx="7">
                  <c:v>8.44</c:v>
                </c:pt>
                <c:pt idx="8">
                  <c:v>8.34</c:v>
                </c:pt>
                <c:pt idx="9">
                  <c:v>8.85</c:v>
                </c:pt>
                <c:pt idx="10">
                  <c:v>8.48</c:v>
                </c:pt>
                <c:pt idx="11">
                  <c:v>8.3800000000000008</c:v>
                </c:pt>
                <c:pt idx="12">
                  <c:v>9.91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BCB-4C4A-A385-80984D76B287}"/>
            </c:ext>
          </c:extLst>
        </c:ser>
        <c:ser>
          <c:idx val="4"/>
          <c:order val="6"/>
          <c:tx>
            <c:strRef>
              <c:f>'SR-výdaje-celorok-2019'!$H$30</c:f>
              <c:strCache>
                <c:ptCount val="1"/>
                <c:pt idx="0">
                  <c:v>Neinv. nákupy a souvis.výdaje****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'SR-výdaje-celorok-2019'!$H$34:$H$46</c:f>
              <c:numCache>
                <c:formatCode>General</c:formatCode>
                <c:ptCount val="13"/>
                <c:pt idx="4" formatCode="0.0">
                  <c:v>14.040000000000001</c:v>
                </c:pt>
                <c:pt idx="5" formatCode="0.0">
                  <c:v>11.799999999999999</c:v>
                </c:pt>
                <c:pt idx="6" formatCode="0.0">
                  <c:v>10.259999999999998</c:v>
                </c:pt>
                <c:pt idx="7" formatCode="0.0">
                  <c:v>12.43</c:v>
                </c:pt>
                <c:pt idx="8" formatCode="0.0">
                  <c:v>11.780000000000001</c:v>
                </c:pt>
                <c:pt idx="9" formatCode="0.0">
                  <c:v>14.34</c:v>
                </c:pt>
                <c:pt idx="10" formatCode="0.0">
                  <c:v>15.51</c:v>
                </c:pt>
                <c:pt idx="11" formatCode="0.0">
                  <c:v>13.595983575729999</c:v>
                </c:pt>
                <c:pt idx="12" formatCode="0.0">
                  <c:v>18.412898374919997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BCB-4C4A-A385-80984D76B287}"/>
            </c:ext>
          </c:extLst>
        </c:ser>
        <c:ser>
          <c:idx val="5"/>
          <c:order val="7"/>
          <c:tx>
            <c:strRef>
              <c:f>'SR-výdaje-celorok-2019'!$I$30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chemeClr val="tx1">
                  <a:lumMod val="65000"/>
                  <a:lumOff val="3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'SR-výdaje-celorok-2019'!$I$34:$I$46</c:f>
              <c:numCache>
                <c:formatCode>0.0</c:formatCode>
                <c:ptCount val="13"/>
                <c:pt idx="0">
                  <c:v>6.4700000000000006</c:v>
                </c:pt>
                <c:pt idx="1">
                  <c:v>7.31</c:v>
                </c:pt>
                <c:pt idx="2">
                  <c:v>2.6399999999999997</c:v>
                </c:pt>
                <c:pt idx="3">
                  <c:v>3.4000000000000004</c:v>
                </c:pt>
                <c:pt idx="4">
                  <c:v>1.54</c:v>
                </c:pt>
                <c:pt idx="5">
                  <c:v>2.2599999999999998</c:v>
                </c:pt>
                <c:pt idx="6">
                  <c:v>2.13</c:v>
                </c:pt>
                <c:pt idx="7">
                  <c:v>0.96999999999999975</c:v>
                </c:pt>
                <c:pt idx="8">
                  <c:v>3.13</c:v>
                </c:pt>
                <c:pt idx="9">
                  <c:v>-0.31</c:v>
                </c:pt>
                <c:pt idx="10">
                  <c:v>2.06</c:v>
                </c:pt>
                <c:pt idx="11">
                  <c:v>1.3502602605999998</c:v>
                </c:pt>
                <c:pt idx="12">
                  <c:v>3.4313927868200005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BCB-4C4A-A385-80984D76B287}"/>
            </c:ext>
          </c:extLst>
        </c:ser>
        <c:ser>
          <c:idx val="8"/>
          <c:order val="8"/>
          <c:tx>
            <c:strRef>
              <c:f>'SR-výdaje-celorok-2019'!$J$30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'SR-výdaje-celorok-2019'!$A$34:$A$46</c:f>
              <c:numCache>
                <c:formatCode>General</c:formatCod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</c:v>
                </c:pt>
              </c:numCache>
            </c:numRef>
          </c:cat>
          <c:val>
            <c:numRef>
              <c:f>'SR-výdaje-celorok-2019'!$J$34:$J$46</c:f>
              <c:numCache>
                <c:formatCode>0.0</c:formatCode>
                <c:ptCount val="13"/>
                <c:pt idx="0">
                  <c:v>31.85</c:v>
                </c:pt>
                <c:pt idx="1">
                  <c:v>31.88</c:v>
                </c:pt>
                <c:pt idx="2">
                  <c:v>33.1</c:v>
                </c:pt>
                <c:pt idx="3">
                  <c:v>26.12</c:v>
                </c:pt>
                <c:pt idx="4">
                  <c:v>22.19</c:v>
                </c:pt>
                <c:pt idx="5">
                  <c:v>17.690000000000001</c:v>
                </c:pt>
                <c:pt idx="6">
                  <c:v>14.93</c:v>
                </c:pt>
                <c:pt idx="7">
                  <c:v>19.78</c:v>
                </c:pt>
                <c:pt idx="8">
                  <c:v>20.02</c:v>
                </c:pt>
                <c:pt idx="9">
                  <c:v>6.27</c:v>
                </c:pt>
                <c:pt idx="10">
                  <c:v>11.73</c:v>
                </c:pt>
                <c:pt idx="11">
                  <c:v>16.43</c:v>
                </c:pt>
                <c:pt idx="12">
                  <c:v>23.367157547710001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BCB-4C4A-A385-80984D76B2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45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/>
                </a:pPr>
                <a:r>
                  <a:rPr lang="cs-CZ" sz="700" b="0" i="1" u="none" strike="noStrike" baseline="0">
                    <a:effectLst/>
                  </a:rPr>
                  <a:t>Ostatní výdaje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mld.</a:t>
                </a:r>
                <a:r>
                  <a:rPr lang="cs-CZ" sz="700" b="0" i="1" u="none" strike="noStrike" baseline="0">
                    <a:effectLst/>
                  </a:rPr>
                  <a:t> korun)</a:t>
                </a:r>
                <a:endParaRPr lang="cs-CZ" sz="700" b="0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5"/>
      </c:valAx>
      <c:valAx>
        <c:axId val="72835072"/>
        <c:scaling>
          <c:orientation val="minMax"/>
          <c:max val="45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Běžné</a:t>
                </a:r>
                <a:r>
                  <a:rPr lang="cs-CZ" sz="700" b="0" i="1" baseline="0"/>
                  <a:t> výdaje celkem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mld.</a:t>
                </a:r>
                <a:r>
                  <a:rPr lang="cs-CZ" sz="700" b="0" i="1" baseline="0"/>
                  <a:t> korun)</a:t>
                </a:r>
                <a:endParaRPr lang="cs-CZ" sz="70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2836608"/>
        <c:crosses val="max"/>
        <c:crossBetween val="between"/>
        <c:majorUnit val="50"/>
        <c:minorUnit val="1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4619073571775774E-2"/>
          <c:y val="0.83055036538478355"/>
          <c:w val="0.82415013583096774"/>
          <c:h val="0.1587939613277391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E103-64C9-40C2-B72F-2C65B46BA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1BAFCE-C960-4A39-A0F6-545071F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4</Pages>
  <Words>1869</Words>
  <Characters>10375</Characters>
  <Application>Microsoft Office Word</Application>
  <DocSecurity>0</DocSecurity>
  <Lines>175</Lines>
  <Paragraphs>54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12190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2020-06-12T09:08:00Z</dcterms:created>
  <dcterms:modified xsi:type="dcterms:W3CDTF">2020-06-12T09:26:00Z</dcterms:modified>
</cp:coreProperties>
</file>