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53643" w14:textId="77777777" w:rsidR="006769C6" w:rsidRDefault="006769C6" w:rsidP="006769C6">
      <w:pPr>
        <w:pStyle w:val="Nadpis11"/>
      </w:pPr>
      <w:bookmarkStart w:id="0" w:name="_Toc19090679"/>
      <w:bookmarkStart w:id="1" w:name="_Toc50712130"/>
      <w:r w:rsidRPr="00B43216">
        <w:t>6. Trh práce</w:t>
      </w:r>
      <w:bookmarkEnd w:id="0"/>
      <w:bookmarkEnd w:id="1"/>
    </w:p>
    <w:tbl>
      <w:tblPr>
        <w:tblW w:w="9664" w:type="dxa"/>
        <w:tblInd w:w="-30" w:type="dxa"/>
        <w:tblCellMar>
          <w:left w:w="0" w:type="dxa"/>
          <w:right w:w="0" w:type="dxa"/>
        </w:tblCellMar>
        <w:tblLook w:val="00A0" w:firstRow="1" w:lastRow="0" w:firstColumn="1" w:lastColumn="0" w:noHBand="0" w:noVBand="0"/>
      </w:tblPr>
      <w:tblGrid>
        <w:gridCol w:w="1792"/>
        <w:gridCol w:w="216"/>
        <w:gridCol w:w="7656"/>
      </w:tblGrid>
      <w:tr w:rsidR="006769C6" w:rsidRPr="006237E6" w14:paraId="70BE8969" w14:textId="77777777" w:rsidTr="0026300B">
        <w:trPr>
          <w:trHeight w:val="155"/>
        </w:trPr>
        <w:tc>
          <w:tcPr>
            <w:tcW w:w="1792" w:type="dxa"/>
            <w:vMerge w:val="restart"/>
            <w:shd w:val="clear" w:color="auto" w:fill="auto"/>
            <w:tcMar>
              <w:left w:w="0" w:type="dxa"/>
            </w:tcMar>
          </w:tcPr>
          <w:p w14:paraId="314F5CB7" w14:textId="77777777" w:rsidR="006769C6" w:rsidRPr="00CA5850" w:rsidRDefault="006769C6" w:rsidP="0026300B">
            <w:pPr>
              <w:pStyle w:val="Marginlie"/>
              <w:rPr>
                <w:spacing w:val="-4"/>
              </w:rPr>
            </w:pPr>
            <w:r>
              <w:rPr>
                <w:spacing w:val="-4"/>
              </w:rPr>
              <w:t>Bezprostřední dopady vnějšího šoku na pracovní trh byly značně diferencované. Nejvíce se promítly poklesem celkové ekonomické aktivity.</w:t>
            </w:r>
          </w:p>
        </w:tc>
        <w:tc>
          <w:tcPr>
            <w:tcW w:w="216" w:type="dxa"/>
            <w:vMerge w:val="restart"/>
            <w:shd w:val="clear" w:color="auto" w:fill="auto"/>
            <w:tcMar>
              <w:left w:w="0" w:type="dxa"/>
            </w:tcMar>
          </w:tcPr>
          <w:p w14:paraId="4CA4B10C" w14:textId="77777777" w:rsidR="006769C6" w:rsidRPr="003B1401" w:rsidRDefault="006769C6" w:rsidP="0026300B">
            <w:pPr>
              <w:pStyle w:val="Textpoznpodarou"/>
              <w:jc w:val="both"/>
              <w:rPr>
                <w:spacing w:val="-4"/>
              </w:rPr>
            </w:pPr>
          </w:p>
        </w:tc>
        <w:tc>
          <w:tcPr>
            <w:tcW w:w="7656" w:type="dxa"/>
            <w:shd w:val="clear" w:color="auto" w:fill="auto"/>
            <w:tcMar>
              <w:left w:w="0" w:type="dxa"/>
            </w:tcMar>
          </w:tcPr>
          <w:p w14:paraId="6528FEA9" w14:textId="77777777" w:rsidR="006769C6" w:rsidRPr="0048230E" w:rsidRDefault="006769C6" w:rsidP="0026300B">
            <w:pPr>
              <w:spacing w:after="200"/>
              <w:rPr>
                <w:rFonts w:cs="Arial"/>
                <w:bCs/>
                <w:color w:val="000000"/>
                <w:spacing w:val="-4"/>
                <w:szCs w:val="20"/>
              </w:rPr>
            </w:pPr>
            <w:r w:rsidRPr="0048230E">
              <w:rPr>
                <w:rFonts w:cs="Arial"/>
                <w:bCs/>
                <w:color w:val="000000"/>
                <w:spacing w:val="-4"/>
                <w:szCs w:val="20"/>
              </w:rPr>
              <w:t xml:space="preserve">Přestože tuzemský trh práce tradičně reaguje na ekonomické šoky s jistým zpožděním, stačily se již </w:t>
            </w:r>
            <w:r w:rsidRPr="0048230E">
              <w:rPr>
                <w:spacing w:val="-4"/>
              </w:rPr>
              <w:t>protipandemické restrikce</w:t>
            </w:r>
            <w:r w:rsidRPr="0048230E">
              <w:rPr>
                <w:rFonts w:cs="Arial"/>
                <w:bCs/>
                <w:color w:val="000000"/>
                <w:spacing w:val="-4"/>
                <w:szCs w:val="20"/>
              </w:rPr>
              <w:t xml:space="preserve"> citelně projevit. Více než dvouměsíční období nouzového stavu zasáhlo do celé první poloviny 2.</w:t>
            </w:r>
            <w:r>
              <w:rPr>
                <w:rFonts w:cs="Arial"/>
                <w:bCs/>
                <w:color w:val="000000"/>
                <w:spacing w:val="-4"/>
                <w:szCs w:val="20"/>
              </w:rPr>
              <w:t> čtvrtlet</w:t>
            </w:r>
            <w:r w:rsidRPr="0048230E">
              <w:rPr>
                <w:rFonts w:cs="Arial"/>
                <w:bCs/>
                <w:color w:val="000000"/>
                <w:spacing w:val="-4"/>
                <w:szCs w:val="20"/>
              </w:rPr>
              <w:t xml:space="preserve">í 2020 </w:t>
            </w:r>
            <w:r>
              <w:rPr>
                <w:rFonts w:cs="Arial"/>
                <w:bCs/>
                <w:color w:val="000000"/>
                <w:spacing w:val="-4"/>
                <w:szCs w:val="20"/>
              </w:rPr>
              <w:t>a </w:t>
            </w:r>
            <w:r w:rsidRPr="0048230E">
              <w:rPr>
                <w:rFonts w:cs="Arial"/>
                <w:bCs/>
                <w:color w:val="000000"/>
                <w:spacing w:val="-4"/>
                <w:szCs w:val="20"/>
              </w:rPr>
              <w:t>i</w:t>
            </w:r>
            <w:r>
              <w:rPr>
                <w:rFonts w:cs="Arial"/>
                <w:bCs/>
                <w:color w:val="000000"/>
                <w:spacing w:val="-4"/>
                <w:szCs w:val="20"/>
              </w:rPr>
              <w:t> </w:t>
            </w:r>
            <w:r w:rsidRPr="0048230E">
              <w:rPr>
                <w:rFonts w:cs="Arial"/>
                <w:bCs/>
                <w:color w:val="000000"/>
                <w:spacing w:val="-4"/>
                <w:szCs w:val="20"/>
              </w:rPr>
              <w:t>v dalších týdnech probíhal návrat k normálu jen velmi pozvolna. Dosud sledované dopady tohoto šoku na pracovní trh byly značně diferencované (např</w:t>
            </w:r>
            <w:r>
              <w:rPr>
                <w:rFonts w:cs="Arial"/>
                <w:bCs/>
                <w:color w:val="000000"/>
                <w:spacing w:val="-4"/>
                <w:szCs w:val="20"/>
              </w:rPr>
              <w:t>íklad</w:t>
            </w:r>
            <w:r w:rsidRPr="0048230E">
              <w:rPr>
                <w:rFonts w:cs="Arial"/>
                <w:bCs/>
                <w:color w:val="000000"/>
                <w:spacing w:val="-4"/>
                <w:szCs w:val="20"/>
              </w:rPr>
              <w:t xml:space="preserve"> z pohledu odvětví či postavení osob </w:t>
            </w:r>
            <w:r>
              <w:rPr>
                <w:rFonts w:cs="Arial"/>
                <w:bCs/>
                <w:color w:val="000000"/>
                <w:spacing w:val="-4"/>
                <w:szCs w:val="20"/>
              </w:rPr>
              <w:t>v </w:t>
            </w:r>
            <w:r w:rsidRPr="0048230E">
              <w:rPr>
                <w:rFonts w:cs="Arial"/>
                <w:bCs/>
                <w:color w:val="000000"/>
                <w:spacing w:val="-4"/>
                <w:szCs w:val="20"/>
              </w:rPr>
              <w:t>zaměstnání). Rozličnou intenzitu zasažení podtrhují i</w:t>
            </w:r>
            <w:r>
              <w:rPr>
                <w:rFonts w:cs="Arial"/>
                <w:bCs/>
                <w:color w:val="000000"/>
                <w:spacing w:val="-4"/>
                <w:szCs w:val="20"/>
              </w:rPr>
              <w:t> </w:t>
            </w:r>
            <w:r w:rsidRPr="0048230E">
              <w:rPr>
                <w:rFonts w:cs="Arial"/>
                <w:bCs/>
                <w:color w:val="000000"/>
                <w:spacing w:val="-4"/>
                <w:szCs w:val="20"/>
              </w:rPr>
              <w:t>výpovědi domácnost</w:t>
            </w:r>
            <w:r>
              <w:rPr>
                <w:rFonts w:cs="Arial"/>
                <w:bCs/>
                <w:color w:val="000000"/>
                <w:spacing w:val="-4"/>
                <w:szCs w:val="20"/>
              </w:rPr>
              <w:t>í</w:t>
            </w:r>
            <w:r w:rsidRPr="0048230E">
              <w:rPr>
                <w:rFonts w:cs="Arial"/>
                <w:bCs/>
                <w:color w:val="000000"/>
                <w:spacing w:val="-4"/>
                <w:szCs w:val="20"/>
              </w:rPr>
              <w:t xml:space="preserve"> (pociťování </w:t>
            </w:r>
            <w:r w:rsidRPr="0048230E">
              <w:rPr>
                <w:rFonts w:cs="Arial"/>
                <w:bCs/>
                <w:color w:val="000000"/>
                <w:spacing w:val="-5"/>
                <w:szCs w:val="20"/>
              </w:rPr>
              <w:t>negativních dopadů ve svém zaměstnání i</w:t>
            </w:r>
            <w:r>
              <w:rPr>
                <w:rFonts w:cs="Arial"/>
                <w:bCs/>
                <w:color w:val="000000"/>
                <w:spacing w:val="-5"/>
                <w:szCs w:val="20"/>
              </w:rPr>
              <w:t> </w:t>
            </w:r>
            <w:r w:rsidRPr="0048230E">
              <w:rPr>
                <w:rFonts w:cs="Arial"/>
                <w:bCs/>
                <w:color w:val="000000"/>
                <w:spacing w:val="-5"/>
                <w:szCs w:val="20"/>
              </w:rPr>
              <w:t>obavy z růstu nezaměstnanosti). Nejviditelnějším</w:t>
            </w:r>
            <w:r w:rsidRPr="0048230E">
              <w:rPr>
                <w:rFonts w:cs="Arial"/>
                <w:bCs/>
                <w:color w:val="000000"/>
                <w:spacing w:val="-4"/>
                <w:szCs w:val="20"/>
              </w:rPr>
              <w:t xml:space="preserve"> projevem nastupující hospodářské recese byl ve 2.</w:t>
            </w:r>
            <w:r>
              <w:rPr>
                <w:rFonts w:cs="Arial"/>
                <w:bCs/>
                <w:color w:val="000000"/>
                <w:spacing w:val="-4"/>
                <w:szCs w:val="20"/>
              </w:rPr>
              <w:t> čtvrtlet</w:t>
            </w:r>
            <w:r w:rsidRPr="0048230E">
              <w:rPr>
                <w:rFonts w:cs="Arial"/>
                <w:bCs/>
                <w:color w:val="000000"/>
                <w:spacing w:val="-4"/>
                <w:szCs w:val="20"/>
              </w:rPr>
              <w:t>í významný pokles ekonomické aktivity vyjádřený jak nižším poč</w:t>
            </w:r>
            <w:r>
              <w:rPr>
                <w:rFonts w:cs="Arial"/>
                <w:bCs/>
                <w:color w:val="000000"/>
                <w:spacing w:val="-4"/>
                <w:szCs w:val="20"/>
              </w:rPr>
              <w:t>tem</w:t>
            </w:r>
            <w:r w:rsidRPr="0048230E">
              <w:rPr>
                <w:rFonts w:cs="Arial"/>
                <w:bCs/>
                <w:color w:val="000000"/>
                <w:spacing w:val="-4"/>
                <w:szCs w:val="20"/>
              </w:rPr>
              <w:t xml:space="preserve"> zaměstnaných, tak i</w:t>
            </w:r>
            <w:r>
              <w:rPr>
                <w:rFonts w:cs="Arial"/>
                <w:bCs/>
                <w:color w:val="000000"/>
                <w:spacing w:val="-4"/>
                <w:szCs w:val="20"/>
              </w:rPr>
              <w:t> </w:t>
            </w:r>
            <w:r w:rsidRPr="0048230E">
              <w:rPr>
                <w:rFonts w:cs="Arial"/>
                <w:bCs/>
                <w:color w:val="000000"/>
                <w:spacing w:val="-4"/>
                <w:szCs w:val="20"/>
              </w:rPr>
              <w:t>hlubší redukcí odpracovaných hodin. Naopak dosud jen mírný růst nezaměstnanosti souvisel se stabilizačními vládními programy (Antivirus, ošetřovné) a</w:t>
            </w:r>
            <w:r>
              <w:rPr>
                <w:rFonts w:cs="Arial"/>
                <w:bCs/>
                <w:color w:val="000000"/>
                <w:spacing w:val="-4"/>
                <w:szCs w:val="20"/>
              </w:rPr>
              <w:t> </w:t>
            </w:r>
            <w:r w:rsidRPr="0048230E">
              <w:rPr>
                <w:rFonts w:cs="Arial"/>
                <w:bCs/>
                <w:color w:val="000000"/>
                <w:spacing w:val="-4"/>
                <w:szCs w:val="20"/>
              </w:rPr>
              <w:t>s tím, že část lidí, kteří o</w:t>
            </w:r>
            <w:r>
              <w:rPr>
                <w:rFonts w:cs="Arial"/>
                <w:bCs/>
                <w:color w:val="000000"/>
                <w:spacing w:val="-4"/>
                <w:szCs w:val="20"/>
              </w:rPr>
              <w:t> </w:t>
            </w:r>
            <w:r w:rsidRPr="0048230E">
              <w:rPr>
                <w:rFonts w:cs="Arial"/>
                <w:bCs/>
                <w:color w:val="000000"/>
                <w:spacing w:val="-4"/>
                <w:szCs w:val="20"/>
              </w:rPr>
              <w:t>práci přišli, se z pracovního trhu stáhla (zahraniční pracovníci, ekonomicky neaktivní). Zhoršená ekonomická situace podniků se projevila zastavením růstu průměrných mezd ve většině tržních odvětví a kontrastovala s dosud stabilizovaným vývojem v odvětvích s dominancí státu.</w:t>
            </w:r>
          </w:p>
        </w:tc>
      </w:tr>
      <w:tr w:rsidR="006769C6" w:rsidRPr="006237E6" w14:paraId="797B90AF" w14:textId="77777777" w:rsidTr="0026300B">
        <w:trPr>
          <w:trHeight w:val="155"/>
        </w:trPr>
        <w:tc>
          <w:tcPr>
            <w:tcW w:w="1792" w:type="dxa"/>
            <w:vMerge w:val="restart"/>
            <w:shd w:val="clear" w:color="auto" w:fill="auto"/>
            <w:tcMar>
              <w:left w:w="0" w:type="dxa"/>
            </w:tcMar>
          </w:tcPr>
          <w:p w14:paraId="58AA7030" w14:textId="77777777" w:rsidR="006769C6" w:rsidRDefault="006769C6" w:rsidP="0026300B">
            <w:pPr>
              <w:pStyle w:val="Marginlie"/>
              <w:rPr>
                <w:spacing w:val="-4"/>
              </w:rPr>
            </w:pPr>
            <w:r>
              <w:rPr>
                <w:spacing w:val="-4"/>
              </w:rPr>
              <w:t>Celkový počet zaměstnaných se po stagnaci na počátku roku během 2. čtvrtletí snížil o</w:t>
            </w:r>
            <w:r>
              <w:t> </w:t>
            </w:r>
            <w:r>
              <w:rPr>
                <w:spacing w:val="-4"/>
              </w:rPr>
              <w:t>významných 1,4 %.</w:t>
            </w:r>
          </w:p>
          <w:p w14:paraId="1D9EC2C6" w14:textId="77777777" w:rsidR="006769C6" w:rsidRDefault="006769C6" w:rsidP="0026300B">
            <w:pPr>
              <w:pStyle w:val="Marginlie"/>
              <w:rPr>
                <w:spacing w:val="-4"/>
              </w:rPr>
            </w:pPr>
          </w:p>
          <w:p w14:paraId="6EA2D788" w14:textId="77777777" w:rsidR="006769C6" w:rsidRDefault="006769C6" w:rsidP="0026300B">
            <w:pPr>
              <w:pStyle w:val="Marginlie"/>
              <w:rPr>
                <w:spacing w:val="-4"/>
              </w:rPr>
            </w:pPr>
          </w:p>
          <w:p w14:paraId="78335FAF" w14:textId="77777777" w:rsidR="006769C6" w:rsidRDefault="006769C6" w:rsidP="0026300B">
            <w:pPr>
              <w:pStyle w:val="Marginlie"/>
              <w:rPr>
                <w:spacing w:val="-4"/>
              </w:rPr>
            </w:pPr>
          </w:p>
          <w:p w14:paraId="65EAB056" w14:textId="77777777" w:rsidR="006769C6" w:rsidRDefault="006769C6" w:rsidP="0026300B">
            <w:pPr>
              <w:pStyle w:val="Marginlie"/>
              <w:rPr>
                <w:spacing w:val="-4"/>
              </w:rPr>
            </w:pPr>
          </w:p>
          <w:p w14:paraId="777BC581" w14:textId="77777777" w:rsidR="006769C6" w:rsidRDefault="006769C6" w:rsidP="0026300B">
            <w:pPr>
              <w:pStyle w:val="Marginlie"/>
              <w:rPr>
                <w:spacing w:val="-4"/>
              </w:rPr>
            </w:pPr>
          </w:p>
          <w:p w14:paraId="6254E624" w14:textId="77777777" w:rsidR="006769C6" w:rsidRDefault="006769C6" w:rsidP="0026300B">
            <w:pPr>
              <w:pStyle w:val="Marginlie"/>
              <w:rPr>
                <w:spacing w:val="-4"/>
              </w:rPr>
            </w:pPr>
          </w:p>
          <w:p w14:paraId="6E0DCBB7" w14:textId="77777777" w:rsidR="006769C6" w:rsidRPr="00CA5850" w:rsidRDefault="006769C6" w:rsidP="0026300B">
            <w:pPr>
              <w:pStyle w:val="Marginlie"/>
              <w:rPr>
                <w:spacing w:val="-4"/>
              </w:rPr>
            </w:pPr>
            <w:r>
              <w:rPr>
                <w:spacing w:val="-4"/>
              </w:rPr>
              <w:t>K meziročnímu poklesu zaměstnanosti přispěli hlavně zaměstnanci. K silnější redukci míst došlo ve zpracovatelském průmyslu a v odvětvích služeb souvisejících s cestovním ruchem.</w:t>
            </w:r>
          </w:p>
        </w:tc>
        <w:tc>
          <w:tcPr>
            <w:tcW w:w="216" w:type="dxa"/>
            <w:vMerge w:val="restart"/>
            <w:shd w:val="clear" w:color="auto" w:fill="auto"/>
            <w:tcMar>
              <w:left w:w="0" w:type="dxa"/>
            </w:tcMar>
          </w:tcPr>
          <w:p w14:paraId="224D271D" w14:textId="77777777" w:rsidR="006769C6" w:rsidRPr="003B1401" w:rsidRDefault="006769C6" w:rsidP="0026300B">
            <w:pPr>
              <w:pStyle w:val="Textpoznpodarou"/>
              <w:jc w:val="both"/>
              <w:rPr>
                <w:spacing w:val="-4"/>
              </w:rPr>
            </w:pPr>
          </w:p>
        </w:tc>
        <w:tc>
          <w:tcPr>
            <w:tcW w:w="7656" w:type="dxa"/>
            <w:shd w:val="clear" w:color="auto" w:fill="auto"/>
            <w:tcMar>
              <w:left w:w="0" w:type="dxa"/>
            </w:tcMar>
          </w:tcPr>
          <w:p w14:paraId="04E2524A" w14:textId="77777777" w:rsidR="006769C6" w:rsidRPr="0046007D" w:rsidRDefault="006769C6" w:rsidP="0026300B">
            <w:pPr>
              <w:spacing w:after="200"/>
              <w:rPr>
                <w:rFonts w:cs="Arial"/>
                <w:bCs/>
                <w:color w:val="000000"/>
                <w:spacing w:val="-4"/>
                <w:szCs w:val="20"/>
              </w:rPr>
            </w:pPr>
            <w:r w:rsidRPr="0046007D">
              <w:rPr>
                <w:rFonts w:cs="Arial"/>
                <w:bCs/>
                <w:color w:val="000000"/>
                <w:spacing w:val="-4"/>
                <w:szCs w:val="20"/>
              </w:rPr>
              <w:t>Zatímco v 1.</w:t>
            </w:r>
            <w:r>
              <w:rPr>
                <w:rFonts w:cs="Arial"/>
                <w:bCs/>
                <w:color w:val="000000"/>
                <w:spacing w:val="-4"/>
                <w:szCs w:val="20"/>
              </w:rPr>
              <w:t> čtvrtlet</w:t>
            </w:r>
            <w:r w:rsidRPr="0046007D">
              <w:rPr>
                <w:rFonts w:cs="Arial"/>
                <w:bCs/>
                <w:color w:val="000000"/>
                <w:spacing w:val="-4"/>
                <w:szCs w:val="20"/>
              </w:rPr>
              <w:t>í 2020, podobně jako po celý loňský rok, celková zaměstnanost</w:t>
            </w:r>
            <w:r w:rsidRPr="0046007D">
              <w:rPr>
                <w:spacing w:val="-4"/>
                <w:vertAlign w:val="superscript"/>
              </w:rPr>
              <w:footnoteReference w:id="1"/>
            </w:r>
            <w:r w:rsidRPr="0046007D">
              <w:rPr>
                <w:rFonts w:cs="Arial"/>
                <w:bCs/>
                <w:color w:val="000000"/>
                <w:spacing w:val="-4"/>
                <w:szCs w:val="20"/>
              </w:rPr>
              <w:t xml:space="preserve"> v mezikvartálním vyjádření stagnovala, ve 2.</w:t>
            </w:r>
            <w:r>
              <w:rPr>
                <w:rFonts w:cs="Arial"/>
                <w:bCs/>
                <w:color w:val="000000"/>
                <w:spacing w:val="-4"/>
                <w:szCs w:val="20"/>
              </w:rPr>
              <w:t> čtvrtlet</w:t>
            </w:r>
            <w:r w:rsidRPr="0046007D">
              <w:rPr>
                <w:rFonts w:cs="Arial"/>
                <w:bCs/>
                <w:color w:val="000000"/>
                <w:spacing w:val="-4"/>
                <w:szCs w:val="20"/>
              </w:rPr>
              <w:t>í se již</w:t>
            </w:r>
            <w:r>
              <w:rPr>
                <w:rFonts w:cs="Arial"/>
                <w:bCs/>
                <w:color w:val="000000"/>
                <w:spacing w:val="-4"/>
                <w:szCs w:val="20"/>
              </w:rPr>
              <w:t xml:space="preserve"> propadla o rekordních 1,4 %</w:t>
            </w:r>
            <w:r w:rsidRPr="0046007D">
              <w:rPr>
                <w:rFonts w:cs="Arial"/>
                <w:bCs/>
                <w:color w:val="000000"/>
                <w:spacing w:val="-4"/>
                <w:szCs w:val="20"/>
              </w:rPr>
              <w:t>. V předchozích obdobích recese byl úbytek pracovních míst pozvolnější, měl však rovněž dlouhodobější charakter</w:t>
            </w:r>
            <w:r w:rsidRPr="0046007D">
              <w:rPr>
                <w:spacing w:val="-4"/>
                <w:vertAlign w:val="superscript"/>
              </w:rPr>
              <w:footnoteReference w:id="2"/>
            </w:r>
            <w:r w:rsidRPr="0046007D">
              <w:rPr>
                <w:rFonts w:cs="Arial"/>
                <w:bCs/>
                <w:color w:val="000000"/>
                <w:spacing w:val="-4"/>
                <w:szCs w:val="20"/>
              </w:rPr>
              <w:t>. Meziročně se zaměstnanost snížila</w:t>
            </w:r>
            <w:r>
              <w:rPr>
                <w:rFonts w:cs="Arial"/>
                <w:bCs/>
                <w:color w:val="000000"/>
                <w:spacing w:val="-4"/>
                <w:szCs w:val="20"/>
              </w:rPr>
              <w:t xml:space="preserve"> o 1,9 % (nejvíce po 1. čtvrtletí 2010)</w:t>
            </w:r>
            <w:r w:rsidRPr="0046007D">
              <w:rPr>
                <w:rFonts w:cs="Arial"/>
                <w:bCs/>
                <w:color w:val="000000"/>
                <w:spacing w:val="-4"/>
                <w:szCs w:val="20"/>
              </w:rPr>
              <w:t>, j</w:t>
            </w:r>
            <w:r>
              <w:rPr>
                <w:rFonts w:cs="Arial"/>
                <w:bCs/>
                <w:color w:val="000000"/>
                <w:spacing w:val="-4"/>
                <w:szCs w:val="20"/>
              </w:rPr>
              <w:t>e však</w:t>
            </w:r>
            <w:r w:rsidRPr="0046007D">
              <w:rPr>
                <w:rFonts w:cs="Arial"/>
                <w:bCs/>
                <w:color w:val="000000"/>
                <w:spacing w:val="-4"/>
                <w:szCs w:val="20"/>
              </w:rPr>
              <w:t xml:space="preserve"> třeba vzít v potaz, že loni dosáhl p</w:t>
            </w:r>
            <w:r>
              <w:rPr>
                <w:rFonts w:cs="Arial"/>
                <w:bCs/>
                <w:color w:val="000000"/>
                <w:spacing w:val="-4"/>
                <w:szCs w:val="20"/>
              </w:rPr>
              <w:t>očet pracujících rekordní výše</w:t>
            </w:r>
            <w:r w:rsidRPr="0046007D">
              <w:rPr>
                <w:rFonts w:cs="Arial"/>
                <w:bCs/>
                <w:color w:val="000000"/>
                <w:spacing w:val="-4"/>
                <w:szCs w:val="20"/>
              </w:rPr>
              <w:t xml:space="preserve"> v historii samostatné ČR (5,44 mil.). K tomuto poklesu přispěli </w:t>
            </w:r>
            <w:r>
              <w:rPr>
                <w:rFonts w:cs="Arial"/>
                <w:bCs/>
                <w:color w:val="000000"/>
                <w:spacing w:val="-4"/>
                <w:szCs w:val="20"/>
              </w:rPr>
              <w:t>takřka výhradně zaměstnanci,</w:t>
            </w:r>
            <w:r w:rsidRPr="0046007D">
              <w:rPr>
                <w:rFonts w:cs="Arial"/>
                <w:bCs/>
                <w:color w:val="000000"/>
                <w:spacing w:val="-4"/>
                <w:szCs w:val="20"/>
              </w:rPr>
              <w:t xml:space="preserve"> </w:t>
            </w:r>
            <w:r>
              <w:rPr>
                <w:rFonts w:cs="Arial"/>
                <w:bCs/>
                <w:color w:val="000000"/>
                <w:spacing w:val="-4"/>
                <w:szCs w:val="20"/>
              </w:rPr>
              <w:t xml:space="preserve">neboť </w:t>
            </w:r>
            <w:r w:rsidRPr="0046007D">
              <w:rPr>
                <w:rFonts w:cs="Arial"/>
                <w:bCs/>
                <w:color w:val="000000"/>
                <w:spacing w:val="-4"/>
                <w:szCs w:val="20"/>
              </w:rPr>
              <w:t>počty sebeza</w:t>
            </w:r>
            <w:r>
              <w:rPr>
                <w:rFonts w:cs="Arial"/>
                <w:bCs/>
                <w:color w:val="000000"/>
                <w:spacing w:val="-4"/>
                <w:szCs w:val="20"/>
              </w:rPr>
              <w:t>městnaných se snižovaly mírněji (</w:t>
            </w:r>
            <w:r w:rsidRPr="001D4D94">
              <w:rPr>
                <w:rFonts w:cs="Arial"/>
                <w:bCs/>
                <w:color w:val="000000"/>
                <w:spacing w:val="-4"/>
                <w:szCs w:val="20"/>
              </w:rPr>
              <w:t>–</w:t>
            </w:r>
            <w:r>
              <w:rPr>
                <w:rFonts w:cs="Arial"/>
                <w:bCs/>
                <w:color w:val="000000"/>
                <w:spacing w:val="-4"/>
                <w:szCs w:val="20"/>
              </w:rPr>
              <w:t>1,5 %)</w:t>
            </w:r>
            <w:r w:rsidRPr="0046007D">
              <w:rPr>
                <w:spacing w:val="-4"/>
                <w:vertAlign w:val="superscript"/>
              </w:rPr>
              <w:footnoteReference w:id="3"/>
            </w:r>
            <w:r w:rsidRPr="0046007D">
              <w:rPr>
                <w:rFonts w:cs="Arial"/>
                <w:bCs/>
                <w:color w:val="000000"/>
                <w:spacing w:val="-4"/>
                <w:szCs w:val="20"/>
              </w:rPr>
              <w:t xml:space="preserve">. </w:t>
            </w:r>
            <w:r>
              <w:rPr>
                <w:rFonts w:cs="Arial"/>
                <w:bCs/>
                <w:color w:val="000000"/>
                <w:spacing w:val="-4"/>
                <w:szCs w:val="20"/>
              </w:rPr>
              <w:t>To lze vnímat vcelku příznivě</w:t>
            </w:r>
            <w:r w:rsidRPr="0046007D">
              <w:rPr>
                <w:rFonts w:cs="Arial"/>
                <w:bCs/>
                <w:color w:val="000000"/>
                <w:spacing w:val="-4"/>
                <w:szCs w:val="20"/>
              </w:rPr>
              <w:t>, neboť</w:t>
            </w:r>
            <w:r>
              <w:rPr>
                <w:rFonts w:cs="Arial"/>
                <w:bCs/>
                <w:color w:val="000000"/>
                <w:spacing w:val="-4"/>
                <w:szCs w:val="20"/>
              </w:rPr>
              <w:t xml:space="preserve"> 60</w:t>
            </w:r>
            <w:r w:rsidRPr="00AE0F8A">
              <w:rPr>
                <w:rFonts w:cs="Arial"/>
                <w:bCs/>
                <w:color w:val="000000"/>
                <w:spacing w:val="-2"/>
                <w:szCs w:val="20"/>
              </w:rPr>
              <w:t> </w:t>
            </w:r>
            <w:r w:rsidRPr="0046007D">
              <w:rPr>
                <w:rFonts w:cs="Arial"/>
                <w:bCs/>
                <w:color w:val="000000"/>
                <w:spacing w:val="-4"/>
                <w:szCs w:val="20"/>
              </w:rPr>
              <w:t xml:space="preserve">% </w:t>
            </w:r>
            <w:r>
              <w:rPr>
                <w:rFonts w:cs="Arial"/>
                <w:bCs/>
                <w:color w:val="000000"/>
                <w:spacing w:val="-4"/>
                <w:szCs w:val="20"/>
              </w:rPr>
              <w:t>podnikatelů (bez zaměstnanců)</w:t>
            </w:r>
            <w:r w:rsidRPr="0046007D">
              <w:rPr>
                <w:rFonts w:cs="Arial"/>
                <w:bCs/>
                <w:color w:val="000000"/>
                <w:spacing w:val="-4"/>
                <w:szCs w:val="20"/>
              </w:rPr>
              <w:t xml:space="preserve"> v rámci šetření VŠPS uvedlo, že poc</w:t>
            </w:r>
            <w:r>
              <w:rPr>
                <w:rFonts w:cs="Arial"/>
                <w:bCs/>
                <w:color w:val="000000"/>
                <w:spacing w:val="-4"/>
                <w:szCs w:val="20"/>
              </w:rPr>
              <w:t>í</w:t>
            </w:r>
            <w:r w:rsidRPr="0046007D">
              <w:rPr>
                <w:rFonts w:cs="Arial"/>
                <w:bCs/>
                <w:color w:val="000000"/>
                <w:spacing w:val="-4"/>
                <w:szCs w:val="20"/>
              </w:rPr>
              <w:t>tili</w:t>
            </w:r>
            <w:r>
              <w:rPr>
                <w:rFonts w:cs="Arial"/>
                <w:bCs/>
                <w:color w:val="000000"/>
                <w:spacing w:val="-4"/>
                <w:szCs w:val="20"/>
              </w:rPr>
              <w:t xml:space="preserve"> ve 2.</w:t>
            </w:r>
            <w:r w:rsidRPr="0046007D">
              <w:rPr>
                <w:rFonts w:cs="Arial"/>
                <w:bCs/>
                <w:color w:val="000000"/>
                <w:spacing w:val="-4"/>
                <w:szCs w:val="20"/>
              </w:rPr>
              <w:t> čtvrtletí negativní dopady ve svém podnikání (finanční problémy, snížení tržeb, objemu práce či zakázek)</w:t>
            </w:r>
            <w:r w:rsidRPr="0046007D">
              <w:rPr>
                <w:spacing w:val="-4"/>
                <w:vertAlign w:val="superscript"/>
              </w:rPr>
              <w:footnoteReference w:id="4"/>
            </w:r>
            <w:r w:rsidRPr="0046007D">
              <w:rPr>
                <w:rFonts w:cs="Arial"/>
                <w:bCs/>
                <w:color w:val="000000"/>
                <w:spacing w:val="-4"/>
                <w:szCs w:val="20"/>
              </w:rPr>
              <w:t>. Bezmála tři čtvrtiny z takto zasažených zároveň považ</w:t>
            </w:r>
            <w:r>
              <w:rPr>
                <w:rFonts w:cs="Arial"/>
                <w:bCs/>
                <w:color w:val="000000"/>
                <w:spacing w:val="-4"/>
                <w:szCs w:val="20"/>
              </w:rPr>
              <w:t>ovaly dopady za spíše dočasné a</w:t>
            </w:r>
            <w:r w:rsidRPr="0046007D">
              <w:rPr>
                <w:rFonts w:cs="Arial"/>
                <w:bCs/>
                <w:color w:val="000000"/>
                <w:spacing w:val="-4"/>
                <w:szCs w:val="20"/>
              </w:rPr>
              <w:t> překonatelné (např. s pomocí vládních programů). Z p</w:t>
            </w:r>
            <w:r>
              <w:rPr>
                <w:rFonts w:cs="Arial"/>
                <w:bCs/>
                <w:color w:val="000000"/>
                <w:spacing w:val="-4"/>
                <w:szCs w:val="20"/>
              </w:rPr>
              <w:t>ohledu hlavních odvětví přispěl</w:t>
            </w:r>
            <w:r w:rsidRPr="0046007D">
              <w:rPr>
                <w:rFonts w:cs="Arial"/>
                <w:bCs/>
                <w:color w:val="000000"/>
                <w:spacing w:val="-4"/>
                <w:szCs w:val="20"/>
              </w:rPr>
              <w:t xml:space="preserve"> ve 2.</w:t>
            </w:r>
            <w:r>
              <w:rPr>
                <w:rFonts w:cs="Arial"/>
                <w:bCs/>
                <w:color w:val="000000"/>
                <w:spacing w:val="-4"/>
                <w:szCs w:val="20"/>
              </w:rPr>
              <w:t> čtvrtlet</w:t>
            </w:r>
            <w:r w:rsidRPr="0046007D">
              <w:rPr>
                <w:rFonts w:cs="Arial"/>
                <w:bCs/>
                <w:color w:val="000000"/>
                <w:spacing w:val="-4"/>
                <w:szCs w:val="20"/>
              </w:rPr>
              <w:t>í k </w:t>
            </w:r>
            <w:r>
              <w:rPr>
                <w:rFonts w:cs="Arial"/>
                <w:bCs/>
                <w:color w:val="000000"/>
                <w:spacing w:val="-4"/>
                <w:szCs w:val="20"/>
              </w:rPr>
              <w:t>nižší</w:t>
            </w:r>
            <w:r w:rsidRPr="0046007D">
              <w:rPr>
                <w:rFonts w:cs="Arial"/>
                <w:bCs/>
                <w:color w:val="000000"/>
                <w:spacing w:val="-4"/>
                <w:szCs w:val="20"/>
              </w:rPr>
              <w:t xml:space="preserve"> zaměstnanosti v celé ekonomice nejvíce</w:t>
            </w:r>
            <w:r>
              <w:rPr>
                <w:rFonts w:cs="Arial"/>
                <w:bCs/>
                <w:color w:val="000000"/>
                <w:spacing w:val="-4"/>
                <w:szCs w:val="20"/>
              </w:rPr>
              <w:t xml:space="preserve"> zpracovatelský průmysl</w:t>
            </w:r>
            <w:r w:rsidRPr="0046007D">
              <w:rPr>
                <w:rFonts w:cs="Arial"/>
                <w:bCs/>
                <w:color w:val="000000"/>
                <w:spacing w:val="-4"/>
                <w:szCs w:val="20"/>
              </w:rPr>
              <w:t xml:space="preserve">, kde </w:t>
            </w:r>
            <w:r>
              <w:rPr>
                <w:rFonts w:cs="Arial"/>
                <w:bCs/>
                <w:color w:val="000000"/>
                <w:spacing w:val="-4"/>
                <w:szCs w:val="20"/>
              </w:rPr>
              <w:t xml:space="preserve">i vlivem „ochlazení“ u agenturní zaměstnanosti </w:t>
            </w:r>
            <w:r w:rsidRPr="0046007D">
              <w:rPr>
                <w:rFonts w:cs="Arial"/>
                <w:bCs/>
                <w:color w:val="000000"/>
                <w:spacing w:val="-4"/>
                <w:szCs w:val="20"/>
              </w:rPr>
              <w:t>ubylo</w:t>
            </w:r>
            <w:r>
              <w:rPr>
                <w:rFonts w:cs="Arial"/>
                <w:bCs/>
                <w:color w:val="000000"/>
                <w:spacing w:val="-4"/>
                <w:szCs w:val="20"/>
              </w:rPr>
              <w:t xml:space="preserve"> meziročně 51 tis. </w:t>
            </w:r>
            <w:r w:rsidRPr="0046007D">
              <w:rPr>
                <w:rFonts w:cs="Arial"/>
                <w:bCs/>
                <w:color w:val="000000"/>
                <w:spacing w:val="-4"/>
                <w:szCs w:val="20"/>
              </w:rPr>
              <w:t>míst</w:t>
            </w:r>
            <w:r>
              <w:rPr>
                <w:rFonts w:cs="Arial"/>
                <w:bCs/>
                <w:color w:val="000000"/>
                <w:spacing w:val="-4"/>
                <w:szCs w:val="20"/>
              </w:rPr>
              <w:t xml:space="preserve"> (3,5 %)</w:t>
            </w:r>
            <w:r w:rsidRPr="0046007D">
              <w:rPr>
                <w:rFonts w:cs="Arial"/>
                <w:bCs/>
                <w:color w:val="000000"/>
                <w:spacing w:val="-4"/>
                <w:szCs w:val="20"/>
              </w:rPr>
              <w:t xml:space="preserve">. </w:t>
            </w:r>
            <w:r>
              <w:rPr>
                <w:rFonts w:cs="Arial"/>
                <w:bCs/>
                <w:color w:val="000000"/>
                <w:spacing w:val="-4"/>
                <w:szCs w:val="20"/>
              </w:rPr>
              <w:t>V sektoru služeb činil pokles 43 tis., byl ale velmi nerovnoměrně rozložen. Vlivem citelného dopadu restrikcí v oblasti cestovního ruchu se snížil počet pracujících v</w:t>
            </w:r>
            <w:r w:rsidRPr="0046007D">
              <w:rPr>
                <w:rFonts w:cs="Arial"/>
                <w:bCs/>
                <w:color w:val="000000"/>
                <w:spacing w:val="-4"/>
                <w:szCs w:val="20"/>
              </w:rPr>
              <w:t> uskupení obchod, doprava, ubytování, stravování a</w:t>
            </w:r>
            <w:r>
              <w:rPr>
                <w:rFonts w:cs="Arial"/>
                <w:bCs/>
                <w:color w:val="000000"/>
                <w:spacing w:val="-4"/>
                <w:szCs w:val="20"/>
              </w:rPr>
              <w:t> </w:t>
            </w:r>
            <w:r w:rsidRPr="0046007D">
              <w:rPr>
                <w:rFonts w:cs="Arial"/>
                <w:bCs/>
                <w:color w:val="000000"/>
                <w:spacing w:val="-4"/>
                <w:szCs w:val="20"/>
              </w:rPr>
              <w:t>pohostinství</w:t>
            </w:r>
            <w:r>
              <w:rPr>
                <w:rFonts w:cs="Arial"/>
                <w:bCs/>
                <w:color w:val="000000"/>
                <w:spacing w:val="-4"/>
                <w:szCs w:val="20"/>
              </w:rPr>
              <w:t xml:space="preserve"> o 40 tis., resp. 3,2 %). Nejhlubší relativní úbytek míst měly p</w:t>
            </w:r>
            <w:r w:rsidRPr="00206786">
              <w:rPr>
                <w:rFonts w:cs="Arial"/>
                <w:bCs/>
                <w:color w:val="000000"/>
                <w:spacing w:val="-4"/>
                <w:szCs w:val="20"/>
              </w:rPr>
              <w:t>rofesní, vědecké, technické a</w:t>
            </w:r>
            <w:r>
              <w:rPr>
                <w:rFonts w:cs="Arial"/>
                <w:bCs/>
                <w:color w:val="000000"/>
                <w:spacing w:val="-4"/>
                <w:szCs w:val="20"/>
              </w:rPr>
              <w:t> </w:t>
            </w:r>
            <w:r w:rsidRPr="00206786">
              <w:rPr>
                <w:rFonts w:cs="Arial"/>
                <w:bCs/>
                <w:color w:val="000000"/>
                <w:spacing w:val="-4"/>
                <w:szCs w:val="20"/>
              </w:rPr>
              <w:t>administrativní činnosti</w:t>
            </w:r>
            <w:r>
              <w:rPr>
                <w:rFonts w:cs="Arial"/>
                <w:bCs/>
                <w:color w:val="000000"/>
                <w:spacing w:val="-4"/>
                <w:szCs w:val="20"/>
              </w:rPr>
              <w:t xml:space="preserve"> (</w:t>
            </w:r>
            <w:r w:rsidRPr="001D4D94">
              <w:rPr>
                <w:rFonts w:cs="Arial"/>
                <w:bCs/>
                <w:color w:val="000000"/>
                <w:spacing w:val="-4"/>
                <w:szCs w:val="20"/>
              </w:rPr>
              <w:t>–</w:t>
            </w:r>
            <w:r>
              <w:rPr>
                <w:rFonts w:cs="Arial"/>
                <w:bCs/>
                <w:color w:val="000000"/>
                <w:spacing w:val="-4"/>
                <w:szCs w:val="20"/>
              </w:rPr>
              <w:t>4,4 %). S tím kontrastoval dlouhodobě ustálený růst zaměstnanosti v </w:t>
            </w:r>
            <w:r w:rsidRPr="0046007D">
              <w:rPr>
                <w:rFonts w:cs="Arial"/>
                <w:bCs/>
                <w:color w:val="000000"/>
                <w:spacing w:val="-4"/>
                <w:szCs w:val="20"/>
              </w:rPr>
              <w:t>informační</w:t>
            </w:r>
            <w:r>
              <w:rPr>
                <w:rFonts w:cs="Arial"/>
                <w:bCs/>
                <w:color w:val="000000"/>
                <w:spacing w:val="-4"/>
                <w:szCs w:val="20"/>
              </w:rPr>
              <w:t>ch a </w:t>
            </w:r>
            <w:r w:rsidRPr="0046007D">
              <w:rPr>
                <w:rFonts w:cs="Arial"/>
                <w:bCs/>
                <w:color w:val="000000"/>
                <w:spacing w:val="-4"/>
                <w:szCs w:val="20"/>
              </w:rPr>
              <w:t>komunikační</w:t>
            </w:r>
            <w:r>
              <w:rPr>
                <w:rFonts w:cs="Arial"/>
                <w:bCs/>
                <w:color w:val="000000"/>
                <w:spacing w:val="-4"/>
                <w:szCs w:val="20"/>
              </w:rPr>
              <w:t>ch činnostech</w:t>
            </w:r>
            <w:r w:rsidRPr="0046007D">
              <w:rPr>
                <w:rFonts w:cs="Arial"/>
                <w:bCs/>
                <w:color w:val="000000"/>
                <w:spacing w:val="-4"/>
                <w:szCs w:val="20"/>
              </w:rPr>
              <w:t xml:space="preserve"> </w:t>
            </w:r>
            <w:r>
              <w:rPr>
                <w:rFonts w:cs="Arial"/>
                <w:bCs/>
                <w:color w:val="000000"/>
                <w:spacing w:val="-4"/>
                <w:szCs w:val="20"/>
              </w:rPr>
              <w:t>(+3,4 %</w:t>
            </w:r>
            <w:r w:rsidRPr="0046007D">
              <w:rPr>
                <w:rFonts w:cs="Arial"/>
                <w:bCs/>
                <w:color w:val="000000"/>
                <w:spacing w:val="-4"/>
                <w:szCs w:val="20"/>
              </w:rPr>
              <w:t>)</w:t>
            </w:r>
            <w:r>
              <w:rPr>
                <w:rFonts w:cs="Arial"/>
                <w:bCs/>
                <w:color w:val="000000"/>
                <w:spacing w:val="-4"/>
                <w:szCs w:val="20"/>
              </w:rPr>
              <w:t xml:space="preserve"> a též v </w:t>
            </w:r>
            <w:r w:rsidRPr="0046007D">
              <w:rPr>
                <w:rFonts w:cs="Arial"/>
                <w:bCs/>
                <w:color w:val="000000"/>
                <w:spacing w:val="-4"/>
                <w:szCs w:val="20"/>
              </w:rPr>
              <w:t>odvětví</w:t>
            </w:r>
            <w:r>
              <w:rPr>
                <w:rFonts w:cs="Arial"/>
                <w:bCs/>
                <w:color w:val="000000"/>
                <w:spacing w:val="-4"/>
                <w:szCs w:val="20"/>
              </w:rPr>
              <w:t>ch</w:t>
            </w:r>
            <w:r w:rsidRPr="0046007D">
              <w:rPr>
                <w:rFonts w:cs="Arial"/>
                <w:bCs/>
                <w:color w:val="000000"/>
                <w:spacing w:val="-4"/>
                <w:szCs w:val="20"/>
              </w:rPr>
              <w:t xml:space="preserve"> s dominancí státu</w:t>
            </w:r>
            <w:r>
              <w:rPr>
                <w:rFonts w:cs="Arial"/>
                <w:bCs/>
                <w:color w:val="000000"/>
                <w:spacing w:val="-4"/>
                <w:szCs w:val="20"/>
              </w:rPr>
              <w:t xml:space="preserve"> (+1,6 </w:t>
            </w:r>
            <w:r w:rsidRPr="0046007D">
              <w:rPr>
                <w:rFonts w:cs="Arial"/>
                <w:bCs/>
                <w:color w:val="000000"/>
                <w:spacing w:val="-4"/>
                <w:szCs w:val="20"/>
              </w:rPr>
              <w:t>%)</w:t>
            </w:r>
            <w:r>
              <w:rPr>
                <w:rFonts w:cs="Arial"/>
                <w:bCs/>
                <w:color w:val="000000"/>
                <w:spacing w:val="-4"/>
                <w:szCs w:val="20"/>
              </w:rPr>
              <w:t>, kde se projevilo posilování ve vzdělávání, mj. i vlivem vyššího počtu žáků v základním školství.</w:t>
            </w:r>
          </w:p>
        </w:tc>
      </w:tr>
      <w:tr w:rsidR="006769C6" w:rsidRPr="006237E6" w14:paraId="09E6A29F" w14:textId="77777777" w:rsidTr="0026300B">
        <w:trPr>
          <w:trHeight w:val="155"/>
        </w:trPr>
        <w:tc>
          <w:tcPr>
            <w:tcW w:w="1792" w:type="dxa"/>
            <w:vMerge w:val="restart"/>
            <w:shd w:val="clear" w:color="auto" w:fill="auto"/>
            <w:tcMar>
              <w:left w:w="0" w:type="dxa"/>
            </w:tcMar>
          </w:tcPr>
          <w:p w14:paraId="146A856F" w14:textId="77777777" w:rsidR="006769C6" w:rsidRPr="00CA5850" w:rsidRDefault="006769C6" w:rsidP="0026300B">
            <w:pPr>
              <w:pStyle w:val="Marginlie"/>
              <w:rPr>
                <w:spacing w:val="-4"/>
              </w:rPr>
            </w:pPr>
            <w:r>
              <w:rPr>
                <w:spacing w:val="-4"/>
              </w:rPr>
              <w:t>Počet odpracovaných hodin zaměstnanci se v červnu vrátil k normálu. Očekávání vývoje zaměstnanosti zůstávala negativní, zejména v průmyslu a většině odvětví tržních služeb.</w:t>
            </w:r>
          </w:p>
        </w:tc>
        <w:tc>
          <w:tcPr>
            <w:tcW w:w="216" w:type="dxa"/>
            <w:vMerge w:val="restart"/>
            <w:shd w:val="clear" w:color="auto" w:fill="auto"/>
            <w:tcMar>
              <w:left w:w="0" w:type="dxa"/>
            </w:tcMar>
          </w:tcPr>
          <w:p w14:paraId="558DB08A" w14:textId="77777777" w:rsidR="006769C6" w:rsidRPr="00B43216" w:rsidRDefault="006769C6" w:rsidP="0026300B">
            <w:pPr>
              <w:pStyle w:val="Textpoznpodarou"/>
              <w:jc w:val="both"/>
              <w:rPr>
                <w:spacing w:val="-4"/>
              </w:rPr>
            </w:pPr>
          </w:p>
        </w:tc>
        <w:tc>
          <w:tcPr>
            <w:tcW w:w="7656" w:type="dxa"/>
            <w:shd w:val="clear" w:color="auto" w:fill="auto"/>
            <w:tcMar>
              <w:left w:w="0" w:type="dxa"/>
            </w:tcMar>
          </w:tcPr>
          <w:p w14:paraId="37BA8755" w14:textId="77777777" w:rsidR="006769C6" w:rsidRPr="00CF5115" w:rsidRDefault="006769C6" w:rsidP="0026300B">
            <w:pPr>
              <w:spacing w:after="200"/>
              <w:rPr>
                <w:spacing w:val="-5"/>
              </w:rPr>
            </w:pPr>
            <w:r w:rsidRPr="001C6ADD">
              <w:rPr>
                <w:spacing w:val="-5"/>
              </w:rPr>
              <w:t>Vliv protipandemických restrikcí je plasticky vyjádřen pokl</w:t>
            </w:r>
            <w:r>
              <w:rPr>
                <w:spacing w:val="-5"/>
              </w:rPr>
              <w:t>esem odpracovaných hodin v</w:t>
            </w:r>
            <w:r w:rsidRPr="001C6ADD">
              <w:rPr>
                <w:spacing w:val="-5"/>
              </w:rPr>
              <w:t> </w:t>
            </w:r>
            <w:r>
              <w:rPr>
                <w:spacing w:val="-5"/>
              </w:rPr>
              <w:t>ekonom</w:t>
            </w:r>
            <w:r w:rsidRPr="001C6ADD">
              <w:rPr>
                <w:spacing w:val="-5"/>
              </w:rPr>
              <w:t>ice. Ten činil dle údajů VŠPS v březnu meziročně 10</w:t>
            </w:r>
            <w:r>
              <w:rPr>
                <w:spacing w:val="-5"/>
              </w:rPr>
              <w:t> %</w:t>
            </w:r>
            <w:r w:rsidRPr="001C6ADD">
              <w:rPr>
                <w:spacing w:val="-5"/>
              </w:rPr>
              <w:t>, v dubnu se prohloubil na dosud nevídaných 22</w:t>
            </w:r>
            <w:r>
              <w:rPr>
                <w:spacing w:val="-5"/>
              </w:rPr>
              <w:t> %</w:t>
            </w:r>
            <w:r w:rsidRPr="001C6ADD">
              <w:rPr>
                <w:spacing w:val="-5"/>
              </w:rPr>
              <w:t xml:space="preserve"> (u</w:t>
            </w:r>
            <w:r>
              <w:rPr>
                <w:spacing w:val="-5"/>
              </w:rPr>
              <w:t> podnikatelů</w:t>
            </w:r>
            <w:r w:rsidRPr="001C6ADD">
              <w:rPr>
                <w:spacing w:val="-5"/>
              </w:rPr>
              <w:t xml:space="preserve"> na 31</w:t>
            </w:r>
            <w:r>
              <w:rPr>
                <w:spacing w:val="-5"/>
              </w:rPr>
              <w:t> %</w:t>
            </w:r>
            <w:r w:rsidRPr="001C6ADD">
              <w:rPr>
                <w:spacing w:val="-5"/>
              </w:rPr>
              <w:t>). V květnu se pokles zmírnil (na 8 %) a</w:t>
            </w:r>
            <w:r>
              <w:rPr>
                <w:spacing w:val="-5"/>
              </w:rPr>
              <w:t> </w:t>
            </w:r>
            <w:r w:rsidRPr="001C6ADD">
              <w:rPr>
                <w:spacing w:val="-5"/>
              </w:rPr>
              <w:t>červen již avizoval návrat k tempům z přelomu let 2019 a 2020 (</w:t>
            </w:r>
            <w:r w:rsidRPr="001C6ADD">
              <w:rPr>
                <w:rFonts w:cs="Arial"/>
                <w:bCs/>
                <w:color w:val="000000"/>
                <w:spacing w:val="-5"/>
                <w:szCs w:val="20"/>
              </w:rPr>
              <w:t>–</w:t>
            </w:r>
            <w:r w:rsidRPr="001C6ADD">
              <w:rPr>
                <w:spacing w:val="-5"/>
              </w:rPr>
              <w:t>2</w:t>
            </w:r>
            <w:r>
              <w:rPr>
                <w:spacing w:val="-5"/>
              </w:rPr>
              <w:t> %</w:t>
            </w:r>
            <w:r w:rsidRPr="001C6ADD">
              <w:rPr>
                <w:spacing w:val="-5"/>
              </w:rPr>
              <w:t>), což však plně neplatilo pro drobné podnikatele (</w:t>
            </w:r>
            <w:r w:rsidRPr="001C6ADD">
              <w:rPr>
                <w:rFonts w:cs="Arial"/>
                <w:bCs/>
                <w:color w:val="000000"/>
                <w:spacing w:val="-5"/>
                <w:szCs w:val="20"/>
              </w:rPr>
              <w:t>–</w:t>
            </w:r>
            <w:r w:rsidRPr="001C6ADD">
              <w:rPr>
                <w:spacing w:val="-5"/>
              </w:rPr>
              <w:t>6</w:t>
            </w:r>
            <w:r>
              <w:rPr>
                <w:spacing w:val="-5"/>
              </w:rPr>
              <w:t> %</w:t>
            </w:r>
            <w:r w:rsidRPr="001C6ADD">
              <w:rPr>
                <w:spacing w:val="-5"/>
              </w:rPr>
              <w:t>), u</w:t>
            </w:r>
            <w:r>
              <w:rPr>
                <w:spacing w:val="-5"/>
              </w:rPr>
              <w:t> </w:t>
            </w:r>
            <w:r w:rsidRPr="001C6ADD">
              <w:rPr>
                <w:spacing w:val="-5"/>
              </w:rPr>
              <w:t>nichž</w:t>
            </w:r>
            <w:r>
              <w:rPr>
                <w:spacing w:val="-5"/>
              </w:rPr>
              <w:t xml:space="preserve"> se </w:t>
            </w:r>
            <w:r w:rsidRPr="001C6ADD">
              <w:rPr>
                <w:spacing w:val="-5"/>
              </w:rPr>
              <w:t>více projevoval vliv oslabené poptávky. Očekávání podniků v</w:t>
            </w:r>
            <w:r>
              <w:rPr>
                <w:spacing w:val="-5"/>
              </w:rPr>
              <w:t> oblasti zaměstnanosti zůstala</w:t>
            </w:r>
            <w:r w:rsidRPr="001C6ADD">
              <w:rPr>
                <w:spacing w:val="-5"/>
              </w:rPr>
              <w:t xml:space="preserve"> </w:t>
            </w:r>
            <w:r>
              <w:rPr>
                <w:spacing w:val="-5"/>
              </w:rPr>
              <w:t xml:space="preserve">ve většině odvětví negativní. </w:t>
            </w:r>
            <w:r w:rsidRPr="001C6ADD">
              <w:rPr>
                <w:spacing w:val="-6"/>
              </w:rPr>
              <w:t>To platilo pro tržní služby (</w:t>
            </w:r>
            <w:r>
              <w:rPr>
                <w:spacing w:val="-6"/>
              </w:rPr>
              <w:t>mimo obchod), kde byl v srpnu</w:t>
            </w:r>
            <w:r w:rsidRPr="001C6ADD">
              <w:rPr>
                <w:spacing w:val="-6"/>
              </w:rPr>
              <w:t xml:space="preserve"> 2020 podíl podniků očekávajících</w:t>
            </w:r>
            <w:r w:rsidRPr="001C6ADD">
              <w:rPr>
                <w:spacing w:val="-5"/>
              </w:rPr>
              <w:t xml:space="preserve"> </w:t>
            </w:r>
            <w:r>
              <w:rPr>
                <w:spacing w:val="-5"/>
              </w:rPr>
              <w:t>v příštích třech měsících růst zaměstnanosti o 33 p. b. niž</w:t>
            </w:r>
            <w:r w:rsidRPr="001C6ADD">
              <w:rPr>
                <w:spacing w:val="-5"/>
              </w:rPr>
              <w:t xml:space="preserve">ší než </w:t>
            </w:r>
            <w:r>
              <w:rPr>
                <w:spacing w:val="-5"/>
              </w:rPr>
              <w:t>podíl podniků plánujících</w:t>
            </w:r>
            <w:r w:rsidRPr="001C6ADD">
              <w:rPr>
                <w:spacing w:val="-5"/>
              </w:rPr>
              <w:t xml:space="preserve"> </w:t>
            </w:r>
            <w:r>
              <w:rPr>
                <w:spacing w:val="-5"/>
              </w:rPr>
              <w:t>redukovat stavy</w:t>
            </w:r>
            <w:r w:rsidRPr="001C6ADD">
              <w:rPr>
                <w:spacing w:val="-5"/>
              </w:rPr>
              <w:t xml:space="preserve">. </w:t>
            </w:r>
            <w:r>
              <w:rPr>
                <w:spacing w:val="-5"/>
              </w:rPr>
              <w:t>Rovněž v </w:t>
            </w:r>
            <w:r w:rsidRPr="001C6ADD">
              <w:rPr>
                <w:spacing w:val="-5"/>
              </w:rPr>
              <w:t xml:space="preserve">průmyslu </w:t>
            </w:r>
            <w:r>
              <w:rPr>
                <w:spacing w:val="-5"/>
              </w:rPr>
              <w:t>zůstalo toto saldo i přes slábnoucí pesimismus</w:t>
            </w:r>
            <w:r w:rsidRPr="001C6ADD">
              <w:rPr>
                <w:spacing w:val="-5"/>
              </w:rPr>
              <w:t xml:space="preserve"> </w:t>
            </w:r>
            <w:r>
              <w:rPr>
                <w:spacing w:val="-5"/>
              </w:rPr>
              <w:t xml:space="preserve">zřetelně </w:t>
            </w:r>
            <w:r w:rsidRPr="001C6ADD">
              <w:rPr>
                <w:spacing w:val="-5"/>
              </w:rPr>
              <w:t>negativní</w:t>
            </w:r>
            <w:r>
              <w:rPr>
                <w:spacing w:val="-5"/>
              </w:rPr>
              <w:br/>
            </w:r>
            <w:r w:rsidRPr="001C6ADD">
              <w:rPr>
                <w:spacing w:val="-5"/>
              </w:rPr>
              <w:t>(</w:t>
            </w:r>
            <w:r w:rsidRPr="001C6ADD">
              <w:rPr>
                <w:rFonts w:cs="Arial"/>
                <w:bCs/>
                <w:color w:val="000000"/>
                <w:spacing w:val="-5"/>
                <w:szCs w:val="20"/>
              </w:rPr>
              <w:t>–</w:t>
            </w:r>
            <w:r>
              <w:rPr>
                <w:spacing w:val="-5"/>
              </w:rPr>
              <w:t>12 p. b.). L</w:t>
            </w:r>
            <w:r w:rsidRPr="001C6ADD">
              <w:rPr>
                <w:spacing w:val="-5"/>
              </w:rPr>
              <w:t>épe na tom byly podniky v</w:t>
            </w:r>
            <w:r>
              <w:rPr>
                <w:spacing w:val="-5"/>
              </w:rPr>
              <w:t> obchodu (</w:t>
            </w:r>
            <w:r w:rsidRPr="001C6ADD">
              <w:rPr>
                <w:rFonts w:cs="Arial"/>
                <w:bCs/>
                <w:color w:val="000000"/>
                <w:spacing w:val="-5"/>
                <w:szCs w:val="20"/>
              </w:rPr>
              <w:t>–</w:t>
            </w:r>
            <w:r>
              <w:rPr>
                <w:spacing w:val="-5"/>
              </w:rPr>
              <w:t>5 p. b.) a hlavně ve stavebnictví (</w:t>
            </w:r>
            <w:r>
              <w:rPr>
                <w:rFonts w:cs="Arial"/>
                <w:bCs/>
                <w:color w:val="000000"/>
                <w:spacing w:val="-5"/>
                <w:szCs w:val="20"/>
              </w:rPr>
              <w:t>+2</w:t>
            </w:r>
            <w:r>
              <w:rPr>
                <w:spacing w:val="-5"/>
              </w:rPr>
              <w:t xml:space="preserve"> p. b.), </w:t>
            </w:r>
            <w:r>
              <w:rPr>
                <w:spacing w:val="-5"/>
              </w:rPr>
              <w:lastRenderedPageBreak/>
              <w:t>kde vysoký podíl podniků změny v zaměstnanosti neočekával (87 %). Stále kolem 40 % stavebních podniků považovalo i v letním období nedostatek pracovníků za bariéru růstu.</w:t>
            </w:r>
          </w:p>
        </w:tc>
      </w:tr>
      <w:tr w:rsidR="006769C6" w:rsidRPr="006237E6" w14:paraId="233C5638" w14:textId="77777777" w:rsidTr="0026300B">
        <w:trPr>
          <w:trHeight w:val="155"/>
        </w:trPr>
        <w:tc>
          <w:tcPr>
            <w:tcW w:w="1792" w:type="dxa"/>
            <w:vMerge w:val="restart"/>
            <w:shd w:val="clear" w:color="auto" w:fill="auto"/>
            <w:tcMar>
              <w:left w:w="0" w:type="dxa"/>
            </w:tcMar>
          </w:tcPr>
          <w:p w14:paraId="6FF95FF6" w14:textId="77777777" w:rsidR="006769C6" w:rsidRPr="00CA5850" w:rsidRDefault="006769C6" w:rsidP="0026300B">
            <w:pPr>
              <w:pStyle w:val="Marginlie"/>
              <w:rPr>
                <w:spacing w:val="-4"/>
              </w:rPr>
            </w:pPr>
            <w:r>
              <w:rPr>
                <w:spacing w:val="-4"/>
              </w:rPr>
              <w:lastRenderedPageBreak/>
              <w:t>Nárůst počtu ekonomicky neaktivních razantně zrychlil.</w:t>
            </w:r>
          </w:p>
        </w:tc>
        <w:tc>
          <w:tcPr>
            <w:tcW w:w="216" w:type="dxa"/>
            <w:vMerge w:val="restart"/>
            <w:shd w:val="clear" w:color="auto" w:fill="auto"/>
            <w:tcMar>
              <w:left w:w="0" w:type="dxa"/>
            </w:tcMar>
          </w:tcPr>
          <w:p w14:paraId="4CE35508" w14:textId="77777777" w:rsidR="006769C6" w:rsidRPr="00B43216" w:rsidRDefault="006769C6" w:rsidP="0026300B">
            <w:pPr>
              <w:pStyle w:val="Textpoznpodarou"/>
              <w:jc w:val="both"/>
              <w:rPr>
                <w:spacing w:val="-4"/>
              </w:rPr>
            </w:pPr>
          </w:p>
        </w:tc>
        <w:tc>
          <w:tcPr>
            <w:tcW w:w="7656" w:type="dxa"/>
            <w:shd w:val="clear" w:color="auto" w:fill="auto"/>
            <w:tcMar>
              <w:left w:w="0" w:type="dxa"/>
            </w:tcMar>
          </w:tcPr>
          <w:p w14:paraId="4841E6B4" w14:textId="77777777" w:rsidR="006769C6" w:rsidRPr="00241E62" w:rsidRDefault="006769C6" w:rsidP="0026300B">
            <w:pPr>
              <w:spacing w:after="220"/>
              <w:rPr>
                <w:rFonts w:cs="Arial"/>
                <w:bCs/>
                <w:color w:val="000000"/>
                <w:szCs w:val="20"/>
              </w:rPr>
            </w:pPr>
            <w:r w:rsidRPr="00241E62">
              <w:rPr>
                <w:rFonts w:cs="Arial"/>
                <w:bCs/>
                <w:color w:val="000000"/>
                <w:szCs w:val="20"/>
              </w:rPr>
              <w:t>Změny na trhu práce v 1.</w:t>
            </w:r>
            <w:r>
              <w:rPr>
                <w:rFonts w:cs="Arial"/>
                <w:bCs/>
                <w:color w:val="000000"/>
                <w:szCs w:val="20"/>
              </w:rPr>
              <w:t> pololet</w:t>
            </w:r>
            <w:r w:rsidRPr="00241E62">
              <w:rPr>
                <w:rFonts w:cs="Arial"/>
                <w:bCs/>
                <w:color w:val="000000"/>
                <w:szCs w:val="20"/>
              </w:rPr>
              <w:t>í se spíše</w:t>
            </w:r>
            <w:r>
              <w:rPr>
                <w:rFonts w:cs="Arial"/>
                <w:bCs/>
                <w:color w:val="000000"/>
                <w:szCs w:val="20"/>
              </w:rPr>
              <w:t xml:space="preserve"> než v nezaměstnanosti odrazily v posílení ekonomicky neaktivních. Byť se počet neaktivních zvyšoval i po většinu loňského roku, k významnému zrychlení meziročního tempa došlo až letos. Na počátku roku činil nárůst 59 tis. osob, ve 2. čtvrtletí již 86 tis. (nejvíce v historii ČR). K rekordnímu růstu přispěli hlavně muži ve věku 60 a více let (+25 tis.) a ženy do 30 let (+33 tis.). Pro tyto skupiny je typické mj. častější využívání zkrácených úvazků a práce na dobu určitou.</w:t>
            </w:r>
          </w:p>
        </w:tc>
      </w:tr>
      <w:tr w:rsidR="006769C6" w:rsidRPr="009F2A8A" w14:paraId="2E42C1B3" w14:textId="77777777" w:rsidTr="0026300B">
        <w:trPr>
          <w:trHeight w:val="155"/>
        </w:trPr>
        <w:tc>
          <w:tcPr>
            <w:tcW w:w="1792" w:type="dxa"/>
            <w:vMerge w:val="restart"/>
            <w:shd w:val="clear" w:color="auto" w:fill="auto"/>
            <w:tcMar>
              <w:left w:w="0" w:type="dxa"/>
            </w:tcMar>
          </w:tcPr>
          <w:p w14:paraId="5CC4591D" w14:textId="77777777" w:rsidR="006769C6" w:rsidRPr="00B43216" w:rsidRDefault="006769C6" w:rsidP="0026300B">
            <w:pPr>
              <w:pStyle w:val="Marginlie"/>
              <w:rPr>
                <w:spacing w:val="-4"/>
              </w:rPr>
            </w:pPr>
          </w:p>
        </w:tc>
        <w:tc>
          <w:tcPr>
            <w:tcW w:w="216" w:type="dxa"/>
            <w:vMerge w:val="restart"/>
            <w:shd w:val="clear" w:color="auto" w:fill="auto"/>
            <w:tcMar>
              <w:left w:w="0" w:type="dxa"/>
            </w:tcMar>
          </w:tcPr>
          <w:p w14:paraId="739BA545" w14:textId="77777777" w:rsidR="006769C6" w:rsidRPr="00B43216" w:rsidRDefault="006769C6" w:rsidP="0026300B">
            <w:pPr>
              <w:pStyle w:val="Textpoznpodarou"/>
              <w:jc w:val="both"/>
              <w:rPr>
                <w:spacing w:val="-4"/>
              </w:rPr>
            </w:pPr>
          </w:p>
        </w:tc>
        <w:tc>
          <w:tcPr>
            <w:tcW w:w="7656" w:type="dxa"/>
            <w:shd w:val="clear" w:color="auto" w:fill="auto"/>
            <w:tcMar>
              <w:left w:w="0" w:type="dxa"/>
            </w:tcMar>
          </w:tcPr>
          <w:p w14:paraId="35202BF2" w14:textId="77777777" w:rsidR="006769C6" w:rsidRPr="00CA5850" w:rsidRDefault="006769C6" w:rsidP="0026300B">
            <w:pPr>
              <w:spacing w:after="0"/>
              <w:rPr>
                <w:spacing w:val="-2"/>
              </w:rPr>
            </w:pPr>
            <w:r w:rsidRPr="0068569E">
              <w:rPr>
                <w:rFonts w:cs="Arial"/>
                <w:b/>
                <w:bCs/>
                <w:color w:val="000000"/>
                <w:szCs w:val="20"/>
              </w:rPr>
              <w:t>Graf č. 13</w:t>
            </w:r>
            <w:r w:rsidRPr="0068569E">
              <w:rPr>
                <w:rFonts w:cs="Arial"/>
                <w:b/>
                <w:bCs/>
                <w:color w:val="000000"/>
                <w:sz w:val="18"/>
                <w:szCs w:val="18"/>
              </w:rPr>
              <w:t xml:space="preserve">  </w:t>
            </w:r>
            <w:r w:rsidRPr="0068569E">
              <w:rPr>
                <w:b/>
                <w:bCs/>
                <w:lang w:eastAsia="en-US"/>
              </w:rPr>
              <w:t xml:space="preserve">Celková zaměstnanost </w:t>
            </w:r>
            <w:r w:rsidRPr="0068569E">
              <w:rPr>
                <w:lang w:eastAsia="en-US"/>
              </w:rPr>
              <w:t>(</w:t>
            </w:r>
            <w:r w:rsidRPr="0068569E">
              <w:rPr>
                <w:spacing w:val="-2"/>
              </w:rPr>
              <w:t>meziročně v</w:t>
            </w:r>
            <w:r>
              <w:rPr>
                <w:spacing w:val="-2"/>
              </w:rPr>
              <w:t> %</w:t>
            </w:r>
            <w:r w:rsidRPr="0068569E">
              <w:rPr>
                <w:spacing w:val="-2"/>
              </w:rPr>
              <w:t>)</w:t>
            </w:r>
            <w:r w:rsidRPr="0068569E">
              <w:rPr>
                <w:b/>
                <w:bCs/>
                <w:spacing w:val="-2"/>
              </w:rPr>
              <w:t xml:space="preserve">, </w:t>
            </w:r>
            <w:r>
              <w:rPr>
                <w:b/>
                <w:bCs/>
                <w:spacing w:val="-2"/>
              </w:rPr>
              <w:t xml:space="preserve">příspěvky </w:t>
            </w:r>
            <w:r w:rsidRPr="0068569E">
              <w:rPr>
                <w:b/>
                <w:bCs/>
                <w:spacing w:val="-2"/>
              </w:rPr>
              <w:t xml:space="preserve">odvětví k meziroční změně zaměstnanosti </w:t>
            </w:r>
            <w:r w:rsidRPr="0068569E">
              <w:rPr>
                <w:spacing w:val="-2"/>
              </w:rPr>
              <w:t>(v</w:t>
            </w:r>
            <w:r>
              <w:rPr>
                <w:spacing w:val="-2"/>
              </w:rPr>
              <w:t> p. b.</w:t>
            </w:r>
            <w:r w:rsidRPr="0068569E">
              <w:rPr>
                <w:spacing w:val="-2"/>
              </w:rPr>
              <w:t>)</w:t>
            </w:r>
            <w:r w:rsidRPr="0068569E">
              <w:rPr>
                <w:b/>
                <w:bCs/>
                <w:spacing w:val="-2"/>
              </w:rPr>
              <w:t xml:space="preserve"> a očekávání vývoje zaměst</w:t>
            </w:r>
            <w:r>
              <w:rPr>
                <w:b/>
                <w:bCs/>
                <w:spacing w:val="-2"/>
              </w:rPr>
              <w:t>nanosti</w:t>
            </w:r>
            <w:r w:rsidRPr="0068569E">
              <w:rPr>
                <w:b/>
                <w:bCs/>
                <w:spacing w:val="-2"/>
              </w:rPr>
              <w:t xml:space="preserve"> </w:t>
            </w:r>
            <w:r w:rsidRPr="0068569E">
              <w:rPr>
                <w:spacing w:val="-2"/>
              </w:rPr>
              <w:t>(saldo v</w:t>
            </w:r>
            <w:r>
              <w:rPr>
                <w:spacing w:val="-2"/>
              </w:rPr>
              <w:t> p. b.)</w:t>
            </w:r>
          </w:p>
        </w:tc>
      </w:tr>
      <w:tr w:rsidR="006769C6" w:rsidRPr="00B43216" w14:paraId="04D995C6" w14:textId="77777777" w:rsidTr="0026300B">
        <w:tblPrEx>
          <w:tblCellMar>
            <w:left w:w="70" w:type="dxa"/>
            <w:right w:w="70" w:type="dxa"/>
          </w:tblCellMar>
        </w:tblPrEx>
        <w:trPr>
          <w:trHeight w:val="155"/>
        </w:trPr>
        <w:tc>
          <w:tcPr>
            <w:tcW w:w="1792" w:type="dxa"/>
            <w:vMerge/>
            <w:shd w:val="clear" w:color="auto" w:fill="auto"/>
          </w:tcPr>
          <w:p w14:paraId="520DC140" w14:textId="77777777" w:rsidR="006769C6" w:rsidRPr="00B43216" w:rsidRDefault="006769C6" w:rsidP="0026300B">
            <w:pPr>
              <w:pStyle w:val="Marginlie"/>
              <w:rPr>
                <w:spacing w:val="-4"/>
              </w:rPr>
            </w:pPr>
          </w:p>
        </w:tc>
        <w:tc>
          <w:tcPr>
            <w:tcW w:w="216" w:type="dxa"/>
            <w:vMerge/>
            <w:shd w:val="clear" w:color="auto" w:fill="auto"/>
          </w:tcPr>
          <w:p w14:paraId="74BB8A31" w14:textId="77777777" w:rsidR="006769C6" w:rsidRPr="00B43216" w:rsidRDefault="006769C6" w:rsidP="0026300B">
            <w:pPr>
              <w:pStyle w:val="Textpoznpodarou"/>
              <w:jc w:val="both"/>
              <w:rPr>
                <w:spacing w:val="-4"/>
              </w:rPr>
            </w:pPr>
          </w:p>
        </w:tc>
        <w:tc>
          <w:tcPr>
            <w:tcW w:w="7656" w:type="dxa"/>
            <w:shd w:val="clear" w:color="auto" w:fill="auto"/>
          </w:tcPr>
          <w:p w14:paraId="59B160C0" w14:textId="77777777" w:rsidR="006769C6" w:rsidRPr="00B43216" w:rsidRDefault="006769C6" w:rsidP="0026300B">
            <w:pPr>
              <w:spacing w:after="0"/>
              <w:rPr>
                <w:spacing w:val="-4"/>
              </w:rPr>
            </w:pPr>
            <w:r>
              <w:rPr>
                <w:noProof/>
              </w:rPr>
              <w:drawing>
                <wp:inline distT="0" distB="0" distL="0" distR="0" wp14:anchorId="3B10EF45" wp14:editId="13B810B9">
                  <wp:extent cx="4741598" cy="3608781"/>
                  <wp:effectExtent l="0" t="0" r="1905" b="0"/>
                  <wp:docPr id="43" name="Graf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6769C6" w:rsidRPr="00485ED5" w14:paraId="4A2C5BB6" w14:textId="77777777" w:rsidTr="0026300B">
        <w:trPr>
          <w:trHeight w:val="671"/>
        </w:trPr>
        <w:tc>
          <w:tcPr>
            <w:tcW w:w="1792" w:type="dxa"/>
            <w:vMerge/>
            <w:shd w:val="clear" w:color="auto" w:fill="auto"/>
            <w:tcMar>
              <w:left w:w="0" w:type="dxa"/>
            </w:tcMar>
          </w:tcPr>
          <w:p w14:paraId="2A536F40" w14:textId="77777777" w:rsidR="006769C6" w:rsidRPr="00B43216" w:rsidRDefault="006769C6" w:rsidP="0026300B">
            <w:pPr>
              <w:pStyle w:val="Marginlie"/>
              <w:rPr>
                <w:spacing w:val="-4"/>
              </w:rPr>
            </w:pPr>
          </w:p>
        </w:tc>
        <w:tc>
          <w:tcPr>
            <w:tcW w:w="216" w:type="dxa"/>
            <w:vMerge/>
            <w:shd w:val="clear" w:color="auto" w:fill="auto"/>
            <w:tcMar>
              <w:left w:w="0" w:type="dxa"/>
            </w:tcMar>
          </w:tcPr>
          <w:p w14:paraId="5DDFA511" w14:textId="77777777" w:rsidR="006769C6" w:rsidRPr="00B43216" w:rsidRDefault="006769C6" w:rsidP="0026300B">
            <w:pPr>
              <w:pStyle w:val="Textpoznpodarou"/>
              <w:jc w:val="both"/>
              <w:rPr>
                <w:spacing w:val="-4"/>
              </w:rPr>
            </w:pPr>
          </w:p>
        </w:tc>
        <w:tc>
          <w:tcPr>
            <w:tcW w:w="7656" w:type="dxa"/>
            <w:shd w:val="clear" w:color="auto" w:fill="auto"/>
            <w:tcMar>
              <w:left w:w="0" w:type="dxa"/>
            </w:tcMar>
          </w:tcPr>
          <w:p w14:paraId="67CC6D91" w14:textId="77777777" w:rsidR="006769C6" w:rsidRDefault="006769C6" w:rsidP="0026300B">
            <w:pPr>
              <w:spacing w:after="0" w:line="240" w:lineRule="auto"/>
              <w:rPr>
                <w:rFonts w:cs="Arial"/>
                <w:sz w:val="14"/>
                <w:szCs w:val="14"/>
              </w:rPr>
            </w:pPr>
            <w:r>
              <w:rPr>
                <w:rFonts w:cs="Arial"/>
                <w:color w:val="0D0D0D" w:themeColor="text1" w:themeTint="F2"/>
                <w:spacing w:val="-2"/>
                <w:sz w:val="14"/>
                <w:szCs w:val="14"/>
              </w:rPr>
              <w:t>*</w:t>
            </w:r>
            <w:r w:rsidRPr="00862F17">
              <w:rPr>
                <w:rFonts w:cs="Arial"/>
                <w:sz w:val="14"/>
                <w:szCs w:val="14"/>
              </w:rPr>
              <w:t xml:space="preserve"> Těžba a</w:t>
            </w:r>
            <w:r>
              <w:rPr>
                <w:rFonts w:cs="Arial"/>
                <w:sz w:val="14"/>
                <w:szCs w:val="14"/>
              </w:rPr>
              <w:t> </w:t>
            </w:r>
            <w:r w:rsidRPr="00862F17">
              <w:rPr>
                <w:rFonts w:cs="Arial"/>
                <w:sz w:val="14"/>
                <w:szCs w:val="14"/>
              </w:rPr>
              <w:t>energetika</w:t>
            </w:r>
            <w:r>
              <w:rPr>
                <w:rFonts w:cs="Arial"/>
                <w:sz w:val="14"/>
                <w:szCs w:val="14"/>
              </w:rPr>
              <w:t>;</w:t>
            </w:r>
            <w:r w:rsidRPr="00862F17">
              <w:rPr>
                <w:rFonts w:cs="Arial"/>
                <w:sz w:val="14"/>
                <w:szCs w:val="14"/>
              </w:rPr>
              <w:t xml:space="preserve"> Peněžnictví a</w:t>
            </w:r>
            <w:r>
              <w:rPr>
                <w:rFonts w:cs="Arial"/>
                <w:sz w:val="14"/>
                <w:szCs w:val="14"/>
              </w:rPr>
              <w:t> </w:t>
            </w:r>
            <w:r w:rsidRPr="00862F17">
              <w:rPr>
                <w:rFonts w:cs="Arial"/>
                <w:sz w:val="14"/>
                <w:szCs w:val="14"/>
              </w:rPr>
              <w:t>pojišťovnictví</w:t>
            </w:r>
            <w:r>
              <w:rPr>
                <w:rFonts w:cs="Arial"/>
                <w:sz w:val="14"/>
                <w:szCs w:val="14"/>
              </w:rPr>
              <w:t>;</w:t>
            </w:r>
            <w:r w:rsidRPr="00862F17">
              <w:rPr>
                <w:rFonts w:cs="Arial"/>
                <w:sz w:val="14"/>
                <w:szCs w:val="14"/>
              </w:rPr>
              <w:t xml:space="preserve"> Činnosti v</w:t>
            </w:r>
            <w:r>
              <w:rPr>
                <w:rFonts w:cs="Arial"/>
                <w:sz w:val="14"/>
                <w:szCs w:val="14"/>
              </w:rPr>
              <w:t> </w:t>
            </w:r>
            <w:r w:rsidRPr="00862F17">
              <w:rPr>
                <w:rFonts w:cs="Arial"/>
                <w:sz w:val="14"/>
                <w:szCs w:val="14"/>
              </w:rPr>
              <w:t>oblasti nemovitostí</w:t>
            </w:r>
            <w:r>
              <w:rPr>
                <w:rFonts w:cs="Arial"/>
                <w:sz w:val="14"/>
                <w:szCs w:val="14"/>
              </w:rPr>
              <w:t>;</w:t>
            </w:r>
            <w:r w:rsidRPr="00862F17">
              <w:rPr>
                <w:rFonts w:cs="Arial"/>
                <w:sz w:val="14"/>
                <w:szCs w:val="14"/>
              </w:rPr>
              <w:t xml:space="preserve"> Kulturní, zábavní a</w:t>
            </w:r>
            <w:r w:rsidRPr="00D47653">
              <w:rPr>
                <w:sz w:val="14"/>
                <w:szCs w:val="14"/>
              </w:rPr>
              <w:t> </w:t>
            </w:r>
            <w:r w:rsidRPr="00862F17">
              <w:rPr>
                <w:rFonts w:cs="Arial"/>
                <w:sz w:val="14"/>
                <w:szCs w:val="14"/>
              </w:rPr>
              <w:t>rekreační činnosti</w:t>
            </w:r>
            <w:r>
              <w:rPr>
                <w:rFonts w:cs="Arial"/>
                <w:sz w:val="14"/>
                <w:szCs w:val="14"/>
              </w:rPr>
              <w:t>.</w:t>
            </w:r>
          </w:p>
          <w:p w14:paraId="28943F33" w14:textId="77777777" w:rsidR="006769C6" w:rsidRDefault="006769C6" w:rsidP="0026300B">
            <w:pPr>
              <w:spacing w:after="0" w:line="240" w:lineRule="auto"/>
              <w:rPr>
                <w:rFonts w:cs="Arial"/>
                <w:sz w:val="14"/>
                <w:szCs w:val="14"/>
              </w:rPr>
            </w:pPr>
            <w:r>
              <w:rPr>
                <w:rFonts w:cs="Arial"/>
                <w:sz w:val="14"/>
                <w:szCs w:val="14"/>
              </w:rPr>
              <w:t xml:space="preserve">Poznámka: Saldo </w:t>
            </w:r>
            <w:r>
              <w:rPr>
                <w:rFonts w:cs="Arial"/>
                <w:color w:val="0D0D0D" w:themeColor="text1" w:themeTint="F2"/>
                <w:sz w:val="14"/>
                <w:szCs w:val="14"/>
              </w:rPr>
              <w:t>očekávání vyjadřuje rozdíl v p. b. mezi kategoriemi růst versus pokles zaměstnanosti v nejbližších třech měsících. Údaje jsou sezónně očištěny a vztahují se k poslednímu měsíci daného čtvrtletí.</w:t>
            </w:r>
          </w:p>
          <w:p w14:paraId="5A49541A" w14:textId="77777777" w:rsidR="006769C6" w:rsidRPr="00485ED5" w:rsidRDefault="006769C6" w:rsidP="0026300B">
            <w:pPr>
              <w:spacing w:after="220" w:line="240" w:lineRule="auto"/>
              <w:rPr>
                <w:rFonts w:cs="Arial"/>
                <w:color w:val="0D0D0D" w:themeColor="text1" w:themeTint="F2"/>
                <w:spacing w:val="-2"/>
                <w:sz w:val="14"/>
                <w:szCs w:val="14"/>
              </w:rPr>
            </w:pPr>
            <w:r w:rsidRPr="00862F17">
              <w:rPr>
                <w:rFonts w:cs="Arial"/>
                <w:sz w:val="14"/>
                <w:szCs w:val="14"/>
              </w:rPr>
              <w:t>Zdroj: ČSÚ (národní účty</w:t>
            </w:r>
            <w:r>
              <w:rPr>
                <w:rFonts w:cs="Arial"/>
                <w:sz w:val="14"/>
                <w:szCs w:val="14"/>
              </w:rPr>
              <w:t>, konjunkturální průzkumy)</w:t>
            </w:r>
          </w:p>
        </w:tc>
      </w:tr>
      <w:tr w:rsidR="006769C6" w:rsidRPr="00B43216" w14:paraId="31A0AB18" w14:textId="77777777" w:rsidTr="0026300B">
        <w:trPr>
          <w:trHeight w:val="145"/>
        </w:trPr>
        <w:tc>
          <w:tcPr>
            <w:tcW w:w="1792" w:type="dxa"/>
            <w:shd w:val="clear" w:color="auto" w:fill="auto"/>
            <w:tcMar>
              <w:left w:w="0" w:type="dxa"/>
            </w:tcMar>
          </w:tcPr>
          <w:p w14:paraId="22C72F09" w14:textId="77777777" w:rsidR="006769C6" w:rsidRDefault="006769C6" w:rsidP="0026300B">
            <w:pPr>
              <w:pStyle w:val="Marginlie"/>
            </w:pPr>
            <w:r>
              <w:t>Obecná míra nezaměstnanosti se navýšila jen mírně, silnějším tempem rostla u</w:t>
            </w:r>
            <w:r>
              <w:rPr>
                <w:spacing w:val="-4"/>
              </w:rPr>
              <w:t> </w:t>
            </w:r>
            <w:r>
              <w:t>mužů.</w:t>
            </w:r>
          </w:p>
          <w:p w14:paraId="4E641E8C" w14:textId="77777777" w:rsidR="006769C6" w:rsidRDefault="006769C6" w:rsidP="0026300B">
            <w:pPr>
              <w:pStyle w:val="Marginlie"/>
            </w:pPr>
          </w:p>
          <w:p w14:paraId="71F4B620" w14:textId="77777777" w:rsidR="006769C6" w:rsidRDefault="006769C6" w:rsidP="0026300B">
            <w:pPr>
              <w:pStyle w:val="Marginlie"/>
            </w:pPr>
          </w:p>
          <w:p w14:paraId="53FBDE96" w14:textId="77777777" w:rsidR="006769C6" w:rsidRDefault="006769C6" w:rsidP="0026300B">
            <w:pPr>
              <w:pStyle w:val="Marginlie"/>
            </w:pPr>
          </w:p>
          <w:p w14:paraId="00970F2A" w14:textId="77777777" w:rsidR="006769C6" w:rsidRDefault="006769C6" w:rsidP="0026300B">
            <w:pPr>
              <w:pStyle w:val="Marginlie"/>
            </w:pPr>
            <w:r>
              <w:t>Očekávání domácností ohledně růstu nezaměstnanosti prudce vzrostla.</w:t>
            </w:r>
          </w:p>
        </w:tc>
        <w:tc>
          <w:tcPr>
            <w:tcW w:w="216" w:type="dxa"/>
            <w:shd w:val="clear" w:color="auto" w:fill="auto"/>
            <w:tcMar>
              <w:left w:w="0" w:type="dxa"/>
            </w:tcMar>
          </w:tcPr>
          <w:p w14:paraId="3E2D7C99" w14:textId="77777777" w:rsidR="006769C6" w:rsidRPr="00B43216" w:rsidRDefault="006769C6" w:rsidP="0026300B">
            <w:pPr>
              <w:pStyle w:val="Textpoznpodarou"/>
              <w:jc w:val="both"/>
              <w:rPr>
                <w:spacing w:val="-4"/>
              </w:rPr>
            </w:pPr>
          </w:p>
        </w:tc>
        <w:tc>
          <w:tcPr>
            <w:tcW w:w="7656" w:type="dxa"/>
            <w:shd w:val="clear" w:color="auto" w:fill="auto"/>
            <w:tcMar>
              <w:left w:w="0" w:type="dxa"/>
            </w:tcMar>
          </w:tcPr>
          <w:p w14:paraId="7211D837" w14:textId="77777777" w:rsidR="006769C6" w:rsidRPr="008E2C43" w:rsidRDefault="006769C6" w:rsidP="006769C6">
            <w:pPr>
              <w:spacing w:after="0"/>
              <w:rPr>
                <w:spacing w:val="-4"/>
              </w:rPr>
            </w:pPr>
            <w:r w:rsidRPr="008E2C43">
              <w:rPr>
                <w:spacing w:val="-4"/>
              </w:rPr>
              <w:t>Během 2.</w:t>
            </w:r>
            <w:r>
              <w:rPr>
                <w:spacing w:val="-4"/>
              </w:rPr>
              <w:t> čtvrtlet</w:t>
            </w:r>
            <w:r w:rsidRPr="008E2C43">
              <w:rPr>
                <w:spacing w:val="-4"/>
              </w:rPr>
              <w:t>í obecná míra nezaměstnanosti</w:t>
            </w:r>
            <w:r w:rsidRPr="008E2C43">
              <w:rPr>
                <w:rStyle w:val="Znakapoznpodarou"/>
                <w:color w:val="0D0D0D" w:themeColor="text1" w:themeTint="F2"/>
                <w:spacing w:val="-4"/>
              </w:rPr>
              <w:footnoteReference w:id="5"/>
            </w:r>
            <w:r w:rsidRPr="008E2C43">
              <w:rPr>
                <w:spacing w:val="-4"/>
              </w:rPr>
              <w:t xml:space="preserve"> mír</w:t>
            </w:r>
            <w:r>
              <w:rPr>
                <w:spacing w:val="-4"/>
              </w:rPr>
              <w:t>ně vzrostla. V červnu čítala 2,7 %</w:t>
            </w:r>
            <w:r w:rsidRPr="008E2C43">
              <w:rPr>
                <w:spacing w:val="-4"/>
              </w:rPr>
              <w:t>, přičemž rozd</w:t>
            </w:r>
            <w:r>
              <w:rPr>
                <w:spacing w:val="-4"/>
              </w:rPr>
              <w:t>íl mezi pohlavími (0,3 p. b.) byl</w:t>
            </w:r>
            <w:r w:rsidRPr="008E2C43">
              <w:rPr>
                <w:spacing w:val="-4"/>
              </w:rPr>
              <w:t xml:space="preserve"> </w:t>
            </w:r>
            <w:r>
              <w:rPr>
                <w:spacing w:val="-4"/>
              </w:rPr>
              <w:t>jedním z nejmenších</w:t>
            </w:r>
            <w:r w:rsidRPr="008E2C43">
              <w:rPr>
                <w:spacing w:val="-4"/>
              </w:rPr>
              <w:t xml:space="preserve"> v</w:t>
            </w:r>
            <w:r>
              <w:rPr>
                <w:spacing w:val="-4"/>
              </w:rPr>
              <w:t>e sledované řadě od roku 1993</w:t>
            </w:r>
            <w:r w:rsidRPr="008E2C43">
              <w:rPr>
                <w:spacing w:val="-4"/>
              </w:rPr>
              <w:t xml:space="preserve">. Od počátku letošního roku </w:t>
            </w:r>
            <w:r>
              <w:rPr>
                <w:spacing w:val="-4"/>
              </w:rPr>
              <w:t xml:space="preserve">se nezaměstnanost u mužů navýšila o 0,8 p. b., u žen o 0,6 p. b. To může být na první pohled překvapivé, neboť recese v první fázi více zasáhla odvětví služeb s převahou zaměstnanosti žen. Nástup nezaměstnanosti žen byl tlumen možností čerpání </w:t>
            </w:r>
            <w:r w:rsidRPr="00AA7D75">
              <w:rPr>
                <w:spacing w:val="-4"/>
              </w:rPr>
              <w:t>ošetřovného</w:t>
            </w:r>
            <w:r w:rsidRPr="008E2C43">
              <w:rPr>
                <w:rStyle w:val="Znakapoznpodarou"/>
                <w:color w:val="0D0D0D" w:themeColor="text1" w:themeTint="F2"/>
                <w:spacing w:val="-4"/>
              </w:rPr>
              <w:footnoteReference w:id="6"/>
            </w:r>
            <w:r w:rsidRPr="00AA7D75">
              <w:rPr>
                <w:spacing w:val="-4"/>
              </w:rPr>
              <w:t xml:space="preserve"> z</w:t>
            </w:r>
            <w:r>
              <w:rPr>
                <w:spacing w:val="-4"/>
              </w:rPr>
              <w:t> </w:t>
            </w:r>
            <w:r w:rsidRPr="00AA7D75">
              <w:rPr>
                <w:spacing w:val="-4"/>
              </w:rPr>
              <w:t>důvodu uzavření škol a</w:t>
            </w:r>
            <w:r>
              <w:rPr>
                <w:spacing w:val="-4"/>
              </w:rPr>
              <w:t> </w:t>
            </w:r>
            <w:r w:rsidRPr="00AA7D75">
              <w:rPr>
                <w:spacing w:val="-4"/>
              </w:rPr>
              <w:t>jiných zařízení.</w:t>
            </w:r>
            <w:r>
              <w:rPr>
                <w:spacing w:val="-4"/>
              </w:rPr>
              <w:t xml:space="preserve"> Pozitivní </w:t>
            </w:r>
            <w:r w:rsidRPr="00474787">
              <w:rPr>
                <w:spacing w:val="-4"/>
              </w:rPr>
              <w:t xml:space="preserve">bylo, že práci stále nacházeli </w:t>
            </w:r>
            <w:r>
              <w:rPr>
                <w:spacing w:val="-4"/>
              </w:rPr>
              <w:t>i </w:t>
            </w:r>
            <w:r w:rsidRPr="00474787">
              <w:rPr>
                <w:spacing w:val="-4"/>
              </w:rPr>
              <w:t>dlouhodobě nezaměstnaní. Jejich podíl na všech nezaměstnaných</w:t>
            </w:r>
            <w:r>
              <w:rPr>
                <w:spacing w:val="-4"/>
              </w:rPr>
              <w:t xml:space="preserve"> se přiblížil 20 % (nejnižší hladina od poloviny 90. let). Mezi domácnostmi však prudce vzrostlo saldo očekávání růstu nezaměstnanosti v ekonomice (v</w:t>
            </w:r>
            <w:r w:rsidRPr="008E2C43">
              <w:rPr>
                <w:spacing w:val="-4"/>
              </w:rPr>
              <w:t> </w:t>
            </w:r>
            <w:r>
              <w:rPr>
                <w:spacing w:val="-4"/>
              </w:rPr>
              <w:t>nejbližších dvanácti měsících) a ve 2. čtvrtletí se dostalo na úroveň naposledy patrnou v roce 2012</w:t>
            </w:r>
            <w:r w:rsidRPr="008E2C43">
              <w:rPr>
                <w:rStyle w:val="Znakapoznpodarou"/>
                <w:color w:val="0D0D0D" w:themeColor="text1" w:themeTint="F2"/>
                <w:spacing w:val="-4"/>
              </w:rPr>
              <w:footnoteReference w:id="7"/>
            </w:r>
            <w:r>
              <w:rPr>
                <w:spacing w:val="-4"/>
              </w:rPr>
              <w:t>.</w:t>
            </w:r>
          </w:p>
        </w:tc>
      </w:tr>
      <w:tr w:rsidR="006769C6" w:rsidRPr="00B43216" w14:paraId="418B8167" w14:textId="77777777" w:rsidTr="0026300B">
        <w:trPr>
          <w:trHeight w:val="145"/>
        </w:trPr>
        <w:tc>
          <w:tcPr>
            <w:tcW w:w="1792" w:type="dxa"/>
            <w:shd w:val="clear" w:color="auto" w:fill="auto"/>
            <w:tcMar>
              <w:left w:w="0" w:type="dxa"/>
            </w:tcMar>
          </w:tcPr>
          <w:p w14:paraId="7BD08DF5" w14:textId="77777777" w:rsidR="006769C6" w:rsidRDefault="006769C6" w:rsidP="0026300B">
            <w:pPr>
              <w:pStyle w:val="Marginlie"/>
            </w:pPr>
            <w:r>
              <w:t xml:space="preserve">Počet registrovaných volných pracovních míst </w:t>
            </w:r>
            <w:r>
              <w:lastRenderedPageBreak/>
              <w:t>jen mírně fluktuoval. K většímu navýšení došlo v Praze a středních Čechách.</w:t>
            </w:r>
          </w:p>
        </w:tc>
        <w:tc>
          <w:tcPr>
            <w:tcW w:w="216" w:type="dxa"/>
            <w:shd w:val="clear" w:color="auto" w:fill="auto"/>
            <w:tcMar>
              <w:left w:w="0" w:type="dxa"/>
            </w:tcMar>
          </w:tcPr>
          <w:p w14:paraId="0AE2F2D5" w14:textId="77777777" w:rsidR="006769C6" w:rsidRPr="00B43216" w:rsidRDefault="006769C6" w:rsidP="0026300B">
            <w:pPr>
              <w:pStyle w:val="Textpoznpodarou"/>
              <w:jc w:val="both"/>
              <w:rPr>
                <w:spacing w:val="-4"/>
              </w:rPr>
            </w:pPr>
          </w:p>
        </w:tc>
        <w:tc>
          <w:tcPr>
            <w:tcW w:w="7656" w:type="dxa"/>
            <w:shd w:val="clear" w:color="auto" w:fill="auto"/>
            <w:tcMar>
              <w:left w:w="0" w:type="dxa"/>
            </w:tcMar>
          </w:tcPr>
          <w:p w14:paraId="3F8A8E8D" w14:textId="77777777" w:rsidR="006769C6" w:rsidRPr="006237E6" w:rsidRDefault="006769C6" w:rsidP="0026300B">
            <w:pPr>
              <w:spacing w:after="200"/>
              <w:rPr>
                <w:spacing w:val="-3"/>
              </w:rPr>
            </w:pPr>
            <w:r>
              <w:rPr>
                <w:spacing w:val="-4"/>
              </w:rPr>
              <w:t xml:space="preserve">Počet volných pracovních míst v nabídce úřadů práce nedoznal během 1. pololetí významnějších změn. Na konci června se rovnal 334 tis. a meziročně klesl o 3,5 % (u míst </w:t>
            </w:r>
            <w:r>
              <w:rPr>
                <w:spacing w:val="-4"/>
              </w:rPr>
              <w:lastRenderedPageBreak/>
              <w:t xml:space="preserve">vyžadujících vyšší než základní vzdělání ale </w:t>
            </w:r>
            <w:r>
              <w:rPr>
                <w:rFonts w:cs="Arial"/>
                <w:bCs/>
                <w:color w:val="000000"/>
                <w:spacing w:val="-4"/>
                <w:szCs w:val="20"/>
              </w:rPr>
              <w:t>o </w:t>
            </w:r>
            <w:r>
              <w:rPr>
                <w:spacing w:val="-4"/>
              </w:rPr>
              <w:t>15 %). Více než třetina míst byla neobsazena déle než rok. Celková nabídka míst klesla ve zpracovatelském průmyslu (v obsluze strojů a zařízení), v obchodě či administrativních i podpůrných činnostech. Vlivem ztížené mobility zahraničních pracovníků vzrostl počet neobsazených pozic v primárním sektoru. K růstu celkové nabídky míst došlo v Praze (+15 %) a středních Čechách (+12 %), z drtivé části se jednalo o  nízkokvalifikované manuální pozice (pro lidi se základním vzděláním).</w:t>
            </w:r>
          </w:p>
        </w:tc>
      </w:tr>
      <w:tr w:rsidR="006769C6" w:rsidRPr="00B43216" w14:paraId="0B5358A5" w14:textId="77777777" w:rsidTr="0026300B">
        <w:trPr>
          <w:trHeight w:val="145"/>
        </w:trPr>
        <w:tc>
          <w:tcPr>
            <w:tcW w:w="1792" w:type="dxa"/>
            <w:shd w:val="clear" w:color="auto" w:fill="auto"/>
            <w:tcMar>
              <w:left w:w="0" w:type="dxa"/>
            </w:tcMar>
          </w:tcPr>
          <w:p w14:paraId="1FF01F84" w14:textId="77777777" w:rsidR="006769C6" w:rsidRDefault="006769C6" w:rsidP="0026300B">
            <w:pPr>
              <w:pStyle w:val="Marginlie"/>
            </w:pPr>
            <w:r>
              <w:lastRenderedPageBreak/>
              <w:t>Celková míra nezaměstnanosti se za 1. pololetí ve většině států EU zvýšila jen mírně. Svižněji posílila u lidí do 25 let.</w:t>
            </w:r>
          </w:p>
        </w:tc>
        <w:tc>
          <w:tcPr>
            <w:tcW w:w="216" w:type="dxa"/>
            <w:shd w:val="clear" w:color="auto" w:fill="auto"/>
            <w:tcMar>
              <w:left w:w="0" w:type="dxa"/>
            </w:tcMar>
          </w:tcPr>
          <w:p w14:paraId="59F5CF49" w14:textId="77777777" w:rsidR="006769C6" w:rsidRPr="00B43216" w:rsidRDefault="006769C6" w:rsidP="0026300B">
            <w:pPr>
              <w:pStyle w:val="Textpoznpodarou"/>
              <w:jc w:val="both"/>
              <w:rPr>
                <w:spacing w:val="-4"/>
              </w:rPr>
            </w:pPr>
          </w:p>
        </w:tc>
        <w:tc>
          <w:tcPr>
            <w:tcW w:w="7656" w:type="dxa"/>
            <w:shd w:val="clear" w:color="auto" w:fill="auto"/>
            <w:tcMar>
              <w:left w:w="0" w:type="dxa"/>
            </w:tcMar>
          </w:tcPr>
          <w:p w14:paraId="461E1689" w14:textId="77777777" w:rsidR="006769C6" w:rsidRDefault="006769C6" w:rsidP="0026300B">
            <w:pPr>
              <w:spacing w:after="160"/>
              <w:rPr>
                <w:spacing w:val="-4"/>
              </w:rPr>
            </w:pPr>
            <w:r>
              <w:rPr>
                <w:spacing w:val="-4"/>
              </w:rPr>
              <w:t>Mírnou reakci trhu práce na ekonomický šok lze zatím sledovat ve většině zemí EU</w:t>
            </w:r>
            <w:r w:rsidRPr="004E68B1">
              <w:rPr>
                <w:rStyle w:val="Znakapoznpodarou"/>
                <w:color w:val="0D0D0D" w:themeColor="text1" w:themeTint="F2"/>
                <w:spacing w:val="-4"/>
              </w:rPr>
              <w:footnoteReference w:id="8"/>
            </w:r>
            <w:r>
              <w:rPr>
                <w:spacing w:val="-4"/>
              </w:rPr>
              <w:t>. Během 1. pololetí stoupla míra nezaměstnanosti</w:t>
            </w:r>
            <w:r w:rsidRPr="004E68B1">
              <w:rPr>
                <w:rStyle w:val="Znakapoznpodarou"/>
                <w:color w:val="0D0D0D" w:themeColor="text1" w:themeTint="F2"/>
                <w:spacing w:val="-4"/>
              </w:rPr>
              <w:footnoteReference w:id="9"/>
            </w:r>
            <w:r>
              <w:rPr>
                <w:spacing w:val="-4"/>
              </w:rPr>
              <w:t xml:space="preserve"> o 0,6 p. b. (bez významných rozdílů mezi muži a ženami), v červnu činila 7,1 %. Poklesu se vyhnuly jen tři státy (Irsko, Francie, Itálie), naopak růst v pásmu 2,5 až 3,5 p. b. registrovaly Estonsko, Lotyšsko, Litva, Švédsko a Chorvatsko. Není bez zajímavosti, že v pobaltských státech došlo ve 2. čtvrtletí ve srovnání s ostatními členy EU také k nejnižšímu poklesu HDP. Častější zaměstnanost v postižených odvětvích služeb i vyšší zastoupení flexibilnějších úvazků vedly k tomu, že nezaměstnanost mladých (do 25 let) se v 1. pololetí v EU zvyšovala svižněji (u žen +3,0 p. b., u mužů +1,4 p. b.). Ta nejvíce vzrostla v Estonsku (+14 p. b.) a Španělsku (+10 p. b.), kde dosahovala mezi členy Unie maxima (42 %)</w:t>
            </w:r>
            <w:r w:rsidRPr="004E68B1">
              <w:rPr>
                <w:rStyle w:val="Znakapoznpodarou"/>
                <w:color w:val="0D0D0D" w:themeColor="text1" w:themeTint="F2"/>
                <w:spacing w:val="-4"/>
              </w:rPr>
              <w:footnoteReference w:id="10"/>
            </w:r>
            <w:r>
              <w:rPr>
                <w:spacing w:val="-4"/>
              </w:rPr>
              <w:t>. Větší posun (o více než 7 p. b.) zaznamenaly i Švédsko, Lucembursko, Chorvatsko a Portugalsko. V Česku činil posun necelé 4 p. b., nezaměstnanost u nás tak stále patřila i v této věkové skupině k nejnižším v celé EU (ČR 8,6 %, Německo 5,7 %, EU 16,9 %).</w:t>
            </w:r>
          </w:p>
        </w:tc>
      </w:tr>
      <w:tr w:rsidR="006769C6" w:rsidRPr="00B43216" w14:paraId="63EEE3BD" w14:textId="77777777" w:rsidTr="0026300B">
        <w:trPr>
          <w:trHeight w:val="155"/>
        </w:trPr>
        <w:tc>
          <w:tcPr>
            <w:tcW w:w="1792" w:type="dxa"/>
            <w:vMerge w:val="restart"/>
            <w:shd w:val="clear" w:color="auto" w:fill="auto"/>
            <w:tcMar>
              <w:left w:w="0" w:type="dxa"/>
            </w:tcMar>
          </w:tcPr>
          <w:p w14:paraId="177C6160" w14:textId="77777777" w:rsidR="006769C6" w:rsidRPr="00B43216" w:rsidRDefault="006769C6" w:rsidP="0026300B">
            <w:pPr>
              <w:pStyle w:val="Marginlie"/>
              <w:rPr>
                <w:spacing w:val="-4"/>
              </w:rPr>
            </w:pPr>
          </w:p>
        </w:tc>
        <w:tc>
          <w:tcPr>
            <w:tcW w:w="216" w:type="dxa"/>
            <w:vMerge w:val="restart"/>
            <w:shd w:val="clear" w:color="auto" w:fill="auto"/>
            <w:tcMar>
              <w:left w:w="0" w:type="dxa"/>
            </w:tcMar>
          </w:tcPr>
          <w:p w14:paraId="19B05287" w14:textId="77777777" w:rsidR="006769C6" w:rsidRPr="00B43216" w:rsidRDefault="006769C6" w:rsidP="0026300B">
            <w:pPr>
              <w:pStyle w:val="Textpoznpodarou"/>
              <w:jc w:val="both"/>
              <w:rPr>
                <w:spacing w:val="-4"/>
              </w:rPr>
            </w:pPr>
          </w:p>
        </w:tc>
        <w:tc>
          <w:tcPr>
            <w:tcW w:w="7656" w:type="dxa"/>
            <w:shd w:val="clear" w:color="auto" w:fill="auto"/>
            <w:tcMar>
              <w:left w:w="0" w:type="dxa"/>
            </w:tcMar>
          </w:tcPr>
          <w:p w14:paraId="1C5AD6CB" w14:textId="77777777" w:rsidR="006769C6" w:rsidRPr="009F2A8A" w:rsidRDefault="006769C6" w:rsidP="0026300B">
            <w:pPr>
              <w:spacing w:after="0"/>
              <w:rPr>
                <w:b/>
                <w:spacing w:val="-2"/>
              </w:rPr>
            </w:pPr>
            <w:r w:rsidRPr="009F2A8A">
              <w:rPr>
                <w:b/>
                <w:spacing w:val="-2"/>
              </w:rPr>
              <w:t xml:space="preserve">Graf č. 14  </w:t>
            </w:r>
            <w:r w:rsidRPr="009F2A8A">
              <w:rPr>
                <w:rFonts w:cs="Arial"/>
                <w:b/>
                <w:spacing w:val="-2"/>
              </w:rPr>
              <w:t xml:space="preserve">Obecná míra nezaměstnanosti </w:t>
            </w:r>
            <w:r w:rsidRPr="009F2A8A">
              <w:rPr>
                <w:rFonts w:cs="Arial"/>
                <w:bCs/>
                <w:spacing w:val="-2"/>
              </w:rPr>
              <w:t>(v</w:t>
            </w:r>
            <w:r>
              <w:rPr>
                <w:rFonts w:cs="Arial"/>
                <w:bCs/>
                <w:spacing w:val="-2"/>
              </w:rPr>
              <w:t> %</w:t>
            </w:r>
            <w:r w:rsidRPr="009F2A8A">
              <w:rPr>
                <w:rFonts w:cs="Arial"/>
                <w:bCs/>
                <w:spacing w:val="-2"/>
              </w:rPr>
              <w:t>)</w:t>
            </w:r>
            <w:r w:rsidRPr="009F2A8A">
              <w:rPr>
                <w:rFonts w:cs="Arial"/>
                <w:b/>
                <w:spacing w:val="-2"/>
              </w:rPr>
              <w:t>, podíl dlouhodobě nezaměstnaných</w:t>
            </w:r>
            <w:r>
              <w:rPr>
                <w:rFonts w:cs="Arial"/>
                <w:b/>
                <w:spacing w:val="-2"/>
              </w:rPr>
              <w:t xml:space="preserve"> </w:t>
            </w:r>
            <w:r w:rsidRPr="009F2A8A">
              <w:rPr>
                <w:rFonts w:cs="Arial"/>
                <w:b/>
                <w:spacing w:val="-2"/>
              </w:rPr>
              <w:t>a</w:t>
            </w:r>
            <w:r>
              <w:rPr>
                <w:rFonts w:cs="Arial"/>
                <w:b/>
                <w:spacing w:val="-2"/>
              </w:rPr>
              <w:t> </w:t>
            </w:r>
            <w:r w:rsidRPr="009F2A8A">
              <w:rPr>
                <w:rFonts w:cs="Arial"/>
                <w:b/>
                <w:spacing w:val="-2"/>
              </w:rPr>
              <w:t>osob ve věku 50 a</w:t>
            </w:r>
            <w:r>
              <w:rPr>
                <w:rFonts w:cs="Arial"/>
                <w:b/>
                <w:spacing w:val="-2"/>
              </w:rPr>
              <w:t> více let mezi nezaměstnanými</w:t>
            </w:r>
            <w:r w:rsidRPr="009F2A8A">
              <w:rPr>
                <w:rFonts w:cs="Arial"/>
                <w:b/>
                <w:spacing w:val="-2"/>
              </w:rPr>
              <w:t xml:space="preserve"> </w:t>
            </w:r>
            <w:r w:rsidRPr="009F2A8A">
              <w:rPr>
                <w:rFonts w:cs="Arial"/>
                <w:bCs/>
                <w:spacing w:val="-2"/>
              </w:rPr>
              <w:t>(v</w:t>
            </w:r>
            <w:r>
              <w:rPr>
                <w:rFonts w:cs="Arial"/>
                <w:bCs/>
                <w:spacing w:val="-2"/>
              </w:rPr>
              <w:t> %</w:t>
            </w:r>
            <w:r w:rsidRPr="009F2A8A">
              <w:rPr>
                <w:rFonts w:cs="Arial"/>
                <w:bCs/>
                <w:spacing w:val="-2"/>
              </w:rPr>
              <w:t>)</w:t>
            </w:r>
            <w:r>
              <w:rPr>
                <w:rFonts w:cs="Arial"/>
                <w:b/>
                <w:spacing w:val="-2"/>
              </w:rPr>
              <w:t>,</w:t>
            </w:r>
            <w:r w:rsidRPr="009F2A8A">
              <w:rPr>
                <w:rFonts w:cs="Arial"/>
                <w:b/>
                <w:spacing w:val="-2"/>
              </w:rPr>
              <w:t xml:space="preserve"> ekonomicky neaktivní chtějící pracovat </w:t>
            </w:r>
            <w:r w:rsidRPr="009F2A8A">
              <w:rPr>
                <w:rFonts w:cs="Arial"/>
                <w:bCs/>
                <w:spacing w:val="-2"/>
              </w:rPr>
              <w:t>(v</w:t>
            </w:r>
            <w:r>
              <w:rPr>
                <w:rFonts w:cs="Arial"/>
                <w:bCs/>
                <w:spacing w:val="-2"/>
              </w:rPr>
              <w:t> tis.</w:t>
            </w:r>
            <w:r w:rsidRPr="009F2A8A">
              <w:rPr>
                <w:rFonts w:cs="Arial"/>
                <w:bCs/>
                <w:spacing w:val="-2"/>
              </w:rPr>
              <w:t>)</w:t>
            </w:r>
            <w:r>
              <w:rPr>
                <w:rFonts w:cs="Arial"/>
                <w:bCs/>
                <w:spacing w:val="-2"/>
              </w:rPr>
              <w:t xml:space="preserve">* </w:t>
            </w:r>
            <w:r>
              <w:rPr>
                <w:rFonts w:cs="Arial"/>
                <w:b/>
                <w:bCs/>
                <w:spacing w:val="-2"/>
              </w:rPr>
              <w:t>a očekávání</w:t>
            </w:r>
            <w:r w:rsidRPr="00391FF5">
              <w:rPr>
                <w:rFonts w:cs="Arial"/>
                <w:b/>
                <w:bCs/>
                <w:spacing w:val="-2"/>
              </w:rPr>
              <w:t xml:space="preserve"> nezaměstnanosti</w:t>
            </w:r>
            <w:r>
              <w:rPr>
                <w:rFonts w:cs="Arial"/>
                <w:b/>
                <w:bCs/>
                <w:spacing w:val="-2"/>
              </w:rPr>
              <w:t xml:space="preserve"> u domácností</w:t>
            </w:r>
            <w:r>
              <w:rPr>
                <w:rFonts w:cs="Arial"/>
                <w:bCs/>
                <w:spacing w:val="-2"/>
              </w:rPr>
              <w:t xml:space="preserve"> (v %)**</w:t>
            </w:r>
          </w:p>
        </w:tc>
      </w:tr>
      <w:tr w:rsidR="006769C6" w:rsidRPr="00B43216" w14:paraId="2DA20A56" w14:textId="77777777" w:rsidTr="0026300B">
        <w:tblPrEx>
          <w:tblCellMar>
            <w:left w:w="70" w:type="dxa"/>
            <w:right w:w="70" w:type="dxa"/>
          </w:tblCellMar>
        </w:tblPrEx>
        <w:trPr>
          <w:trHeight w:val="155"/>
        </w:trPr>
        <w:tc>
          <w:tcPr>
            <w:tcW w:w="1792" w:type="dxa"/>
            <w:vMerge/>
            <w:shd w:val="clear" w:color="auto" w:fill="auto"/>
          </w:tcPr>
          <w:p w14:paraId="5EA3BA20" w14:textId="77777777" w:rsidR="006769C6" w:rsidRPr="00B43216" w:rsidRDefault="006769C6" w:rsidP="0026300B">
            <w:pPr>
              <w:pStyle w:val="Marginlie"/>
              <w:rPr>
                <w:spacing w:val="-4"/>
              </w:rPr>
            </w:pPr>
          </w:p>
        </w:tc>
        <w:tc>
          <w:tcPr>
            <w:tcW w:w="216" w:type="dxa"/>
            <w:vMerge/>
            <w:shd w:val="clear" w:color="auto" w:fill="auto"/>
          </w:tcPr>
          <w:p w14:paraId="4A28501D" w14:textId="77777777" w:rsidR="006769C6" w:rsidRPr="00B43216" w:rsidRDefault="006769C6" w:rsidP="0026300B">
            <w:pPr>
              <w:pStyle w:val="Textpoznpodarou"/>
              <w:jc w:val="both"/>
              <w:rPr>
                <w:spacing w:val="-4"/>
              </w:rPr>
            </w:pPr>
          </w:p>
        </w:tc>
        <w:tc>
          <w:tcPr>
            <w:tcW w:w="7656" w:type="dxa"/>
            <w:shd w:val="clear" w:color="auto" w:fill="auto"/>
          </w:tcPr>
          <w:p w14:paraId="0796575C" w14:textId="77777777" w:rsidR="006769C6" w:rsidRPr="00B43216" w:rsidRDefault="006769C6" w:rsidP="0026300B">
            <w:pPr>
              <w:spacing w:after="0"/>
              <w:rPr>
                <w:spacing w:val="-4"/>
              </w:rPr>
            </w:pPr>
            <w:r>
              <w:rPr>
                <w:noProof/>
              </w:rPr>
              <w:drawing>
                <wp:inline distT="0" distB="0" distL="0" distR="0" wp14:anchorId="176636D7" wp14:editId="4752A155">
                  <wp:extent cx="4715510" cy="3104865"/>
                  <wp:effectExtent l="0" t="0" r="8890" b="635"/>
                  <wp:docPr id="44" name="Graf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6769C6" w:rsidRPr="00B43216" w14:paraId="57F9527D" w14:textId="77777777" w:rsidTr="0026300B">
        <w:trPr>
          <w:trHeight w:val="671"/>
        </w:trPr>
        <w:tc>
          <w:tcPr>
            <w:tcW w:w="1792" w:type="dxa"/>
            <w:vMerge/>
            <w:shd w:val="clear" w:color="auto" w:fill="auto"/>
            <w:tcMar>
              <w:left w:w="0" w:type="dxa"/>
            </w:tcMar>
          </w:tcPr>
          <w:p w14:paraId="3C735BA3" w14:textId="77777777" w:rsidR="006769C6" w:rsidRPr="00B43216" w:rsidRDefault="006769C6" w:rsidP="0026300B">
            <w:pPr>
              <w:pStyle w:val="Marginlie"/>
              <w:rPr>
                <w:spacing w:val="-4"/>
              </w:rPr>
            </w:pPr>
          </w:p>
        </w:tc>
        <w:tc>
          <w:tcPr>
            <w:tcW w:w="216" w:type="dxa"/>
            <w:vMerge/>
            <w:shd w:val="clear" w:color="auto" w:fill="auto"/>
            <w:tcMar>
              <w:left w:w="0" w:type="dxa"/>
            </w:tcMar>
          </w:tcPr>
          <w:p w14:paraId="308F4040" w14:textId="77777777" w:rsidR="006769C6" w:rsidRPr="00B43216" w:rsidRDefault="006769C6" w:rsidP="0026300B">
            <w:pPr>
              <w:pStyle w:val="Textpoznpodarou"/>
              <w:jc w:val="both"/>
              <w:rPr>
                <w:spacing w:val="-4"/>
              </w:rPr>
            </w:pPr>
          </w:p>
        </w:tc>
        <w:tc>
          <w:tcPr>
            <w:tcW w:w="7656" w:type="dxa"/>
            <w:shd w:val="clear" w:color="auto" w:fill="auto"/>
            <w:tcMar>
              <w:left w:w="0" w:type="dxa"/>
            </w:tcMar>
          </w:tcPr>
          <w:p w14:paraId="02A0AE65" w14:textId="77777777" w:rsidR="006769C6" w:rsidRPr="004E68B1" w:rsidRDefault="006769C6" w:rsidP="0026300B">
            <w:pPr>
              <w:spacing w:after="0" w:line="240" w:lineRule="auto"/>
              <w:rPr>
                <w:rFonts w:cs="Arial"/>
                <w:color w:val="0D0D0D" w:themeColor="text1" w:themeTint="F2"/>
                <w:spacing w:val="-2"/>
                <w:sz w:val="14"/>
                <w:szCs w:val="14"/>
              </w:rPr>
            </w:pPr>
            <w:r w:rsidRPr="004E68B1">
              <w:rPr>
                <w:rFonts w:cs="Arial"/>
                <w:color w:val="0D0D0D" w:themeColor="text1" w:themeTint="F2"/>
                <w:spacing w:val="-2"/>
                <w:sz w:val="14"/>
                <w:szCs w:val="14"/>
              </w:rPr>
              <w:t>Pozn.: Údaje o míře nezaměstnanosti jsou po sezónním očištění, ostatní ukazatele nikoliv.</w:t>
            </w:r>
          </w:p>
          <w:p w14:paraId="694F15AE" w14:textId="77777777" w:rsidR="006769C6" w:rsidRDefault="006769C6" w:rsidP="0026300B">
            <w:pPr>
              <w:spacing w:after="0" w:line="240" w:lineRule="auto"/>
              <w:rPr>
                <w:rFonts w:cs="Arial"/>
                <w:color w:val="0D0D0D" w:themeColor="text1" w:themeTint="F2"/>
                <w:spacing w:val="-2"/>
                <w:sz w:val="14"/>
                <w:szCs w:val="14"/>
              </w:rPr>
            </w:pPr>
            <w:r>
              <w:rPr>
                <w:rFonts w:cs="Arial"/>
                <w:bCs/>
                <w:color w:val="0D0D0D" w:themeColor="text1" w:themeTint="F2"/>
                <w:spacing w:val="-2"/>
                <w:sz w:val="14"/>
                <w:szCs w:val="14"/>
              </w:rPr>
              <w:t>*</w:t>
            </w:r>
            <w:r w:rsidRPr="004E68B1">
              <w:rPr>
                <w:rFonts w:cs="Arial"/>
                <w:bCs/>
                <w:color w:val="0D0D0D" w:themeColor="text1" w:themeTint="F2"/>
                <w:spacing w:val="-2"/>
                <w:sz w:val="14"/>
                <w:szCs w:val="14"/>
              </w:rPr>
              <w:t>Jde o osoby, které nepracují, aktivně práci nehledají,</w:t>
            </w:r>
            <w:r w:rsidRPr="004E68B1">
              <w:rPr>
                <w:rFonts w:cs="Arial"/>
                <w:color w:val="0D0D0D" w:themeColor="text1" w:themeTint="F2"/>
                <w:spacing w:val="-2"/>
                <w:sz w:val="14"/>
                <w:szCs w:val="14"/>
              </w:rPr>
              <w:t xml:space="preserve"> ale přitom uvádějí, že by chtěly pracovat.</w:t>
            </w:r>
          </w:p>
          <w:p w14:paraId="19FFAEE0" w14:textId="77777777" w:rsidR="006769C6" w:rsidRDefault="006769C6" w:rsidP="0026300B">
            <w:pPr>
              <w:spacing w:after="0" w:line="240" w:lineRule="auto"/>
              <w:rPr>
                <w:rFonts w:cs="Arial"/>
                <w:color w:val="0D0D0D" w:themeColor="text1" w:themeTint="F2"/>
                <w:spacing w:val="-2"/>
                <w:sz w:val="14"/>
                <w:szCs w:val="14"/>
              </w:rPr>
            </w:pPr>
            <w:r>
              <w:rPr>
                <w:rFonts w:cs="Arial"/>
                <w:color w:val="0D0D0D" w:themeColor="text1" w:themeTint="F2"/>
                <w:spacing w:val="-2"/>
                <w:sz w:val="14"/>
                <w:szCs w:val="14"/>
              </w:rPr>
              <w:t>**Sezónně očištěné saldo očekávání nezaměstnanosti v nejbližších 12 měsících (rozdíl mezi procentuální četností odpovědí domácností „růst“ a „pokles“ vyjádřený v procentních bodech. Údaje se vztahují k poslednímu měsíci daného čtvrtletí.</w:t>
            </w:r>
          </w:p>
          <w:p w14:paraId="00E478C2" w14:textId="77777777" w:rsidR="006769C6" w:rsidRPr="00485ED5" w:rsidRDefault="006769C6" w:rsidP="0026300B">
            <w:pPr>
              <w:spacing w:after="120" w:line="240" w:lineRule="auto"/>
              <w:rPr>
                <w:rFonts w:cs="Arial"/>
                <w:color w:val="0D0D0D" w:themeColor="text1" w:themeTint="F2"/>
                <w:spacing w:val="-2"/>
                <w:sz w:val="14"/>
                <w:szCs w:val="14"/>
              </w:rPr>
            </w:pPr>
            <w:r>
              <w:rPr>
                <w:rFonts w:cs="Arial"/>
                <w:color w:val="0D0D0D" w:themeColor="text1" w:themeTint="F2"/>
                <w:spacing w:val="-2"/>
                <w:sz w:val="14"/>
                <w:szCs w:val="14"/>
              </w:rPr>
              <w:t>Zdroj: ČSÚ (VŠPS, konjunkturální průzkum)</w:t>
            </w:r>
          </w:p>
        </w:tc>
      </w:tr>
      <w:tr w:rsidR="006769C6" w:rsidRPr="00191C35" w14:paraId="522BC0B7" w14:textId="77777777" w:rsidTr="0026300B">
        <w:trPr>
          <w:trHeight w:val="145"/>
        </w:trPr>
        <w:tc>
          <w:tcPr>
            <w:tcW w:w="1792" w:type="dxa"/>
            <w:shd w:val="clear" w:color="auto" w:fill="auto"/>
            <w:tcMar>
              <w:left w:w="0" w:type="dxa"/>
            </w:tcMar>
          </w:tcPr>
          <w:p w14:paraId="12DE5F1B" w14:textId="77777777" w:rsidR="006769C6" w:rsidRDefault="006769C6" w:rsidP="0026300B">
            <w:pPr>
              <w:pStyle w:val="Marginlie"/>
            </w:pPr>
            <w:r>
              <w:t>Již během 1. čtvrtletí došlo v EU k významnějšímu nárůstu tzv. skryté nezaměstnanosti.</w:t>
            </w:r>
          </w:p>
        </w:tc>
        <w:tc>
          <w:tcPr>
            <w:tcW w:w="216" w:type="dxa"/>
            <w:shd w:val="clear" w:color="auto" w:fill="auto"/>
            <w:tcMar>
              <w:left w:w="0" w:type="dxa"/>
            </w:tcMar>
          </w:tcPr>
          <w:p w14:paraId="77F337A4" w14:textId="77777777" w:rsidR="006769C6" w:rsidRPr="00B43216" w:rsidRDefault="006769C6" w:rsidP="0026300B">
            <w:pPr>
              <w:pStyle w:val="Textpoznpodarou"/>
              <w:jc w:val="both"/>
              <w:rPr>
                <w:spacing w:val="-4"/>
              </w:rPr>
            </w:pPr>
          </w:p>
        </w:tc>
        <w:tc>
          <w:tcPr>
            <w:tcW w:w="7656" w:type="dxa"/>
            <w:shd w:val="clear" w:color="auto" w:fill="auto"/>
            <w:tcMar>
              <w:left w:w="0" w:type="dxa"/>
            </w:tcMar>
          </w:tcPr>
          <w:p w14:paraId="48AA8E8E" w14:textId="77777777" w:rsidR="006769C6" w:rsidRPr="003B6B9D" w:rsidRDefault="006769C6" w:rsidP="0026300B">
            <w:pPr>
              <w:spacing w:after="200"/>
              <w:rPr>
                <w:spacing w:val="-4"/>
              </w:rPr>
            </w:pPr>
            <w:r>
              <w:rPr>
                <w:spacing w:val="-4"/>
              </w:rPr>
              <w:t xml:space="preserve">Rozdíly mezi státy EU v dosavadních dopadech šoku na pracovní trh byly ovlivněny rychlostí i intenzitou přijatých protipandemických opatření, odvětvovou skladbou ekonomiky i rozsahem vládních stabilizačních opatření cílených na zaměstnavatele i drobné podnikatele. Již data za 1. čtvrtletí naznačují, že nejvýznamnějším tokem na unijním </w:t>
            </w:r>
            <w:r>
              <w:rPr>
                <w:spacing w:val="-4"/>
              </w:rPr>
              <w:lastRenderedPageBreak/>
              <w:t>pracovním trhu byl přesun zaměstnaných mezi ekonomicky neaktivní</w:t>
            </w:r>
            <w:r w:rsidRPr="004E68B1">
              <w:rPr>
                <w:rStyle w:val="Znakapoznpodarou"/>
                <w:color w:val="0D0D0D" w:themeColor="text1" w:themeTint="F2"/>
                <w:spacing w:val="-4"/>
              </w:rPr>
              <w:footnoteReference w:id="11"/>
            </w:r>
            <w:r>
              <w:rPr>
                <w:spacing w:val="-4"/>
              </w:rPr>
              <w:t>. Část těchto neaktivních lze přitom považovat za skryté nezaměstnané</w:t>
            </w:r>
            <w:r w:rsidRPr="004E68B1">
              <w:rPr>
                <w:rStyle w:val="Znakapoznpodarou"/>
                <w:color w:val="0D0D0D" w:themeColor="text1" w:themeTint="F2"/>
                <w:spacing w:val="-4"/>
              </w:rPr>
              <w:footnoteReference w:id="12"/>
            </w:r>
            <w:r>
              <w:rPr>
                <w:spacing w:val="-4"/>
              </w:rPr>
              <w:t>. Jejich poměr k celkovému počtu ekonomicky aktivních se proti 4. čtvrtletí 2019 navýšil ze 6,8 % na 7,4 % a v některých státech dosahoval i ve srovnání s „klasickou“ nezaměstnaností vysokých hodnot (Itálie 14,7 %, Finsko 10,6 %), v Česku však málo významných 0,9 %.</w:t>
            </w:r>
          </w:p>
        </w:tc>
      </w:tr>
      <w:tr w:rsidR="006769C6" w:rsidRPr="00191C35" w14:paraId="545A7664" w14:textId="77777777" w:rsidTr="0026300B">
        <w:trPr>
          <w:trHeight w:val="145"/>
        </w:trPr>
        <w:tc>
          <w:tcPr>
            <w:tcW w:w="1792" w:type="dxa"/>
            <w:shd w:val="clear" w:color="auto" w:fill="auto"/>
            <w:tcMar>
              <w:left w:w="0" w:type="dxa"/>
            </w:tcMar>
          </w:tcPr>
          <w:p w14:paraId="738D123B" w14:textId="77777777" w:rsidR="006769C6" w:rsidRDefault="006769C6" w:rsidP="0026300B">
            <w:pPr>
              <w:pStyle w:val="Marginlie"/>
            </w:pPr>
            <w:r>
              <w:lastRenderedPageBreak/>
              <w:t>Výše průměrných mezd mezičtvrtletně klesla o 3,1 % a zčásti odrážela hlubší propad počtu odpracovaných hodin.</w:t>
            </w:r>
          </w:p>
          <w:p w14:paraId="060154E7" w14:textId="77777777" w:rsidR="006769C6" w:rsidRDefault="006769C6" w:rsidP="0026300B">
            <w:pPr>
              <w:pStyle w:val="Marginlie"/>
            </w:pPr>
          </w:p>
          <w:p w14:paraId="7C22D1F2" w14:textId="77777777" w:rsidR="006769C6" w:rsidRDefault="006769C6" w:rsidP="0026300B">
            <w:pPr>
              <w:pStyle w:val="Marginlie"/>
            </w:pPr>
          </w:p>
          <w:p w14:paraId="5EDD1B50" w14:textId="77777777" w:rsidR="006769C6" w:rsidRDefault="006769C6" w:rsidP="0026300B">
            <w:pPr>
              <w:pStyle w:val="Marginlie"/>
            </w:pPr>
          </w:p>
          <w:p w14:paraId="636DA334" w14:textId="77777777" w:rsidR="006769C6" w:rsidRDefault="006769C6" w:rsidP="0026300B">
            <w:pPr>
              <w:pStyle w:val="Marginlie"/>
            </w:pPr>
          </w:p>
          <w:p w14:paraId="001AE540" w14:textId="77777777" w:rsidR="006769C6" w:rsidRDefault="006769C6" w:rsidP="0026300B">
            <w:pPr>
              <w:pStyle w:val="Marginlie"/>
            </w:pPr>
            <w:r>
              <w:t>V meziročním vyjádření mírný růst mezd přetrval. Nadále působily faktory bránící rychlému útlumu mzdové dynamiky.</w:t>
            </w:r>
          </w:p>
        </w:tc>
        <w:tc>
          <w:tcPr>
            <w:tcW w:w="216" w:type="dxa"/>
            <w:shd w:val="clear" w:color="auto" w:fill="auto"/>
            <w:tcMar>
              <w:left w:w="0" w:type="dxa"/>
            </w:tcMar>
          </w:tcPr>
          <w:p w14:paraId="22D9762F" w14:textId="77777777" w:rsidR="006769C6" w:rsidRPr="00B43216" w:rsidRDefault="006769C6" w:rsidP="0026300B">
            <w:pPr>
              <w:pStyle w:val="Textpoznpodarou"/>
              <w:spacing w:after="200"/>
              <w:jc w:val="both"/>
              <w:rPr>
                <w:spacing w:val="-4"/>
              </w:rPr>
            </w:pPr>
          </w:p>
        </w:tc>
        <w:tc>
          <w:tcPr>
            <w:tcW w:w="7656" w:type="dxa"/>
            <w:shd w:val="clear" w:color="auto" w:fill="auto"/>
            <w:tcMar>
              <w:left w:w="0" w:type="dxa"/>
            </w:tcMar>
          </w:tcPr>
          <w:p w14:paraId="0B97A9D1" w14:textId="77777777" w:rsidR="006769C6" w:rsidRPr="00FE5237" w:rsidRDefault="006769C6" w:rsidP="0026300B">
            <w:pPr>
              <w:spacing w:after="200"/>
              <w:rPr>
                <w:spacing w:val="-4"/>
              </w:rPr>
            </w:pPr>
            <w:r w:rsidRPr="00FE5237">
              <w:rPr>
                <w:spacing w:val="-4"/>
              </w:rPr>
              <w:t>Omezení činnosti i dočasné uzavření části provozoven hlavně v oblasti tržních služeb či zpracovatelského průmyslu (z důvodu karanténních opatření i dlouhodobějšího poklesu poptávky) se musely projevit i ve mzdové oblasti. Ve 2. čtvrtletí se výše průměrných mezd (po sezónním očištění) oproti předchozímu kvartálu snížila o rekordní 3,1 % (v 1. čtvrtletí ještě rostla o 1,1 %). V meziročním srovnání se mzdový růst takřka zastavil (+0,5 %), nižší dynamiku zaznamenal ve 20leté srovnatelné řadě jen během roku 2013, kdy byla ale tempa uměle rozkolísaná</w:t>
            </w:r>
            <w:r w:rsidRPr="00FE5237">
              <w:rPr>
                <w:rStyle w:val="Znakapoznpodarou"/>
                <w:color w:val="0D0D0D" w:themeColor="text1" w:themeTint="F2"/>
                <w:spacing w:val="-4"/>
              </w:rPr>
              <w:footnoteReference w:id="13"/>
            </w:r>
            <w:r w:rsidRPr="00FE5237">
              <w:rPr>
                <w:spacing w:val="-4"/>
              </w:rPr>
              <w:t>. Slabší mzdová tempa zčásti odrážela prudší pokles průměrných odpracovaných hodin</w:t>
            </w:r>
            <w:r w:rsidRPr="00FE5237">
              <w:rPr>
                <w:rStyle w:val="Znakapoznpodarou"/>
                <w:color w:val="0D0D0D" w:themeColor="text1" w:themeTint="F2"/>
                <w:spacing w:val="-4"/>
              </w:rPr>
              <w:footnoteReference w:id="14"/>
            </w:r>
            <w:r w:rsidRPr="00FE5237">
              <w:rPr>
                <w:spacing w:val="-4"/>
              </w:rPr>
              <w:t>. Proti hlubší redukci výše výdělků působily administrativní vlivy (navýšení minimální mzdy i pásem zaručených mezd) i napjatý stav na pracovním trhu na počátku roku (vyznačující se mj. nedostatkem pracovní síly), jenž v některých odvětvích zčásti přetrvával i v letním období. Roli sehrála i rigidita mezd (uzavírání dlouhodobějších vnitropodnikových dohod o růstu mezd či tarifní systém v rozpočtové sféře). Nelze vyloučit, že zhoršená ekonomická situace podniků se letos mohla výrazněji projevit také v redukci v oblasti nemzdových zaměstnaneckých benefitů.</w:t>
            </w:r>
          </w:p>
        </w:tc>
      </w:tr>
      <w:tr w:rsidR="006769C6" w:rsidRPr="00F32B6E" w14:paraId="2BDB38D4" w14:textId="77777777" w:rsidTr="0026300B">
        <w:trPr>
          <w:trHeight w:val="145"/>
        </w:trPr>
        <w:tc>
          <w:tcPr>
            <w:tcW w:w="1792" w:type="dxa"/>
            <w:shd w:val="clear" w:color="auto" w:fill="auto"/>
            <w:tcMar>
              <w:left w:w="0" w:type="dxa"/>
            </w:tcMar>
          </w:tcPr>
          <w:p w14:paraId="2D7CAE66" w14:textId="77777777" w:rsidR="006769C6" w:rsidRPr="00F32B6E" w:rsidRDefault="006769C6" w:rsidP="0026300B">
            <w:pPr>
              <w:pStyle w:val="Marginlie"/>
            </w:pPr>
          </w:p>
        </w:tc>
        <w:tc>
          <w:tcPr>
            <w:tcW w:w="216" w:type="dxa"/>
            <w:shd w:val="clear" w:color="auto" w:fill="auto"/>
            <w:tcMar>
              <w:left w:w="0" w:type="dxa"/>
            </w:tcMar>
          </w:tcPr>
          <w:p w14:paraId="233B5141" w14:textId="77777777" w:rsidR="006769C6" w:rsidRPr="003E01D3" w:rsidRDefault="006769C6" w:rsidP="0026300B">
            <w:pPr>
              <w:pStyle w:val="Textpoznpodarou"/>
              <w:jc w:val="both"/>
              <w:rPr>
                <w:spacing w:val="-4"/>
              </w:rPr>
            </w:pPr>
          </w:p>
        </w:tc>
        <w:tc>
          <w:tcPr>
            <w:tcW w:w="7656" w:type="dxa"/>
            <w:shd w:val="clear" w:color="auto" w:fill="auto"/>
            <w:tcMar>
              <w:left w:w="0" w:type="dxa"/>
            </w:tcMar>
          </w:tcPr>
          <w:p w14:paraId="35A8E80E" w14:textId="77777777" w:rsidR="006769C6" w:rsidRPr="003E01D3" w:rsidRDefault="006769C6" w:rsidP="0026300B">
            <w:pPr>
              <w:spacing w:after="0"/>
              <w:rPr>
                <w:spacing w:val="-4"/>
              </w:rPr>
            </w:pPr>
            <w:r w:rsidRPr="003E01D3">
              <w:rPr>
                <w:b/>
                <w:spacing w:val="-4"/>
              </w:rPr>
              <w:t>Graf č. 15  Průměrná nominální</w:t>
            </w:r>
            <w:r>
              <w:rPr>
                <w:b/>
                <w:spacing w:val="-4"/>
              </w:rPr>
              <w:t xml:space="preserve"> a </w:t>
            </w:r>
            <w:r w:rsidRPr="003E01D3">
              <w:rPr>
                <w:b/>
                <w:spacing w:val="-4"/>
              </w:rPr>
              <w:t>reálná mzda a</w:t>
            </w:r>
            <w:r>
              <w:rPr>
                <w:b/>
                <w:spacing w:val="-4"/>
              </w:rPr>
              <w:t> </w:t>
            </w:r>
            <w:r w:rsidRPr="003E01D3">
              <w:rPr>
                <w:b/>
                <w:spacing w:val="-4"/>
              </w:rPr>
              <w:t>mzdový medián</w:t>
            </w:r>
            <w:r>
              <w:rPr>
                <w:spacing w:val="-4"/>
              </w:rPr>
              <w:t xml:space="preserve"> </w:t>
            </w:r>
            <w:r w:rsidRPr="003E01D3">
              <w:rPr>
                <w:spacing w:val="-4"/>
              </w:rPr>
              <w:t>(meziročně, v %)</w:t>
            </w:r>
          </w:p>
        </w:tc>
      </w:tr>
      <w:tr w:rsidR="006769C6" w:rsidRPr="00F32B6E" w14:paraId="758D36DA" w14:textId="77777777" w:rsidTr="0026300B">
        <w:tblPrEx>
          <w:tblCellMar>
            <w:left w:w="70" w:type="dxa"/>
            <w:right w:w="70" w:type="dxa"/>
          </w:tblCellMar>
        </w:tblPrEx>
        <w:trPr>
          <w:trHeight w:val="145"/>
        </w:trPr>
        <w:tc>
          <w:tcPr>
            <w:tcW w:w="1792" w:type="dxa"/>
            <w:shd w:val="clear" w:color="auto" w:fill="auto"/>
          </w:tcPr>
          <w:p w14:paraId="141FEB65" w14:textId="77777777" w:rsidR="006769C6" w:rsidRPr="00F32B6E" w:rsidRDefault="006769C6" w:rsidP="0026300B">
            <w:pPr>
              <w:pStyle w:val="Marginlie"/>
              <w:spacing w:after="200"/>
            </w:pPr>
          </w:p>
        </w:tc>
        <w:tc>
          <w:tcPr>
            <w:tcW w:w="216" w:type="dxa"/>
            <w:shd w:val="clear" w:color="auto" w:fill="auto"/>
          </w:tcPr>
          <w:p w14:paraId="27963505" w14:textId="77777777" w:rsidR="006769C6" w:rsidRPr="003E01D3" w:rsidRDefault="006769C6" w:rsidP="0026300B">
            <w:pPr>
              <w:pStyle w:val="Textpoznpodarou"/>
              <w:spacing w:after="200"/>
              <w:jc w:val="both"/>
              <w:rPr>
                <w:spacing w:val="-4"/>
              </w:rPr>
            </w:pPr>
          </w:p>
        </w:tc>
        <w:tc>
          <w:tcPr>
            <w:tcW w:w="7656" w:type="dxa"/>
            <w:shd w:val="clear" w:color="auto" w:fill="auto"/>
          </w:tcPr>
          <w:p w14:paraId="487CC48D" w14:textId="77777777" w:rsidR="006769C6" w:rsidRPr="003E01D3" w:rsidRDefault="006769C6" w:rsidP="0026300B">
            <w:pPr>
              <w:spacing w:after="0"/>
              <w:rPr>
                <w:spacing w:val="-4"/>
              </w:rPr>
            </w:pPr>
            <w:r>
              <w:rPr>
                <w:noProof/>
              </w:rPr>
              <w:drawing>
                <wp:inline distT="0" distB="0" distL="0" distR="0" wp14:anchorId="480421CE" wp14:editId="6191B333">
                  <wp:extent cx="4759960" cy="3254991"/>
                  <wp:effectExtent l="0" t="0" r="2540" b="3175"/>
                  <wp:docPr id="45" name="Graf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6769C6" w:rsidRPr="003E01D3" w14:paraId="5CA4157E" w14:textId="77777777" w:rsidTr="0026300B">
        <w:trPr>
          <w:trHeight w:val="145"/>
        </w:trPr>
        <w:tc>
          <w:tcPr>
            <w:tcW w:w="1792" w:type="dxa"/>
            <w:shd w:val="clear" w:color="auto" w:fill="auto"/>
            <w:tcMar>
              <w:left w:w="0" w:type="dxa"/>
            </w:tcMar>
          </w:tcPr>
          <w:p w14:paraId="457E3D09" w14:textId="77777777" w:rsidR="006769C6" w:rsidRPr="00F32B6E" w:rsidRDefault="006769C6" w:rsidP="0026300B">
            <w:pPr>
              <w:pStyle w:val="Marginlie"/>
              <w:spacing w:after="200"/>
            </w:pPr>
          </w:p>
        </w:tc>
        <w:tc>
          <w:tcPr>
            <w:tcW w:w="216" w:type="dxa"/>
            <w:shd w:val="clear" w:color="auto" w:fill="auto"/>
            <w:tcMar>
              <w:left w:w="0" w:type="dxa"/>
            </w:tcMar>
          </w:tcPr>
          <w:p w14:paraId="16F85538" w14:textId="77777777" w:rsidR="006769C6" w:rsidRPr="003E01D3" w:rsidRDefault="006769C6" w:rsidP="0026300B">
            <w:pPr>
              <w:pStyle w:val="Textpoznpodarou"/>
              <w:spacing w:after="200"/>
              <w:jc w:val="both"/>
              <w:rPr>
                <w:spacing w:val="-4"/>
              </w:rPr>
            </w:pPr>
          </w:p>
        </w:tc>
        <w:tc>
          <w:tcPr>
            <w:tcW w:w="7656" w:type="dxa"/>
            <w:shd w:val="clear" w:color="auto" w:fill="auto"/>
            <w:tcMar>
              <w:left w:w="0" w:type="dxa"/>
            </w:tcMar>
          </w:tcPr>
          <w:p w14:paraId="4FE9FBBE" w14:textId="77777777" w:rsidR="006769C6" w:rsidRDefault="006769C6" w:rsidP="0026300B">
            <w:pPr>
              <w:spacing w:after="0"/>
              <w:rPr>
                <w:spacing w:val="-4"/>
                <w:sz w:val="14"/>
                <w:szCs w:val="14"/>
              </w:rPr>
            </w:pPr>
            <w:r w:rsidRPr="003E01D3">
              <w:rPr>
                <w:spacing w:val="-4"/>
                <w:sz w:val="14"/>
                <w:szCs w:val="14"/>
              </w:rPr>
              <w:t>*</w:t>
            </w:r>
            <w:r>
              <w:rPr>
                <w:spacing w:val="-4"/>
                <w:sz w:val="14"/>
                <w:szCs w:val="14"/>
              </w:rPr>
              <w:t>Zahrnuje odvětví: Veř. správa, obrana, soc.</w:t>
            </w:r>
            <w:r w:rsidRPr="003E01D3">
              <w:rPr>
                <w:spacing w:val="-4"/>
                <w:sz w:val="14"/>
                <w:szCs w:val="14"/>
              </w:rPr>
              <w:t xml:space="preserve"> zabezpečení; Vzdělávání; Zdravotní a </w:t>
            </w:r>
            <w:r>
              <w:rPr>
                <w:spacing w:val="-4"/>
                <w:sz w:val="14"/>
                <w:szCs w:val="14"/>
              </w:rPr>
              <w:t>soc.</w:t>
            </w:r>
            <w:r w:rsidRPr="003E01D3">
              <w:rPr>
                <w:spacing w:val="-4"/>
                <w:sz w:val="14"/>
                <w:szCs w:val="14"/>
              </w:rPr>
              <w:t xml:space="preserve"> péče; Kulturní, zábavní a rekreační činnost</w:t>
            </w:r>
            <w:r>
              <w:rPr>
                <w:spacing w:val="-4"/>
                <w:sz w:val="14"/>
                <w:szCs w:val="14"/>
              </w:rPr>
              <w:t>i.</w:t>
            </w:r>
          </w:p>
          <w:p w14:paraId="5E6B7CEA" w14:textId="77777777" w:rsidR="006769C6" w:rsidRPr="003E01D3" w:rsidRDefault="006769C6" w:rsidP="0026300B">
            <w:pPr>
              <w:spacing w:after="0"/>
              <w:rPr>
                <w:spacing w:val="-4"/>
                <w:sz w:val="14"/>
                <w:szCs w:val="14"/>
              </w:rPr>
            </w:pPr>
            <w:r>
              <w:rPr>
                <w:spacing w:val="-4"/>
                <w:sz w:val="14"/>
                <w:szCs w:val="14"/>
              </w:rPr>
              <w:t>Z</w:t>
            </w:r>
            <w:r w:rsidRPr="003E01D3">
              <w:rPr>
                <w:spacing w:val="-4"/>
                <w:sz w:val="14"/>
                <w:szCs w:val="14"/>
              </w:rPr>
              <w:t>droj: ČSÚ</w:t>
            </w:r>
          </w:p>
        </w:tc>
      </w:tr>
      <w:tr w:rsidR="006769C6" w:rsidRPr="003E01D3" w14:paraId="4CD881E3" w14:textId="77777777" w:rsidTr="0026300B">
        <w:trPr>
          <w:trHeight w:val="145"/>
        </w:trPr>
        <w:tc>
          <w:tcPr>
            <w:tcW w:w="1792" w:type="dxa"/>
            <w:shd w:val="clear" w:color="auto" w:fill="auto"/>
            <w:tcMar>
              <w:left w:w="0" w:type="dxa"/>
            </w:tcMar>
          </w:tcPr>
          <w:p w14:paraId="1DD95F9D" w14:textId="77777777" w:rsidR="006769C6" w:rsidRDefault="006769C6" w:rsidP="0026300B">
            <w:pPr>
              <w:pStyle w:val="Marginlie"/>
            </w:pPr>
            <w:r>
              <w:lastRenderedPageBreak/>
              <w:t>Mzdový vývoj na úrovni odvětví byl ve 2. čtvrtletí velmi diferencovaný.</w:t>
            </w:r>
          </w:p>
          <w:p w14:paraId="3735BF89" w14:textId="77777777" w:rsidR="006769C6" w:rsidRDefault="006769C6" w:rsidP="0026300B">
            <w:pPr>
              <w:pStyle w:val="Marginlie"/>
            </w:pPr>
          </w:p>
          <w:p w14:paraId="2401B8C6" w14:textId="77777777" w:rsidR="006769C6" w:rsidRDefault="006769C6" w:rsidP="0026300B">
            <w:pPr>
              <w:pStyle w:val="Marginlie"/>
            </w:pPr>
          </w:p>
          <w:p w14:paraId="711A3AC6" w14:textId="77777777" w:rsidR="006769C6" w:rsidRDefault="006769C6" w:rsidP="0026300B">
            <w:pPr>
              <w:pStyle w:val="Marginlie"/>
            </w:pPr>
          </w:p>
          <w:p w14:paraId="164DBCA3" w14:textId="77777777" w:rsidR="006769C6" w:rsidRDefault="006769C6" w:rsidP="0026300B">
            <w:pPr>
              <w:pStyle w:val="Marginlie"/>
            </w:pPr>
          </w:p>
          <w:p w14:paraId="3F4A72AF" w14:textId="77777777" w:rsidR="006769C6" w:rsidRDefault="006769C6" w:rsidP="0026300B">
            <w:pPr>
              <w:pStyle w:val="Marginlie"/>
            </w:pPr>
          </w:p>
          <w:p w14:paraId="261E89A1" w14:textId="77777777" w:rsidR="006769C6" w:rsidRDefault="006769C6" w:rsidP="0026300B">
            <w:pPr>
              <w:pStyle w:val="Marginlie"/>
            </w:pPr>
          </w:p>
          <w:p w14:paraId="7C92A819" w14:textId="77777777" w:rsidR="006769C6" w:rsidRDefault="006769C6" w:rsidP="0026300B">
            <w:pPr>
              <w:pStyle w:val="Marginlie"/>
            </w:pPr>
          </w:p>
          <w:p w14:paraId="2147B348" w14:textId="77777777" w:rsidR="006769C6" w:rsidRPr="00F32B6E" w:rsidRDefault="006769C6" w:rsidP="0026300B">
            <w:pPr>
              <w:pStyle w:val="Marginlie"/>
              <w:spacing w:after="200"/>
            </w:pPr>
            <w:r>
              <w:t>Restriktivní opatření dopadla nejvíce na ubytování, stravování a pohostinství, kde objem vyplacených mezd propadl o čtvrtinu. V administrativních a podpůrných činnostech klesl o osminu a ve zpracovatelském průmyslu o desetinu.</w:t>
            </w:r>
          </w:p>
        </w:tc>
        <w:tc>
          <w:tcPr>
            <w:tcW w:w="216" w:type="dxa"/>
            <w:shd w:val="clear" w:color="auto" w:fill="auto"/>
            <w:tcMar>
              <w:left w:w="0" w:type="dxa"/>
            </w:tcMar>
          </w:tcPr>
          <w:p w14:paraId="56B58FB8" w14:textId="77777777" w:rsidR="006769C6" w:rsidRPr="0045716A" w:rsidRDefault="006769C6" w:rsidP="0026300B">
            <w:pPr>
              <w:pStyle w:val="Textpoznpodarou"/>
              <w:spacing w:after="200"/>
              <w:jc w:val="both"/>
              <w:rPr>
                <w:rFonts w:eastAsia="Times New Roman"/>
                <w:spacing w:val="-2"/>
                <w:sz w:val="16"/>
                <w:szCs w:val="16"/>
              </w:rPr>
            </w:pPr>
          </w:p>
        </w:tc>
        <w:tc>
          <w:tcPr>
            <w:tcW w:w="7656" w:type="dxa"/>
            <w:shd w:val="clear" w:color="auto" w:fill="auto"/>
            <w:tcMar>
              <w:left w:w="0" w:type="dxa"/>
            </w:tcMar>
          </w:tcPr>
          <w:p w14:paraId="0E577963" w14:textId="77777777" w:rsidR="006769C6" w:rsidRPr="0045716A" w:rsidRDefault="006769C6" w:rsidP="0026300B">
            <w:pPr>
              <w:spacing w:after="200"/>
              <w:rPr>
                <w:spacing w:val="-2"/>
                <w:szCs w:val="20"/>
              </w:rPr>
            </w:pPr>
            <w:r>
              <w:rPr>
                <w:spacing w:val="-2"/>
                <w:szCs w:val="20"/>
              </w:rPr>
              <w:t>Výrazně nerovnoměrný prvotní dopad protipandemických opatření i odlišná pružnost různých segmentů pracovního trhu (např. vazba objemu výdělků na počet odpracovaných hodin) se promítly ve značně diferencovaném vývoji mezd na úrovni jednotlivých odvětví ve 2. čtvrtletí 2020. Není překvapivé, že průměrné mzdy klesly meziročně nejvíce v silně zasaženém odvětví ubytování, stravování a pohostinství (</w:t>
            </w:r>
            <w:r w:rsidRPr="001C6ADD">
              <w:rPr>
                <w:rFonts w:cs="Arial"/>
                <w:bCs/>
                <w:color w:val="000000"/>
                <w:spacing w:val="-5"/>
                <w:szCs w:val="20"/>
              </w:rPr>
              <w:t>–</w:t>
            </w:r>
            <w:r>
              <w:rPr>
                <w:spacing w:val="-2"/>
                <w:szCs w:val="20"/>
              </w:rPr>
              <w:t>11,8 %). Tento vývoj byl navíc umocněn ještě hlubší redukcí evidenčního počtu zaměstnanců, objem vyplacených mezd zde tak propadl o čtvrtinu. O bezmála 6 % klesla průměrná mzda v činnostech v oblasti nemovitostí. Projevily se zde jak vyšší mzdová základna loňského roku, tak i svižný letošní růst zaměstnanosti (i tak se ale jednalo o nejmenší odvětvovou sekci služeb – z pohledu počtu zaměstnanců). K silně zasaženým odvětvím patřila i doprava a skladování, kde byl pokles mezd (</w:t>
            </w:r>
            <w:r w:rsidRPr="001C6ADD">
              <w:rPr>
                <w:rFonts w:cs="Arial"/>
                <w:bCs/>
                <w:color w:val="000000"/>
                <w:spacing w:val="-5"/>
                <w:szCs w:val="20"/>
              </w:rPr>
              <w:t>–</w:t>
            </w:r>
            <w:r>
              <w:rPr>
                <w:spacing w:val="-2"/>
                <w:szCs w:val="20"/>
              </w:rPr>
              <w:t>1,7 %) zastíněn hlubší redukcí zaměstnaneckých míst (</w:t>
            </w:r>
            <w:r w:rsidRPr="001C6ADD">
              <w:rPr>
                <w:rFonts w:cs="Arial"/>
                <w:bCs/>
                <w:color w:val="000000"/>
                <w:spacing w:val="-5"/>
                <w:szCs w:val="20"/>
              </w:rPr>
              <w:t>–</w:t>
            </w:r>
            <w:r>
              <w:rPr>
                <w:spacing w:val="-2"/>
                <w:szCs w:val="20"/>
              </w:rPr>
              <w:t>4,2 %). Lehký útlum (především u zaměstnanosti) naznačoval v tomto odvětví již loňský rok, a to ve vazbě na oslabení výkonů průmyslu i navazující poptávky v nákladní dopravě. V obchodě byl oproti předešlému odvětví pokles u mezd i zaměstnanosti zhruba jen poloviční. Situace zde ale byla patrně velmi rozdílná v závislosti na velikosti podniku. Nepříznivý vývoj se projevil v odvětví ostatní činnosti služeb (zahrnující např. kadeřnictví), celkový objem vyplacených mezd se snížil o více než 8 %. Ten byl zejména vlivem úbytku pracovníků nižší o 6,5 % také v kulturních, zábavních a rekreačních činnostech</w:t>
            </w:r>
            <w:r w:rsidRPr="004E68B1">
              <w:rPr>
                <w:rStyle w:val="Znakapoznpodarou"/>
                <w:color w:val="0D0D0D" w:themeColor="text1" w:themeTint="F2"/>
                <w:spacing w:val="-4"/>
              </w:rPr>
              <w:footnoteReference w:id="15"/>
            </w:r>
            <w:r>
              <w:rPr>
                <w:spacing w:val="-2"/>
                <w:szCs w:val="20"/>
              </w:rPr>
              <w:t>. K více zasaženým odvětvím je třeba počítat i administrativní a podpůrné činnosti, které jsou v pojetí podnikových statistik tvořeny zejména agenturními pracovníky. K růstu průměrné mzdy (+4,2 %) zde vedle navýšení minimální mzdy patrně přispělo i propuštění nízko kvalifikovaných pracovníků</w:t>
            </w:r>
            <w:r w:rsidRPr="004E68B1">
              <w:rPr>
                <w:rStyle w:val="Znakapoznpodarou"/>
                <w:color w:val="0D0D0D" w:themeColor="text1" w:themeTint="F2"/>
                <w:spacing w:val="-4"/>
              </w:rPr>
              <w:footnoteReference w:id="16"/>
            </w:r>
            <w:r>
              <w:rPr>
                <w:spacing w:val="-2"/>
                <w:szCs w:val="20"/>
              </w:rPr>
              <w:t>. Tento vývoj úzce souvisel se situací ve zpracovatelském průmyslu. Několikatýdenní přerušení výroby především v podnicích automobilového průmyslu vyústilo ve 2. čtvrtletí v citelný meziroční pokles zaměstnanci odpracovaných hodin (</w:t>
            </w:r>
            <w:r w:rsidRPr="001C6ADD">
              <w:rPr>
                <w:rFonts w:cs="Arial"/>
                <w:bCs/>
                <w:color w:val="000000"/>
                <w:spacing w:val="-5"/>
                <w:szCs w:val="20"/>
              </w:rPr>
              <w:t>–</w:t>
            </w:r>
            <w:r>
              <w:rPr>
                <w:spacing w:val="-2"/>
                <w:szCs w:val="20"/>
              </w:rPr>
              <w:t>13,6 %). Objem vyplacených mezd propadl o desetinu, na čemž se rovnoměrně podílely úbytek pracovních míst i nižší průměrná mzda.</w:t>
            </w:r>
          </w:p>
        </w:tc>
      </w:tr>
      <w:tr w:rsidR="006769C6" w:rsidRPr="003E01D3" w14:paraId="4779B2ED" w14:textId="77777777" w:rsidTr="0026300B">
        <w:trPr>
          <w:trHeight w:val="145"/>
        </w:trPr>
        <w:tc>
          <w:tcPr>
            <w:tcW w:w="1792" w:type="dxa"/>
            <w:shd w:val="clear" w:color="auto" w:fill="auto"/>
            <w:tcMar>
              <w:left w:w="0" w:type="dxa"/>
            </w:tcMar>
          </w:tcPr>
          <w:p w14:paraId="28FBC0C6" w14:textId="77777777" w:rsidR="006769C6" w:rsidRPr="00F32B6E" w:rsidRDefault="006769C6" w:rsidP="0026300B">
            <w:pPr>
              <w:pStyle w:val="Marginlie"/>
              <w:spacing w:after="200"/>
            </w:pPr>
            <w:r>
              <w:t>Svižný růst průměrných mezd si udržely energetika, informační a komunikační činnosti a veřejné služby.</w:t>
            </w:r>
          </w:p>
        </w:tc>
        <w:tc>
          <w:tcPr>
            <w:tcW w:w="216" w:type="dxa"/>
            <w:shd w:val="clear" w:color="auto" w:fill="auto"/>
            <w:tcMar>
              <w:left w:w="0" w:type="dxa"/>
            </w:tcMar>
          </w:tcPr>
          <w:p w14:paraId="5D1F4791" w14:textId="77777777" w:rsidR="006769C6" w:rsidRPr="0045716A" w:rsidRDefault="006769C6" w:rsidP="0026300B">
            <w:pPr>
              <w:pStyle w:val="Textpoznpodarou"/>
              <w:spacing w:after="200"/>
              <w:jc w:val="both"/>
              <w:rPr>
                <w:rFonts w:eastAsia="Times New Roman"/>
                <w:spacing w:val="-2"/>
                <w:sz w:val="16"/>
                <w:szCs w:val="16"/>
              </w:rPr>
            </w:pPr>
          </w:p>
        </w:tc>
        <w:tc>
          <w:tcPr>
            <w:tcW w:w="7656" w:type="dxa"/>
            <w:shd w:val="clear" w:color="auto" w:fill="auto"/>
            <w:tcMar>
              <w:left w:w="0" w:type="dxa"/>
            </w:tcMar>
          </w:tcPr>
          <w:p w14:paraId="14096523" w14:textId="77777777" w:rsidR="006769C6" w:rsidRPr="00890FC7" w:rsidRDefault="006769C6" w:rsidP="0026300B">
            <w:pPr>
              <w:spacing w:after="200"/>
              <w:rPr>
                <w:spacing w:val="-4"/>
                <w:szCs w:val="20"/>
              </w:rPr>
            </w:pPr>
            <w:r w:rsidRPr="00890FC7">
              <w:rPr>
                <w:spacing w:val="-4"/>
                <w:szCs w:val="20"/>
              </w:rPr>
              <w:t>Stavebnictví nebylo zpočátku nastupující recesí významně zasaženo, zaměstnanost i průměrné výdělky zde ve 2. čtvrtletí stagnovaly. Dařilo se také energetice, kde jako v jediném z hlavních odvětví meziroční růst mezd ve srovnání s tempem ze stejného období loňského roku nezvolnil (+5,3 %). Výše průměrné hrubé měsíční mzdy se zde přiblížila hranici 50 tis. korun, meziročně vzrostla ze všech odvětví nejvíce (o 2 471 korun). O 3,5 % si polepšili i zaměstnanci informačních a komunikačních činností, jejich výdělky byly již 3,5krát vyšší než u pracovníků v odvětví ubytování, stravování a pohostinství. V peněžnictví a pojišťovnictví se letos mzdový růst zastavil</w:t>
            </w:r>
            <w:r>
              <w:rPr>
                <w:spacing w:val="-4"/>
                <w:szCs w:val="20"/>
              </w:rPr>
              <w:t xml:space="preserve"> </w:t>
            </w:r>
            <w:r w:rsidRPr="00890FC7">
              <w:rPr>
                <w:spacing w:val="-4"/>
                <w:szCs w:val="20"/>
              </w:rPr>
              <w:t>(</w:t>
            </w:r>
            <w:r w:rsidRPr="00890FC7">
              <w:rPr>
                <w:rFonts w:cs="Arial"/>
                <w:bCs/>
                <w:color w:val="000000"/>
                <w:spacing w:val="-4"/>
                <w:szCs w:val="20"/>
              </w:rPr>
              <w:t>–</w:t>
            </w:r>
            <w:r w:rsidRPr="00890FC7">
              <w:rPr>
                <w:spacing w:val="-4"/>
                <w:szCs w:val="20"/>
              </w:rPr>
              <w:t>0,6 %). Vedle poklesu ziskovosti finančního sektoru se projevil i vliv vysoké loňské základny, kdy tempo průměrných mezd překročilo 8 %. Ve službách s dominancí veřejného sektoru mzdový růst lehce překročil 5 % a dosažená úroveň mzdy ve 2. čtvrtletí převyšovala hladinu v celé ekonomice (34 271 korun) o desetinu. Mzdové tempo bylo ovlivněno také mimořádným navýšením odměn za přesčasovou práci v některých vytížených oborech (zdravotnictví).</w:t>
            </w:r>
          </w:p>
        </w:tc>
      </w:tr>
      <w:tr w:rsidR="006769C6" w:rsidRPr="003E01D3" w14:paraId="71DBEC57" w14:textId="77777777" w:rsidTr="0026300B">
        <w:trPr>
          <w:trHeight w:val="145"/>
        </w:trPr>
        <w:tc>
          <w:tcPr>
            <w:tcW w:w="1792" w:type="dxa"/>
            <w:shd w:val="clear" w:color="auto" w:fill="auto"/>
            <w:tcMar>
              <w:left w:w="0" w:type="dxa"/>
            </w:tcMar>
          </w:tcPr>
          <w:p w14:paraId="22D20551" w14:textId="77777777" w:rsidR="006769C6" w:rsidRDefault="006769C6" w:rsidP="0026300B">
            <w:pPr>
              <w:pStyle w:val="Marginlie"/>
            </w:pPr>
            <w:r>
              <w:t>Celková mzdová diferenciace se ve 2. čtvrtletí znatelně prohloubila.</w:t>
            </w:r>
          </w:p>
        </w:tc>
        <w:tc>
          <w:tcPr>
            <w:tcW w:w="216" w:type="dxa"/>
            <w:shd w:val="clear" w:color="auto" w:fill="auto"/>
            <w:tcMar>
              <w:left w:w="0" w:type="dxa"/>
            </w:tcMar>
          </w:tcPr>
          <w:p w14:paraId="6E22B862" w14:textId="77777777" w:rsidR="006769C6" w:rsidRPr="0045716A" w:rsidRDefault="006769C6" w:rsidP="0026300B">
            <w:pPr>
              <w:pStyle w:val="Textpoznpodarou"/>
              <w:spacing w:after="200"/>
              <w:jc w:val="both"/>
              <w:rPr>
                <w:rFonts w:eastAsia="Times New Roman"/>
                <w:spacing w:val="-2"/>
                <w:sz w:val="16"/>
                <w:szCs w:val="16"/>
              </w:rPr>
            </w:pPr>
          </w:p>
        </w:tc>
        <w:tc>
          <w:tcPr>
            <w:tcW w:w="7656" w:type="dxa"/>
            <w:shd w:val="clear" w:color="auto" w:fill="auto"/>
            <w:tcMar>
              <w:left w:w="0" w:type="dxa"/>
            </w:tcMar>
          </w:tcPr>
          <w:p w14:paraId="45087E23" w14:textId="77777777" w:rsidR="006769C6" w:rsidRDefault="006769C6" w:rsidP="0026300B">
            <w:pPr>
              <w:spacing w:after="200"/>
              <w:rPr>
                <w:spacing w:val="-2"/>
                <w:szCs w:val="20"/>
              </w:rPr>
            </w:pPr>
            <w:r>
              <w:rPr>
                <w:spacing w:val="-2"/>
                <w:szCs w:val="20"/>
              </w:rPr>
              <w:t>Výše uvedený vývoj vedl k prohloubení mzdové diferenciace. Zatímco nejnižší mzdový decil ve 2. čtvrtletí meziročně klesl o 1,7 %, hodnota nejvyššího decilu vzrostla o 2,2 %. Mzdový medián zaznamenal první pokles od konce roku 2012 (</w:t>
            </w:r>
            <w:r w:rsidRPr="001C6ADD">
              <w:rPr>
                <w:rFonts w:cs="Arial"/>
                <w:bCs/>
                <w:color w:val="000000"/>
                <w:spacing w:val="-5"/>
                <w:szCs w:val="20"/>
              </w:rPr>
              <w:t>–</w:t>
            </w:r>
            <w:r>
              <w:rPr>
                <w:spacing w:val="-2"/>
                <w:szCs w:val="20"/>
              </w:rPr>
              <w:t>0,2 %). Rychleji se snižoval u mužů (</w:t>
            </w:r>
            <w:r w:rsidRPr="001C6ADD">
              <w:rPr>
                <w:rFonts w:cs="Arial"/>
                <w:bCs/>
                <w:color w:val="000000"/>
                <w:spacing w:val="-5"/>
                <w:szCs w:val="20"/>
              </w:rPr>
              <w:t>–</w:t>
            </w:r>
            <w:r>
              <w:rPr>
                <w:rFonts w:cs="Arial"/>
                <w:bCs/>
                <w:color w:val="000000"/>
                <w:spacing w:val="-5"/>
                <w:szCs w:val="20"/>
              </w:rPr>
              <w:t>1,0 %), i tak ale převyšovaly dosažené mediánové výdělky mužů ty ženské o 16 % (resp. necelých 5 tis. korun).</w:t>
            </w:r>
          </w:p>
        </w:tc>
      </w:tr>
      <w:tr w:rsidR="006769C6" w:rsidRPr="003E01D3" w14:paraId="1447C24F" w14:textId="77777777" w:rsidTr="0026300B">
        <w:trPr>
          <w:trHeight w:val="145"/>
        </w:trPr>
        <w:tc>
          <w:tcPr>
            <w:tcW w:w="1792" w:type="dxa"/>
            <w:shd w:val="clear" w:color="auto" w:fill="auto"/>
            <w:tcMar>
              <w:left w:w="0" w:type="dxa"/>
            </w:tcMar>
          </w:tcPr>
          <w:p w14:paraId="1D06A777" w14:textId="77777777" w:rsidR="006769C6" w:rsidRDefault="006769C6" w:rsidP="0026300B">
            <w:pPr>
              <w:pStyle w:val="Marginlie"/>
            </w:pPr>
            <w:r>
              <w:t>Reálná mzda se po více než šesti letech snížila.</w:t>
            </w:r>
          </w:p>
        </w:tc>
        <w:tc>
          <w:tcPr>
            <w:tcW w:w="216" w:type="dxa"/>
            <w:shd w:val="clear" w:color="auto" w:fill="auto"/>
            <w:tcMar>
              <w:left w:w="0" w:type="dxa"/>
            </w:tcMar>
          </w:tcPr>
          <w:p w14:paraId="23533C66" w14:textId="77777777" w:rsidR="006769C6" w:rsidRPr="0045716A" w:rsidRDefault="006769C6" w:rsidP="0026300B">
            <w:pPr>
              <w:pStyle w:val="Textpoznpodarou"/>
              <w:spacing w:after="200"/>
              <w:jc w:val="both"/>
              <w:rPr>
                <w:rFonts w:eastAsia="Times New Roman"/>
                <w:spacing w:val="-2"/>
                <w:sz w:val="16"/>
                <w:szCs w:val="16"/>
              </w:rPr>
            </w:pPr>
          </w:p>
        </w:tc>
        <w:tc>
          <w:tcPr>
            <w:tcW w:w="7656" w:type="dxa"/>
            <w:shd w:val="clear" w:color="auto" w:fill="auto"/>
            <w:tcMar>
              <w:left w:w="0" w:type="dxa"/>
            </w:tcMar>
          </w:tcPr>
          <w:p w14:paraId="4B40E96C" w14:textId="77777777" w:rsidR="006769C6" w:rsidRDefault="006769C6" w:rsidP="0026300B">
            <w:pPr>
              <w:spacing w:after="0"/>
              <w:rPr>
                <w:spacing w:val="-2"/>
                <w:szCs w:val="20"/>
              </w:rPr>
            </w:pPr>
            <w:r>
              <w:rPr>
                <w:spacing w:val="-2"/>
                <w:szCs w:val="20"/>
              </w:rPr>
              <w:t>Slábnoucí dynamika nominálních mezd během první poloviny roku 2020 kontrastovala s neochabujícím svižným růstovým tempem spotřebitelských cen. Průměrná mzda se ve 2. čtvrtletí reálně snížila o 2,5 %. Více než šest let trvající růst kupní síly zaměstnaneckých výdělků byl tak přerušen.</w:t>
            </w:r>
          </w:p>
        </w:tc>
      </w:tr>
    </w:tbl>
    <w:p w14:paraId="1FF5FDA9" w14:textId="77777777" w:rsidR="006769C6" w:rsidRPr="009D0218" w:rsidRDefault="006769C6" w:rsidP="006769C6">
      <w:pPr>
        <w:spacing w:after="0"/>
        <w:rPr>
          <w:b/>
          <w:color w:val="0D0D0D" w:themeColor="text1" w:themeTint="F2"/>
          <w:sz w:val="2"/>
          <w:szCs w:val="2"/>
        </w:rPr>
      </w:pPr>
    </w:p>
    <w:p w14:paraId="5BCF3DC5" w14:textId="41F1766E" w:rsidR="00E42054" w:rsidRPr="00E42054" w:rsidRDefault="00E42054" w:rsidP="00973CA1">
      <w:pPr>
        <w:pStyle w:val="Nadpis11"/>
        <w:rPr>
          <w:b w:val="0"/>
          <w:sz w:val="2"/>
          <w:szCs w:val="2"/>
        </w:rPr>
      </w:pPr>
      <w:bookmarkStart w:id="2" w:name="_GoBack"/>
      <w:bookmarkEnd w:id="2"/>
    </w:p>
    <w:sectPr w:rsidR="00E42054" w:rsidRPr="00E42054" w:rsidSect="00973CA1">
      <w:headerReference w:type="even" r:id="rId12"/>
      <w:headerReference w:type="default" r:id="rId13"/>
      <w:footerReference w:type="even" r:id="rId14"/>
      <w:footerReference w:type="default" r:id="rId15"/>
      <w:pgSz w:w="11906" w:h="16838" w:code="9"/>
      <w:pgMar w:top="1134" w:right="1134" w:bottom="1418" w:left="1134" w:header="680" w:footer="737" w:gutter="0"/>
      <w:pgNumType w:start="2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B0D61" w14:textId="77777777" w:rsidR="00D6379B" w:rsidRDefault="00D6379B" w:rsidP="00E71A58">
      <w:r>
        <w:separator/>
      </w:r>
    </w:p>
  </w:endnote>
  <w:endnote w:type="continuationSeparator" w:id="0">
    <w:p w14:paraId="077E14A0" w14:textId="77777777" w:rsidR="00D6379B" w:rsidRDefault="00D6379B"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51A0D" w14:textId="344CC4CD" w:rsidR="00E1168B" w:rsidRPr="00932443" w:rsidRDefault="00E1168B" w:rsidP="00A418BC">
    <w:pPr>
      <w:pStyle w:val="Zpat"/>
      <w:rPr>
        <w:szCs w:val="16"/>
      </w:rPr>
    </w:pPr>
    <w:r>
      <w:rPr>
        <w:szCs w:val="16"/>
        <w:lang w:eastAsia="cs-CZ"/>
      </w:rPr>
      <w:drawing>
        <wp:anchor distT="0" distB="0" distL="114300" distR="114300" simplePos="0" relativeHeight="251667968" behindDoc="0" locked="0" layoutInCell="1" allowOverlap="1" wp14:anchorId="71F0B6E3" wp14:editId="3AA519D4">
          <wp:simplePos x="0" y="0"/>
          <wp:positionH relativeFrom="column">
            <wp:align>right</wp:align>
          </wp:positionH>
          <wp:positionV relativeFrom="paragraph">
            <wp:posOffset>-64770</wp:posOffset>
          </wp:positionV>
          <wp:extent cx="428625" cy="201295"/>
          <wp:effectExtent l="0" t="0" r="3175" b="1905"/>
          <wp:wrapNone/>
          <wp:docPr id="2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973CA1">
      <w:rPr>
        <w:szCs w:val="16"/>
      </w:rPr>
      <w:t>26</w:t>
    </w:r>
    <w:r w:rsidRPr="00932443">
      <w:rPr>
        <w:szCs w:val="16"/>
      </w:rPr>
      <w:fldChar w:fldCharType="end"/>
    </w:r>
    <w:r w:rsidRPr="00932443">
      <w:rPr>
        <w:szCs w:val="16"/>
      </w:rPr>
      <w:tab/>
    </w:r>
    <w:r>
      <w:rPr>
        <w:szCs w:val="16"/>
      </w:rPr>
      <w:t>1. pololetí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17E4B" w14:textId="6AD73D9E" w:rsidR="00E1168B" w:rsidRPr="00932443" w:rsidRDefault="00E1168B" w:rsidP="00FA6CB6">
    <w:pPr>
      <w:pStyle w:val="Zpat"/>
      <w:rPr>
        <w:szCs w:val="16"/>
      </w:rPr>
    </w:pPr>
    <w:r w:rsidRPr="00FA6CB6">
      <w:rPr>
        <w:szCs w:val="16"/>
      </w:rPr>
      <w:tab/>
    </w:r>
    <w:r>
      <w:rPr>
        <w:szCs w:val="16"/>
      </w:rPr>
      <w:t xml:space="preserve">1. pololetí </w:t>
    </w:r>
    <w:r>
      <w:rPr>
        <w:szCs w:val="16"/>
        <w:lang w:eastAsia="cs-CZ"/>
      </w:rPr>
      <w:drawing>
        <wp:anchor distT="0" distB="0" distL="114300" distR="114300" simplePos="0" relativeHeight="251658752" behindDoc="0" locked="0" layoutInCell="1" allowOverlap="1" wp14:anchorId="6ADC9B20" wp14:editId="2C3814E9">
          <wp:simplePos x="0" y="0"/>
          <wp:positionH relativeFrom="column">
            <wp:align>left</wp:align>
          </wp:positionH>
          <wp:positionV relativeFrom="paragraph">
            <wp:posOffset>-122555</wp:posOffset>
          </wp:positionV>
          <wp:extent cx="510540" cy="272415"/>
          <wp:effectExtent l="0" t="0" r="0" b="6985"/>
          <wp:wrapNone/>
          <wp:docPr id="24" name="Picture 16"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Pr>
        <w:szCs w:val="16"/>
      </w:rPr>
      <w:t>2</w:t>
    </w:r>
    <w:r>
      <w:t>020</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973CA1">
      <w:rPr>
        <w:rStyle w:val="ZpatChar"/>
        <w:szCs w:val="16"/>
      </w:rPr>
      <w:t>25</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8C0B5" w14:textId="77777777" w:rsidR="00D6379B" w:rsidRDefault="00D6379B" w:rsidP="00A21B4D">
      <w:pPr>
        <w:spacing w:after="0"/>
      </w:pPr>
      <w:r>
        <w:separator/>
      </w:r>
    </w:p>
  </w:footnote>
  <w:footnote w:type="continuationSeparator" w:id="0">
    <w:p w14:paraId="1F11A86C" w14:textId="77777777" w:rsidR="00D6379B" w:rsidRDefault="00D6379B" w:rsidP="00E71A58">
      <w:r>
        <w:continuationSeparator/>
      </w:r>
    </w:p>
  </w:footnote>
  <w:footnote w:id="1">
    <w:p w14:paraId="2D94A3CA" w14:textId="77777777" w:rsidR="006769C6" w:rsidRPr="00363D19" w:rsidRDefault="006769C6" w:rsidP="006769C6">
      <w:pPr>
        <w:pStyle w:val="Textpoznpodarou"/>
        <w:jc w:val="both"/>
        <w:rPr>
          <w:spacing w:val="-4"/>
          <w:sz w:val="16"/>
          <w:szCs w:val="16"/>
        </w:rPr>
      </w:pPr>
      <w:r w:rsidRPr="00363D19">
        <w:rPr>
          <w:rStyle w:val="Znakapoznpodarou"/>
          <w:spacing w:val="-4"/>
          <w:sz w:val="16"/>
          <w:szCs w:val="16"/>
        </w:rPr>
        <w:footnoteRef/>
      </w:r>
      <w:r w:rsidRPr="00363D19">
        <w:rPr>
          <w:spacing w:val="-4"/>
          <w:sz w:val="16"/>
          <w:szCs w:val="16"/>
        </w:rPr>
        <w:t xml:space="preserve"> Pokud není uvedeno jinak, jsou v této kapitole údaje o</w:t>
      </w:r>
      <w:r>
        <w:rPr>
          <w:spacing w:val="-4"/>
          <w:sz w:val="16"/>
          <w:szCs w:val="16"/>
        </w:rPr>
        <w:t> </w:t>
      </w:r>
      <w:r w:rsidRPr="00363D19">
        <w:rPr>
          <w:spacing w:val="-4"/>
          <w:sz w:val="16"/>
          <w:szCs w:val="16"/>
        </w:rPr>
        <w:t>zaměstnanosti uvedeny v pojetí národních účtů po očištění o</w:t>
      </w:r>
      <w:r>
        <w:rPr>
          <w:spacing w:val="-4"/>
          <w:sz w:val="16"/>
          <w:szCs w:val="16"/>
        </w:rPr>
        <w:t> </w:t>
      </w:r>
      <w:r w:rsidRPr="00363D19">
        <w:rPr>
          <w:spacing w:val="-4"/>
          <w:sz w:val="16"/>
          <w:szCs w:val="16"/>
        </w:rPr>
        <w:t>sezónní vlivy.</w:t>
      </w:r>
    </w:p>
  </w:footnote>
  <w:footnote w:id="2">
    <w:p w14:paraId="3A5C4451" w14:textId="77777777" w:rsidR="006769C6" w:rsidRPr="00363D19" w:rsidRDefault="006769C6" w:rsidP="006769C6">
      <w:pPr>
        <w:pStyle w:val="Textpoznpodarou"/>
        <w:jc w:val="both"/>
        <w:rPr>
          <w:spacing w:val="-4"/>
          <w:sz w:val="16"/>
          <w:szCs w:val="16"/>
        </w:rPr>
      </w:pPr>
      <w:r w:rsidRPr="00363D19">
        <w:rPr>
          <w:rStyle w:val="Znakapoznpodarou"/>
          <w:spacing w:val="-4"/>
          <w:sz w:val="16"/>
          <w:szCs w:val="16"/>
        </w:rPr>
        <w:footnoteRef/>
      </w:r>
      <w:r>
        <w:rPr>
          <w:spacing w:val="-4"/>
          <w:sz w:val="16"/>
          <w:szCs w:val="16"/>
        </w:rPr>
        <w:t xml:space="preserve"> Např. v letech 2009 a 2010 trval pokles zaměstnanosti pět čtvrtletí (v úhrnu činil –3,8 %), v období 1997 až 1999 dokonce deset čtvrtletí (–5,1 %).</w:t>
      </w:r>
    </w:p>
  </w:footnote>
  <w:footnote w:id="3">
    <w:p w14:paraId="00B5994B" w14:textId="77777777" w:rsidR="006769C6" w:rsidRPr="00363D19" w:rsidRDefault="006769C6" w:rsidP="006769C6">
      <w:pPr>
        <w:pStyle w:val="Textpoznpodarou"/>
        <w:jc w:val="both"/>
        <w:rPr>
          <w:spacing w:val="-4"/>
          <w:sz w:val="16"/>
          <w:szCs w:val="16"/>
        </w:rPr>
      </w:pPr>
      <w:r w:rsidRPr="00363D19">
        <w:rPr>
          <w:rStyle w:val="Znakapoznpodarou"/>
          <w:spacing w:val="-4"/>
          <w:sz w:val="16"/>
          <w:szCs w:val="16"/>
        </w:rPr>
        <w:footnoteRef/>
      </w:r>
      <w:r>
        <w:rPr>
          <w:spacing w:val="-4"/>
          <w:sz w:val="16"/>
          <w:szCs w:val="16"/>
        </w:rPr>
        <w:t xml:space="preserve"> </w:t>
      </w:r>
      <w:r w:rsidRPr="00A917E8">
        <w:rPr>
          <w:spacing w:val="-5"/>
          <w:sz w:val="16"/>
          <w:szCs w:val="16"/>
        </w:rPr>
        <w:t>Situace v jednotlivých odvětvích byla ale rozdílná. Ve zpracovatelském průmyslu a</w:t>
      </w:r>
      <w:r>
        <w:rPr>
          <w:spacing w:val="-5"/>
          <w:sz w:val="16"/>
          <w:szCs w:val="16"/>
        </w:rPr>
        <w:t> </w:t>
      </w:r>
      <w:r w:rsidRPr="00A917E8">
        <w:rPr>
          <w:spacing w:val="-5"/>
          <w:sz w:val="16"/>
          <w:szCs w:val="16"/>
        </w:rPr>
        <w:t>v uskupení obchod, doprava, ubytování a</w:t>
      </w:r>
      <w:r>
        <w:rPr>
          <w:spacing w:val="-5"/>
          <w:sz w:val="16"/>
          <w:szCs w:val="16"/>
        </w:rPr>
        <w:t> </w:t>
      </w:r>
      <w:r w:rsidRPr="00A917E8">
        <w:rPr>
          <w:spacing w:val="-5"/>
          <w:sz w:val="16"/>
          <w:szCs w:val="16"/>
        </w:rPr>
        <w:t>pohostinství došlo shodně k 7% poklesu. Naopak v</w:t>
      </w:r>
      <w:r>
        <w:rPr>
          <w:spacing w:val="-5"/>
          <w:sz w:val="16"/>
          <w:szCs w:val="16"/>
        </w:rPr>
        <w:t> </w:t>
      </w:r>
      <w:r w:rsidRPr="00A917E8">
        <w:rPr>
          <w:spacing w:val="-5"/>
          <w:sz w:val="16"/>
          <w:szCs w:val="16"/>
        </w:rPr>
        <w:t>informačních i</w:t>
      </w:r>
      <w:r>
        <w:rPr>
          <w:spacing w:val="-5"/>
          <w:sz w:val="16"/>
          <w:szCs w:val="16"/>
        </w:rPr>
        <w:t> </w:t>
      </w:r>
      <w:r w:rsidRPr="00A917E8">
        <w:rPr>
          <w:spacing w:val="-5"/>
          <w:sz w:val="16"/>
          <w:szCs w:val="16"/>
        </w:rPr>
        <w:t>komunikačních činnostech vzrostl počet podnikatelů o</w:t>
      </w:r>
      <w:r>
        <w:rPr>
          <w:spacing w:val="-5"/>
          <w:sz w:val="16"/>
          <w:szCs w:val="16"/>
        </w:rPr>
        <w:t> </w:t>
      </w:r>
      <w:r w:rsidRPr="00A917E8">
        <w:rPr>
          <w:spacing w:val="-5"/>
          <w:sz w:val="16"/>
          <w:szCs w:val="16"/>
        </w:rPr>
        <w:t>šestinu, vyšší byl i</w:t>
      </w:r>
      <w:r>
        <w:rPr>
          <w:spacing w:val="-5"/>
          <w:sz w:val="16"/>
          <w:szCs w:val="16"/>
        </w:rPr>
        <w:t> </w:t>
      </w:r>
      <w:r w:rsidRPr="00A917E8">
        <w:rPr>
          <w:spacing w:val="-5"/>
          <w:sz w:val="16"/>
          <w:szCs w:val="16"/>
        </w:rPr>
        <w:t>ve stavebnictví (+1,5</w:t>
      </w:r>
      <w:r>
        <w:rPr>
          <w:spacing w:val="-5"/>
          <w:sz w:val="16"/>
          <w:szCs w:val="16"/>
        </w:rPr>
        <w:t> %</w:t>
      </w:r>
      <w:r w:rsidRPr="00A917E8">
        <w:rPr>
          <w:spacing w:val="-5"/>
          <w:sz w:val="16"/>
          <w:szCs w:val="16"/>
        </w:rPr>
        <w:t>).</w:t>
      </w:r>
    </w:p>
  </w:footnote>
  <w:footnote w:id="4">
    <w:p w14:paraId="51C678C2" w14:textId="77777777" w:rsidR="006769C6" w:rsidRPr="00363D19" w:rsidRDefault="006769C6" w:rsidP="006769C6">
      <w:pPr>
        <w:pStyle w:val="Textpoznpodarou"/>
        <w:jc w:val="both"/>
        <w:rPr>
          <w:spacing w:val="-4"/>
          <w:sz w:val="16"/>
          <w:szCs w:val="16"/>
        </w:rPr>
      </w:pPr>
      <w:r w:rsidRPr="00363D19">
        <w:rPr>
          <w:rStyle w:val="Znakapoznpodarou"/>
          <w:spacing w:val="-4"/>
          <w:sz w:val="16"/>
          <w:szCs w:val="16"/>
        </w:rPr>
        <w:footnoteRef/>
      </w:r>
      <w:r>
        <w:rPr>
          <w:spacing w:val="-4"/>
          <w:sz w:val="16"/>
          <w:szCs w:val="16"/>
        </w:rPr>
        <w:t xml:space="preserve"> Nejvíce byli takto postiženi drobní podnikatelé v ubytování, stravování a pohostinství (94 % subjektů v tomto odvětví), ve vzdělávání (95 %), kulturních, zábavních a rekreačních činnostech (74 %) či v ostatních činnostech služeb (86 %), kam patří např. kadeřnictví či o</w:t>
      </w:r>
      <w:r w:rsidRPr="00ED0A83">
        <w:rPr>
          <w:spacing w:val="-4"/>
          <w:sz w:val="16"/>
          <w:szCs w:val="16"/>
        </w:rPr>
        <w:t xml:space="preserve">pravy výrobků pro osobní </w:t>
      </w:r>
      <w:r>
        <w:rPr>
          <w:spacing w:val="-4"/>
          <w:sz w:val="16"/>
          <w:szCs w:val="16"/>
        </w:rPr>
        <w:t>potřebu. Významné bylo zasažení i ve dvou mezi podnikateli nejčetněji zastoupených odvětvích – stavebnictví (56 %) a obchodu (66 %).</w:t>
      </w:r>
    </w:p>
  </w:footnote>
  <w:footnote w:id="5">
    <w:p w14:paraId="46139241" w14:textId="77777777" w:rsidR="006769C6" w:rsidRPr="004E68B1" w:rsidRDefault="006769C6" w:rsidP="006769C6">
      <w:pPr>
        <w:pStyle w:val="Textpoznpodarou"/>
        <w:jc w:val="both"/>
        <w:rPr>
          <w:spacing w:val="-3"/>
          <w:sz w:val="16"/>
          <w:szCs w:val="16"/>
        </w:rPr>
      </w:pPr>
      <w:r w:rsidRPr="004E68B1">
        <w:rPr>
          <w:rStyle w:val="Znakapoznpodarou"/>
          <w:spacing w:val="-3"/>
          <w:sz w:val="16"/>
          <w:szCs w:val="16"/>
        </w:rPr>
        <w:footnoteRef/>
      </w:r>
      <w:r w:rsidRPr="004E68B1">
        <w:rPr>
          <w:spacing w:val="-3"/>
          <w:sz w:val="16"/>
          <w:szCs w:val="16"/>
        </w:rPr>
        <w:t xml:space="preserve"> U osob ve věku 15–64 let, hodnota po sezónním očištění. Všechny údaje o nezaměstnanosti vycházejí z Výběrového šetření pracovních sil.</w:t>
      </w:r>
    </w:p>
  </w:footnote>
  <w:footnote w:id="6">
    <w:p w14:paraId="77DE9C81" w14:textId="77777777" w:rsidR="006769C6" w:rsidRPr="004E68B1" w:rsidRDefault="006769C6" w:rsidP="006769C6">
      <w:pPr>
        <w:pStyle w:val="Textpoznpodarou"/>
        <w:jc w:val="both"/>
        <w:rPr>
          <w:spacing w:val="-3"/>
          <w:sz w:val="16"/>
          <w:szCs w:val="16"/>
        </w:rPr>
      </w:pPr>
      <w:r w:rsidRPr="004E68B1">
        <w:rPr>
          <w:rStyle w:val="Znakapoznpodarou"/>
          <w:spacing w:val="-3"/>
          <w:sz w:val="16"/>
          <w:szCs w:val="16"/>
        </w:rPr>
        <w:footnoteRef/>
      </w:r>
      <w:r>
        <w:rPr>
          <w:spacing w:val="-3"/>
          <w:sz w:val="16"/>
          <w:szCs w:val="16"/>
        </w:rPr>
        <w:t xml:space="preserve"> Celkové čerpání dávek ošetřovného činilo letos od března od července 9,1 mld. korun, ve stejném období loňského roku jen 0,6 mld.</w:t>
      </w:r>
    </w:p>
  </w:footnote>
  <w:footnote w:id="7">
    <w:p w14:paraId="3226F959" w14:textId="77777777" w:rsidR="006769C6" w:rsidRPr="005074AD" w:rsidRDefault="006769C6" w:rsidP="006769C6">
      <w:pPr>
        <w:pStyle w:val="Textpoznpodarou"/>
        <w:jc w:val="both"/>
        <w:rPr>
          <w:spacing w:val="-4"/>
          <w:sz w:val="16"/>
          <w:szCs w:val="16"/>
        </w:rPr>
      </w:pPr>
      <w:r w:rsidRPr="005074AD">
        <w:rPr>
          <w:rStyle w:val="Znakapoznpodarou"/>
          <w:spacing w:val="-4"/>
          <w:sz w:val="16"/>
          <w:szCs w:val="16"/>
        </w:rPr>
        <w:footnoteRef/>
      </w:r>
      <w:r w:rsidRPr="005074AD">
        <w:rPr>
          <w:spacing w:val="-4"/>
          <w:sz w:val="16"/>
          <w:szCs w:val="16"/>
        </w:rPr>
        <w:t xml:space="preserve"> Dle údajů z konju</w:t>
      </w:r>
      <w:r>
        <w:rPr>
          <w:spacing w:val="-4"/>
          <w:sz w:val="16"/>
          <w:szCs w:val="16"/>
        </w:rPr>
        <w:t>n</w:t>
      </w:r>
      <w:r w:rsidRPr="005074AD">
        <w:rPr>
          <w:spacing w:val="-4"/>
          <w:sz w:val="16"/>
          <w:szCs w:val="16"/>
        </w:rPr>
        <w:t xml:space="preserve">kturálních průzkumů vykázali </w:t>
      </w:r>
      <w:r>
        <w:rPr>
          <w:spacing w:val="-4"/>
          <w:sz w:val="16"/>
          <w:szCs w:val="16"/>
        </w:rPr>
        <w:t>v </w:t>
      </w:r>
      <w:r w:rsidRPr="005074AD">
        <w:rPr>
          <w:spacing w:val="-4"/>
          <w:sz w:val="16"/>
          <w:szCs w:val="16"/>
        </w:rPr>
        <w:t>srpnu 2020 vyšší než průměrné saldo (+47</w:t>
      </w:r>
      <w:r>
        <w:rPr>
          <w:spacing w:val="-4"/>
          <w:sz w:val="16"/>
          <w:szCs w:val="16"/>
        </w:rPr>
        <w:t> p. b.</w:t>
      </w:r>
      <w:r w:rsidRPr="005074AD">
        <w:rPr>
          <w:spacing w:val="-4"/>
          <w:sz w:val="16"/>
          <w:szCs w:val="16"/>
        </w:rPr>
        <w:t>) např. lidé s vyšším stupněm vzdělání, ve věku 50</w:t>
      </w:r>
      <w:r>
        <w:rPr>
          <w:spacing w:val="-4"/>
          <w:sz w:val="16"/>
          <w:szCs w:val="16"/>
        </w:rPr>
        <w:t> </w:t>
      </w:r>
      <w:r w:rsidRPr="005074AD">
        <w:rPr>
          <w:spacing w:val="-4"/>
          <w:sz w:val="16"/>
          <w:szCs w:val="16"/>
        </w:rPr>
        <w:t>až 64</w:t>
      </w:r>
      <w:r>
        <w:rPr>
          <w:spacing w:val="-4"/>
          <w:sz w:val="16"/>
          <w:szCs w:val="16"/>
        </w:rPr>
        <w:t> </w:t>
      </w:r>
      <w:r w:rsidRPr="005074AD">
        <w:rPr>
          <w:spacing w:val="-4"/>
          <w:sz w:val="16"/>
          <w:szCs w:val="16"/>
        </w:rPr>
        <w:t>let či pracující ve</w:t>
      </w:r>
      <w:r>
        <w:rPr>
          <w:spacing w:val="-4"/>
          <w:sz w:val="16"/>
          <w:szCs w:val="16"/>
        </w:rPr>
        <w:t xml:space="preserve"> </w:t>
      </w:r>
      <w:r w:rsidRPr="005074AD">
        <w:rPr>
          <w:spacing w:val="-4"/>
          <w:sz w:val="16"/>
          <w:szCs w:val="16"/>
        </w:rPr>
        <w:t>třídách dle klasifikace ISCO 1</w:t>
      </w:r>
      <w:r>
        <w:rPr>
          <w:spacing w:val="-4"/>
          <w:sz w:val="16"/>
          <w:szCs w:val="16"/>
        </w:rPr>
        <w:t>–</w:t>
      </w:r>
      <w:r w:rsidRPr="005074AD">
        <w:rPr>
          <w:spacing w:val="-4"/>
          <w:sz w:val="16"/>
          <w:szCs w:val="16"/>
        </w:rPr>
        <w:t>5</w:t>
      </w:r>
      <w:r>
        <w:rPr>
          <w:spacing w:val="-4"/>
          <w:sz w:val="16"/>
          <w:szCs w:val="16"/>
        </w:rPr>
        <w:t xml:space="preserve"> </w:t>
      </w:r>
      <w:r w:rsidRPr="005074AD">
        <w:rPr>
          <w:spacing w:val="-4"/>
          <w:sz w:val="16"/>
          <w:szCs w:val="16"/>
        </w:rPr>
        <w:t>(řídící pracovníci, specialisté, techničtí a</w:t>
      </w:r>
      <w:r>
        <w:rPr>
          <w:spacing w:val="-4"/>
          <w:sz w:val="16"/>
          <w:szCs w:val="16"/>
        </w:rPr>
        <w:t> </w:t>
      </w:r>
      <w:r w:rsidRPr="005074AD">
        <w:rPr>
          <w:spacing w:val="-4"/>
          <w:sz w:val="16"/>
          <w:szCs w:val="16"/>
        </w:rPr>
        <w:t>odborní pracovníci, úředníci, pracovníci ve službách i</w:t>
      </w:r>
      <w:r>
        <w:rPr>
          <w:spacing w:val="-4"/>
          <w:sz w:val="16"/>
          <w:szCs w:val="16"/>
        </w:rPr>
        <w:t> </w:t>
      </w:r>
      <w:r w:rsidRPr="005074AD">
        <w:rPr>
          <w:spacing w:val="-4"/>
          <w:sz w:val="16"/>
          <w:szCs w:val="16"/>
        </w:rPr>
        <w:t>obchodu). Vyšší očekávání nezaměstnanosti nemusí nutně znamenat očekávání zhoršení finanční situace dané osoby či domácnosti.</w:t>
      </w:r>
    </w:p>
  </w:footnote>
  <w:footnote w:id="8">
    <w:p w14:paraId="1C38A82C" w14:textId="77777777" w:rsidR="006769C6" w:rsidRPr="006A4CF3" w:rsidRDefault="006769C6" w:rsidP="006769C6">
      <w:pPr>
        <w:pStyle w:val="Textpoznpodarou"/>
        <w:jc w:val="both"/>
        <w:rPr>
          <w:spacing w:val="-2"/>
          <w:sz w:val="16"/>
          <w:szCs w:val="16"/>
        </w:rPr>
      </w:pPr>
      <w:r w:rsidRPr="006A4CF3">
        <w:rPr>
          <w:rStyle w:val="Znakapoznpodarou"/>
          <w:spacing w:val="-2"/>
          <w:sz w:val="16"/>
          <w:szCs w:val="16"/>
        </w:rPr>
        <w:footnoteRef/>
      </w:r>
      <w:r>
        <w:rPr>
          <w:spacing w:val="-2"/>
          <w:sz w:val="16"/>
          <w:szCs w:val="16"/>
        </w:rPr>
        <w:t xml:space="preserve"> To platilo např. i o Japonsku. Naopak v USA reagoval trh práce velmi prudce. Zatímco v březnu zde dosahovala nezaměstnanost 4,4 %, v dubnu akcelerovala na 14,7 %. V dalších měsících došlo k mírné korekci, ale i tak přesahovala červnová hodnota 11 % a byla tak o více než 1 p. b. nad úrovní vrcholu recese z let 2009 až 2010.</w:t>
      </w:r>
    </w:p>
  </w:footnote>
  <w:footnote w:id="9">
    <w:p w14:paraId="4498557C" w14:textId="77777777" w:rsidR="006769C6" w:rsidRPr="006A4CF3" w:rsidRDefault="006769C6" w:rsidP="006769C6">
      <w:pPr>
        <w:pStyle w:val="Textpoznpodarou"/>
        <w:jc w:val="both"/>
        <w:rPr>
          <w:spacing w:val="-2"/>
          <w:sz w:val="16"/>
          <w:szCs w:val="16"/>
        </w:rPr>
      </w:pPr>
      <w:r w:rsidRPr="006A4CF3">
        <w:rPr>
          <w:rStyle w:val="Znakapoznpodarou"/>
          <w:spacing w:val="-2"/>
          <w:sz w:val="16"/>
          <w:szCs w:val="16"/>
        </w:rPr>
        <w:footnoteRef/>
      </w:r>
      <w:r>
        <w:rPr>
          <w:spacing w:val="-2"/>
          <w:sz w:val="16"/>
          <w:szCs w:val="16"/>
        </w:rPr>
        <w:t xml:space="preserve"> Týká se osob ve věku 15–74 let, všechny údaje o nezaměstnanosti vyjadřují skutečnost po sezónním očištění.</w:t>
      </w:r>
    </w:p>
  </w:footnote>
  <w:footnote w:id="10">
    <w:p w14:paraId="2314440D" w14:textId="77777777" w:rsidR="006769C6" w:rsidRPr="006A4CF3" w:rsidRDefault="006769C6" w:rsidP="006769C6">
      <w:pPr>
        <w:pStyle w:val="Textpoznpodarou"/>
        <w:jc w:val="both"/>
        <w:rPr>
          <w:spacing w:val="-2"/>
          <w:sz w:val="16"/>
          <w:szCs w:val="16"/>
        </w:rPr>
      </w:pPr>
      <w:r w:rsidRPr="006A4CF3">
        <w:rPr>
          <w:rStyle w:val="Znakapoznpodarou"/>
          <w:spacing w:val="-2"/>
          <w:sz w:val="16"/>
          <w:szCs w:val="16"/>
        </w:rPr>
        <w:footnoteRef/>
      </w:r>
      <w:r>
        <w:rPr>
          <w:spacing w:val="-2"/>
          <w:sz w:val="16"/>
          <w:szCs w:val="16"/>
        </w:rPr>
        <w:t xml:space="preserve"> Vysoké úrovně dosahuje dlouhodobě také v Řecku, za které se nejaktuálnější letošní údaj vztahuje ke květnu (37,5 %).</w:t>
      </w:r>
    </w:p>
  </w:footnote>
  <w:footnote w:id="11">
    <w:p w14:paraId="5B835D92" w14:textId="77777777" w:rsidR="006769C6" w:rsidRPr="006A4CF3" w:rsidRDefault="006769C6" w:rsidP="006769C6">
      <w:pPr>
        <w:pStyle w:val="Textpoznpodarou"/>
        <w:jc w:val="both"/>
        <w:rPr>
          <w:spacing w:val="-2"/>
          <w:sz w:val="16"/>
          <w:szCs w:val="16"/>
        </w:rPr>
      </w:pPr>
      <w:r w:rsidRPr="006A4CF3">
        <w:rPr>
          <w:rStyle w:val="Znakapoznpodarou"/>
          <w:spacing w:val="-2"/>
          <w:sz w:val="16"/>
          <w:szCs w:val="16"/>
        </w:rPr>
        <w:footnoteRef/>
      </w:r>
      <w:r>
        <w:rPr>
          <w:spacing w:val="-2"/>
          <w:sz w:val="16"/>
          <w:szCs w:val="16"/>
        </w:rPr>
        <w:t xml:space="preserve"> Dle údajů VŠPS šlo o 3,9 mil. obyvatel (ve věku 15 až 74 let), kteří měli ve 4. čtvrtletí 2019 práci a v následujícím čtvrtletí se řadili mezi neaktivní. Toky mezi neaktivitou a nezaměstnaností byly ve stejném období téměř vyrovnané (3,2, resp. 3,3 mil.). Vazby mezi zaměstnaností a nezaměstnaností vyznívaly na počátku roku ještě mírně ve prospěch zaměstnaných (+0,4 mil.), jak však zřetelně indikovaly první odhady z národních účtů, ve 2. čtvrtletí došlo v EU k prudkému poklesu počtu zaměstnaných (meziročně i mezičtvrtletně o bezmála 3 %).</w:t>
      </w:r>
    </w:p>
  </w:footnote>
  <w:footnote w:id="12">
    <w:p w14:paraId="59A98261" w14:textId="77777777" w:rsidR="006769C6" w:rsidRPr="006A4CF3" w:rsidRDefault="006769C6" w:rsidP="006769C6">
      <w:pPr>
        <w:pStyle w:val="Textpoznpodarou"/>
        <w:jc w:val="both"/>
        <w:rPr>
          <w:spacing w:val="-2"/>
          <w:sz w:val="16"/>
          <w:szCs w:val="16"/>
        </w:rPr>
      </w:pPr>
      <w:r w:rsidRPr="006A4CF3">
        <w:rPr>
          <w:rStyle w:val="Znakapoznpodarou"/>
          <w:spacing w:val="-2"/>
          <w:sz w:val="16"/>
          <w:szCs w:val="16"/>
        </w:rPr>
        <w:footnoteRef/>
      </w:r>
      <w:r>
        <w:rPr>
          <w:spacing w:val="-2"/>
          <w:sz w:val="16"/>
          <w:szCs w:val="16"/>
        </w:rPr>
        <w:t xml:space="preserve"> Jde o osoby připravené nastoupit do zaměstnání, které ale práci aktivně nehledají, dále o lidi, co práci hledají, ale nejsou schopni do 14 dnů do ní nastoupit (čímž nesplňují podmínku zařazení mezi nezaměstnané), a konečně také o tzv. podzaměstnané, tj. o ty, co práci sice mají, ale nedobrovolně pracují na zkrácený úvazek (např. z důvodu nedostatku práce u svého zaměstnavatele).</w:t>
      </w:r>
    </w:p>
  </w:footnote>
  <w:footnote w:id="13">
    <w:p w14:paraId="56FBA2FF" w14:textId="77777777" w:rsidR="006769C6" w:rsidRPr="006A4CF3" w:rsidRDefault="006769C6" w:rsidP="006769C6">
      <w:pPr>
        <w:pStyle w:val="Textpoznpodarou"/>
        <w:jc w:val="both"/>
        <w:rPr>
          <w:spacing w:val="-2"/>
          <w:sz w:val="16"/>
          <w:szCs w:val="16"/>
        </w:rPr>
      </w:pPr>
      <w:r w:rsidRPr="006A4CF3">
        <w:rPr>
          <w:rStyle w:val="Znakapoznpodarou"/>
          <w:spacing w:val="-2"/>
          <w:sz w:val="16"/>
          <w:szCs w:val="16"/>
        </w:rPr>
        <w:footnoteRef/>
      </w:r>
      <w:r>
        <w:rPr>
          <w:spacing w:val="-2"/>
          <w:sz w:val="16"/>
          <w:szCs w:val="16"/>
        </w:rPr>
        <w:t xml:space="preserve"> Šlo o důsledek přesunu výplat nenárokových složek mezd u části vysokopříjmových pracovníků za účelem daňové optimalizace.</w:t>
      </w:r>
    </w:p>
  </w:footnote>
  <w:footnote w:id="14">
    <w:p w14:paraId="0EA8EFB9" w14:textId="77777777" w:rsidR="006769C6" w:rsidRPr="006A4CF3" w:rsidRDefault="006769C6" w:rsidP="006769C6">
      <w:pPr>
        <w:pStyle w:val="Textpoznpodarou"/>
        <w:jc w:val="both"/>
        <w:rPr>
          <w:spacing w:val="-2"/>
          <w:sz w:val="16"/>
          <w:szCs w:val="16"/>
        </w:rPr>
      </w:pPr>
      <w:r w:rsidRPr="006A4CF3">
        <w:rPr>
          <w:rStyle w:val="Znakapoznpodarou"/>
          <w:spacing w:val="-2"/>
          <w:sz w:val="16"/>
          <w:szCs w:val="16"/>
        </w:rPr>
        <w:footnoteRef/>
      </w:r>
      <w:r>
        <w:rPr>
          <w:spacing w:val="-2"/>
          <w:sz w:val="16"/>
          <w:szCs w:val="16"/>
        </w:rPr>
        <w:t xml:space="preserve"> Podnikům postiženým dopady koronavirové krize přispíval za splnění určitých podmínek (např. zachování pracovních míst) na mzdy zaměstnanců částečně stát (program Antivirus). Tyto náhrady mezd čerpali lidé z titulu překážek v práci v souvislosti s pandemií. Naopak osoby, které nepracovaly z důvodu pobírání ošetřovného či nařízené karantény, pobíraly transfery od státu, které metodicky nejsou součástí mezd (jejich čerpání tak působilo proti růstu průměrných mezd).</w:t>
      </w:r>
    </w:p>
  </w:footnote>
  <w:footnote w:id="15">
    <w:p w14:paraId="020152F2" w14:textId="77777777" w:rsidR="006769C6" w:rsidRPr="006A4CF3" w:rsidRDefault="006769C6" w:rsidP="006769C6">
      <w:pPr>
        <w:pStyle w:val="Textpoznpodarou"/>
        <w:jc w:val="both"/>
        <w:rPr>
          <w:spacing w:val="-2"/>
          <w:sz w:val="16"/>
          <w:szCs w:val="16"/>
        </w:rPr>
      </w:pPr>
      <w:r w:rsidRPr="006A4CF3">
        <w:rPr>
          <w:rStyle w:val="Znakapoznpodarou"/>
          <w:spacing w:val="-2"/>
          <w:sz w:val="16"/>
          <w:szCs w:val="16"/>
        </w:rPr>
        <w:footnoteRef/>
      </w:r>
      <w:r>
        <w:rPr>
          <w:spacing w:val="-2"/>
          <w:sz w:val="16"/>
          <w:szCs w:val="16"/>
        </w:rPr>
        <w:t xml:space="preserve"> Průměrná mzda se zde ve 2. čtvrtletí snižovala mírněji (o 1,3 %). To souvisí mj. s tím, že zhruba polovina zaměstnanců v tomto odvětví náleží do tzv. platové sféry, a jejich odměňování je tak navázané na veřejné rozpočty.</w:t>
      </w:r>
    </w:p>
  </w:footnote>
  <w:footnote w:id="16">
    <w:p w14:paraId="07D7AD03" w14:textId="77777777" w:rsidR="006769C6" w:rsidRPr="006A4CF3" w:rsidRDefault="006769C6" w:rsidP="006769C6">
      <w:pPr>
        <w:pStyle w:val="Textpoznpodarou"/>
        <w:jc w:val="both"/>
        <w:rPr>
          <w:spacing w:val="-2"/>
          <w:sz w:val="16"/>
          <w:szCs w:val="16"/>
        </w:rPr>
      </w:pPr>
      <w:r w:rsidRPr="006A4CF3">
        <w:rPr>
          <w:rStyle w:val="Znakapoznpodarou"/>
          <w:spacing w:val="-2"/>
          <w:sz w:val="16"/>
          <w:szCs w:val="16"/>
        </w:rPr>
        <w:footnoteRef/>
      </w:r>
      <w:r>
        <w:rPr>
          <w:spacing w:val="-2"/>
          <w:sz w:val="16"/>
          <w:szCs w:val="16"/>
        </w:rPr>
        <w:t xml:space="preserve"> Počet zaměstnanců zde v 1. pololetí 2020 klesl meziročně o 12 %, obdobně jako v krizovém roce 2009.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985C8" w14:textId="77777777" w:rsidR="00E1168B" w:rsidRDefault="00E1168B" w:rsidP="00937AE2">
    <w:pPr>
      <w:pStyle w:val="Zhlav"/>
    </w:pPr>
    <w:r>
      <w:t>Vývoj ekonomiky České republiky</w:t>
    </w:r>
  </w:p>
  <w:p w14:paraId="675E4C41" w14:textId="77777777" w:rsidR="00E1168B" w:rsidRPr="006F5416" w:rsidRDefault="00E1168B"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812FB" w14:textId="77777777" w:rsidR="00E1168B" w:rsidRDefault="00E1168B" w:rsidP="00937AE2">
    <w:pPr>
      <w:pStyle w:val="Zhlav"/>
    </w:pPr>
    <w:r>
      <w:t>Vývoj ekonomiky České republiky</w:t>
    </w:r>
  </w:p>
  <w:p w14:paraId="0CDCFD48" w14:textId="77777777" w:rsidR="00E1168B" w:rsidRPr="006F5416" w:rsidRDefault="00E1168B"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3"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1"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24"/>
  </w:num>
  <w:num w:numId="14">
    <w:abstractNumId w:val="12"/>
  </w:num>
  <w:num w:numId="15">
    <w:abstractNumId w:val="18"/>
  </w:num>
  <w:num w:numId="16">
    <w:abstractNumId w:val="14"/>
  </w:num>
  <w:num w:numId="17">
    <w:abstractNumId w:val="25"/>
  </w:num>
  <w:num w:numId="18">
    <w:abstractNumId w:val="19"/>
  </w:num>
  <w:num w:numId="19">
    <w:abstractNumId w:val="26"/>
  </w:num>
  <w:num w:numId="20">
    <w:abstractNumId w:val="27"/>
  </w:num>
  <w:num w:numId="21">
    <w:abstractNumId w:val="23"/>
  </w:num>
  <w:num w:numId="22">
    <w:abstractNumId w:val="17"/>
  </w:num>
  <w:num w:numId="23">
    <w:abstractNumId w:val="15"/>
  </w:num>
  <w:num w:numId="24">
    <w:abstractNumId w:val="16"/>
  </w:num>
  <w:num w:numId="25">
    <w:abstractNumId w:val="11"/>
  </w:num>
  <w:num w:numId="26">
    <w:abstractNumId w:val="21"/>
  </w:num>
  <w:num w:numId="27">
    <w:abstractNumId w:val="20"/>
  </w:num>
  <w:num w:numId="28">
    <w:abstractNumId w:val="10"/>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28"/>
    <w:rsid w:val="000005AF"/>
    <w:rsid w:val="00000B55"/>
    <w:rsid w:val="0000209D"/>
    <w:rsid w:val="00002566"/>
    <w:rsid w:val="00003849"/>
    <w:rsid w:val="00003F5C"/>
    <w:rsid w:val="00004D5A"/>
    <w:rsid w:val="000056D5"/>
    <w:rsid w:val="00005D9E"/>
    <w:rsid w:val="000063D5"/>
    <w:rsid w:val="00006625"/>
    <w:rsid w:val="00006ABD"/>
    <w:rsid w:val="00006B67"/>
    <w:rsid w:val="00006C0B"/>
    <w:rsid w:val="000073A0"/>
    <w:rsid w:val="0000767A"/>
    <w:rsid w:val="00007ABE"/>
    <w:rsid w:val="00010256"/>
    <w:rsid w:val="00010702"/>
    <w:rsid w:val="0001128E"/>
    <w:rsid w:val="00011912"/>
    <w:rsid w:val="0001387D"/>
    <w:rsid w:val="00014ED0"/>
    <w:rsid w:val="00016420"/>
    <w:rsid w:val="00017B01"/>
    <w:rsid w:val="000205D1"/>
    <w:rsid w:val="00020F22"/>
    <w:rsid w:val="0002195D"/>
    <w:rsid w:val="000228AE"/>
    <w:rsid w:val="000233D1"/>
    <w:rsid w:val="000234D6"/>
    <w:rsid w:val="00023D29"/>
    <w:rsid w:val="00024348"/>
    <w:rsid w:val="00026389"/>
    <w:rsid w:val="0002669F"/>
    <w:rsid w:val="000279E5"/>
    <w:rsid w:val="00031AE0"/>
    <w:rsid w:val="00031BB2"/>
    <w:rsid w:val="000322EF"/>
    <w:rsid w:val="00033FCD"/>
    <w:rsid w:val="00034DF7"/>
    <w:rsid w:val="00034E68"/>
    <w:rsid w:val="000350C8"/>
    <w:rsid w:val="00036195"/>
    <w:rsid w:val="000374B2"/>
    <w:rsid w:val="000376C0"/>
    <w:rsid w:val="000403A7"/>
    <w:rsid w:val="00040632"/>
    <w:rsid w:val="00041AFC"/>
    <w:rsid w:val="00041CEC"/>
    <w:rsid w:val="00042596"/>
    <w:rsid w:val="00044183"/>
    <w:rsid w:val="0004431D"/>
    <w:rsid w:val="0004694F"/>
    <w:rsid w:val="00046F2F"/>
    <w:rsid w:val="00047AD4"/>
    <w:rsid w:val="00047D54"/>
    <w:rsid w:val="0005054A"/>
    <w:rsid w:val="00051506"/>
    <w:rsid w:val="000522E4"/>
    <w:rsid w:val="00053713"/>
    <w:rsid w:val="0005434E"/>
    <w:rsid w:val="00055CB6"/>
    <w:rsid w:val="000572DD"/>
    <w:rsid w:val="00057B1E"/>
    <w:rsid w:val="000610E1"/>
    <w:rsid w:val="000616AD"/>
    <w:rsid w:val="000622A6"/>
    <w:rsid w:val="00062EC5"/>
    <w:rsid w:val="00062F22"/>
    <w:rsid w:val="00063975"/>
    <w:rsid w:val="00063CEA"/>
    <w:rsid w:val="0006444D"/>
    <w:rsid w:val="000645FC"/>
    <w:rsid w:val="0006533F"/>
    <w:rsid w:val="00065348"/>
    <w:rsid w:val="00065A75"/>
    <w:rsid w:val="00066558"/>
    <w:rsid w:val="00070A87"/>
    <w:rsid w:val="000712B3"/>
    <w:rsid w:val="00071A7C"/>
    <w:rsid w:val="00072FF5"/>
    <w:rsid w:val="0007474E"/>
    <w:rsid w:val="00074988"/>
    <w:rsid w:val="0007512B"/>
    <w:rsid w:val="00075551"/>
    <w:rsid w:val="000767F5"/>
    <w:rsid w:val="00076D90"/>
    <w:rsid w:val="00077FF0"/>
    <w:rsid w:val="00081A55"/>
    <w:rsid w:val="0008263E"/>
    <w:rsid w:val="00082C19"/>
    <w:rsid w:val="00082F89"/>
    <w:rsid w:val="000837CD"/>
    <w:rsid w:val="00084BFF"/>
    <w:rsid w:val="00085395"/>
    <w:rsid w:val="00086896"/>
    <w:rsid w:val="00086AC1"/>
    <w:rsid w:val="00086D19"/>
    <w:rsid w:val="00087634"/>
    <w:rsid w:val="00087F2B"/>
    <w:rsid w:val="00090694"/>
    <w:rsid w:val="00090EE2"/>
    <w:rsid w:val="00090FC6"/>
    <w:rsid w:val="000913B1"/>
    <w:rsid w:val="00093241"/>
    <w:rsid w:val="00093868"/>
    <w:rsid w:val="00094A84"/>
    <w:rsid w:val="00095025"/>
    <w:rsid w:val="00095135"/>
    <w:rsid w:val="0009626E"/>
    <w:rsid w:val="00097191"/>
    <w:rsid w:val="000974D1"/>
    <w:rsid w:val="00097784"/>
    <w:rsid w:val="0009799E"/>
    <w:rsid w:val="000A07CB"/>
    <w:rsid w:val="000A0BC0"/>
    <w:rsid w:val="000A1183"/>
    <w:rsid w:val="000A12ED"/>
    <w:rsid w:val="000A212B"/>
    <w:rsid w:val="000A242D"/>
    <w:rsid w:val="000A256D"/>
    <w:rsid w:val="000A3A2C"/>
    <w:rsid w:val="000A3D9E"/>
    <w:rsid w:val="000A4A54"/>
    <w:rsid w:val="000A4ED9"/>
    <w:rsid w:val="000A5DB7"/>
    <w:rsid w:val="000A6D94"/>
    <w:rsid w:val="000A7377"/>
    <w:rsid w:val="000A7FF4"/>
    <w:rsid w:val="000B03CC"/>
    <w:rsid w:val="000B4212"/>
    <w:rsid w:val="000C0EA8"/>
    <w:rsid w:val="000C13A2"/>
    <w:rsid w:val="000C21E7"/>
    <w:rsid w:val="000C23EC"/>
    <w:rsid w:val="000C30C3"/>
    <w:rsid w:val="000C3408"/>
    <w:rsid w:val="000C35AB"/>
    <w:rsid w:val="000C3F7B"/>
    <w:rsid w:val="000C4769"/>
    <w:rsid w:val="000C4D56"/>
    <w:rsid w:val="000C5DFA"/>
    <w:rsid w:val="000C6AFD"/>
    <w:rsid w:val="000C6C90"/>
    <w:rsid w:val="000D0A26"/>
    <w:rsid w:val="000D3058"/>
    <w:rsid w:val="000D310A"/>
    <w:rsid w:val="000D3EF4"/>
    <w:rsid w:val="000D4DC0"/>
    <w:rsid w:val="000D5637"/>
    <w:rsid w:val="000D6F4E"/>
    <w:rsid w:val="000D73BB"/>
    <w:rsid w:val="000E0E96"/>
    <w:rsid w:val="000E298B"/>
    <w:rsid w:val="000E2C7D"/>
    <w:rsid w:val="000E440D"/>
    <w:rsid w:val="000E4AC5"/>
    <w:rsid w:val="000E6253"/>
    <w:rsid w:val="000E6E4D"/>
    <w:rsid w:val="000E6FBD"/>
    <w:rsid w:val="000E6FCB"/>
    <w:rsid w:val="000F090B"/>
    <w:rsid w:val="000F3F3B"/>
    <w:rsid w:val="000F47E8"/>
    <w:rsid w:val="000F70E4"/>
    <w:rsid w:val="000F76EA"/>
    <w:rsid w:val="00100F5C"/>
    <w:rsid w:val="00101CDA"/>
    <w:rsid w:val="00102037"/>
    <w:rsid w:val="00103DCB"/>
    <w:rsid w:val="00104C4C"/>
    <w:rsid w:val="00105015"/>
    <w:rsid w:val="001055D2"/>
    <w:rsid w:val="001057C2"/>
    <w:rsid w:val="0011038E"/>
    <w:rsid w:val="001125EF"/>
    <w:rsid w:val="00112CAB"/>
    <w:rsid w:val="00116D3F"/>
    <w:rsid w:val="00117474"/>
    <w:rsid w:val="00117623"/>
    <w:rsid w:val="00117FEA"/>
    <w:rsid w:val="001200CF"/>
    <w:rsid w:val="001208E3"/>
    <w:rsid w:val="0012192F"/>
    <w:rsid w:val="00122994"/>
    <w:rsid w:val="00124B46"/>
    <w:rsid w:val="001257E0"/>
    <w:rsid w:val="00125D69"/>
    <w:rsid w:val="0012799C"/>
    <w:rsid w:val="00127BC2"/>
    <w:rsid w:val="00127E15"/>
    <w:rsid w:val="00130ADC"/>
    <w:rsid w:val="00130D9F"/>
    <w:rsid w:val="00132C4D"/>
    <w:rsid w:val="00133FC1"/>
    <w:rsid w:val="00134659"/>
    <w:rsid w:val="001405FA"/>
    <w:rsid w:val="00140D1A"/>
    <w:rsid w:val="00141184"/>
    <w:rsid w:val="00141315"/>
    <w:rsid w:val="00141AA0"/>
    <w:rsid w:val="001425C3"/>
    <w:rsid w:val="0014262D"/>
    <w:rsid w:val="00144588"/>
    <w:rsid w:val="001447DD"/>
    <w:rsid w:val="001459BC"/>
    <w:rsid w:val="00152F4F"/>
    <w:rsid w:val="001544A1"/>
    <w:rsid w:val="001553B8"/>
    <w:rsid w:val="001554C2"/>
    <w:rsid w:val="001571C0"/>
    <w:rsid w:val="0015753D"/>
    <w:rsid w:val="00157CC9"/>
    <w:rsid w:val="00160C21"/>
    <w:rsid w:val="001612F4"/>
    <w:rsid w:val="00161553"/>
    <w:rsid w:val="0016256B"/>
    <w:rsid w:val="00162F81"/>
    <w:rsid w:val="00163793"/>
    <w:rsid w:val="00165313"/>
    <w:rsid w:val="00167485"/>
    <w:rsid w:val="001679F5"/>
    <w:rsid w:val="00167B92"/>
    <w:rsid w:val="00167CB9"/>
    <w:rsid w:val="00167DD8"/>
    <w:rsid w:val="001705AD"/>
    <w:rsid w:val="001706D6"/>
    <w:rsid w:val="001714F2"/>
    <w:rsid w:val="00171FEA"/>
    <w:rsid w:val="00175B9F"/>
    <w:rsid w:val="001762F4"/>
    <w:rsid w:val="00181BBC"/>
    <w:rsid w:val="0018385F"/>
    <w:rsid w:val="00184017"/>
    <w:rsid w:val="001847BB"/>
    <w:rsid w:val="00184B08"/>
    <w:rsid w:val="00185010"/>
    <w:rsid w:val="00185C22"/>
    <w:rsid w:val="00186BA9"/>
    <w:rsid w:val="0019196C"/>
    <w:rsid w:val="00192F05"/>
    <w:rsid w:val="00194729"/>
    <w:rsid w:val="00194850"/>
    <w:rsid w:val="00195234"/>
    <w:rsid w:val="00196016"/>
    <w:rsid w:val="00196117"/>
    <w:rsid w:val="00197A70"/>
    <w:rsid w:val="00197C0F"/>
    <w:rsid w:val="001A0487"/>
    <w:rsid w:val="001A1F68"/>
    <w:rsid w:val="001A21FA"/>
    <w:rsid w:val="001A4EF0"/>
    <w:rsid w:val="001A552F"/>
    <w:rsid w:val="001A70B1"/>
    <w:rsid w:val="001B0738"/>
    <w:rsid w:val="001B2CA9"/>
    <w:rsid w:val="001B3110"/>
    <w:rsid w:val="001B3E38"/>
    <w:rsid w:val="001B40F5"/>
    <w:rsid w:val="001B4729"/>
    <w:rsid w:val="001B4F0E"/>
    <w:rsid w:val="001B6310"/>
    <w:rsid w:val="001B6C09"/>
    <w:rsid w:val="001B6E12"/>
    <w:rsid w:val="001C05CD"/>
    <w:rsid w:val="001C0F17"/>
    <w:rsid w:val="001C1B24"/>
    <w:rsid w:val="001C1B66"/>
    <w:rsid w:val="001C31A2"/>
    <w:rsid w:val="001C351D"/>
    <w:rsid w:val="001C4BB8"/>
    <w:rsid w:val="001C4FD0"/>
    <w:rsid w:val="001C5E46"/>
    <w:rsid w:val="001C6B3B"/>
    <w:rsid w:val="001C7E3F"/>
    <w:rsid w:val="001D0EF1"/>
    <w:rsid w:val="001D22C2"/>
    <w:rsid w:val="001D2C99"/>
    <w:rsid w:val="001D452E"/>
    <w:rsid w:val="001D54C1"/>
    <w:rsid w:val="001D556E"/>
    <w:rsid w:val="001D5DF2"/>
    <w:rsid w:val="001D68B2"/>
    <w:rsid w:val="001D7EFD"/>
    <w:rsid w:val="001D7F60"/>
    <w:rsid w:val="001E3306"/>
    <w:rsid w:val="001E504C"/>
    <w:rsid w:val="001E5A17"/>
    <w:rsid w:val="001E74C5"/>
    <w:rsid w:val="001F1236"/>
    <w:rsid w:val="001F2F90"/>
    <w:rsid w:val="001F4597"/>
    <w:rsid w:val="001F4826"/>
    <w:rsid w:val="001F6CD3"/>
    <w:rsid w:val="001F7CE0"/>
    <w:rsid w:val="00200085"/>
    <w:rsid w:val="00203332"/>
    <w:rsid w:val="00203CD5"/>
    <w:rsid w:val="00203D8F"/>
    <w:rsid w:val="00203DA4"/>
    <w:rsid w:val="00204EA6"/>
    <w:rsid w:val="00205186"/>
    <w:rsid w:val="00206516"/>
    <w:rsid w:val="002071D5"/>
    <w:rsid w:val="002111E5"/>
    <w:rsid w:val="002118B9"/>
    <w:rsid w:val="002142C0"/>
    <w:rsid w:val="00217C5B"/>
    <w:rsid w:val="00220A43"/>
    <w:rsid w:val="0022139E"/>
    <w:rsid w:val="00222729"/>
    <w:rsid w:val="00223185"/>
    <w:rsid w:val="002233D6"/>
    <w:rsid w:val="0022441D"/>
    <w:rsid w:val="00224574"/>
    <w:rsid w:val="00224E3F"/>
    <w:rsid w:val="002252E0"/>
    <w:rsid w:val="002255F6"/>
    <w:rsid w:val="00226032"/>
    <w:rsid w:val="0022738D"/>
    <w:rsid w:val="00227605"/>
    <w:rsid w:val="00227850"/>
    <w:rsid w:val="00227A53"/>
    <w:rsid w:val="00227E2E"/>
    <w:rsid w:val="00227F53"/>
    <w:rsid w:val="00230C6E"/>
    <w:rsid w:val="00230E21"/>
    <w:rsid w:val="00231066"/>
    <w:rsid w:val="002316A8"/>
    <w:rsid w:val="002320C9"/>
    <w:rsid w:val="0023288F"/>
    <w:rsid w:val="0023359B"/>
    <w:rsid w:val="00233603"/>
    <w:rsid w:val="002340EF"/>
    <w:rsid w:val="00234B82"/>
    <w:rsid w:val="00236443"/>
    <w:rsid w:val="00236700"/>
    <w:rsid w:val="00240391"/>
    <w:rsid w:val="00240AF3"/>
    <w:rsid w:val="002418D5"/>
    <w:rsid w:val="00241B06"/>
    <w:rsid w:val="002436BA"/>
    <w:rsid w:val="00244652"/>
    <w:rsid w:val="00244A15"/>
    <w:rsid w:val="002452D9"/>
    <w:rsid w:val="00247319"/>
    <w:rsid w:val="0024799E"/>
    <w:rsid w:val="00247E60"/>
    <w:rsid w:val="00251B08"/>
    <w:rsid w:val="00251C53"/>
    <w:rsid w:val="00252AB9"/>
    <w:rsid w:val="00253C0F"/>
    <w:rsid w:val="002558C1"/>
    <w:rsid w:val="00256207"/>
    <w:rsid w:val="002575F3"/>
    <w:rsid w:val="002603E1"/>
    <w:rsid w:val="0026120E"/>
    <w:rsid w:val="00262582"/>
    <w:rsid w:val="0026291D"/>
    <w:rsid w:val="00262CF3"/>
    <w:rsid w:val="00264309"/>
    <w:rsid w:val="0026564B"/>
    <w:rsid w:val="00265C83"/>
    <w:rsid w:val="00265E85"/>
    <w:rsid w:val="00267B49"/>
    <w:rsid w:val="002700D9"/>
    <w:rsid w:val="0027025F"/>
    <w:rsid w:val="002709CC"/>
    <w:rsid w:val="00270D25"/>
    <w:rsid w:val="00271022"/>
    <w:rsid w:val="00271465"/>
    <w:rsid w:val="00271E47"/>
    <w:rsid w:val="002721F5"/>
    <w:rsid w:val="00272DF4"/>
    <w:rsid w:val="0027583D"/>
    <w:rsid w:val="00275DEF"/>
    <w:rsid w:val="002763A2"/>
    <w:rsid w:val="00276B33"/>
    <w:rsid w:val="002812E3"/>
    <w:rsid w:val="0028341F"/>
    <w:rsid w:val="002837AE"/>
    <w:rsid w:val="00283C13"/>
    <w:rsid w:val="00283F7B"/>
    <w:rsid w:val="0028431A"/>
    <w:rsid w:val="002853FA"/>
    <w:rsid w:val="00285412"/>
    <w:rsid w:val="00286220"/>
    <w:rsid w:val="00291640"/>
    <w:rsid w:val="0029237E"/>
    <w:rsid w:val="00292997"/>
    <w:rsid w:val="00293D24"/>
    <w:rsid w:val="0029509B"/>
    <w:rsid w:val="0029588F"/>
    <w:rsid w:val="00295E96"/>
    <w:rsid w:val="00297256"/>
    <w:rsid w:val="00297A5C"/>
    <w:rsid w:val="00297D51"/>
    <w:rsid w:val="002A0122"/>
    <w:rsid w:val="002A016B"/>
    <w:rsid w:val="002A16D4"/>
    <w:rsid w:val="002A1E4F"/>
    <w:rsid w:val="002A230C"/>
    <w:rsid w:val="002A2AF7"/>
    <w:rsid w:val="002A3209"/>
    <w:rsid w:val="002A3EA2"/>
    <w:rsid w:val="002A51AC"/>
    <w:rsid w:val="002A532A"/>
    <w:rsid w:val="002A5846"/>
    <w:rsid w:val="002A5D97"/>
    <w:rsid w:val="002A603E"/>
    <w:rsid w:val="002A63B9"/>
    <w:rsid w:val="002A7089"/>
    <w:rsid w:val="002B1619"/>
    <w:rsid w:val="002B3EF4"/>
    <w:rsid w:val="002B4845"/>
    <w:rsid w:val="002B5567"/>
    <w:rsid w:val="002B5812"/>
    <w:rsid w:val="002B72AA"/>
    <w:rsid w:val="002C1110"/>
    <w:rsid w:val="002C1BC2"/>
    <w:rsid w:val="002C1F09"/>
    <w:rsid w:val="002C22A4"/>
    <w:rsid w:val="002C260B"/>
    <w:rsid w:val="002C27A6"/>
    <w:rsid w:val="002C398D"/>
    <w:rsid w:val="002C40D2"/>
    <w:rsid w:val="002C43BD"/>
    <w:rsid w:val="002C5245"/>
    <w:rsid w:val="002C59D8"/>
    <w:rsid w:val="002D05CB"/>
    <w:rsid w:val="002D0E59"/>
    <w:rsid w:val="002D2C4F"/>
    <w:rsid w:val="002D3EBB"/>
    <w:rsid w:val="002D455C"/>
    <w:rsid w:val="002D6066"/>
    <w:rsid w:val="002E02A1"/>
    <w:rsid w:val="002E196A"/>
    <w:rsid w:val="002E20C7"/>
    <w:rsid w:val="002E20CD"/>
    <w:rsid w:val="002E222E"/>
    <w:rsid w:val="002E28D8"/>
    <w:rsid w:val="002E37D1"/>
    <w:rsid w:val="002E3BEE"/>
    <w:rsid w:val="002E4E4C"/>
    <w:rsid w:val="002E4EA7"/>
    <w:rsid w:val="002E5846"/>
    <w:rsid w:val="002E792B"/>
    <w:rsid w:val="002F1B09"/>
    <w:rsid w:val="002F1D56"/>
    <w:rsid w:val="002F1DCB"/>
    <w:rsid w:val="002F1DE4"/>
    <w:rsid w:val="002F333D"/>
    <w:rsid w:val="002F351A"/>
    <w:rsid w:val="002F46D6"/>
    <w:rsid w:val="002F498A"/>
    <w:rsid w:val="002F4AD8"/>
    <w:rsid w:val="002F5285"/>
    <w:rsid w:val="002F5820"/>
    <w:rsid w:val="002F64BB"/>
    <w:rsid w:val="00300C31"/>
    <w:rsid w:val="003017EC"/>
    <w:rsid w:val="00302165"/>
    <w:rsid w:val="00304771"/>
    <w:rsid w:val="003052D4"/>
    <w:rsid w:val="003060E9"/>
    <w:rsid w:val="00306C5B"/>
    <w:rsid w:val="00307529"/>
    <w:rsid w:val="00307DB3"/>
    <w:rsid w:val="00307ED2"/>
    <w:rsid w:val="0031076D"/>
    <w:rsid w:val="00311AA6"/>
    <w:rsid w:val="00311C4D"/>
    <w:rsid w:val="003121AB"/>
    <w:rsid w:val="00315169"/>
    <w:rsid w:val="003153C8"/>
    <w:rsid w:val="00315524"/>
    <w:rsid w:val="0032058C"/>
    <w:rsid w:val="003208D0"/>
    <w:rsid w:val="003209D6"/>
    <w:rsid w:val="003217B9"/>
    <w:rsid w:val="00321924"/>
    <w:rsid w:val="00321EB6"/>
    <w:rsid w:val="003220A5"/>
    <w:rsid w:val="00323A1C"/>
    <w:rsid w:val="00324B59"/>
    <w:rsid w:val="0032656E"/>
    <w:rsid w:val="0032788F"/>
    <w:rsid w:val="00332190"/>
    <w:rsid w:val="00332A98"/>
    <w:rsid w:val="00333973"/>
    <w:rsid w:val="00333CD0"/>
    <w:rsid w:val="0033448D"/>
    <w:rsid w:val="00334AD2"/>
    <w:rsid w:val="00334CB6"/>
    <w:rsid w:val="0033709C"/>
    <w:rsid w:val="003370C5"/>
    <w:rsid w:val="003373C6"/>
    <w:rsid w:val="00340BF3"/>
    <w:rsid w:val="00341D26"/>
    <w:rsid w:val="00341F05"/>
    <w:rsid w:val="0034335E"/>
    <w:rsid w:val="00344668"/>
    <w:rsid w:val="00344940"/>
    <w:rsid w:val="00346234"/>
    <w:rsid w:val="003462D9"/>
    <w:rsid w:val="0034723F"/>
    <w:rsid w:val="00347247"/>
    <w:rsid w:val="003474B6"/>
    <w:rsid w:val="00347DD4"/>
    <w:rsid w:val="00352B43"/>
    <w:rsid w:val="00352C28"/>
    <w:rsid w:val="0036077F"/>
    <w:rsid w:val="00360C86"/>
    <w:rsid w:val="00360F7A"/>
    <w:rsid w:val="00360FBC"/>
    <w:rsid w:val="00361537"/>
    <w:rsid w:val="0036242A"/>
    <w:rsid w:val="00362C23"/>
    <w:rsid w:val="00362E90"/>
    <w:rsid w:val="00364FA0"/>
    <w:rsid w:val="003657F3"/>
    <w:rsid w:val="00365844"/>
    <w:rsid w:val="00367F84"/>
    <w:rsid w:val="003712BC"/>
    <w:rsid w:val="00372164"/>
    <w:rsid w:val="003738BD"/>
    <w:rsid w:val="00374263"/>
    <w:rsid w:val="003746F0"/>
    <w:rsid w:val="00374A20"/>
    <w:rsid w:val="00374E21"/>
    <w:rsid w:val="00377B2E"/>
    <w:rsid w:val="003810F0"/>
    <w:rsid w:val="003818DC"/>
    <w:rsid w:val="00382513"/>
    <w:rsid w:val="00383388"/>
    <w:rsid w:val="003834F8"/>
    <w:rsid w:val="003838D0"/>
    <w:rsid w:val="003840C2"/>
    <w:rsid w:val="00384327"/>
    <w:rsid w:val="00384A89"/>
    <w:rsid w:val="00385086"/>
    <w:rsid w:val="00385D98"/>
    <w:rsid w:val="00390306"/>
    <w:rsid w:val="003908A6"/>
    <w:rsid w:val="0039109D"/>
    <w:rsid w:val="00391989"/>
    <w:rsid w:val="00391A6C"/>
    <w:rsid w:val="003927F6"/>
    <w:rsid w:val="00396739"/>
    <w:rsid w:val="003A04F6"/>
    <w:rsid w:val="003A0837"/>
    <w:rsid w:val="003A2B4D"/>
    <w:rsid w:val="003A2D12"/>
    <w:rsid w:val="003A2EBA"/>
    <w:rsid w:val="003A45E3"/>
    <w:rsid w:val="003A478C"/>
    <w:rsid w:val="003A4A38"/>
    <w:rsid w:val="003A5525"/>
    <w:rsid w:val="003A5889"/>
    <w:rsid w:val="003A6B38"/>
    <w:rsid w:val="003A6B83"/>
    <w:rsid w:val="003A6C97"/>
    <w:rsid w:val="003A722F"/>
    <w:rsid w:val="003A7373"/>
    <w:rsid w:val="003A7D09"/>
    <w:rsid w:val="003B039F"/>
    <w:rsid w:val="003B0DF4"/>
    <w:rsid w:val="003B1F9D"/>
    <w:rsid w:val="003B2A8D"/>
    <w:rsid w:val="003B2AD1"/>
    <w:rsid w:val="003B2D2E"/>
    <w:rsid w:val="003B461F"/>
    <w:rsid w:val="003B483F"/>
    <w:rsid w:val="003B4998"/>
    <w:rsid w:val="003B5A32"/>
    <w:rsid w:val="003B7B50"/>
    <w:rsid w:val="003C0B07"/>
    <w:rsid w:val="003C2CE7"/>
    <w:rsid w:val="003C3490"/>
    <w:rsid w:val="003C3608"/>
    <w:rsid w:val="003C3AE8"/>
    <w:rsid w:val="003C3D2C"/>
    <w:rsid w:val="003C4E13"/>
    <w:rsid w:val="003C6221"/>
    <w:rsid w:val="003C63D7"/>
    <w:rsid w:val="003C68CC"/>
    <w:rsid w:val="003C7E62"/>
    <w:rsid w:val="003D12B9"/>
    <w:rsid w:val="003D1E7A"/>
    <w:rsid w:val="003D242B"/>
    <w:rsid w:val="003D2492"/>
    <w:rsid w:val="003D29AA"/>
    <w:rsid w:val="003D2A99"/>
    <w:rsid w:val="003D6920"/>
    <w:rsid w:val="003E0249"/>
    <w:rsid w:val="003E1EF8"/>
    <w:rsid w:val="003E2DFB"/>
    <w:rsid w:val="003E4C91"/>
    <w:rsid w:val="003E52D8"/>
    <w:rsid w:val="003E62F1"/>
    <w:rsid w:val="003F313C"/>
    <w:rsid w:val="003F37FC"/>
    <w:rsid w:val="003F4318"/>
    <w:rsid w:val="003F4B2C"/>
    <w:rsid w:val="003F551C"/>
    <w:rsid w:val="003F626D"/>
    <w:rsid w:val="003F72ED"/>
    <w:rsid w:val="003F7D23"/>
    <w:rsid w:val="00400050"/>
    <w:rsid w:val="004002C8"/>
    <w:rsid w:val="00400468"/>
    <w:rsid w:val="0040099D"/>
    <w:rsid w:val="004016CB"/>
    <w:rsid w:val="00401B23"/>
    <w:rsid w:val="00402ADB"/>
    <w:rsid w:val="0040368D"/>
    <w:rsid w:val="00403D1D"/>
    <w:rsid w:val="00403F57"/>
    <w:rsid w:val="00405318"/>
    <w:rsid w:val="004059D2"/>
    <w:rsid w:val="004066D0"/>
    <w:rsid w:val="00406C2E"/>
    <w:rsid w:val="00406CDA"/>
    <w:rsid w:val="00406EB0"/>
    <w:rsid w:val="00407711"/>
    <w:rsid w:val="00407C13"/>
    <w:rsid w:val="004103F6"/>
    <w:rsid w:val="00410638"/>
    <w:rsid w:val="00412511"/>
    <w:rsid w:val="004125C2"/>
    <w:rsid w:val="00412DFA"/>
    <w:rsid w:val="00413465"/>
    <w:rsid w:val="004149AC"/>
    <w:rsid w:val="0041501E"/>
    <w:rsid w:val="00415452"/>
    <w:rsid w:val="004159C3"/>
    <w:rsid w:val="00415A57"/>
    <w:rsid w:val="00416DAC"/>
    <w:rsid w:val="00420880"/>
    <w:rsid w:val="00421179"/>
    <w:rsid w:val="00430C96"/>
    <w:rsid w:val="00431BFF"/>
    <w:rsid w:val="00432199"/>
    <w:rsid w:val="00432A58"/>
    <w:rsid w:val="004331C3"/>
    <w:rsid w:val="00433C17"/>
    <w:rsid w:val="00434617"/>
    <w:rsid w:val="00435051"/>
    <w:rsid w:val="00435C69"/>
    <w:rsid w:val="004360FB"/>
    <w:rsid w:val="00437CED"/>
    <w:rsid w:val="004407BF"/>
    <w:rsid w:val="00440900"/>
    <w:rsid w:val="0044121D"/>
    <w:rsid w:val="00441BF6"/>
    <w:rsid w:val="00441D2B"/>
    <w:rsid w:val="00441F8B"/>
    <w:rsid w:val="00442085"/>
    <w:rsid w:val="0044279E"/>
    <w:rsid w:val="004441A0"/>
    <w:rsid w:val="00445861"/>
    <w:rsid w:val="00445A8E"/>
    <w:rsid w:val="00446D44"/>
    <w:rsid w:val="0045078A"/>
    <w:rsid w:val="0045086D"/>
    <w:rsid w:val="00450DAB"/>
    <w:rsid w:val="0045125B"/>
    <w:rsid w:val="00451EF1"/>
    <w:rsid w:val="00452E60"/>
    <w:rsid w:val="0045321B"/>
    <w:rsid w:val="00456FE5"/>
    <w:rsid w:val="00457490"/>
    <w:rsid w:val="00457953"/>
    <w:rsid w:val="004604D8"/>
    <w:rsid w:val="00460656"/>
    <w:rsid w:val="00460FB3"/>
    <w:rsid w:val="00463D3C"/>
    <w:rsid w:val="00464851"/>
    <w:rsid w:val="0046746A"/>
    <w:rsid w:val="00467B14"/>
    <w:rsid w:val="004707FE"/>
    <w:rsid w:val="00470EDC"/>
    <w:rsid w:val="0047276D"/>
    <w:rsid w:val="00472AF6"/>
    <w:rsid w:val="00473482"/>
    <w:rsid w:val="00474A04"/>
    <w:rsid w:val="00476240"/>
    <w:rsid w:val="00476439"/>
    <w:rsid w:val="00476450"/>
    <w:rsid w:val="004769E1"/>
    <w:rsid w:val="0047735C"/>
    <w:rsid w:val="004776BC"/>
    <w:rsid w:val="00477820"/>
    <w:rsid w:val="00477B96"/>
    <w:rsid w:val="00480BAE"/>
    <w:rsid w:val="0048139F"/>
    <w:rsid w:val="00481E40"/>
    <w:rsid w:val="00482405"/>
    <w:rsid w:val="004826A7"/>
    <w:rsid w:val="0048368C"/>
    <w:rsid w:val="0048372F"/>
    <w:rsid w:val="00484ECE"/>
    <w:rsid w:val="00485E82"/>
    <w:rsid w:val="00486132"/>
    <w:rsid w:val="0048686D"/>
    <w:rsid w:val="00486A4D"/>
    <w:rsid w:val="004915CB"/>
    <w:rsid w:val="004924DC"/>
    <w:rsid w:val="00492879"/>
    <w:rsid w:val="00493E85"/>
    <w:rsid w:val="00495145"/>
    <w:rsid w:val="004979A5"/>
    <w:rsid w:val="004A0144"/>
    <w:rsid w:val="004A036E"/>
    <w:rsid w:val="004A0498"/>
    <w:rsid w:val="004A0D0E"/>
    <w:rsid w:val="004A14E4"/>
    <w:rsid w:val="004A204E"/>
    <w:rsid w:val="004A26A5"/>
    <w:rsid w:val="004A27F0"/>
    <w:rsid w:val="004A3212"/>
    <w:rsid w:val="004A37CD"/>
    <w:rsid w:val="004A40D9"/>
    <w:rsid w:val="004A49A5"/>
    <w:rsid w:val="004A4F8A"/>
    <w:rsid w:val="004A5494"/>
    <w:rsid w:val="004A5D4E"/>
    <w:rsid w:val="004A61C5"/>
    <w:rsid w:val="004A62A0"/>
    <w:rsid w:val="004A77DF"/>
    <w:rsid w:val="004B1417"/>
    <w:rsid w:val="004B305C"/>
    <w:rsid w:val="004B31B8"/>
    <w:rsid w:val="004B339A"/>
    <w:rsid w:val="004B4C83"/>
    <w:rsid w:val="004B55B7"/>
    <w:rsid w:val="004B5BFA"/>
    <w:rsid w:val="004B6468"/>
    <w:rsid w:val="004B6EF8"/>
    <w:rsid w:val="004B7125"/>
    <w:rsid w:val="004B756A"/>
    <w:rsid w:val="004B7FB1"/>
    <w:rsid w:val="004C0B3F"/>
    <w:rsid w:val="004C2794"/>
    <w:rsid w:val="004C2BB6"/>
    <w:rsid w:val="004C2C2D"/>
    <w:rsid w:val="004C3027"/>
    <w:rsid w:val="004C384C"/>
    <w:rsid w:val="004C3867"/>
    <w:rsid w:val="004C3DB0"/>
    <w:rsid w:val="004C439A"/>
    <w:rsid w:val="004C4720"/>
    <w:rsid w:val="004C4CD0"/>
    <w:rsid w:val="004C5060"/>
    <w:rsid w:val="004C5165"/>
    <w:rsid w:val="004C589C"/>
    <w:rsid w:val="004C5AE8"/>
    <w:rsid w:val="004C6E0E"/>
    <w:rsid w:val="004C70DC"/>
    <w:rsid w:val="004D0211"/>
    <w:rsid w:val="004D0794"/>
    <w:rsid w:val="004D2E03"/>
    <w:rsid w:val="004D3296"/>
    <w:rsid w:val="004D4056"/>
    <w:rsid w:val="004D4CB0"/>
    <w:rsid w:val="004D5B0F"/>
    <w:rsid w:val="004D7626"/>
    <w:rsid w:val="004E186A"/>
    <w:rsid w:val="004E1A40"/>
    <w:rsid w:val="004E200A"/>
    <w:rsid w:val="004E23FC"/>
    <w:rsid w:val="004E2409"/>
    <w:rsid w:val="004E261D"/>
    <w:rsid w:val="004E57BF"/>
    <w:rsid w:val="004E5F41"/>
    <w:rsid w:val="004E6DE6"/>
    <w:rsid w:val="004E765E"/>
    <w:rsid w:val="004E7815"/>
    <w:rsid w:val="004F06F5"/>
    <w:rsid w:val="004F12A4"/>
    <w:rsid w:val="004F253F"/>
    <w:rsid w:val="004F33A0"/>
    <w:rsid w:val="004F3BD2"/>
    <w:rsid w:val="004F46ED"/>
    <w:rsid w:val="004F4C99"/>
    <w:rsid w:val="004F5358"/>
    <w:rsid w:val="004F6484"/>
    <w:rsid w:val="004F6539"/>
    <w:rsid w:val="00503D54"/>
    <w:rsid w:val="005048E2"/>
    <w:rsid w:val="00505FC8"/>
    <w:rsid w:val="00506603"/>
    <w:rsid w:val="0050689D"/>
    <w:rsid w:val="005077F5"/>
    <w:rsid w:val="005108C0"/>
    <w:rsid w:val="0051094F"/>
    <w:rsid w:val="00511217"/>
    <w:rsid w:val="00511873"/>
    <w:rsid w:val="00512461"/>
    <w:rsid w:val="00512585"/>
    <w:rsid w:val="00512A2F"/>
    <w:rsid w:val="00513B7E"/>
    <w:rsid w:val="00513E9D"/>
    <w:rsid w:val="0051475D"/>
    <w:rsid w:val="00514B11"/>
    <w:rsid w:val="00515485"/>
    <w:rsid w:val="00515BE9"/>
    <w:rsid w:val="00515C74"/>
    <w:rsid w:val="0051630F"/>
    <w:rsid w:val="00517113"/>
    <w:rsid w:val="0052007E"/>
    <w:rsid w:val="00521CAD"/>
    <w:rsid w:val="0052200D"/>
    <w:rsid w:val="00522E01"/>
    <w:rsid w:val="0052337A"/>
    <w:rsid w:val="00524385"/>
    <w:rsid w:val="005246BE"/>
    <w:rsid w:val="00525137"/>
    <w:rsid w:val="005251DD"/>
    <w:rsid w:val="0053012B"/>
    <w:rsid w:val="005301A6"/>
    <w:rsid w:val="00530A68"/>
    <w:rsid w:val="00530AD4"/>
    <w:rsid w:val="00531C5A"/>
    <w:rsid w:val="00532CE7"/>
    <w:rsid w:val="00532D8B"/>
    <w:rsid w:val="0053324C"/>
    <w:rsid w:val="00533A8D"/>
    <w:rsid w:val="00534A28"/>
    <w:rsid w:val="00535018"/>
    <w:rsid w:val="0053595E"/>
    <w:rsid w:val="00537571"/>
    <w:rsid w:val="00540056"/>
    <w:rsid w:val="005410E2"/>
    <w:rsid w:val="00541508"/>
    <w:rsid w:val="00541AE3"/>
    <w:rsid w:val="00543498"/>
    <w:rsid w:val="00544011"/>
    <w:rsid w:val="00544BE5"/>
    <w:rsid w:val="005455F6"/>
    <w:rsid w:val="0054582F"/>
    <w:rsid w:val="005500F9"/>
    <w:rsid w:val="00550160"/>
    <w:rsid w:val="005523A8"/>
    <w:rsid w:val="00552F2C"/>
    <w:rsid w:val="00553A25"/>
    <w:rsid w:val="005547EB"/>
    <w:rsid w:val="005555E0"/>
    <w:rsid w:val="0055599F"/>
    <w:rsid w:val="00556D68"/>
    <w:rsid w:val="005570D6"/>
    <w:rsid w:val="00557E0E"/>
    <w:rsid w:val="00557E45"/>
    <w:rsid w:val="00560C41"/>
    <w:rsid w:val="00561F44"/>
    <w:rsid w:val="00562B4D"/>
    <w:rsid w:val="00563EB8"/>
    <w:rsid w:val="005647BF"/>
    <w:rsid w:val="00564AF1"/>
    <w:rsid w:val="005655DB"/>
    <w:rsid w:val="00565E88"/>
    <w:rsid w:val="005678EE"/>
    <w:rsid w:val="00570270"/>
    <w:rsid w:val="00570464"/>
    <w:rsid w:val="00570BC3"/>
    <w:rsid w:val="0057182A"/>
    <w:rsid w:val="00571E59"/>
    <w:rsid w:val="00572079"/>
    <w:rsid w:val="00572900"/>
    <w:rsid w:val="00573602"/>
    <w:rsid w:val="0057364B"/>
    <w:rsid w:val="00574773"/>
    <w:rsid w:val="005761EC"/>
    <w:rsid w:val="00577C07"/>
    <w:rsid w:val="00577DB1"/>
    <w:rsid w:val="00580AD3"/>
    <w:rsid w:val="00580DE7"/>
    <w:rsid w:val="005810E1"/>
    <w:rsid w:val="00583E52"/>
    <w:rsid w:val="00583FFD"/>
    <w:rsid w:val="00584252"/>
    <w:rsid w:val="0058519A"/>
    <w:rsid w:val="005856BD"/>
    <w:rsid w:val="00586BCA"/>
    <w:rsid w:val="00587038"/>
    <w:rsid w:val="00590B28"/>
    <w:rsid w:val="005911BE"/>
    <w:rsid w:val="00591273"/>
    <w:rsid w:val="00591E9E"/>
    <w:rsid w:val="005927A4"/>
    <w:rsid w:val="00593152"/>
    <w:rsid w:val="005956A3"/>
    <w:rsid w:val="00595958"/>
    <w:rsid w:val="00595CAB"/>
    <w:rsid w:val="0059622E"/>
    <w:rsid w:val="00597671"/>
    <w:rsid w:val="00597BBF"/>
    <w:rsid w:val="005A0948"/>
    <w:rsid w:val="005A0A03"/>
    <w:rsid w:val="005A10F2"/>
    <w:rsid w:val="005A21E0"/>
    <w:rsid w:val="005A28FF"/>
    <w:rsid w:val="005A2C09"/>
    <w:rsid w:val="005A3778"/>
    <w:rsid w:val="005A3DF8"/>
    <w:rsid w:val="005A5549"/>
    <w:rsid w:val="005A7CF8"/>
    <w:rsid w:val="005B0EDA"/>
    <w:rsid w:val="005B121D"/>
    <w:rsid w:val="005B26B0"/>
    <w:rsid w:val="005B41C9"/>
    <w:rsid w:val="005B44E6"/>
    <w:rsid w:val="005B4853"/>
    <w:rsid w:val="005B6CA1"/>
    <w:rsid w:val="005B770C"/>
    <w:rsid w:val="005C06ED"/>
    <w:rsid w:val="005C11B8"/>
    <w:rsid w:val="005C216C"/>
    <w:rsid w:val="005C2609"/>
    <w:rsid w:val="005C2B30"/>
    <w:rsid w:val="005C412B"/>
    <w:rsid w:val="005C43EC"/>
    <w:rsid w:val="005C45DD"/>
    <w:rsid w:val="005C4CB1"/>
    <w:rsid w:val="005D3F06"/>
    <w:rsid w:val="005D4B73"/>
    <w:rsid w:val="005D5645"/>
    <w:rsid w:val="005D5802"/>
    <w:rsid w:val="005D5AA9"/>
    <w:rsid w:val="005D66E6"/>
    <w:rsid w:val="005D7119"/>
    <w:rsid w:val="005D76C8"/>
    <w:rsid w:val="005D7890"/>
    <w:rsid w:val="005E19C1"/>
    <w:rsid w:val="005E2194"/>
    <w:rsid w:val="005E24F0"/>
    <w:rsid w:val="005E36FE"/>
    <w:rsid w:val="005E3F66"/>
    <w:rsid w:val="005E490F"/>
    <w:rsid w:val="005E4BC9"/>
    <w:rsid w:val="005E5314"/>
    <w:rsid w:val="005E7C78"/>
    <w:rsid w:val="005F04A7"/>
    <w:rsid w:val="005F114F"/>
    <w:rsid w:val="005F18C5"/>
    <w:rsid w:val="005F2A08"/>
    <w:rsid w:val="005F36CC"/>
    <w:rsid w:val="005F3EB1"/>
    <w:rsid w:val="005F413E"/>
    <w:rsid w:val="005F466B"/>
    <w:rsid w:val="005F46D8"/>
    <w:rsid w:val="005F480F"/>
    <w:rsid w:val="005F5469"/>
    <w:rsid w:val="005F63F3"/>
    <w:rsid w:val="005F66F0"/>
    <w:rsid w:val="005F6D7F"/>
    <w:rsid w:val="005F7174"/>
    <w:rsid w:val="00601ADE"/>
    <w:rsid w:val="00601EEF"/>
    <w:rsid w:val="0060255A"/>
    <w:rsid w:val="00602EB3"/>
    <w:rsid w:val="00604307"/>
    <w:rsid w:val="0060487F"/>
    <w:rsid w:val="00604EAD"/>
    <w:rsid w:val="0060513F"/>
    <w:rsid w:val="0060694B"/>
    <w:rsid w:val="006104FB"/>
    <w:rsid w:val="0061176D"/>
    <w:rsid w:val="0061200F"/>
    <w:rsid w:val="00612756"/>
    <w:rsid w:val="00612A2F"/>
    <w:rsid w:val="00612AAE"/>
    <w:rsid w:val="00612FD9"/>
    <w:rsid w:val="006139E0"/>
    <w:rsid w:val="00614D35"/>
    <w:rsid w:val="006156B4"/>
    <w:rsid w:val="00615DAF"/>
    <w:rsid w:val="00616E05"/>
    <w:rsid w:val="00617985"/>
    <w:rsid w:val="00620B77"/>
    <w:rsid w:val="0062131B"/>
    <w:rsid w:val="00621E26"/>
    <w:rsid w:val="0062263A"/>
    <w:rsid w:val="006227DF"/>
    <w:rsid w:val="006236C8"/>
    <w:rsid w:val="00624093"/>
    <w:rsid w:val="00625A84"/>
    <w:rsid w:val="00626079"/>
    <w:rsid w:val="00631698"/>
    <w:rsid w:val="00631E44"/>
    <w:rsid w:val="00634C57"/>
    <w:rsid w:val="00634CE7"/>
    <w:rsid w:val="006350D5"/>
    <w:rsid w:val="0063642C"/>
    <w:rsid w:val="00637858"/>
    <w:rsid w:val="006404A7"/>
    <w:rsid w:val="00640A38"/>
    <w:rsid w:val="00640E6B"/>
    <w:rsid w:val="00641787"/>
    <w:rsid w:val="0064179B"/>
    <w:rsid w:val="00642489"/>
    <w:rsid w:val="00644055"/>
    <w:rsid w:val="00644137"/>
    <w:rsid w:val="0064478C"/>
    <w:rsid w:val="00645160"/>
    <w:rsid w:val="006451E4"/>
    <w:rsid w:val="00645B33"/>
    <w:rsid w:val="006516CB"/>
    <w:rsid w:val="00653BD0"/>
    <w:rsid w:val="00654110"/>
    <w:rsid w:val="00656C5D"/>
    <w:rsid w:val="00656CFB"/>
    <w:rsid w:val="00657E87"/>
    <w:rsid w:val="00660D2D"/>
    <w:rsid w:val="00661C41"/>
    <w:rsid w:val="00661EC9"/>
    <w:rsid w:val="00662469"/>
    <w:rsid w:val="0066411C"/>
    <w:rsid w:val="00664205"/>
    <w:rsid w:val="00664647"/>
    <w:rsid w:val="00664803"/>
    <w:rsid w:val="006653CC"/>
    <w:rsid w:val="00665982"/>
    <w:rsid w:val="00665BA4"/>
    <w:rsid w:val="00666BF3"/>
    <w:rsid w:val="00667856"/>
    <w:rsid w:val="00667AF2"/>
    <w:rsid w:val="00670489"/>
    <w:rsid w:val="006710C9"/>
    <w:rsid w:val="00672586"/>
    <w:rsid w:val="006741CD"/>
    <w:rsid w:val="00674D89"/>
    <w:rsid w:val="0067514E"/>
    <w:rsid w:val="00675E37"/>
    <w:rsid w:val="00676736"/>
    <w:rsid w:val="006769A4"/>
    <w:rsid w:val="006769C6"/>
    <w:rsid w:val="00676D76"/>
    <w:rsid w:val="00676F9F"/>
    <w:rsid w:val="00677591"/>
    <w:rsid w:val="00677594"/>
    <w:rsid w:val="0068032F"/>
    <w:rsid w:val="00680D37"/>
    <w:rsid w:val="0068174E"/>
    <w:rsid w:val="00681DCE"/>
    <w:rsid w:val="0068260E"/>
    <w:rsid w:val="006846B3"/>
    <w:rsid w:val="00684D59"/>
    <w:rsid w:val="00684E25"/>
    <w:rsid w:val="006858A4"/>
    <w:rsid w:val="00686718"/>
    <w:rsid w:val="00686BFA"/>
    <w:rsid w:val="00686DED"/>
    <w:rsid w:val="006875A0"/>
    <w:rsid w:val="006878C6"/>
    <w:rsid w:val="00687D27"/>
    <w:rsid w:val="00691943"/>
    <w:rsid w:val="00693550"/>
    <w:rsid w:val="00695065"/>
    <w:rsid w:val="00695BEF"/>
    <w:rsid w:val="00696251"/>
    <w:rsid w:val="006966C7"/>
    <w:rsid w:val="006968C1"/>
    <w:rsid w:val="006977F6"/>
    <w:rsid w:val="00697A13"/>
    <w:rsid w:val="006A0DD4"/>
    <w:rsid w:val="006A109C"/>
    <w:rsid w:val="006A5F4B"/>
    <w:rsid w:val="006A6565"/>
    <w:rsid w:val="006A7691"/>
    <w:rsid w:val="006A7EE2"/>
    <w:rsid w:val="006B0514"/>
    <w:rsid w:val="006B0F92"/>
    <w:rsid w:val="006B2785"/>
    <w:rsid w:val="006B27C7"/>
    <w:rsid w:val="006B344A"/>
    <w:rsid w:val="006B58C9"/>
    <w:rsid w:val="006B60ED"/>
    <w:rsid w:val="006B6CC5"/>
    <w:rsid w:val="006B74AC"/>
    <w:rsid w:val="006B78D8"/>
    <w:rsid w:val="006B79EA"/>
    <w:rsid w:val="006C0C5D"/>
    <w:rsid w:val="006C113F"/>
    <w:rsid w:val="006C123E"/>
    <w:rsid w:val="006C15A1"/>
    <w:rsid w:val="006C1752"/>
    <w:rsid w:val="006C1DDC"/>
    <w:rsid w:val="006C28CA"/>
    <w:rsid w:val="006C2BBF"/>
    <w:rsid w:val="006C2FBD"/>
    <w:rsid w:val="006C4355"/>
    <w:rsid w:val="006C469D"/>
    <w:rsid w:val="006C46B5"/>
    <w:rsid w:val="006C484F"/>
    <w:rsid w:val="006C52EC"/>
    <w:rsid w:val="006C56D4"/>
    <w:rsid w:val="006C6681"/>
    <w:rsid w:val="006C683C"/>
    <w:rsid w:val="006C6924"/>
    <w:rsid w:val="006C6C1E"/>
    <w:rsid w:val="006C7076"/>
    <w:rsid w:val="006C7AEC"/>
    <w:rsid w:val="006C7CA6"/>
    <w:rsid w:val="006D18B3"/>
    <w:rsid w:val="006D1E89"/>
    <w:rsid w:val="006D317E"/>
    <w:rsid w:val="006D3E8A"/>
    <w:rsid w:val="006D61F6"/>
    <w:rsid w:val="006E1332"/>
    <w:rsid w:val="006E279A"/>
    <w:rsid w:val="006E313B"/>
    <w:rsid w:val="006E34B2"/>
    <w:rsid w:val="006E3A45"/>
    <w:rsid w:val="006E4078"/>
    <w:rsid w:val="006E53AD"/>
    <w:rsid w:val="006E58CB"/>
    <w:rsid w:val="006E7227"/>
    <w:rsid w:val="006E761A"/>
    <w:rsid w:val="006F0741"/>
    <w:rsid w:val="006F1C27"/>
    <w:rsid w:val="006F2A65"/>
    <w:rsid w:val="006F3DD6"/>
    <w:rsid w:val="006F40DF"/>
    <w:rsid w:val="006F42BB"/>
    <w:rsid w:val="006F438E"/>
    <w:rsid w:val="006F440B"/>
    <w:rsid w:val="006F48A3"/>
    <w:rsid w:val="006F5416"/>
    <w:rsid w:val="006F624B"/>
    <w:rsid w:val="006F6D87"/>
    <w:rsid w:val="0070398A"/>
    <w:rsid w:val="00705242"/>
    <w:rsid w:val="007055E0"/>
    <w:rsid w:val="007056ED"/>
    <w:rsid w:val="00705F4E"/>
    <w:rsid w:val="007065C5"/>
    <w:rsid w:val="007068E1"/>
    <w:rsid w:val="00706AA0"/>
    <w:rsid w:val="00706AD4"/>
    <w:rsid w:val="00707150"/>
    <w:rsid w:val="007124D7"/>
    <w:rsid w:val="00712C20"/>
    <w:rsid w:val="00713549"/>
    <w:rsid w:val="007140BE"/>
    <w:rsid w:val="007147AB"/>
    <w:rsid w:val="00715502"/>
    <w:rsid w:val="00715E4D"/>
    <w:rsid w:val="0071677A"/>
    <w:rsid w:val="00716F48"/>
    <w:rsid w:val="00717114"/>
    <w:rsid w:val="0071779F"/>
    <w:rsid w:val="007211F5"/>
    <w:rsid w:val="00721601"/>
    <w:rsid w:val="00722777"/>
    <w:rsid w:val="00723435"/>
    <w:rsid w:val="00723436"/>
    <w:rsid w:val="007240E2"/>
    <w:rsid w:val="0072454C"/>
    <w:rsid w:val="0072583E"/>
    <w:rsid w:val="00725BB5"/>
    <w:rsid w:val="00727C02"/>
    <w:rsid w:val="0073008E"/>
    <w:rsid w:val="00730AE8"/>
    <w:rsid w:val="00730F1B"/>
    <w:rsid w:val="0073186D"/>
    <w:rsid w:val="0073333D"/>
    <w:rsid w:val="007343D9"/>
    <w:rsid w:val="00734F71"/>
    <w:rsid w:val="00735448"/>
    <w:rsid w:val="00736F07"/>
    <w:rsid w:val="007377BD"/>
    <w:rsid w:val="00737DEC"/>
    <w:rsid w:val="0074004D"/>
    <w:rsid w:val="00741493"/>
    <w:rsid w:val="007434E5"/>
    <w:rsid w:val="0074499B"/>
    <w:rsid w:val="007450BF"/>
    <w:rsid w:val="007471A1"/>
    <w:rsid w:val="007477BD"/>
    <w:rsid w:val="00747EE9"/>
    <w:rsid w:val="00752180"/>
    <w:rsid w:val="00752323"/>
    <w:rsid w:val="007532B7"/>
    <w:rsid w:val="00753CAB"/>
    <w:rsid w:val="00754A70"/>
    <w:rsid w:val="00754BC9"/>
    <w:rsid w:val="00755202"/>
    <w:rsid w:val="00755D3A"/>
    <w:rsid w:val="00757241"/>
    <w:rsid w:val="0075751D"/>
    <w:rsid w:val="0075763E"/>
    <w:rsid w:val="007578D3"/>
    <w:rsid w:val="007602CF"/>
    <w:rsid w:val="00760391"/>
    <w:rsid w:val="007609C6"/>
    <w:rsid w:val="007615F3"/>
    <w:rsid w:val="0076175D"/>
    <w:rsid w:val="00761CB5"/>
    <w:rsid w:val="007629D5"/>
    <w:rsid w:val="007635F8"/>
    <w:rsid w:val="00763B85"/>
    <w:rsid w:val="00764974"/>
    <w:rsid w:val="00764D18"/>
    <w:rsid w:val="0076521E"/>
    <w:rsid w:val="00765BCC"/>
    <w:rsid w:val="0076600D"/>
    <w:rsid w:val="007661E9"/>
    <w:rsid w:val="00766460"/>
    <w:rsid w:val="00767062"/>
    <w:rsid w:val="00767777"/>
    <w:rsid w:val="00770CFC"/>
    <w:rsid w:val="0077130E"/>
    <w:rsid w:val="007715EE"/>
    <w:rsid w:val="00771972"/>
    <w:rsid w:val="00772279"/>
    <w:rsid w:val="00772DAB"/>
    <w:rsid w:val="00772FF9"/>
    <w:rsid w:val="00774D2C"/>
    <w:rsid w:val="0077605B"/>
    <w:rsid w:val="00776169"/>
    <w:rsid w:val="00776527"/>
    <w:rsid w:val="00777040"/>
    <w:rsid w:val="00777CE6"/>
    <w:rsid w:val="00780EF1"/>
    <w:rsid w:val="00781A91"/>
    <w:rsid w:val="00781F36"/>
    <w:rsid w:val="00785778"/>
    <w:rsid w:val="00786C87"/>
    <w:rsid w:val="0078755E"/>
    <w:rsid w:val="007877C9"/>
    <w:rsid w:val="00790764"/>
    <w:rsid w:val="0079085F"/>
    <w:rsid w:val="00790E96"/>
    <w:rsid w:val="00791005"/>
    <w:rsid w:val="00793D78"/>
    <w:rsid w:val="0079420B"/>
    <w:rsid w:val="0079453C"/>
    <w:rsid w:val="00794677"/>
    <w:rsid w:val="00795759"/>
    <w:rsid w:val="007A170B"/>
    <w:rsid w:val="007A20EB"/>
    <w:rsid w:val="007A282C"/>
    <w:rsid w:val="007A293C"/>
    <w:rsid w:val="007A2A3A"/>
    <w:rsid w:val="007A33E2"/>
    <w:rsid w:val="007A3CAF"/>
    <w:rsid w:val="007A4782"/>
    <w:rsid w:val="007A516D"/>
    <w:rsid w:val="007A5E65"/>
    <w:rsid w:val="007A65E1"/>
    <w:rsid w:val="007A6AAA"/>
    <w:rsid w:val="007A7033"/>
    <w:rsid w:val="007A775D"/>
    <w:rsid w:val="007B0834"/>
    <w:rsid w:val="007B0E83"/>
    <w:rsid w:val="007B11FA"/>
    <w:rsid w:val="007B1396"/>
    <w:rsid w:val="007B16D6"/>
    <w:rsid w:val="007B2011"/>
    <w:rsid w:val="007B2CFE"/>
    <w:rsid w:val="007B309B"/>
    <w:rsid w:val="007B3D5E"/>
    <w:rsid w:val="007B3DCB"/>
    <w:rsid w:val="007B5725"/>
    <w:rsid w:val="007B5C1F"/>
    <w:rsid w:val="007B6689"/>
    <w:rsid w:val="007B6747"/>
    <w:rsid w:val="007B6F72"/>
    <w:rsid w:val="007C10BD"/>
    <w:rsid w:val="007C1F0C"/>
    <w:rsid w:val="007C1FFB"/>
    <w:rsid w:val="007C2D94"/>
    <w:rsid w:val="007C5F92"/>
    <w:rsid w:val="007C6227"/>
    <w:rsid w:val="007C6BBD"/>
    <w:rsid w:val="007C6D89"/>
    <w:rsid w:val="007C6F5E"/>
    <w:rsid w:val="007D0382"/>
    <w:rsid w:val="007D14FE"/>
    <w:rsid w:val="007D1A1F"/>
    <w:rsid w:val="007D2E18"/>
    <w:rsid w:val="007D40DF"/>
    <w:rsid w:val="007D42E5"/>
    <w:rsid w:val="007D4458"/>
    <w:rsid w:val="007D6AF9"/>
    <w:rsid w:val="007E0535"/>
    <w:rsid w:val="007E0D4A"/>
    <w:rsid w:val="007E1788"/>
    <w:rsid w:val="007E1EE3"/>
    <w:rsid w:val="007E29B4"/>
    <w:rsid w:val="007E2F12"/>
    <w:rsid w:val="007E435A"/>
    <w:rsid w:val="007E445C"/>
    <w:rsid w:val="007E49F7"/>
    <w:rsid w:val="007E4C70"/>
    <w:rsid w:val="007E5B5F"/>
    <w:rsid w:val="007E78B6"/>
    <w:rsid w:val="007E7E61"/>
    <w:rsid w:val="007F0845"/>
    <w:rsid w:val="007F0873"/>
    <w:rsid w:val="007F20F3"/>
    <w:rsid w:val="007F2353"/>
    <w:rsid w:val="007F2390"/>
    <w:rsid w:val="007F2CAC"/>
    <w:rsid w:val="007F4740"/>
    <w:rsid w:val="007F595A"/>
    <w:rsid w:val="007F5C38"/>
    <w:rsid w:val="007F708D"/>
    <w:rsid w:val="008006B3"/>
    <w:rsid w:val="00800B63"/>
    <w:rsid w:val="0080158A"/>
    <w:rsid w:val="00801E13"/>
    <w:rsid w:val="00803008"/>
    <w:rsid w:val="00803069"/>
    <w:rsid w:val="0080346B"/>
    <w:rsid w:val="00804155"/>
    <w:rsid w:val="0080559E"/>
    <w:rsid w:val="00805AF3"/>
    <w:rsid w:val="0080734C"/>
    <w:rsid w:val="00807C82"/>
    <w:rsid w:val="008117CC"/>
    <w:rsid w:val="00813D58"/>
    <w:rsid w:val="00813DCA"/>
    <w:rsid w:val="008161A6"/>
    <w:rsid w:val="008165B8"/>
    <w:rsid w:val="00816905"/>
    <w:rsid w:val="00816D98"/>
    <w:rsid w:val="00816E42"/>
    <w:rsid w:val="00817040"/>
    <w:rsid w:val="00817A17"/>
    <w:rsid w:val="00817EC1"/>
    <w:rsid w:val="0082112D"/>
    <w:rsid w:val="00821FF6"/>
    <w:rsid w:val="00822574"/>
    <w:rsid w:val="00822980"/>
    <w:rsid w:val="00822F08"/>
    <w:rsid w:val="00825C4D"/>
    <w:rsid w:val="00826A08"/>
    <w:rsid w:val="00826AC0"/>
    <w:rsid w:val="00827186"/>
    <w:rsid w:val="00827C8E"/>
    <w:rsid w:val="00830569"/>
    <w:rsid w:val="00830AEA"/>
    <w:rsid w:val="00830E86"/>
    <w:rsid w:val="0083143E"/>
    <w:rsid w:val="008315B8"/>
    <w:rsid w:val="008315D5"/>
    <w:rsid w:val="00831CDE"/>
    <w:rsid w:val="00831F2B"/>
    <w:rsid w:val="00832F77"/>
    <w:rsid w:val="00834304"/>
    <w:rsid w:val="00834FAA"/>
    <w:rsid w:val="008354FB"/>
    <w:rsid w:val="00835FF1"/>
    <w:rsid w:val="00836086"/>
    <w:rsid w:val="0083630F"/>
    <w:rsid w:val="00836A06"/>
    <w:rsid w:val="008374BC"/>
    <w:rsid w:val="008379D6"/>
    <w:rsid w:val="00837E48"/>
    <w:rsid w:val="00840293"/>
    <w:rsid w:val="008402AD"/>
    <w:rsid w:val="008408D4"/>
    <w:rsid w:val="008417B5"/>
    <w:rsid w:val="00841901"/>
    <w:rsid w:val="008458BD"/>
    <w:rsid w:val="00846121"/>
    <w:rsid w:val="008461C2"/>
    <w:rsid w:val="008462F1"/>
    <w:rsid w:val="008466C6"/>
    <w:rsid w:val="0084708F"/>
    <w:rsid w:val="008477C8"/>
    <w:rsid w:val="008478A6"/>
    <w:rsid w:val="008502F6"/>
    <w:rsid w:val="0085114D"/>
    <w:rsid w:val="008520A8"/>
    <w:rsid w:val="00852217"/>
    <w:rsid w:val="00853282"/>
    <w:rsid w:val="0085334C"/>
    <w:rsid w:val="00855408"/>
    <w:rsid w:val="00855D03"/>
    <w:rsid w:val="00856D65"/>
    <w:rsid w:val="00861B41"/>
    <w:rsid w:val="00861B9F"/>
    <w:rsid w:val="00861BE3"/>
    <w:rsid w:val="008625D3"/>
    <w:rsid w:val="00863434"/>
    <w:rsid w:val="0086344F"/>
    <w:rsid w:val="008641AC"/>
    <w:rsid w:val="00865E4C"/>
    <w:rsid w:val="00867546"/>
    <w:rsid w:val="0086796D"/>
    <w:rsid w:val="00867DAB"/>
    <w:rsid w:val="0087000B"/>
    <w:rsid w:val="008701E4"/>
    <w:rsid w:val="008704E9"/>
    <w:rsid w:val="00870ECD"/>
    <w:rsid w:val="0087347C"/>
    <w:rsid w:val="008734E7"/>
    <w:rsid w:val="0087368D"/>
    <w:rsid w:val="008740CC"/>
    <w:rsid w:val="00874FE8"/>
    <w:rsid w:val="00875A32"/>
    <w:rsid w:val="00876086"/>
    <w:rsid w:val="00876E83"/>
    <w:rsid w:val="008772BC"/>
    <w:rsid w:val="00880A0E"/>
    <w:rsid w:val="008817FE"/>
    <w:rsid w:val="00881CD7"/>
    <w:rsid w:val="00882911"/>
    <w:rsid w:val="00882F6E"/>
    <w:rsid w:val="00884E02"/>
    <w:rsid w:val="00885D40"/>
    <w:rsid w:val="008873D4"/>
    <w:rsid w:val="00891EDF"/>
    <w:rsid w:val="00892872"/>
    <w:rsid w:val="0089296D"/>
    <w:rsid w:val="00893E85"/>
    <w:rsid w:val="00893EBE"/>
    <w:rsid w:val="00894031"/>
    <w:rsid w:val="00894C5D"/>
    <w:rsid w:val="00895508"/>
    <w:rsid w:val="008967E9"/>
    <w:rsid w:val="00896A5C"/>
    <w:rsid w:val="008972D2"/>
    <w:rsid w:val="0089754C"/>
    <w:rsid w:val="008A0ADD"/>
    <w:rsid w:val="008A0D27"/>
    <w:rsid w:val="008A1C59"/>
    <w:rsid w:val="008A37E2"/>
    <w:rsid w:val="008A388E"/>
    <w:rsid w:val="008A394E"/>
    <w:rsid w:val="008A3CBA"/>
    <w:rsid w:val="008A4B59"/>
    <w:rsid w:val="008A63E1"/>
    <w:rsid w:val="008A66B7"/>
    <w:rsid w:val="008A68BB"/>
    <w:rsid w:val="008A6AA5"/>
    <w:rsid w:val="008A7127"/>
    <w:rsid w:val="008B3537"/>
    <w:rsid w:val="008B3690"/>
    <w:rsid w:val="008B3A80"/>
    <w:rsid w:val="008B3AEC"/>
    <w:rsid w:val="008B3C07"/>
    <w:rsid w:val="008B3F7B"/>
    <w:rsid w:val="008B5324"/>
    <w:rsid w:val="008B6106"/>
    <w:rsid w:val="008B7C02"/>
    <w:rsid w:val="008B7D2B"/>
    <w:rsid w:val="008B7EF9"/>
    <w:rsid w:val="008C0049"/>
    <w:rsid w:val="008C0314"/>
    <w:rsid w:val="008C0E88"/>
    <w:rsid w:val="008C1717"/>
    <w:rsid w:val="008C4B50"/>
    <w:rsid w:val="008C5A37"/>
    <w:rsid w:val="008C7569"/>
    <w:rsid w:val="008C79C3"/>
    <w:rsid w:val="008D033D"/>
    <w:rsid w:val="008D0DBD"/>
    <w:rsid w:val="008D117E"/>
    <w:rsid w:val="008D127E"/>
    <w:rsid w:val="008D1CA8"/>
    <w:rsid w:val="008D1E0A"/>
    <w:rsid w:val="008D1E6A"/>
    <w:rsid w:val="008D2A16"/>
    <w:rsid w:val="008D33F5"/>
    <w:rsid w:val="008D35E4"/>
    <w:rsid w:val="008D6C3A"/>
    <w:rsid w:val="008E0001"/>
    <w:rsid w:val="008E292B"/>
    <w:rsid w:val="008E2C57"/>
    <w:rsid w:val="008E31FF"/>
    <w:rsid w:val="008E3287"/>
    <w:rsid w:val="008E6DCB"/>
    <w:rsid w:val="008E6F06"/>
    <w:rsid w:val="008E7B8E"/>
    <w:rsid w:val="008E7FC9"/>
    <w:rsid w:val="008F0107"/>
    <w:rsid w:val="008F029B"/>
    <w:rsid w:val="008F0589"/>
    <w:rsid w:val="008F2A5D"/>
    <w:rsid w:val="008F3636"/>
    <w:rsid w:val="008F3FC9"/>
    <w:rsid w:val="008F509F"/>
    <w:rsid w:val="008F5383"/>
    <w:rsid w:val="008F585B"/>
    <w:rsid w:val="008F7FB0"/>
    <w:rsid w:val="009003A8"/>
    <w:rsid w:val="009005E4"/>
    <w:rsid w:val="00900977"/>
    <w:rsid w:val="009021DA"/>
    <w:rsid w:val="00902500"/>
    <w:rsid w:val="00902EFF"/>
    <w:rsid w:val="00903A8E"/>
    <w:rsid w:val="0090432C"/>
    <w:rsid w:val="00904F96"/>
    <w:rsid w:val="009052A3"/>
    <w:rsid w:val="00905314"/>
    <w:rsid w:val="009056D7"/>
    <w:rsid w:val="00905B8D"/>
    <w:rsid w:val="00906401"/>
    <w:rsid w:val="009065CB"/>
    <w:rsid w:val="009067EA"/>
    <w:rsid w:val="00906B79"/>
    <w:rsid w:val="0090786F"/>
    <w:rsid w:val="0091001E"/>
    <w:rsid w:val="00910C18"/>
    <w:rsid w:val="009110F7"/>
    <w:rsid w:val="0091155E"/>
    <w:rsid w:val="00912437"/>
    <w:rsid w:val="00912A92"/>
    <w:rsid w:val="00915D07"/>
    <w:rsid w:val="009162AE"/>
    <w:rsid w:val="00917251"/>
    <w:rsid w:val="0091728D"/>
    <w:rsid w:val="009203CC"/>
    <w:rsid w:val="00920EC4"/>
    <w:rsid w:val="0092180B"/>
    <w:rsid w:val="00921F14"/>
    <w:rsid w:val="0092292F"/>
    <w:rsid w:val="00923CB0"/>
    <w:rsid w:val="00923D8C"/>
    <w:rsid w:val="00924871"/>
    <w:rsid w:val="00924AC8"/>
    <w:rsid w:val="00925429"/>
    <w:rsid w:val="00925615"/>
    <w:rsid w:val="0092597A"/>
    <w:rsid w:val="00926520"/>
    <w:rsid w:val="00926CF0"/>
    <w:rsid w:val="009273A9"/>
    <w:rsid w:val="00930251"/>
    <w:rsid w:val="0093033E"/>
    <w:rsid w:val="009305FC"/>
    <w:rsid w:val="00930FB1"/>
    <w:rsid w:val="0093139F"/>
    <w:rsid w:val="00932443"/>
    <w:rsid w:val="00932B32"/>
    <w:rsid w:val="00933F4A"/>
    <w:rsid w:val="009341F1"/>
    <w:rsid w:val="00934FF2"/>
    <w:rsid w:val="009358D7"/>
    <w:rsid w:val="00935BD4"/>
    <w:rsid w:val="00935DFE"/>
    <w:rsid w:val="00935F70"/>
    <w:rsid w:val="009373B2"/>
    <w:rsid w:val="00937AE2"/>
    <w:rsid w:val="0094061F"/>
    <w:rsid w:val="00940F0F"/>
    <w:rsid w:val="0094416B"/>
    <w:rsid w:val="0094427A"/>
    <w:rsid w:val="00944C7C"/>
    <w:rsid w:val="00945245"/>
    <w:rsid w:val="00945523"/>
    <w:rsid w:val="00950921"/>
    <w:rsid w:val="00951D68"/>
    <w:rsid w:val="00951E5B"/>
    <w:rsid w:val="00952B7B"/>
    <w:rsid w:val="00954F39"/>
    <w:rsid w:val="009555FD"/>
    <w:rsid w:val="0095664B"/>
    <w:rsid w:val="009568DC"/>
    <w:rsid w:val="00957445"/>
    <w:rsid w:val="0095759C"/>
    <w:rsid w:val="009618EE"/>
    <w:rsid w:val="00961DDD"/>
    <w:rsid w:val="009624D2"/>
    <w:rsid w:val="009628D9"/>
    <w:rsid w:val="009637AE"/>
    <w:rsid w:val="00963A06"/>
    <w:rsid w:val="00964068"/>
    <w:rsid w:val="009640F6"/>
    <w:rsid w:val="0096469D"/>
    <w:rsid w:val="00964776"/>
    <w:rsid w:val="00964A4E"/>
    <w:rsid w:val="00964B35"/>
    <w:rsid w:val="009651C7"/>
    <w:rsid w:val="00965797"/>
    <w:rsid w:val="00965A10"/>
    <w:rsid w:val="009670A3"/>
    <w:rsid w:val="009674BE"/>
    <w:rsid w:val="00970FB5"/>
    <w:rsid w:val="00971710"/>
    <w:rsid w:val="00971B87"/>
    <w:rsid w:val="00971C77"/>
    <w:rsid w:val="00972FCD"/>
    <w:rsid w:val="00973324"/>
    <w:rsid w:val="009736DF"/>
    <w:rsid w:val="00973CA1"/>
    <w:rsid w:val="009741AE"/>
    <w:rsid w:val="009741FC"/>
    <w:rsid w:val="00974782"/>
    <w:rsid w:val="00974923"/>
    <w:rsid w:val="00975909"/>
    <w:rsid w:val="00977C3D"/>
    <w:rsid w:val="00980D3D"/>
    <w:rsid w:val="0098103E"/>
    <w:rsid w:val="0098157D"/>
    <w:rsid w:val="00983101"/>
    <w:rsid w:val="00983E41"/>
    <w:rsid w:val="009845E1"/>
    <w:rsid w:val="00984D1B"/>
    <w:rsid w:val="00986246"/>
    <w:rsid w:val="00987A30"/>
    <w:rsid w:val="00990312"/>
    <w:rsid w:val="0099182E"/>
    <w:rsid w:val="00992CF3"/>
    <w:rsid w:val="00993194"/>
    <w:rsid w:val="0099321E"/>
    <w:rsid w:val="00994868"/>
    <w:rsid w:val="00994D28"/>
    <w:rsid w:val="00994F2C"/>
    <w:rsid w:val="009957CC"/>
    <w:rsid w:val="009968D6"/>
    <w:rsid w:val="00997953"/>
    <w:rsid w:val="009A0BFF"/>
    <w:rsid w:val="009A10A0"/>
    <w:rsid w:val="009A1CAB"/>
    <w:rsid w:val="009A2359"/>
    <w:rsid w:val="009A24F1"/>
    <w:rsid w:val="009A27E0"/>
    <w:rsid w:val="009A4D57"/>
    <w:rsid w:val="009A51A5"/>
    <w:rsid w:val="009A60D1"/>
    <w:rsid w:val="009A6225"/>
    <w:rsid w:val="009A64F5"/>
    <w:rsid w:val="009B00D2"/>
    <w:rsid w:val="009B05B3"/>
    <w:rsid w:val="009B284F"/>
    <w:rsid w:val="009B3764"/>
    <w:rsid w:val="009B52AC"/>
    <w:rsid w:val="009B59EA"/>
    <w:rsid w:val="009B66CE"/>
    <w:rsid w:val="009B6FD3"/>
    <w:rsid w:val="009B72BE"/>
    <w:rsid w:val="009B78A4"/>
    <w:rsid w:val="009B7DB2"/>
    <w:rsid w:val="009C03DB"/>
    <w:rsid w:val="009C1750"/>
    <w:rsid w:val="009C2E29"/>
    <w:rsid w:val="009C3E8F"/>
    <w:rsid w:val="009C554B"/>
    <w:rsid w:val="009C5E83"/>
    <w:rsid w:val="009C7126"/>
    <w:rsid w:val="009C719E"/>
    <w:rsid w:val="009C7799"/>
    <w:rsid w:val="009D07A9"/>
    <w:rsid w:val="009D0AE2"/>
    <w:rsid w:val="009D0D9F"/>
    <w:rsid w:val="009D0EBB"/>
    <w:rsid w:val="009D2C46"/>
    <w:rsid w:val="009D3ACD"/>
    <w:rsid w:val="009D4254"/>
    <w:rsid w:val="009D4F21"/>
    <w:rsid w:val="009D587D"/>
    <w:rsid w:val="009D7731"/>
    <w:rsid w:val="009E1120"/>
    <w:rsid w:val="009E1393"/>
    <w:rsid w:val="009E1922"/>
    <w:rsid w:val="009E1A3D"/>
    <w:rsid w:val="009E4715"/>
    <w:rsid w:val="009E4A58"/>
    <w:rsid w:val="009E5273"/>
    <w:rsid w:val="009E57A8"/>
    <w:rsid w:val="009E5B85"/>
    <w:rsid w:val="009E5DDB"/>
    <w:rsid w:val="009F2921"/>
    <w:rsid w:val="009F4982"/>
    <w:rsid w:val="009F4CA7"/>
    <w:rsid w:val="009F4F6A"/>
    <w:rsid w:val="009F55BA"/>
    <w:rsid w:val="009F7D36"/>
    <w:rsid w:val="009F7D61"/>
    <w:rsid w:val="00A00E71"/>
    <w:rsid w:val="00A0306F"/>
    <w:rsid w:val="00A03B10"/>
    <w:rsid w:val="00A03E2E"/>
    <w:rsid w:val="00A04616"/>
    <w:rsid w:val="00A04717"/>
    <w:rsid w:val="00A05D8F"/>
    <w:rsid w:val="00A05EE4"/>
    <w:rsid w:val="00A06F99"/>
    <w:rsid w:val="00A1053B"/>
    <w:rsid w:val="00A10D66"/>
    <w:rsid w:val="00A113A4"/>
    <w:rsid w:val="00A14114"/>
    <w:rsid w:val="00A16413"/>
    <w:rsid w:val="00A16545"/>
    <w:rsid w:val="00A16AED"/>
    <w:rsid w:val="00A16C37"/>
    <w:rsid w:val="00A16E1D"/>
    <w:rsid w:val="00A171D5"/>
    <w:rsid w:val="00A17A15"/>
    <w:rsid w:val="00A17D5B"/>
    <w:rsid w:val="00A201E1"/>
    <w:rsid w:val="00A20FE1"/>
    <w:rsid w:val="00A21B4D"/>
    <w:rsid w:val="00A22073"/>
    <w:rsid w:val="00A223E0"/>
    <w:rsid w:val="00A23158"/>
    <w:rsid w:val="00A23E43"/>
    <w:rsid w:val="00A24726"/>
    <w:rsid w:val="00A24DEB"/>
    <w:rsid w:val="00A24ED9"/>
    <w:rsid w:val="00A25216"/>
    <w:rsid w:val="00A2597D"/>
    <w:rsid w:val="00A2628E"/>
    <w:rsid w:val="00A266BF"/>
    <w:rsid w:val="00A2731E"/>
    <w:rsid w:val="00A309AC"/>
    <w:rsid w:val="00A30F65"/>
    <w:rsid w:val="00A3279E"/>
    <w:rsid w:val="00A35900"/>
    <w:rsid w:val="00A40EAC"/>
    <w:rsid w:val="00A418BC"/>
    <w:rsid w:val="00A41FCF"/>
    <w:rsid w:val="00A42936"/>
    <w:rsid w:val="00A43CF8"/>
    <w:rsid w:val="00A43DF2"/>
    <w:rsid w:val="00A445A8"/>
    <w:rsid w:val="00A44B0D"/>
    <w:rsid w:val="00A44D21"/>
    <w:rsid w:val="00A45087"/>
    <w:rsid w:val="00A45489"/>
    <w:rsid w:val="00A45CED"/>
    <w:rsid w:val="00A465E9"/>
    <w:rsid w:val="00A468E7"/>
    <w:rsid w:val="00A46DE0"/>
    <w:rsid w:val="00A478BA"/>
    <w:rsid w:val="00A50D73"/>
    <w:rsid w:val="00A518BB"/>
    <w:rsid w:val="00A52A88"/>
    <w:rsid w:val="00A52CAD"/>
    <w:rsid w:val="00A53FC7"/>
    <w:rsid w:val="00A55569"/>
    <w:rsid w:val="00A566A0"/>
    <w:rsid w:val="00A601E7"/>
    <w:rsid w:val="00A60AC1"/>
    <w:rsid w:val="00A626FF"/>
    <w:rsid w:val="00A62CE1"/>
    <w:rsid w:val="00A65469"/>
    <w:rsid w:val="00A65528"/>
    <w:rsid w:val="00A655D3"/>
    <w:rsid w:val="00A662D9"/>
    <w:rsid w:val="00A6741E"/>
    <w:rsid w:val="00A67E29"/>
    <w:rsid w:val="00A7016A"/>
    <w:rsid w:val="00A7018D"/>
    <w:rsid w:val="00A7191D"/>
    <w:rsid w:val="00A722F9"/>
    <w:rsid w:val="00A72D42"/>
    <w:rsid w:val="00A746C9"/>
    <w:rsid w:val="00A74C2A"/>
    <w:rsid w:val="00A75E40"/>
    <w:rsid w:val="00A76818"/>
    <w:rsid w:val="00A77D1D"/>
    <w:rsid w:val="00A81652"/>
    <w:rsid w:val="00A82C91"/>
    <w:rsid w:val="00A83150"/>
    <w:rsid w:val="00A83398"/>
    <w:rsid w:val="00A83D6E"/>
    <w:rsid w:val="00A83FD5"/>
    <w:rsid w:val="00A8521A"/>
    <w:rsid w:val="00A857C0"/>
    <w:rsid w:val="00A85ACB"/>
    <w:rsid w:val="00A90F2C"/>
    <w:rsid w:val="00A90FED"/>
    <w:rsid w:val="00A91482"/>
    <w:rsid w:val="00A9189D"/>
    <w:rsid w:val="00A91E71"/>
    <w:rsid w:val="00A925B1"/>
    <w:rsid w:val="00A92A3E"/>
    <w:rsid w:val="00A934F9"/>
    <w:rsid w:val="00A940E3"/>
    <w:rsid w:val="00A94983"/>
    <w:rsid w:val="00A95F1A"/>
    <w:rsid w:val="00A96116"/>
    <w:rsid w:val="00A9614E"/>
    <w:rsid w:val="00A96422"/>
    <w:rsid w:val="00A96C0F"/>
    <w:rsid w:val="00AA0E80"/>
    <w:rsid w:val="00AA17CD"/>
    <w:rsid w:val="00AA1D85"/>
    <w:rsid w:val="00AA212F"/>
    <w:rsid w:val="00AA26A9"/>
    <w:rsid w:val="00AA2996"/>
    <w:rsid w:val="00AA2AF4"/>
    <w:rsid w:val="00AA4282"/>
    <w:rsid w:val="00AA4790"/>
    <w:rsid w:val="00AA52BF"/>
    <w:rsid w:val="00AA559A"/>
    <w:rsid w:val="00AA6C31"/>
    <w:rsid w:val="00AA7752"/>
    <w:rsid w:val="00AA7CE8"/>
    <w:rsid w:val="00AB1457"/>
    <w:rsid w:val="00AB2AF1"/>
    <w:rsid w:val="00AB3EC7"/>
    <w:rsid w:val="00AB5A64"/>
    <w:rsid w:val="00AB5CA1"/>
    <w:rsid w:val="00AB6456"/>
    <w:rsid w:val="00AB75C5"/>
    <w:rsid w:val="00AC044E"/>
    <w:rsid w:val="00AC2118"/>
    <w:rsid w:val="00AC2395"/>
    <w:rsid w:val="00AC2960"/>
    <w:rsid w:val="00AC2AC4"/>
    <w:rsid w:val="00AC4284"/>
    <w:rsid w:val="00AC45BD"/>
    <w:rsid w:val="00AC50BB"/>
    <w:rsid w:val="00AD0B22"/>
    <w:rsid w:val="00AD0EE7"/>
    <w:rsid w:val="00AD168E"/>
    <w:rsid w:val="00AD306C"/>
    <w:rsid w:val="00AD44CD"/>
    <w:rsid w:val="00AD5AD2"/>
    <w:rsid w:val="00AD6462"/>
    <w:rsid w:val="00AD66C5"/>
    <w:rsid w:val="00AD68C4"/>
    <w:rsid w:val="00AD71F9"/>
    <w:rsid w:val="00AE09B3"/>
    <w:rsid w:val="00AE1A83"/>
    <w:rsid w:val="00AE30BE"/>
    <w:rsid w:val="00AE3E6A"/>
    <w:rsid w:val="00AE6414"/>
    <w:rsid w:val="00AE7269"/>
    <w:rsid w:val="00AE797C"/>
    <w:rsid w:val="00AE7CE7"/>
    <w:rsid w:val="00AE7FAB"/>
    <w:rsid w:val="00AF0DE4"/>
    <w:rsid w:val="00AF1E87"/>
    <w:rsid w:val="00AF436B"/>
    <w:rsid w:val="00AF5179"/>
    <w:rsid w:val="00AF5CC2"/>
    <w:rsid w:val="00AF6776"/>
    <w:rsid w:val="00AF6F98"/>
    <w:rsid w:val="00B00913"/>
    <w:rsid w:val="00B01593"/>
    <w:rsid w:val="00B01FF9"/>
    <w:rsid w:val="00B023F2"/>
    <w:rsid w:val="00B038CA"/>
    <w:rsid w:val="00B06DB4"/>
    <w:rsid w:val="00B0750D"/>
    <w:rsid w:val="00B0799C"/>
    <w:rsid w:val="00B102CE"/>
    <w:rsid w:val="00B10A4D"/>
    <w:rsid w:val="00B10C90"/>
    <w:rsid w:val="00B11002"/>
    <w:rsid w:val="00B1114F"/>
    <w:rsid w:val="00B121B2"/>
    <w:rsid w:val="00B141B6"/>
    <w:rsid w:val="00B14BC1"/>
    <w:rsid w:val="00B16DD1"/>
    <w:rsid w:val="00B16EB8"/>
    <w:rsid w:val="00B17E71"/>
    <w:rsid w:val="00B17FDE"/>
    <w:rsid w:val="00B20632"/>
    <w:rsid w:val="00B2379C"/>
    <w:rsid w:val="00B23D5D"/>
    <w:rsid w:val="00B2687D"/>
    <w:rsid w:val="00B3108D"/>
    <w:rsid w:val="00B32DDB"/>
    <w:rsid w:val="00B32F57"/>
    <w:rsid w:val="00B3345C"/>
    <w:rsid w:val="00B34528"/>
    <w:rsid w:val="00B34CC9"/>
    <w:rsid w:val="00B3563B"/>
    <w:rsid w:val="00B36BDC"/>
    <w:rsid w:val="00B37D3A"/>
    <w:rsid w:val="00B37D96"/>
    <w:rsid w:val="00B402FC"/>
    <w:rsid w:val="00B422E2"/>
    <w:rsid w:val="00B42D5F"/>
    <w:rsid w:val="00B43216"/>
    <w:rsid w:val="00B439DA"/>
    <w:rsid w:val="00B4411A"/>
    <w:rsid w:val="00B45FE8"/>
    <w:rsid w:val="00B46604"/>
    <w:rsid w:val="00B47089"/>
    <w:rsid w:val="00B47587"/>
    <w:rsid w:val="00B52151"/>
    <w:rsid w:val="00B530CD"/>
    <w:rsid w:val="00B53C7D"/>
    <w:rsid w:val="00B53E56"/>
    <w:rsid w:val="00B55A97"/>
    <w:rsid w:val="00B55F5E"/>
    <w:rsid w:val="00B5642C"/>
    <w:rsid w:val="00B5658D"/>
    <w:rsid w:val="00B56B6F"/>
    <w:rsid w:val="00B5752E"/>
    <w:rsid w:val="00B60AC1"/>
    <w:rsid w:val="00B61FF6"/>
    <w:rsid w:val="00B62316"/>
    <w:rsid w:val="00B63A11"/>
    <w:rsid w:val="00B64425"/>
    <w:rsid w:val="00B64C24"/>
    <w:rsid w:val="00B65CEF"/>
    <w:rsid w:val="00B6608F"/>
    <w:rsid w:val="00B67749"/>
    <w:rsid w:val="00B679FB"/>
    <w:rsid w:val="00B71FBF"/>
    <w:rsid w:val="00B734A0"/>
    <w:rsid w:val="00B73A14"/>
    <w:rsid w:val="00B748BD"/>
    <w:rsid w:val="00B7680F"/>
    <w:rsid w:val="00B76B48"/>
    <w:rsid w:val="00B76D1E"/>
    <w:rsid w:val="00B77543"/>
    <w:rsid w:val="00B77584"/>
    <w:rsid w:val="00B80EC6"/>
    <w:rsid w:val="00B81288"/>
    <w:rsid w:val="00B81D70"/>
    <w:rsid w:val="00B833B9"/>
    <w:rsid w:val="00B83E07"/>
    <w:rsid w:val="00B84CF6"/>
    <w:rsid w:val="00B85016"/>
    <w:rsid w:val="00B8561A"/>
    <w:rsid w:val="00B86643"/>
    <w:rsid w:val="00B868F7"/>
    <w:rsid w:val="00B90131"/>
    <w:rsid w:val="00B92951"/>
    <w:rsid w:val="00B92D1D"/>
    <w:rsid w:val="00B92D7E"/>
    <w:rsid w:val="00B930CE"/>
    <w:rsid w:val="00B938C5"/>
    <w:rsid w:val="00B940A8"/>
    <w:rsid w:val="00B9554A"/>
    <w:rsid w:val="00B95940"/>
    <w:rsid w:val="00B95ACA"/>
    <w:rsid w:val="00B97ACC"/>
    <w:rsid w:val="00B97FE2"/>
    <w:rsid w:val="00BA0E0B"/>
    <w:rsid w:val="00BA201A"/>
    <w:rsid w:val="00BA3787"/>
    <w:rsid w:val="00BA46E8"/>
    <w:rsid w:val="00BA4E19"/>
    <w:rsid w:val="00BA6436"/>
    <w:rsid w:val="00BA64F2"/>
    <w:rsid w:val="00BA684E"/>
    <w:rsid w:val="00BA6C2B"/>
    <w:rsid w:val="00BA7B64"/>
    <w:rsid w:val="00BB02A3"/>
    <w:rsid w:val="00BB0351"/>
    <w:rsid w:val="00BB15C3"/>
    <w:rsid w:val="00BB1AF4"/>
    <w:rsid w:val="00BB2202"/>
    <w:rsid w:val="00BB3C6B"/>
    <w:rsid w:val="00BB3FD6"/>
    <w:rsid w:val="00BB453F"/>
    <w:rsid w:val="00BB46F3"/>
    <w:rsid w:val="00BB4A71"/>
    <w:rsid w:val="00BB4CB1"/>
    <w:rsid w:val="00BB4F98"/>
    <w:rsid w:val="00BB5AB2"/>
    <w:rsid w:val="00BB5ABF"/>
    <w:rsid w:val="00BB6EA2"/>
    <w:rsid w:val="00BB7B5B"/>
    <w:rsid w:val="00BB7EB1"/>
    <w:rsid w:val="00BC003F"/>
    <w:rsid w:val="00BC0930"/>
    <w:rsid w:val="00BC327F"/>
    <w:rsid w:val="00BC3512"/>
    <w:rsid w:val="00BC50BE"/>
    <w:rsid w:val="00BC5332"/>
    <w:rsid w:val="00BC5715"/>
    <w:rsid w:val="00BC5C12"/>
    <w:rsid w:val="00BC7154"/>
    <w:rsid w:val="00BC731E"/>
    <w:rsid w:val="00BC7614"/>
    <w:rsid w:val="00BD25BB"/>
    <w:rsid w:val="00BD2AF8"/>
    <w:rsid w:val="00BD366B"/>
    <w:rsid w:val="00BD3C09"/>
    <w:rsid w:val="00BD410B"/>
    <w:rsid w:val="00BD4A73"/>
    <w:rsid w:val="00BD6C75"/>
    <w:rsid w:val="00BD6D50"/>
    <w:rsid w:val="00BD73D2"/>
    <w:rsid w:val="00BE0AD1"/>
    <w:rsid w:val="00BE0EF9"/>
    <w:rsid w:val="00BE10A1"/>
    <w:rsid w:val="00BE18B9"/>
    <w:rsid w:val="00BE190A"/>
    <w:rsid w:val="00BE2495"/>
    <w:rsid w:val="00BE24DD"/>
    <w:rsid w:val="00BE386D"/>
    <w:rsid w:val="00BE557B"/>
    <w:rsid w:val="00BE7F5F"/>
    <w:rsid w:val="00BF02C8"/>
    <w:rsid w:val="00BF1578"/>
    <w:rsid w:val="00BF15CA"/>
    <w:rsid w:val="00BF1D12"/>
    <w:rsid w:val="00BF1D3A"/>
    <w:rsid w:val="00BF2B5B"/>
    <w:rsid w:val="00BF2D41"/>
    <w:rsid w:val="00BF3274"/>
    <w:rsid w:val="00BF32DC"/>
    <w:rsid w:val="00BF4329"/>
    <w:rsid w:val="00BF4E43"/>
    <w:rsid w:val="00BF5C4C"/>
    <w:rsid w:val="00BF77FC"/>
    <w:rsid w:val="00C006D6"/>
    <w:rsid w:val="00C00BD7"/>
    <w:rsid w:val="00C01410"/>
    <w:rsid w:val="00C04B78"/>
    <w:rsid w:val="00C052AA"/>
    <w:rsid w:val="00C06EE3"/>
    <w:rsid w:val="00C07749"/>
    <w:rsid w:val="00C11244"/>
    <w:rsid w:val="00C11D48"/>
    <w:rsid w:val="00C1493E"/>
    <w:rsid w:val="00C15DBD"/>
    <w:rsid w:val="00C2010D"/>
    <w:rsid w:val="00C20CB5"/>
    <w:rsid w:val="00C21430"/>
    <w:rsid w:val="00C216DF"/>
    <w:rsid w:val="00C21E61"/>
    <w:rsid w:val="00C21F94"/>
    <w:rsid w:val="00C234DB"/>
    <w:rsid w:val="00C2479A"/>
    <w:rsid w:val="00C24903"/>
    <w:rsid w:val="00C2590D"/>
    <w:rsid w:val="00C25D9C"/>
    <w:rsid w:val="00C27913"/>
    <w:rsid w:val="00C300E2"/>
    <w:rsid w:val="00C31F21"/>
    <w:rsid w:val="00C32631"/>
    <w:rsid w:val="00C33301"/>
    <w:rsid w:val="00C33311"/>
    <w:rsid w:val="00C33B68"/>
    <w:rsid w:val="00C35570"/>
    <w:rsid w:val="00C35A2A"/>
    <w:rsid w:val="00C36A79"/>
    <w:rsid w:val="00C401A9"/>
    <w:rsid w:val="00C401D2"/>
    <w:rsid w:val="00C4031A"/>
    <w:rsid w:val="00C405D4"/>
    <w:rsid w:val="00C419D5"/>
    <w:rsid w:val="00C41D54"/>
    <w:rsid w:val="00C42EBB"/>
    <w:rsid w:val="00C4513B"/>
    <w:rsid w:val="00C475E8"/>
    <w:rsid w:val="00C50E79"/>
    <w:rsid w:val="00C5197D"/>
    <w:rsid w:val="00C525FB"/>
    <w:rsid w:val="00C5390B"/>
    <w:rsid w:val="00C54257"/>
    <w:rsid w:val="00C54697"/>
    <w:rsid w:val="00C550CE"/>
    <w:rsid w:val="00C553A5"/>
    <w:rsid w:val="00C55402"/>
    <w:rsid w:val="00C5603B"/>
    <w:rsid w:val="00C61F47"/>
    <w:rsid w:val="00C62828"/>
    <w:rsid w:val="00C715CC"/>
    <w:rsid w:val="00C719A3"/>
    <w:rsid w:val="00C71D2F"/>
    <w:rsid w:val="00C72984"/>
    <w:rsid w:val="00C73885"/>
    <w:rsid w:val="00C73C93"/>
    <w:rsid w:val="00C7435A"/>
    <w:rsid w:val="00C747B1"/>
    <w:rsid w:val="00C75510"/>
    <w:rsid w:val="00C755F9"/>
    <w:rsid w:val="00C75752"/>
    <w:rsid w:val="00C770C9"/>
    <w:rsid w:val="00C81070"/>
    <w:rsid w:val="00C8174E"/>
    <w:rsid w:val="00C82191"/>
    <w:rsid w:val="00C83134"/>
    <w:rsid w:val="00C831E7"/>
    <w:rsid w:val="00C832F3"/>
    <w:rsid w:val="00C845A4"/>
    <w:rsid w:val="00C85545"/>
    <w:rsid w:val="00C855B5"/>
    <w:rsid w:val="00C85F0E"/>
    <w:rsid w:val="00C90CF4"/>
    <w:rsid w:val="00C91C20"/>
    <w:rsid w:val="00C922DE"/>
    <w:rsid w:val="00C92843"/>
    <w:rsid w:val="00C92EB6"/>
    <w:rsid w:val="00C93389"/>
    <w:rsid w:val="00C948E6"/>
    <w:rsid w:val="00C94CDD"/>
    <w:rsid w:val="00C97588"/>
    <w:rsid w:val="00CA0346"/>
    <w:rsid w:val="00CA1BD6"/>
    <w:rsid w:val="00CA37FF"/>
    <w:rsid w:val="00CA423A"/>
    <w:rsid w:val="00CA47BC"/>
    <w:rsid w:val="00CA5EAD"/>
    <w:rsid w:val="00CA6AB4"/>
    <w:rsid w:val="00CA7255"/>
    <w:rsid w:val="00CB1BEE"/>
    <w:rsid w:val="00CB2351"/>
    <w:rsid w:val="00CB4930"/>
    <w:rsid w:val="00CB4BA9"/>
    <w:rsid w:val="00CB4C63"/>
    <w:rsid w:val="00CB5A48"/>
    <w:rsid w:val="00CB5E10"/>
    <w:rsid w:val="00CB613B"/>
    <w:rsid w:val="00CB6152"/>
    <w:rsid w:val="00CB64E1"/>
    <w:rsid w:val="00CB6E4D"/>
    <w:rsid w:val="00CC0834"/>
    <w:rsid w:val="00CC20FE"/>
    <w:rsid w:val="00CC2E7D"/>
    <w:rsid w:val="00CC612B"/>
    <w:rsid w:val="00CC655F"/>
    <w:rsid w:val="00CC66F9"/>
    <w:rsid w:val="00CC6C2A"/>
    <w:rsid w:val="00CC6FE5"/>
    <w:rsid w:val="00CC7458"/>
    <w:rsid w:val="00CC76BD"/>
    <w:rsid w:val="00CC7A87"/>
    <w:rsid w:val="00CD10A5"/>
    <w:rsid w:val="00CD1129"/>
    <w:rsid w:val="00CD1A80"/>
    <w:rsid w:val="00CD1CB5"/>
    <w:rsid w:val="00CD2076"/>
    <w:rsid w:val="00CD24CE"/>
    <w:rsid w:val="00CD29B5"/>
    <w:rsid w:val="00CD2B78"/>
    <w:rsid w:val="00CD3FAB"/>
    <w:rsid w:val="00CD5456"/>
    <w:rsid w:val="00CD5C3E"/>
    <w:rsid w:val="00CD6331"/>
    <w:rsid w:val="00CE14BE"/>
    <w:rsid w:val="00CE17A4"/>
    <w:rsid w:val="00CE1BA9"/>
    <w:rsid w:val="00CE2D8F"/>
    <w:rsid w:val="00CE3E48"/>
    <w:rsid w:val="00CE47B8"/>
    <w:rsid w:val="00CE62FA"/>
    <w:rsid w:val="00CE670B"/>
    <w:rsid w:val="00CE6833"/>
    <w:rsid w:val="00CF020B"/>
    <w:rsid w:val="00CF2E4D"/>
    <w:rsid w:val="00CF4205"/>
    <w:rsid w:val="00CF4908"/>
    <w:rsid w:val="00CF51EC"/>
    <w:rsid w:val="00CF545D"/>
    <w:rsid w:val="00CF5873"/>
    <w:rsid w:val="00CF73AE"/>
    <w:rsid w:val="00CF7777"/>
    <w:rsid w:val="00D0085A"/>
    <w:rsid w:val="00D0197F"/>
    <w:rsid w:val="00D01B31"/>
    <w:rsid w:val="00D0242D"/>
    <w:rsid w:val="00D02716"/>
    <w:rsid w:val="00D03A72"/>
    <w:rsid w:val="00D040DD"/>
    <w:rsid w:val="00D04134"/>
    <w:rsid w:val="00D05C65"/>
    <w:rsid w:val="00D06B56"/>
    <w:rsid w:val="00D06D68"/>
    <w:rsid w:val="00D075BE"/>
    <w:rsid w:val="00D07AFF"/>
    <w:rsid w:val="00D10C15"/>
    <w:rsid w:val="00D11476"/>
    <w:rsid w:val="00D12C25"/>
    <w:rsid w:val="00D133B4"/>
    <w:rsid w:val="00D13986"/>
    <w:rsid w:val="00D14C5B"/>
    <w:rsid w:val="00D15FED"/>
    <w:rsid w:val="00D16712"/>
    <w:rsid w:val="00D214EF"/>
    <w:rsid w:val="00D215B0"/>
    <w:rsid w:val="00D21D6D"/>
    <w:rsid w:val="00D21D83"/>
    <w:rsid w:val="00D235B7"/>
    <w:rsid w:val="00D23FAE"/>
    <w:rsid w:val="00D25F28"/>
    <w:rsid w:val="00D26071"/>
    <w:rsid w:val="00D269B9"/>
    <w:rsid w:val="00D27973"/>
    <w:rsid w:val="00D27F3A"/>
    <w:rsid w:val="00D31537"/>
    <w:rsid w:val="00D31E1E"/>
    <w:rsid w:val="00D322A0"/>
    <w:rsid w:val="00D32824"/>
    <w:rsid w:val="00D334E2"/>
    <w:rsid w:val="00D350B1"/>
    <w:rsid w:val="00D35AD6"/>
    <w:rsid w:val="00D35BBB"/>
    <w:rsid w:val="00D35E1A"/>
    <w:rsid w:val="00D36B0A"/>
    <w:rsid w:val="00D36DFB"/>
    <w:rsid w:val="00D36E1C"/>
    <w:rsid w:val="00D373AF"/>
    <w:rsid w:val="00D40556"/>
    <w:rsid w:val="00D41F74"/>
    <w:rsid w:val="00D428C8"/>
    <w:rsid w:val="00D43034"/>
    <w:rsid w:val="00D43ED2"/>
    <w:rsid w:val="00D50F46"/>
    <w:rsid w:val="00D5384E"/>
    <w:rsid w:val="00D544E7"/>
    <w:rsid w:val="00D5499F"/>
    <w:rsid w:val="00D5560A"/>
    <w:rsid w:val="00D56FBF"/>
    <w:rsid w:val="00D57677"/>
    <w:rsid w:val="00D5781F"/>
    <w:rsid w:val="00D60415"/>
    <w:rsid w:val="00D60E3C"/>
    <w:rsid w:val="00D61FAB"/>
    <w:rsid w:val="00D6379B"/>
    <w:rsid w:val="00D63BE5"/>
    <w:rsid w:val="00D6475F"/>
    <w:rsid w:val="00D66223"/>
    <w:rsid w:val="00D667B8"/>
    <w:rsid w:val="00D70289"/>
    <w:rsid w:val="00D70822"/>
    <w:rsid w:val="00D72076"/>
    <w:rsid w:val="00D726A9"/>
    <w:rsid w:val="00D72DBA"/>
    <w:rsid w:val="00D743E0"/>
    <w:rsid w:val="00D7490C"/>
    <w:rsid w:val="00D75AC1"/>
    <w:rsid w:val="00D77252"/>
    <w:rsid w:val="00D8084C"/>
    <w:rsid w:val="00D81809"/>
    <w:rsid w:val="00D82EF1"/>
    <w:rsid w:val="00D84F43"/>
    <w:rsid w:val="00D85114"/>
    <w:rsid w:val="00D85821"/>
    <w:rsid w:val="00D8598C"/>
    <w:rsid w:val="00D87C06"/>
    <w:rsid w:val="00D915EA"/>
    <w:rsid w:val="00D919ED"/>
    <w:rsid w:val="00D922A1"/>
    <w:rsid w:val="00D928BE"/>
    <w:rsid w:val="00D95302"/>
    <w:rsid w:val="00D95C5D"/>
    <w:rsid w:val="00D97D00"/>
    <w:rsid w:val="00DA096C"/>
    <w:rsid w:val="00DA1AB6"/>
    <w:rsid w:val="00DA2E65"/>
    <w:rsid w:val="00DA3ADF"/>
    <w:rsid w:val="00DA4174"/>
    <w:rsid w:val="00DA544C"/>
    <w:rsid w:val="00DA5F8E"/>
    <w:rsid w:val="00DA6364"/>
    <w:rsid w:val="00DA7114"/>
    <w:rsid w:val="00DA7C0C"/>
    <w:rsid w:val="00DB03DD"/>
    <w:rsid w:val="00DB08A9"/>
    <w:rsid w:val="00DB2DFA"/>
    <w:rsid w:val="00DB2EC8"/>
    <w:rsid w:val="00DB321D"/>
    <w:rsid w:val="00DB459B"/>
    <w:rsid w:val="00DB47FD"/>
    <w:rsid w:val="00DB5E3A"/>
    <w:rsid w:val="00DB5E9A"/>
    <w:rsid w:val="00DB613B"/>
    <w:rsid w:val="00DB657E"/>
    <w:rsid w:val="00DB7342"/>
    <w:rsid w:val="00DB7489"/>
    <w:rsid w:val="00DC17D0"/>
    <w:rsid w:val="00DC2B41"/>
    <w:rsid w:val="00DC3128"/>
    <w:rsid w:val="00DC435B"/>
    <w:rsid w:val="00DC53D8"/>
    <w:rsid w:val="00DC56FE"/>
    <w:rsid w:val="00DC5B3B"/>
    <w:rsid w:val="00DC6C2D"/>
    <w:rsid w:val="00DC7B1A"/>
    <w:rsid w:val="00DD04B0"/>
    <w:rsid w:val="00DD129F"/>
    <w:rsid w:val="00DD13FC"/>
    <w:rsid w:val="00DD1A3F"/>
    <w:rsid w:val="00DD29B5"/>
    <w:rsid w:val="00DD32DD"/>
    <w:rsid w:val="00DD33E8"/>
    <w:rsid w:val="00DD5287"/>
    <w:rsid w:val="00DD5B36"/>
    <w:rsid w:val="00DD7849"/>
    <w:rsid w:val="00DE0D8B"/>
    <w:rsid w:val="00DE1237"/>
    <w:rsid w:val="00DE140F"/>
    <w:rsid w:val="00DE2491"/>
    <w:rsid w:val="00DE5CA6"/>
    <w:rsid w:val="00DE7AC8"/>
    <w:rsid w:val="00DF2C5D"/>
    <w:rsid w:val="00DF3643"/>
    <w:rsid w:val="00DF42FF"/>
    <w:rsid w:val="00DF4369"/>
    <w:rsid w:val="00DF4423"/>
    <w:rsid w:val="00DF4ADF"/>
    <w:rsid w:val="00DF5D1E"/>
    <w:rsid w:val="00DF77E4"/>
    <w:rsid w:val="00DF7F88"/>
    <w:rsid w:val="00E01C0E"/>
    <w:rsid w:val="00E0368F"/>
    <w:rsid w:val="00E03D73"/>
    <w:rsid w:val="00E03F9A"/>
    <w:rsid w:val="00E040DA"/>
    <w:rsid w:val="00E04694"/>
    <w:rsid w:val="00E1168B"/>
    <w:rsid w:val="00E12191"/>
    <w:rsid w:val="00E129E7"/>
    <w:rsid w:val="00E12ABE"/>
    <w:rsid w:val="00E12B1E"/>
    <w:rsid w:val="00E1444C"/>
    <w:rsid w:val="00E17262"/>
    <w:rsid w:val="00E20016"/>
    <w:rsid w:val="00E2009B"/>
    <w:rsid w:val="00E20BB9"/>
    <w:rsid w:val="00E20BCC"/>
    <w:rsid w:val="00E2251C"/>
    <w:rsid w:val="00E2363D"/>
    <w:rsid w:val="00E23C6A"/>
    <w:rsid w:val="00E2484B"/>
    <w:rsid w:val="00E253A2"/>
    <w:rsid w:val="00E260F6"/>
    <w:rsid w:val="00E27127"/>
    <w:rsid w:val="00E27233"/>
    <w:rsid w:val="00E30F15"/>
    <w:rsid w:val="00E31771"/>
    <w:rsid w:val="00E3186D"/>
    <w:rsid w:val="00E31A3E"/>
    <w:rsid w:val="00E32080"/>
    <w:rsid w:val="00E3309D"/>
    <w:rsid w:val="00E350B1"/>
    <w:rsid w:val="00E35A53"/>
    <w:rsid w:val="00E3656B"/>
    <w:rsid w:val="00E3724A"/>
    <w:rsid w:val="00E378B1"/>
    <w:rsid w:val="00E417BE"/>
    <w:rsid w:val="00E41CD5"/>
    <w:rsid w:val="00E42054"/>
    <w:rsid w:val="00E4372D"/>
    <w:rsid w:val="00E43A9E"/>
    <w:rsid w:val="00E44243"/>
    <w:rsid w:val="00E453F9"/>
    <w:rsid w:val="00E45D7D"/>
    <w:rsid w:val="00E4623F"/>
    <w:rsid w:val="00E4665D"/>
    <w:rsid w:val="00E47854"/>
    <w:rsid w:val="00E47EBA"/>
    <w:rsid w:val="00E50156"/>
    <w:rsid w:val="00E504EB"/>
    <w:rsid w:val="00E5076C"/>
    <w:rsid w:val="00E50D2E"/>
    <w:rsid w:val="00E50D7D"/>
    <w:rsid w:val="00E53470"/>
    <w:rsid w:val="00E539F6"/>
    <w:rsid w:val="00E54698"/>
    <w:rsid w:val="00E54FB4"/>
    <w:rsid w:val="00E5539A"/>
    <w:rsid w:val="00E55791"/>
    <w:rsid w:val="00E55E1A"/>
    <w:rsid w:val="00E578A2"/>
    <w:rsid w:val="00E60043"/>
    <w:rsid w:val="00E61740"/>
    <w:rsid w:val="00E61EB5"/>
    <w:rsid w:val="00E6324D"/>
    <w:rsid w:val="00E65084"/>
    <w:rsid w:val="00E6519D"/>
    <w:rsid w:val="00E66062"/>
    <w:rsid w:val="00E6660E"/>
    <w:rsid w:val="00E66768"/>
    <w:rsid w:val="00E67305"/>
    <w:rsid w:val="00E67696"/>
    <w:rsid w:val="00E70C5F"/>
    <w:rsid w:val="00E71A58"/>
    <w:rsid w:val="00E72A26"/>
    <w:rsid w:val="00E72A7A"/>
    <w:rsid w:val="00E7335A"/>
    <w:rsid w:val="00E7467D"/>
    <w:rsid w:val="00E747DC"/>
    <w:rsid w:val="00E74A2D"/>
    <w:rsid w:val="00E75C94"/>
    <w:rsid w:val="00E76A08"/>
    <w:rsid w:val="00E76B9B"/>
    <w:rsid w:val="00E76E61"/>
    <w:rsid w:val="00E77CC0"/>
    <w:rsid w:val="00E80B3D"/>
    <w:rsid w:val="00E80CA3"/>
    <w:rsid w:val="00E82618"/>
    <w:rsid w:val="00E84E09"/>
    <w:rsid w:val="00E90CA8"/>
    <w:rsid w:val="00E930A1"/>
    <w:rsid w:val="00E93820"/>
    <w:rsid w:val="00E94A86"/>
    <w:rsid w:val="00E953F6"/>
    <w:rsid w:val="00E96143"/>
    <w:rsid w:val="00E96833"/>
    <w:rsid w:val="00E97506"/>
    <w:rsid w:val="00E97BB5"/>
    <w:rsid w:val="00EA0C68"/>
    <w:rsid w:val="00EA1D0E"/>
    <w:rsid w:val="00EA2072"/>
    <w:rsid w:val="00EA2841"/>
    <w:rsid w:val="00EA32BC"/>
    <w:rsid w:val="00EA35A7"/>
    <w:rsid w:val="00EA3B32"/>
    <w:rsid w:val="00EA3D05"/>
    <w:rsid w:val="00EA4402"/>
    <w:rsid w:val="00EA4B8D"/>
    <w:rsid w:val="00EA513E"/>
    <w:rsid w:val="00EA7419"/>
    <w:rsid w:val="00EB0E32"/>
    <w:rsid w:val="00EB3E60"/>
    <w:rsid w:val="00EB4511"/>
    <w:rsid w:val="00EB48D7"/>
    <w:rsid w:val="00EB4A8E"/>
    <w:rsid w:val="00EB4BC5"/>
    <w:rsid w:val="00EB5BF7"/>
    <w:rsid w:val="00EB5E79"/>
    <w:rsid w:val="00EB6FAC"/>
    <w:rsid w:val="00EB7BAC"/>
    <w:rsid w:val="00EC03D7"/>
    <w:rsid w:val="00EC13A7"/>
    <w:rsid w:val="00EC2EB6"/>
    <w:rsid w:val="00ED0EF0"/>
    <w:rsid w:val="00ED12B9"/>
    <w:rsid w:val="00ED16B8"/>
    <w:rsid w:val="00ED1DF0"/>
    <w:rsid w:val="00ED2386"/>
    <w:rsid w:val="00ED2EA1"/>
    <w:rsid w:val="00ED3851"/>
    <w:rsid w:val="00ED3F10"/>
    <w:rsid w:val="00ED4D04"/>
    <w:rsid w:val="00ED566D"/>
    <w:rsid w:val="00ED5907"/>
    <w:rsid w:val="00ED5F5B"/>
    <w:rsid w:val="00ED62C6"/>
    <w:rsid w:val="00ED64C1"/>
    <w:rsid w:val="00ED781F"/>
    <w:rsid w:val="00EE2EB4"/>
    <w:rsid w:val="00EE3446"/>
    <w:rsid w:val="00EE3E78"/>
    <w:rsid w:val="00EE41FD"/>
    <w:rsid w:val="00EE460E"/>
    <w:rsid w:val="00EE4B1B"/>
    <w:rsid w:val="00EE5FBA"/>
    <w:rsid w:val="00EE6E06"/>
    <w:rsid w:val="00EE7179"/>
    <w:rsid w:val="00EF0D90"/>
    <w:rsid w:val="00EF150D"/>
    <w:rsid w:val="00EF1F5A"/>
    <w:rsid w:val="00EF23B5"/>
    <w:rsid w:val="00EF47BF"/>
    <w:rsid w:val="00EF59B1"/>
    <w:rsid w:val="00EF5A13"/>
    <w:rsid w:val="00EF5FF9"/>
    <w:rsid w:val="00EF77D4"/>
    <w:rsid w:val="00EF7CC7"/>
    <w:rsid w:val="00F00853"/>
    <w:rsid w:val="00F00866"/>
    <w:rsid w:val="00F00EC8"/>
    <w:rsid w:val="00F0160B"/>
    <w:rsid w:val="00F0193E"/>
    <w:rsid w:val="00F03E2F"/>
    <w:rsid w:val="00F03F8D"/>
    <w:rsid w:val="00F04811"/>
    <w:rsid w:val="00F0488C"/>
    <w:rsid w:val="00F073ED"/>
    <w:rsid w:val="00F07C4C"/>
    <w:rsid w:val="00F10F11"/>
    <w:rsid w:val="00F11159"/>
    <w:rsid w:val="00F115E4"/>
    <w:rsid w:val="00F12CFB"/>
    <w:rsid w:val="00F13E60"/>
    <w:rsid w:val="00F13FDB"/>
    <w:rsid w:val="00F15AAA"/>
    <w:rsid w:val="00F15BEF"/>
    <w:rsid w:val="00F17898"/>
    <w:rsid w:val="00F207C2"/>
    <w:rsid w:val="00F21337"/>
    <w:rsid w:val="00F219A1"/>
    <w:rsid w:val="00F23E20"/>
    <w:rsid w:val="00F24407"/>
    <w:rsid w:val="00F24FAA"/>
    <w:rsid w:val="00F25040"/>
    <w:rsid w:val="00F27071"/>
    <w:rsid w:val="00F27331"/>
    <w:rsid w:val="00F27EE5"/>
    <w:rsid w:val="00F27FB1"/>
    <w:rsid w:val="00F27FD6"/>
    <w:rsid w:val="00F307CB"/>
    <w:rsid w:val="00F30C65"/>
    <w:rsid w:val="00F321D2"/>
    <w:rsid w:val="00F32649"/>
    <w:rsid w:val="00F33523"/>
    <w:rsid w:val="00F3364D"/>
    <w:rsid w:val="00F33914"/>
    <w:rsid w:val="00F349BF"/>
    <w:rsid w:val="00F34DDC"/>
    <w:rsid w:val="00F36191"/>
    <w:rsid w:val="00F3629F"/>
    <w:rsid w:val="00F36DF3"/>
    <w:rsid w:val="00F37EDC"/>
    <w:rsid w:val="00F437CC"/>
    <w:rsid w:val="00F44537"/>
    <w:rsid w:val="00F46185"/>
    <w:rsid w:val="00F46423"/>
    <w:rsid w:val="00F4696A"/>
    <w:rsid w:val="00F47067"/>
    <w:rsid w:val="00F47234"/>
    <w:rsid w:val="00F525AB"/>
    <w:rsid w:val="00F525EB"/>
    <w:rsid w:val="00F52CB5"/>
    <w:rsid w:val="00F53378"/>
    <w:rsid w:val="00F53A68"/>
    <w:rsid w:val="00F54934"/>
    <w:rsid w:val="00F55A92"/>
    <w:rsid w:val="00F62BFF"/>
    <w:rsid w:val="00F63AAE"/>
    <w:rsid w:val="00F63DDE"/>
    <w:rsid w:val="00F63FB7"/>
    <w:rsid w:val="00F6421B"/>
    <w:rsid w:val="00F647F1"/>
    <w:rsid w:val="00F649D2"/>
    <w:rsid w:val="00F6602B"/>
    <w:rsid w:val="00F7150B"/>
    <w:rsid w:val="00F717E4"/>
    <w:rsid w:val="00F71DE6"/>
    <w:rsid w:val="00F72D71"/>
    <w:rsid w:val="00F7381C"/>
    <w:rsid w:val="00F73A0C"/>
    <w:rsid w:val="00F7549F"/>
    <w:rsid w:val="00F756DB"/>
    <w:rsid w:val="00F767A8"/>
    <w:rsid w:val="00F82D14"/>
    <w:rsid w:val="00F84E7D"/>
    <w:rsid w:val="00F85066"/>
    <w:rsid w:val="00F87A4D"/>
    <w:rsid w:val="00F93688"/>
    <w:rsid w:val="00F939F3"/>
    <w:rsid w:val="00F93C6E"/>
    <w:rsid w:val="00F93F2C"/>
    <w:rsid w:val="00F9644E"/>
    <w:rsid w:val="00FA0105"/>
    <w:rsid w:val="00FA05A0"/>
    <w:rsid w:val="00FA0AEF"/>
    <w:rsid w:val="00FA17CC"/>
    <w:rsid w:val="00FA1F01"/>
    <w:rsid w:val="00FA26DF"/>
    <w:rsid w:val="00FA32BC"/>
    <w:rsid w:val="00FA48A4"/>
    <w:rsid w:val="00FA4CB7"/>
    <w:rsid w:val="00FA5112"/>
    <w:rsid w:val="00FA5526"/>
    <w:rsid w:val="00FA5D4D"/>
    <w:rsid w:val="00FA6CB6"/>
    <w:rsid w:val="00FA70D3"/>
    <w:rsid w:val="00FA7AEC"/>
    <w:rsid w:val="00FB0AEA"/>
    <w:rsid w:val="00FB0EE2"/>
    <w:rsid w:val="00FB1A79"/>
    <w:rsid w:val="00FB208B"/>
    <w:rsid w:val="00FB2B2D"/>
    <w:rsid w:val="00FB542E"/>
    <w:rsid w:val="00FB564F"/>
    <w:rsid w:val="00FB7DBB"/>
    <w:rsid w:val="00FC05F8"/>
    <w:rsid w:val="00FC0E5F"/>
    <w:rsid w:val="00FC1266"/>
    <w:rsid w:val="00FC1A95"/>
    <w:rsid w:val="00FC1ED4"/>
    <w:rsid w:val="00FC3BEC"/>
    <w:rsid w:val="00FC440B"/>
    <w:rsid w:val="00FC56DE"/>
    <w:rsid w:val="00FC63D9"/>
    <w:rsid w:val="00FC64DE"/>
    <w:rsid w:val="00FC684B"/>
    <w:rsid w:val="00FC7D98"/>
    <w:rsid w:val="00FD1135"/>
    <w:rsid w:val="00FD3265"/>
    <w:rsid w:val="00FD3CF7"/>
    <w:rsid w:val="00FD4916"/>
    <w:rsid w:val="00FD4D12"/>
    <w:rsid w:val="00FD4F73"/>
    <w:rsid w:val="00FD595E"/>
    <w:rsid w:val="00FD7802"/>
    <w:rsid w:val="00FE27C7"/>
    <w:rsid w:val="00FE2C7E"/>
    <w:rsid w:val="00FE2F78"/>
    <w:rsid w:val="00FE3137"/>
    <w:rsid w:val="00FE346B"/>
    <w:rsid w:val="00FE346F"/>
    <w:rsid w:val="00FE48E4"/>
    <w:rsid w:val="00FE634C"/>
    <w:rsid w:val="00FE6E69"/>
    <w:rsid w:val="00FE6F59"/>
    <w:rsid w:val="00FF01B6"/>
    <w:rsid w:val="00FF1136"/>
    <w:rsid w:val="00FF3D76"/>
    <w:rsid w:val="00FF5B8C"/>
    <w:rsid w:val="00FF63E6"/>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74EEB6EC"/>
  <w15:docId w15:val="{02E7EBF8-5A4E-462D-AC4B-706FC6EE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semiHidden/>
    <w:unhideWhenUsed/>
    <w:rsid w:val="00E76E61"/>
    <w:pPr>
      <w:spacing w:line="240" w:lineRule="auto"/>
    </w:pPr>
    <w:rPr>
      <w:szCs w:val="20"/>
    </w:rPr>
  </w:style>
  <w:style w:type="character" w:customStyle="1" w:styleId="TextkomenteChar">
    <w:name w:val="Text komentáře Char"/>
    <w:basedOn w:val="Standardnpsmoodstavce"/>
    <w:link w:val="Textkomente"/>
    <w:uiPriority w:val="99"/>
    <w:semiHidden/>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613050718">
      <w:bodyDiv w:val="1"/>
      <w:marLeft w:val="0"/>
      <w:marRight w:val="0"/>
      <w:marTop w:val="0"/>
      <w:marBottom w:val="0"/>
      <w:divBdr>
        <w:top w:val="none" w:sz="0" w:space="0" w:color="auto"/>
        <w:left w:val="none" w:sz="0" w:space="0" w:color="auto"/>
        <w:bottom w:val="none" w:sz="0" w:space="0" w:color="auto"/>
        <w:right w:val="none" w:sz="0" w:space="0" w:color="auto"/>
      </w:divBdr>
    </w:div>
    <w:div w:id="184026964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JKAM%20CSU\PUBLIKACE\PUBLIKACE\2020\Q-makro\1.pololet&#237;%202020\TRH%20PR&#193;CE\Grafy-trh%20pr&#225;ce-rok-2020-1.po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JKAM%20CSU\PUBLIKACE\PUBLIKACE\2020\Q-makro\1.pololet&#237;%202020\TRH%20PR&#193;CE\Grafy-trh%20pr&#225;ce-rok-2020-1.po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JKAM%20CSU\PUBLIKACE\PUBLIKACE\2020\Q-makro\1.pololet&#237;%202020\TRH%20PR&#193;CE\Grafy-trh%20pr&#225;ce-rok-2020-1.po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4202628046343551E-2"/>
          <c:y val="1.6549886621315374E-2"/>
          <c:w val="0.82348749194619042"/>
          <c:h val="0.65992692395395358"/>
        </c:manualLayout>
      </c:layout>
      <c:barChart>
        <c:barDir val="col"/>
        <c:grouping val="stacked"/>
        <c:varyColors val="0"/>
        <c:ser>
          <c:idx val="0"/>
          <c:order val="0"/>
          <c:tx>
            <c:strRef>
              <c:f>'Trh práce 1'!$AC$7</c:f>
              <c:strCache>
                <c:ptCount val="1"/>
                <c:pt idx="0">
                  <c:v>Zemědělství, lesnictví a rybářství</c:v>
                </c:pt>
              </c:strCache>
            </c:strRef>
          </c:tx>
          <c:spPr>
            <a:solidFill>
              <a:srgbClr val="7DBB2D"/>
            </a:solidFill>
            <a:ln>
              <a:noFill/>
            </a:ln>
          </c:spPr>
          <c:invertIfNegative val="0"/>
          <c:cat>
            <c:multiLvlStrRef>
              <c:f>'Trh práce 1'!$AA$8:$AB$49</c:f>
              <c:multiLvlStrCache>
                <c:ptCount val="4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lvl>
                <c:lvl>
                  <c:pt idx="0">
                    <c:v>2010</c:v>
                  </c:pt>
                  <c:pt idx="4">
                    <c:v>2011</c:v>
                  </c:pt>
                  <c:pt idx="8">
                    <c:v>2012</c:v>
                  </c:pt>
                  <c:pt idx="12">
                    <c:v>2013</c:v>
                  </c:pt>
                  <c:pt idx="16">
                    <c:v>2014</c:v>
                  </c:pt>
                  <c:pt idx="20">
                    <c:v>2015</c:v>
                  </c:pt>
                  <c:pt idx="24">
                    <c:v>2016</c:v>
                  </c:pt>
                  <c:pt idx="28">
                    <c:v>2017</c:v>
                  </c:pt>
                  <c:pt idx="32">
                    <c:v>2018</c:v>
                  </c:pt>
                  <c:pt idx="36">
                    <c:v>2019</c:v>
                  </c:pt>
                  <c:pt idx="40">
                    <c:v>2020</c:v>
                  </c:pt>
                </c:lvl>
              </c:multiLvlStrCache>
            </c:multiLvlStrRef>
          </c:cat>
          <c:val>
            <c:numRef>
              <c:f>'Trh práce 1'!$AC$8:$AC$49</c:f>
              <c:numCache>
                <c:formatCode>#\ ##0.0</c:formatCode>
                <c:ptCount val="42"/>
                <c:pt idx="0">
                  <c:v>-0.34801319299015127</c:v>
                </c:pt>
                <c:pt idx="1">
                  <c:v>-0.28304813186473832</c:v>
                </c:pt>
                <c:pt idx="2">
                  <c:v>-0.22867359271993312</c:v>
                </c:pt>
                <c:pt idx="3">
                  <c:v>-0.22614018757792589</c:v>
                </c:pt>
                <c:pt idx="4">
                  <c:v>0.24303647870326153</c:v>
                </c:pt>
                <c:pt idx="5">
                  <c:v>0.20714962121209438</c:v>
                </c:pt>
                <c:pt idx="6">
                  <c:v>0.15912159043479449</c:v>
                </c:pt>
                <c:pt idx="7">
                  <c:v>0.15468126765282239</c:v>
                </c:pt>
                <c:pt idx="8">
                  <c:v>-1.1722190046253984E-2</c:v>
                </c:pt>
                <c:pt idx="9">
                  <c:v>-2.2154046449452271E-2</c:v>
                </c:pt>
                <c:pt idx="10">
                  <c:v>1.1329788350838525E-2</c:v>
                </c:pt>
                <c:pt idx="11">
                  <c:v>2.4362123693615664E-2</c:v>
                </c:pt>
                <c:pt idx="12">
                  <c:v>8.0698015011379964E-2</c:v>
                </c:pt>
                <c:pt idx="13">
                  <c:v>0.13654969673633016</c:v>
                </c:pt>
                <c:pt idx="14">
                  <c:v>9.45338236865534E-2</c:v>
                </c:pt>
                <c:pt idx="15">
                  <c:v>7.2253196943040124E-2</c:v>
                </c:pt>
                <c:pt idx="16">
                  <c:v>-1.0016470871332192E-2</c:v>
                </c:pt>
                <c:pt idx="17">
                  <c:v>-5.5912732161514829E-2</c:v>
                </c:pt>
                <c:pt idx="18">
                  <c:v>-3.0212377088993332E-2</c:v>
                </c:pt>
                <c:pt idx="19">
                  <c:v>-3.5110597397762136E-2</c:v>
                </c:pt>
                <c:pt idx="20">
                  <c:v>-6.3775886113478369E-2</c:v>
                </c:pt>
                <c:pt idx="21">
                  <c:v>-5.3530554883726662E-2</c:v>
                </c:pt>
                <c:pt idx="22">
                  <c:v>-6.4075390166381849E-2</c:v>
                </c:pt>
                <c:pt idx="23">
                  <c:v>-0.13844304699479693</c:v>
                </c:pt>
                <c:pt idx="24">
                  <c:v>-0.13446730863002626</c:v>
                </c:pt>
                <c:pt idx="25">
                  <c:v>-4.2544545507820601E-2</c:v>
                </c:pt>
                <c:pt idx="26">
                  <c:v>-3.3191194580390673E-2</c:v>
                </c:pt>
                <c:pt idx="27">
                  <c:v>6.6309323471769377E-2</c:v>
                </c:pt>
                <c:pt idx="28">
                  <c:v>9.8066936941412233E-2</c:v>
                </c:pt>
                <c:pt idx="29">
                  <c:v>2.5196330912572437E-2</c:v>
                </c:pt>
                <c:pt idx="30">
                  <c:v>2.0639846638534198E-2</c:v>
                </c:pt>
                <c:pt idx="31">
                  <c:v>-8.3455519417103677E-2</c:v>
                </c:pt>
                <c:pt idx="32">
                  <c:v>2.5814692683709294E-2</c:v>
                </c:pt>
                <c:pt idx="33">
                  <c:v>2.6984266486121962E-2</c:v>
                </c:pt>
                <c:pt idx="34">
                  <c:v>1.9988014642478076E-2</c:v>
                </c:pt>
                <c:pt idx="35">
                  <c:v>8.7933936276959376E-2</c:v>
                </c:pt>
                <c:pt idx="36">
                  <c:v>-2.5505751222282186E-2</c:v>
                </c:pt>
                <c:pt idx="37">
                  <c:v>-7.8189986559947439E-2</c:v>
                </c:pt>
                <c:pt idx="38">
                  <c:v>-0.10869950494464604</c:v>
                </c:pt>
                <c:pt idx="39">
                  <c:v>-0.12385597955281273</c:v>
                </c:pt>
                <c:pt idx="40">
                  <c:v>-0.13740972377814739</c:v>
                </c:pt>
                <c:pt idx="41">
                  <c:v>-6.3501842656218332E-2</c:v>
                </c:pt>
              </c:numCache>
            </c:numRef>
          </c:val>
          <c:extLst>
            <c:ext xmlns:c16="http://schemas.microsoft.com/office/drawing/2014/chart" uri="{C3380CC4-5D6E-409C-BE32-E72D297353CC}">
              <c16:uniqueId val="{00000000-2945-47C5-8CFD-D8BC508A4FAA}"/>
            </c:ext>
          </c:extLst>
        </c:ser>
        <c:ser>
          <c:idx val="1"/>
          <c:order val="1"/>
          <c:tx>
            <c:strRef>
              <c:f>'Trh práce 1'!$AD$7</c:f>
              <c:strCache>
                <c:ptCount val="1"/>
                <c:pt idx="0">
                  <c:v>Zpracovatelský průmysl</c:v>
                </c:pt>
              </c:strCache>
            </c:strRef>
          </c:tx>
          <c:spPr>
            <a:solidFill>
              <a:srgbClr val="A6CDE8"/>
            </a:solidFill>
            <a:ln>
              <a:noFill/>
            </a:ln>
          </c:spPr>
          <c:invertIfNegative val="0"/>
          <c:cat>
            <c:multiLvlStrRef>
              <c:f>'Trh práce 1'!$AA$8:$AB$49</c:f>
              <c:multiLvlStrCache>
                <c:ptCount val="4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lvl>
                <c:lvl>
                  <c:pt idx="0">
                    <c:v>2010</c:v>
                  </c:pt>
                  <c:pt idx="4">
                    <c:v>2011</c:v>
                  </c:pt>
                  <c:pt idx="8">
                    <c:v>2012</c:v>
                  </c:pt>
                  <c:pt idx="12">
                    <c:v>2013</c:v>
                  </c:pt>
                  <c:pt idx="16">
                    <c:v>2014</c:v>
                  </c:pt>
                  <c:pt idx="20">
                    <c:v>2015</c:v>
                  </c:pt>
                  <c:pt idx="24">
                    <c:v>2016</c:v>
                  </c:pt>
                  <c:pt idx="28">
                    <c:v>2017</c:v>
                  </c:pt>
                  <c:pt idx="32">
                    <c:v>2018</c:v>
                  </c:pt>
                  <c:pt idx="36">
                    <c:v>2019</c:v>
                  </c:pt>
                  <c:pt idx="40">
                    <c:v>2020</c:v>
                  </c:pt>
                </c:lvl>
              </c:multiLvlStrCache>
            </c:multiLvlStrRef>
          </c:cat>
          <c:val>
            <c:numRef>
              <c:f>'Trh práce 1'!$AD$8:$AD$49</c:f>
              <c:numCache>
                <c:formatCode>#\ ##0.0</c:formatCode>
                <c:ptCount val="42"/>
                <c:pt idx="0">
                  <c:v>-1.9139760198365914</c:v>
                </c:pt>
                <c:pt idx="1">
                  <c:v>-0.91636368469599205</c:v>
                </c:pt>
                <c:pt idx="2">
                  <c:v>-0.36895797829775445</c:v>
                </c:pt>
                <c:pt idx="3">
                  <c:v>-0.21003805903834583</c:v>
                </c:pt>
                <c:pt idx="4">
                  <c:v>1.172571586057386</c:v>
                </c:pt>
                <c:pt idx="5">
                  <c:v>1.2683138871995925</c:v>
                </c:pt>
                <c:pt idx="6">
                  <c:v>1.1687063633645189</c:v>
                </c:pt>
                <c:pt idx="7">
                  <c:v>0.78202384386894153</c:v>
                </c:pt>
                <c:pt idx="8">
                  <c:v>4.6075545647120145E-2</c:v>
                </c:pt>
                <c:pt idx="9">
                  <c:v>2.25104118078885E-2</c:v>
                </c:pt>
                <c:pt idx="10">
                  <c:v>0.2009650919713421</c:v>
                </c:pt>
                <c:pt idx="11">
                  <c:v>0.3118192862970775</c:v>
                </c:pt>
                <c:pt idx="12">
                  <c:v>4.1132772342904023E-2</c:v>
                </c:pt>
                <c:pt idx="13">
                  <c:v>0.12923594633209709</c:v>
                </c:pt>
                <c:pt idx="14">
                  <c:v>-1.9284585181686579E-2</c:v>
                </c:pt>
                <c:pt idx="15">
                  <c:v>3.229633223946192E-2</c:v>
                </c:pt>
                <c:pt idx="16">
                  <c:v>0.21809037859691535</c:v>
                </c:pt>
                <c:pt idx="17">
                  <c:v>0.20763098853236689</c:v>
                </c:pt>
                <c:pt idx="18">
                  <c:v>0.41094336722348374</c:v>
                </c:pt>
                <c:pt idx="19">
                  <c:v>0.54832755274610478</c:v>
                </c:pt>
                <c:pt idx="20">
                  <c:v>0.87384359543532464</c:v>
                </c:pt>
                <c:pt idx="21">
                  <c:v>0.93524489787512044</c:v>
                </c:pt>
                <c:pt idx="22">
                  <c:v>0.78267698384636852</c:v>
                </c:pt>
                <c:pt idx="23">
                  <c:v>0.94962455048902517</c:v>
                </c:pt>
                <c:pt idx="24">
                  <c:v>0.84718285167324348</c:v>
                </c:pt>
                <c:pt idx="25">
                  <c:v>0.62908867154608861</c:v>
                </c:pt>
                <c:pt idx="26">
                  <c:v>0.67775956738111331</c:v>
                </c:pt>
                <c:pt idx="27">
                  <c:v>0.54172812831113937</c:v>
                </c:pt>
                <c:pt idx="28">
                  <c:v>0.26867627785059034</c:v>
                </c:pt>
                <c:pt idx="29">
                  <c:v>0.39386843676908101</c:v>
                </c:pt>
                <c:pt idx="30">
                  <c:v>0.49256509811427385</c:v>
                </c:pt>
                <c:pt idx="31">
                  <c:v>0.47713964802096459</c:v>
                </c:pt>
                <c:pt idx="32">
                  <c:v>0.36449366956327101</c:v>
                </c:pt>
                <c:pt idx="33">
                  <c:v>0.28712009104191716</c:v>
                </c:pt>
                <c:pt idx="34">
                  <c:v>9.9194946851067806E-2</c:v>
                </c:pt>
                <c:pt idx="35">
                  <c:v>7.5749869682651877E-2</c:v>
                </c:pt>
                <c:pt idx="36">
                  <c:v>1.7065666272363354E-3</c:v>
                </c:pt>
                <c:pt idx="37">
                  <c:v>-0.1672130815311223</c:v>
                </c:pt>
                <c:pt idx="38">
                  <c:v>-0.33346453087893024</c:v>
                </c:pt>
                <c:pt idx="39">
                  <c:v>-0.72163732119892665</c:v>
                </c:pt>
                <c:pt idx="40">
                  <c:v>-0.68293147360899475</c:v>
                </c:pt>
                <c:pt idx="41">
                  <c:v>-0.93418470526414155</c:v>
                </c:pt>
              </c:numCache>
            </c:numRef>
          </c:val>
          <c:extLst>
            <c:ext xmlns:c16="http://schemas.microsoft.com/office/drawing/2014/chart" uri="{C3380CC4-5D6E-409C-BE32-E72D297353CC}">
              <c16:uniqueId val="{00000001-2945-47C5-8CFD-D8BC508A4FAA}"/>
            </c:ext>
          </c:extLst>
        </c:ser>
        <c:ser>
          <c:idx val="2"/>
          <c:order val="2"/>
          <c:tx>
            <c:strRef>
              <c:f>'Trh práce 1'!$AE$7</c:f>
              <c:strCache>
                <c:ptCount val="1"/>
                <c:pt idx="0">
                  <c:v>Stavebnictví</c:v>
                </c:pt>
              </c:strCache>
            </c:strRef>
          </c:tx>
          <c:spPr>
            <a:solidFill>
              <a:srgbClr val="48AEE7"/>
            </a:solidFill>
            <a:ln w="19050">
              <a:noFill/>
            </a:ln>
          </c:spPr>
          <c:invertIfNegative val="0"/>
          <c:cat>
            <c:multiLvlStrRef>
              <c:f>'Trh práce 1'!$AA$8:$AB$49</c:f>
              <c:multiLvlStrCache>
                <c:ptCount val="4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lvl>
                <c:lvl>
                  <c:pt idx="0">
                    <c:v>2010</c:v>
                  </c:pt>
                  <c:pt idx="4">
                    <c:v>2011</c:v>
                  </c:pt>
                  <c:pt idx="8">
                    <c:v>2012</c:v>
                  </c:pt>
                  <c:pt idx="12">
                    <c:v>2013</c:v>
                  </c:pt>
                  <c:pt idx="16">
                    <c:v>2014</c:v>
                  </c:pt>
                  <c:pt idx="20">
                    <c:v>2015</c:v>
                  </c:pt>
                  <c:pt idx="24">
                    <c:v>2016</c:v>
                  </c:pt>
                  <c:pt idx="28">
                    <c:v>2017</c:v>
                  </c:pt>
                  <c:pt idx="32">
                    <c:v>2018</c:v>
                  </c:pt>
                  <c:pt idx="36">
                    <c:v>2019</c:v>
                  </c:pt>
                  <c:pt idx="40">
                    <c:v>2020</c:v>
                  </c:pt>
                </c:lvl>
              </c:multiLvlStrCache>
            </c:multiLvlStrRef>
          </c:cat>
          <c:val>
            <c:numRef>
              <c:f>'Trh práce 1'!$AE$8:$AE$49</c:f>
              <c:numCache>
                <c:formatCode>#\ ##0.0</c:formatCode>
                <c:ptCount val="42"/>
                <c:pt idx="0">
                  <c:v>0.14158792411211604</c:v>
                </c:pt>
                <c:pt idx="1">
                  <c:v>0.19166977287933318</c:v>
                </c:pt>
                <c:pt idx="2">
                  <c:v>0.2331442589457039</c:v>
                </c:pt>
                <c:pt idx="3">
                  <c:v>0.2364605469237597</c:v>
                </c:pt>
                <c:pt idx="4">
                  <c:v>-0.75774167485897592</c:v>
                </c:pt>
                <c:pt idx="5">
                  <c:v>-0.7493412384715763</c:v>
                </c:pt>
                <c:pt idx="6">
                  <c:v>-0.78071557572941186</c:v>
                </c:pt>
                <c:pt idx="7">
                  <c:v>-0.76224499233199861</c:v>
                </c:pt>
                <c:pt idx="8">
                  <c:v>-9.1238704251723063E-3</c:v>
                </c:pt>
                <c:pt idx="9">
                  <c:v>1.6274018035254481E-2</c:v>
                </c:pt>
                <c:pt idx="10">
                  <c:v>-7.4237843949200688E-2</c:v>
                </c:pt>
                <c:pt idx="11">
                  <c:v>-8.5406531513181186E-2</c:v>
                </c:pt>
                <c:pt idx="12">
                  <c:v>-0.17732927468814916</c:v>
                </c:pt>
                <c:pt idx="13">
                  <c:v>-0.28865593825139396</c:v>
                </c:pt>
                <c:pt idx="14">
                  <c:v>-0.15189562552799868</c:v>
                </c:pt>
                <c:pt idx="15">
                  <c:v>-5.0197165169749043E-2</c:v>
                </c:pt>
                <c:pt idx="16">
                  <c:v>-0.41512048510538863</c:v>
                </c:pt>
                <c:pt idx="17">
                  <c:v>-0.29008656264696037</c:v>
                </c:pt>
                <c:pt idx="18">
                  <c:v>-0.35496103153743763</c:v>
                </c:pt>
                <c:pt idx="19">
                  <c:v>-0.43034098806023929</c:v>
                </c:pt>
                <c:pt idx="20">
                  <c:v>-0.11694210540586052</c:v>
                </c:pt>
                <c:pt idx="21">
                  <c:v>-0.10810072845885586</c:v>
                </c:pt>
                <c:pt idx="22">
                  <c:v>-0.15839123886250733</c:v>
                </c:pt>
                <c:pt idx="23">
                  <c:v>-0.17189865446459995</c:v>
                </c:pt>
                <c:pt idx="24">
                  <c:v>-0.11151278826793087</c:v>
                </c:pt>
                <c:pt idx="25">
                  <c:v>-0.12826978061125432</c:v>
                </c:pt>
                <c:pt idx="26">
                  <c:v>-3.014577719148143E-2</c:v>
                </c:pt>
                <c:pt idx="27">
                  <c:v>1.7024586966207105E-2</c:v>
                </c:pt>
                <c:pt idx="28">
                  <c:v>-6.5148695688723116E-3</c:v>
                </c:pt>
                <c:pt idx="29">
                  <c:v>1.4289321905169284E-2</c:v>
                </c:pt>
                <c:pt idx="30">
                  <c:v>6.6438659970773833E-2</c:v>
                </c:pt>
                <c:pt idx="31">
                  <c:v>-6.4943430456315621E-2</c:v>
                </c:pt>
                <c:pt idx="32">
                  <c:v>0.11749356845101826</c:v>
                </c:pt>
                <c:pt idx="33">
                  <c:v>6.7179580106074471E-2</c:v>
                </c:pt>
                <c:pt idx="34">
                  <c:v>5.6406065552118925E-2</c:v>
                </c:pt>
                <c:pt idx="35">
                  <c:v>0.12562257040583413</c:v>
                </c:pt>
                <c:pt idx="36">
                  <c:v>1.8512537978063726E-2</c:v>
                </c:pt>
                <c:pt idx="37">
                  <c:v>4.2190167111752976E-2</c:v>
                </c:pt>
                <c:pt idx="38">
                  <c:v>7.6558567765870777E-2</c:v>
                </c:pt>
                <c:pt idx="39">
                  <c:v>0.13747664010699337</c:v>
                </c:pt>
                <c:pt idx="40">
                  <c:v>0.22642461038295852</c:v>
                </c:pt>
                <c:pt idx="41">
                  <c:v>-2.5731571553894547E-2</c:v>
                </c:pt>
              </c:numCache>
            </c:numRef>
          </c:val>
          <c:extLst>
            <c:ext xmlns:c16="http://schemas.microsoft.com/office/drawing/2014/chart" uri="{C3380CC4-5D6E-409C-BE32-E72D297353CC}">
              <c16:uniqueId val="{00000002-2945-47C5-8CFD-D8BC508A4FAA}"/>
            </c:ext>
          </c:extLst>
        </c:ser>
        <c:ser>
          <c:idx val="3"/>
          <c:order val="3"/>
          <c:tx>
            <c:strRef>
              <c:f>'Trh práce 1'!$AF$7</c:f>
              <c:strCache>
                <c:ptCount val="1"/>
                <c:pt idx="0">
                  <c:v>Obchod, doprava, ubytování a pohost.</c:v>
                </c:pt>
              </c:strCache>
            </c:strRef>
          </c:tx>
          <c:spPr>
            <a:solidFill>
              <a:srgbClr val="FDDEB3"/>
            </a:solidFill>
            <a:ln w="19050">
              <a:noFill/>
            </a:ln>
          </c:spPr>
          <c:invertIfNegative val="0"/>
          <c:cat>
            <c:multiLvlStrRef>
              <c:f>'Trh práce 1'!$AA$8:$AB$49</c:f>
              <c:multiLvlStrCache>
                <c:ptCount val="4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lvl>
                <c:lvl>
                  <c:pt idx="0">
                    <c:v>2010</c:v>
                  </c:pt>
                  <c:pt idx="4">
                    <c:v>2011</c:v>
                  </c:pt>
                  <c:pt idx="8">
                    <c:v>2012</c:v>
                  </c:pt>
                  <c:pt idx="12">
                    <c:v>2013</c:v>
                  </c:pt>
                  <c:pt idx="16">
                    <c:v>2014</c:v>
                  </c:pt>
                  <c:pt idx="20">
                    <c:v>2015</c:v>
                  </c:pt>
                  <c:pt idx="24">
                    <c:v>2016</c:v>
                  </c:pt>
                  <c:pt idx="28">
                    <c:v>2017</c:v>
                  </c:pt>
                  <c:pt idx="32">
                    <c:v>2018</c:v>
                  </c:pt>
                  <c:pt idx="36">
                    <c:v>2019</c:v>
                  </c:pt>
                  <c:pt idx="40">
                    <c:v>2020</c:v>
                  </c:pt>
                </c:lvl>
              </c:multiLvlStrCache>
            </c:multiLvlStrRef>
          </c:cat>
          <c:val>
            <c:numRef>
              <c:f>'Trh práce 1'!$AF$8:$AF$49</c:f>
              <c:numCache>
                <c:formatCode>#\ ##0.0</c:formatCode>
                <c:ptCount val="42"/>
                <c:pt idx="0">
                  <c:v>-0.31619307858448276</c:v>
                </c:pt>
                <c:pt idx="1">
                  <c:v>-0.1306857129789131</c:v>
                </c:pt>
                <c:pt idx="2">
                  <c:v>0.14611397677970747</c:v>
                </c:pt>
                <c:pt idx="3">
                  <c:v>0.25532529555591477</c:v>
                </c:pt>
                <c:pt idx="4">
                  <c:v>-0.40311491753542605</c:v>
                </c:pt>
                <c:pt idx="5">
                  <c:v>-0.45802533064755391</c:v>
                </c:pt>
                <c:pt idx="6">
                  <c:v>-0.44468044313400357</c:v>
                </c:pt>
                <c:pt idx="7">
                  <c:v>-0.54392827711216207</c:v>
                </c:pt>
                <c:pt idx="8">
                  <c:v>0.10002538816118248</c:v>
                </c:pt>
                <c:pt idx="9">
                  <c:v>0.11522479922771424</c:v>
                </c:pt>
                <c:pt idx="10">
                  <c:v>0.11795260424692905</c:v>
                </c:pt>
                <c:pt idx="11">
                  <c:v>3.775533035715315E-3</c:v>
                </c:pt>
                <c:pt idx="12">
                  <c:v>2.9664010927468173E-2</c:v>
                </c:pt>
                <c:pt idx="13">
                  <c:v>-2.2474957323278432E-2</c:v>
                </c:pt>
                <c:pt idx="14">
                  <c:v>-0.17169184256144429</c:v>
                </c:pt>
                <c:pt idx="15">
                  <c:v>-0.14889790735522657</c:v>
                </c:pt>
                <c:pt idx="16">
                  <c:v>-0.11142582981126935</c:v>
                </c:pt>
                <c:pt idx="17">
                  <c:v>-0.2949357356960805</c:v>
                </c:pt>
                <c:pt idx="18">
                  <c:v>-0.15399073657460882</c:v>
                </c:pt>
                <c:pt idx="19">
                  <c:v>8.6379154696624452E-2</c:v>
                </c:pt>
                <c:pt idx="20">
                  <c:v>0.22879550024382489</c:v>
                </c:pt>
                <c:pt idx="21">
                  <c:v>0.47330112084625897</c:v>
                </c:pt>
                <c:pt idx="22">
                  <c:v>0.33213712914903176</c:v>
                </c:pt>
                <c:pt idx="23">
                  <c:v>0.17959968299057444</c:v>
                </c:pt>
                <c:pt idx="24">
                  <c:v>8.0583366917820948E-2</c:v>
                </c:pt>
                <c:pt idx="25">
                  <c:v>0.20992754897152985</c:v>
                </c:pt>
                <c:pt idx="26">
                  <c:v>-8.6158327395090793E-3</c:v>
                </c:pt>
                <c:pt idx="27">
                  <c:v>9.5260739725036819E-2</c:v>
                </c:pt>
                <c:pt idx="28">
                  <c:v>0.16015880233389024</c:v>
                </c:pt>
                <c:pt idx="29">
                  <c:v>-9.025834979993895E-3</c:v>
                </c:pt>
                <c:pt idx="30">
                  <c:v>0.34149737055569235</c:v>
                </c:pt>
                <c:pt idx="31">
                  <c:v>0.22106834398785968</c:v>
                </c:pt>
                <c:pt idx="32">
                  <c:v>0.14724354251393632</c:v>
                </c:pt>
                <c:pt idx="33">
                  <c:v>0.38773017907246493</c:v>
                </c:pt>
                <c:pt idx="34">
                  <c:v>0.20751769162833716</c:v>
                </c:pt>
                <c:pt idx="35">
                  <c:v>0.25882757980843152</c:v>
                </c:pt>
                <c:pt idx="36">
                  <c:v>0.37837550067789966</c:v>
                </c:pt>
                <c:pt idx="37">
                  <c:v>3.0454299666256623E-2</c:v>
                </c:pt>
                <c:pt idx="38">
                  <c:v>-8.7506055271335301E-2</c:v>
                </c:pt>
                <c:pt idx="39">
                  <c:v>-0.13427394424695629</c:v>
                </c:pt>
                <c:pt idx="40">
                  <c:v>-0.2600418368128985</c:v>
                </c:pt>
                <c:pt idx="41">
                  <c:v>-0.73794471277776152</c:v>
                </c:pt>
              </c:numCache>
            </c:numRef>
          </c:val>
          <c:extLst>
            <c:ext xmlns:c16="http://schemas.microsoft.com/office/drawing/2014/chart" uri="{C3380CC4-5D6E-409C-BE32-E72D297353CC}">
              <c16:uniqueId val="{00000003-2945-47C5-8CFD-D8BC508A4FAA}"/>
            </c:ext>
          </c:extLst>
        </c:ser>
        <c:ser>
          <c:idx val="4"/>
          <c:order val="4"/>
          <c:tx>
            <c:strRef>
              <c:f>'Trh práce 1'!$AG$7</c:f>
              <c:strCache>
                <c:ptCount val="1"/>
                <c:pt idx="0">
                  <c:v>Informační a komunikač. čin.</c:v>
                </c:pt>
              </c:strCache>
            </c:strRef>
          </c:tx>
          <c:spPr>
            <a:solidFill>
              <a:srgbClr val="F8A124"/>
            </a:solidFill>
            <a:ln w="19050">
              <a:noFill/>
            </a:ln>
          </c:spPr>
          <c:invertIfNegative val="0"/>
          <c:cat>
            <c:multiLvlStrRef>
              <c:f>'Trh práce 1'!$AA$8:$AB$49</c:f>
              <c:multiLvlStrCache>
                <c:ptCount val="4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lvl>
                <c:lvl>
                  <c:pt idx="0">
                    <c:v>2010</c:v>
                  </c:pt>
                  <c:pt idx="4">
                    <c:v>2011</c:v>
                  </c:pt>
                  <c:pt idx="8">
                    <c:v>2012</c:v>
                  </c:pt>
                  <c:pt idx="12">
                    <c:v>2013</c:v>
                  </c:pt>
                  <c:pt idx="16">
                    <c:v>2014</c:v>
                  </c:pt>
                  <c:pt idx="20">
                    <c:v>2015</c:v>
                  </c:pt>
                  <c:pt idx="24">
                    <c:v>2016</c:v>
                  </c:pt>
                  <c:pt idx="28">
                    <c:v>2017</c:v>
                  </c:pt>
                  <c:pt idx="32">
                    <c:v>2018</c:v>
                  </c:pt>
                  <c:pt idx="36">
                    <c:v>2019</c:v>
                  </c:pt>
                  <c:pt idx="40">
                    <c:v>2020</c:v>
                  </c:pt>
                </c:lvl>
              </c:multiLvlStrCache>
            </c:multiLvlStrRef>
          </c:cat>
          <c:val>
            <c:numRef>
              <c:f>'Trh práce 1'!$AG$8:$AG$49</c:f>
              <c:numCache>
                <c:formatCode>#\ ##0.0</c:formatCode>
                <c:ptCount val="42"/>
                <c:pt idx="0">
                  <c:v>-5.9257239751818361E-2</c:v>
                </c:pt>
                <c:pt idx="1">
                  <c:v>-6.9818930116763017E-2</c:v>
                </c:pt>
                <c:pt idx="2">
                  <c:v>-6.0678954368281267E-2</c:v>
                </c:pt>
                <c:pt idx="3">
                  <c:v>-7.6031251547796566E-2</c:v>
                </c:pt>
                <c:pt idx="4">
                  <c:v>-2.5614138686863345E-3</c:v>
                </c:pt>
                <c:pt idx="5">
                  <c:v>-4.3706293706288056E-2</c:v>
                </c:pt>
                <c:pt idx="6">
                  <c:v>-8.6612483401411006E-2</c:v>
                </c:pt>
                <c:pt idx="7">
                  <c:v>-0.1156757159678042</c:v>
                </c:pt>
                <c:pt idx="8">
                  <c:v>-1.3626302134985595E-2</c:v>
                </c:pt>
                <c:pt idx="9">
                  <c:v>1.3462691318702005E-3</c:v>
                </c:pt>
                <c:pt idx="10">
                  <c:v>2.4699730897719655E-2</c:v>
                </c:pt>
                <c:pt idx="11">
                  <c:v>4.4948714351516011E-2</c:v>
                </c:pt>
                <c:pt idx="12">
                  <c:v>4.4644832499534035E-2</c:v>
                </c:pt>
                <c:pt idx="13">
                  <c:v>7.0548041061372663E-2</c:v>
                </c:pt>
                <c:pt idx="14">
                  <c:v>2.9163015550264803E-2</c:v>
                </c:pt>
                <c:pt idx="15">
                  <c:v>2.985441443599041E-2</c:v>
                </c:pt>
                <c:pt idx="16">
                  <c:v>0.10899579841644913</c:v>
                </c:pt>
                <c:pt idx="17">
                  <c:v>7.2835757134557588E-2</c:v>
                </c:pt>
                <c:pt idx="18">
                  <c:v>9.0086743135235167E-2</c:v>
                </c:pt>
                <c:pt idx="19">
                  <c:v>9.0807341027620239E-2</c:v>
                </c:pt>
                <c:pt idx="20">
                  <c:v>7.3874717124669956E-3</c:v>
                </c:pt>
                <c:pt idx="21">
                  <c:v>5.6060947547706408E-2</c:v>
                </c:pt>
                <c:pt idx="22">
                  <c:v>7.3237389552977303E-2</c:v>
                </c:pt>
                <c:pt idx="23">
                  <c:v>0.10393464068853153</c:v>
                </c:pt>
                <c:pt idx="24">
                  <c:v>0.12034144994565989</c:v>
                </c:pt>
                <c:pt idx="25">
                  <c:v>0.11313726215922026</c:v>
                </c:pt>
                <c:pt idx="26">
                  <c:v>0.12927604067983756</c:v>
                </c:pt>
                <c:pt idx="27">
                  <c:v>0.16693713637598337</c:v>
                </c:pt>
                <c:pt idx="28">
                  <c:v>0.13971624972775135</c:v>
                </c:pt>
                <c:pt idx="29">
                  <c:v>0.13821878661994863</c:v>
                </c:pt>
                <c:pt idx="30">
                  <c:v>0.13496598887461</c:v>
                </c:pt>
                <c:pt idx="31">
                  <c:v>0.11698506830016364</c:v>
                </c:pt>
                <c:pt idx="32">
                  <c:v>0.11067743515305851</c:v>
                </c:pt>
                <c:pt idx="33">
                  <c:v>0.13553972187091679</c:v>
                </c:pt>
                <c:pt idx="34">
                  <c:v>0.13024808795918613</c:v>
                </c:pt>
                <c:pt idx="35">
                  <c:v>0.15340000663230582</c:v>
                </c:pt>
                <c:pt idx="36">
                  <c:v>0.13609868852209775</c:v>
                </c:pt>
                <c:pt idx="37">
                  <c:v>7.0525746595541644E-2</c:v>
                </c:pt>
                <c:pt idx="38">
                  <c:v>0.12343153703463035</c:v>
                </c:pt>
                <c:pt idx="39">
                  <c:v>0.13834173611516429</c:v>
                </c:pt>
                <c:pt idx="40">
                  <c:v>0.13924773506463947</c:v>
                </c:pt>
                <c:pt idx="41">
                  <c:v>0.10053692599985942</c:v>
                </c:pt>
              </c:numCache>
            </c:numRef>
          </c:val>
          <c:extLst>
            <c:ext xmlns:c16="http://schemas.microsoft.com/office/drawing/2014/chart" uri="{C3380CC4-5D6E-409C-BE32-E72D297353CC}">
              <c16:uniqueId val="{00000004-2945-47C5-8CFD-D8BC508A4FAA}"/>
            </c:ext>
          </c:extLst>
        </c:ser>
        <c:ser>
          <c:idx val="5"/>
          <c:order val="5"/>
          <c:tx>
            <c:strRef>
              <c:f>'Trh práce 1'!$AH$7</c:f>
              <c:strCache>
                <c:ptCount val="1"/>
                <c:pt idx="0">
                  <c:v>Profesní, vědec., techn. a admin. čin.</c:v>
                </c:pt>
              </c:strCache>
            </c:strRef>
          </c:tx>
          <c:spPr>
            <a:solidFill>
              <a:srgbClr val="E8C0BE"/>
            </a:solidFill>
            <a:ln w="19050">
              <a:noFill/>
            </a:ln>
          </c:spPr>
          <c:invertIfNegative val="0"/>
          <c:cat>
            <c:multiLvlStrRef>
              <c:f>'Trh práce 1'!$AA$8:$AB$49</c:f>
              <c:multiLvlStrCache>
                <c:ptCount val="4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lvl>
                <c:lvl>
                  <c:pt idx="0">
                    <c:v>2010</c:v>
                  </c:pt>
                  <c:pt idx="4">
                    <c:v>2011</c:v>
                  </c:pt>
                  <c:pt idx="8">
                    <c:v>2012</c:v>
                  </c:pt>
                  <c:pt idx="12">
                    <c:v>2013</c:v>
                  </c:pt>
                  <c:pt idx="16">
                    <c:v>2014</c:v>
                  </c:pt>
                  <c:pt idx="20">
                    <c:v>2015</c:v>
                  </c:pt>
                  <c:pt idx="24">
                    <c:v>2016</c:v>
                  </c:pt>
                  <c:pt idx="28">
                    <c:v>2017</c:v>
                  </c:pt>
                  <c:pt idx="32">
                    <c:v>2018</c:v>
                  </c:pt>
                  <c:pt idx="36">
                    <c:v>2019</c:v>
                  </c:pt>
                  <c:pt idx="40">
                    <c:v>2020</c:v>
                  </c:pt>
                </c:lvl>
              </c:multiLvlStrCache>
            </c:multiLvlStrRef>
          </c:cat>
          <c:val>
            <c:numRef>
              <c:f>'Trh práce 1'!$AH$8:$AH$49</c:f>
              <c:numCache>
                <c:formatCode>#\ ##0.0</c:formatCode>
                <c:ptCount val="42"/>
                <c:pt idx="0">
                  <c:v>-5.3348893266299824E-2</c:v>
                </c:pt>
                <c:pt idx="1">
                  <c:v>4.8161770382895881E-2</c:v>
                </c:pt>
                <c:pt idx="2">
                  <c:v>0.12299255762087521</c:v>
                </c:pt>
                <c:pt idx="3">
                  <c:v>8.7653988937272845E-2</c:v>
                </c:pt>
                <c:pt idx="4">
                  <c:v>-0.16428789418225373</c:v>
                </c:pt>
                <c:pt idx="5">
                  <c:v>-0.19127441851624158</c:v>
                </c:pt>
                <c:pt idx="6">
                  <c:v>-0.34396458336456504</c:v>
                </c:pt>
                <c:pt idx="7">
                  <c:v>-0.24367623972283606</c:v>
                </c:pt>
                <c:pt idx="8">
                  <c:v>5.6746507144386886E-2</c:v>
                </c:pt>
                <c:pt idx="9">
                  <c:v>6.6996687386011153E-2</c:v>
                </c:pt>
                <c:pt idx="10">
                  <c:v>0.1296587317213094</c:v>
                </c:pt>
                <c:pt idx="11">
                  <c:v>0.17425078521151366</c:v>
                </c:pt>
                <c:pt idx="12">
                  <c:v>7.8059009356963069E-2</c:v>
                </c:pt>
                <c:pt idx="13">
                  <c:v>0.19094818622943679</c:v>
                </c:pt>
                <c:pt idx="14">
                  <c:v>0.25310034143556409</c:v>
                </c:pt>
                <c:pt idx="15">
                  <c:v>0.24529458193581563</c:v>
                </c:pt>
                <c:pt idx="16">
                  <c:v>0.33538384519079939</c:v>
                </c:pt>
                <c:pt idx="17">
                  <c:v>0.24925142118068547</c:v>
                </c:pt>
                <c:pt idx="18">
                  <c:v>0.14463413833494659</c:v>
                </c:pt>
                <c:pt idx="19">
                  <c:v>0.11174774216619586</c:v>
                </c:pt>
                <c:pt idx="20">
                  <c:v>0.11379850042183202</c:v>
                </c:pt>
                <c:pt idx="21">
                  <c:v>0.11820268366776726</c:v>
                </c:pt>
                <c:pt idx="22">
                  <c:v>0.23129653035669548</c:v>
                </c:pt>
                <c:pt idx="23">
                  <c:v>0.37241784026117603</c:v>
                </c:pt>
                <c:pt idx="24">
                  <c:v>0.26699425205615607</c:v>
                </c:pt>
                <c:pt idx="25">
                  <c:v>0.23716608218519117</c:v>
                </c:pt>
                <c:pt idx="26">
                  <c:v>0.24081927124703897</c:v>
                </c:pt>
                <c:pt idx="27">
                  <c:v>0.25506101535021469</c:v>
                </c:pt>
                <c:pt idx="28">
                  <c:v>0.4253197253437988</c:v>
                </c:pt>
                <c:pt idx="29">
                  <c:v>0.3617364642403027</c:v>
                </c:pt>
                <c:pt idx="30">
                  <c:v>0.29161615885428543</c:v>
                </c:pt>
                <c:pt idx="31">
                  <c:v>0.14112634349596684</c:v>
                </c:pt>
                <c:pt idx="32">
                  <c:v>0.15174369681839037</c:v>
                </c:pt>
                <c:pt idx="33">
                  <c:v>0.15585287803130304</c:v>
                </c:pt>
                <c:pt idx="34">
                  <c:v>7.8312780575002641E-2</c:v>
                </c:pt>
                <c:pt idx="35">
                  <c:v>0.22050552325722272</c:v>
                </c:pt>
                <c:pt idx="36">
                  <c:v>0.21302403420850086</c:v>
                </c:pt>
                <c:pt idx="37">
                  <c:v>0.16787633306650354</c:v>
                </c:pt>
                <c:pt idx="38">
                  <c:v>0.15865549346030708</c:v>
                </c:pt>
                <c:pt idx="39">
                  <c:v>9.7553379644807186E-3</c:v>
                </c:pt>
                <c:pt idx="40">
                  <c:v>-0.2382797831808324</c:v>
                </c:pt>
                <c:pt idx="41">
                  <c:v>-0.39393198079615843</c:v>
                </c:pt>
              </c:numCache>
            </c:numRef>
          </c:val>
          <c:extLst>
            <c:ext xmlns:c16="http://schemas.microsoft.com/office/drawing/2014/chart" uri="{C3380CC4-5D6E-409C-BE32-E72D297353CC}">
              <c16:uniqueId val="{00000005-2945-47C5-8CFD-D8BC508A4FAA}"/>
            </c:ext>
          </c:extLst>
        </c:ser>
        <c:ser>
          <c:idx val="6"/>
          <c:order val="6"/>
          <c:tx>
            <c:strRef>
              <c:f>'Trh práce 1'!$AI$7</c:f>
              <c:strCache>
                <c:ptCount val="1"/>
                <c:pt idx="0">
                  <c:v>Veř.spr.,obrana, vzděl.,zdrav.a soc.péče</c:v>
                </c:pt>
              </c:strCache>
            </c:strRef>
          </c:tx>
          <c:spPr>
            <a:solidFill>
              <a:srgbClr val="D58D8B"/>
            </a:solidFill>
            <a:ln>
              <a:noFill/>
            </a:ln>
          </c:spPr>
          <c:invertIfNegative val="0"/>
          <c:cat>
            <c:multiLvlStrRef>
              <c:f>'Trh práce 1'!$AA$8:$AB$49</c:f>
              <c:multiLvlStrCache>
                <c:ptCount val="4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lvl>
                <c:lvl>
                  <c:pt idx="0">
                    <c:v>2010</c:v>
                  </c:pt>
                  <c:pt idx="4">
                    <c:v>2011</c:v>
                  </c:pt>
                  <c:pt idx="8">
                    <c:v>2012</c:v>
                  </c:pt>
                  <c:pt idx="12">
                    <c:v>2013</c:v>
                  </c:pt>
                  <c:pt idx="16">
                    <c:v>2014</c:v>
                  </c:pt>
                  <c:pt idx="20">
                    <c:v>2015</c:v>
                  </c:pt>
                  <c:pt idx="24">
                    <c:v>2016</c:v>
                  </c:pt>
                  <c:pt idx="28">
                    <c:v>2017</c:v>
                  </c:pt>
                  <c:pt idx="32">
                    <c:v>2018</c:v>
                  </c:pt>
                  <c:pt idx="36">
                    <c:v>2019</c:v>
                  </c:pt>
                  <c:pt idx="40">
                    <c:v>2020</c:v>
                  </c:pt>
                </c:lvl>
              </c:multiLvlStrCache>
            </c:multiLvlStrRef>
          </c:cat>
          <c:val>
            <c:numRef>
              <c:f>'Trh práce 1'!$AI$8:$AI$49</c:f>
              <c:numCache>
                <c:formatCode>#\ ##0.0</c:formatCode>
                <c:ptCount val="42"/>
                <c:pt idx="0">
                  <c:v>-1.982964653799852E-2</c:v>
                </c:pt>
                <c:pt idx="1">
                  <c:v>-5.674254034965371E-2</c:v>
                </c:pt>
                <c:pt idx="2">
                  <c:v>-5.7882326156565612E-2</c:v>
                </c:pt>
                <c:pt idx="3">
                  <c:v>-4.8365584620723941E-2</c:v>
                </c:pt>
                <c:pt idx="4">
                  <c:v>0.13327294485754013</c:v>
                </c:pt>
                <c:pt idx="5">
                  <c:v>8.2721286865297894E-2</c:v>
                </c:pt>
                <c:pt idx="6">
                  <c:v>4.487437935281486E-2</c:v>
                </c:pt>
                <c:pt idx="7">
                  <c:v>9.5956023508239882E-2</c:v>
                </c:pt>
                <c:pt idx="8">
                  <c:v>-0.4542299056671108</c:v>
                </c:pt>
                <c:pt idx="9">
                  <c:v>-0.3389628500992603</c:v>
                </c:pt>
                <c:pt idx="10">
                  <c:v>-6.0135030477527558E-2</c:v>
                </c:pt>
                <c:pt idx="11">
                  <c:v>5.663299553572973E-2</c:v>
                </c:pt>
                <c:pt idx="12">
                  <c:v>0.16798362308491338</c:v>
                </c:pt>
                <c:pt idx="13">
                  <c:v>0.39138448109139218</c:v>
                </c:pt>
                <c:pt idx="14">
                  <c:v>0.2150034466276608</c:v>
                </c:pt>
                <c:pt idx="15">
                  <c:v>0.18322260680241081</c:v>
                </c:pt>
                <c:pt idx="16">
                  <c:v>0.26639466120126881</c:v>
                </c:pt>
                <c:pt idx="17">
                  <c:v>0.16025829797557781</c:v>
                </c:pt>
                <c:pt idx="18">
                  <c:v>0.35511828528936468</c:v>
                </c:pt>
                <c:pt idx="19">
                  <c:v>0.35974585753009758</c:v>
                </c:pt>
                <c:pt idx="20">
                  <c:v>0.25561438026381811</c:v>
                </c:pt>
                <c:pt idx="21">
                  <c:v>0.23618959741845097</c:v>
                </c:pt>
                <c:pt idx="22">
                  <c:v>0.10591974557381781</c:v>
                </c:pt>
                <c:pt idx="23">
                  <c:v>9.8709639055718459E-2</c:v>
                </c:pt>
                <c:pt idx="24">
                  <c:v>0.36242141278378515</c:v>
                </c:pt>
                <c:pt idx="25">
                  <c:v>0.34758527415111612</c:v>
                </c:pt>
                <c:pt idx="26">
                  <c:v>0.42951950059780825</c:v>
                </c:pt>
                <c:pt idx="27">
                  <c:v>0.52568461923790011</c:v>
                </c:pt>
                <c:pt idx="28">
                  <c:v>0.43143338593628888</c:v>
                </c:pt>
                <c:pt idx="29">
                  <c:v>0.47637406936515148</c:v>
                </c:pt>
                <c:pt idx="30">
                  <c:v>0.54554133741649136</c:v>
                </c:pt>
                <c:pt idx="31">
                  <c:v>0.54623885355011015</c:v>
                </c:pt>
                <c:pt idx="32">
                  <c:v>0.39719981193497272</c:v>
                </c:pt>
                <c:pt idx="33">
                  <c:v>0.45187402919885078</c:v>
                </c:pt>
                <c:pt idx="34">
                  <c:v>0.32168967834198869</c:v>
                </c:pt>
                <c:pt idx="35">
                  <c:v>0.29320006125567516</c:v>
                </c:pt>
                <c:pt idx="36">
                  <c:v>0.3051229831675053</c:v>
                </c:pt>
                <c:pt idx="37">
                  <c:v>0.2171411832223234</c:v>
                </c:pt>
                <c:pt idx="38">
                  <c:v>0.30064052955563197</c:v>
                </c:pt>
                <c:pt idx="39">
                  <c:v>0.30635442468078694</c:v>
                </c:pt>
                <c:pt idx="40">
                  <c:v>0.39070605916962003</c:v>
                </c:pt>
                <c:pt idx="41">
                  <c:v>0.30232758606429394</c:v>
                </c:pt>
              </c:numCache>
            </c:numRef>
          </c:val>
          <c:extLst>
            <c:ext xmlns:c16="http://schemas.microsoft.com/office/drawing/2014/chart" uri="{C3380CC4-5D6E-409C-BE32-E72D297353CC}">
              <c16:uniqueId val="{00000006-2945-47C5-8CFD-D8BC508A4FAA}"/>
            </c:ext>
          </c:extLst>
        </c:ser>
        <c:ser>
          <c:idx val="7"/>
          <c:order val="7"/>
          <c:tx>
            <c:strRef>
              <c:f>'Trh práce 1'!$AJ$7</c:f>
              <c:strCache>
                <c:ptCount val="1"/>
                <c:pt idx="0">
                  <c:v>Ostatní odvětví*</c:v>
                </c:pt>
              </c:strCache>
            </c:strRef>
          </c:tx>
          <c:spPr>
            <a:solidFill>
              <a:schemeClr val="bg1">
                <a:lumMod val="85000"/>
              </a:schemeClr>
            </a:solidFill>
            <a:ln>
              <a:noFill/>
            </a:ln>
          </c:spPr>
          <c:invertIfNegative val="0"/>
          <c:cat>
            <c:multiLvlStrRef>
              <c:f>'Trh práce 1'!$AA$8:$AB$49</c:f>
              <c:multiLvlStrCache>
                <c:ptCount val="4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lvl>
                <c:lvl>
                  <c:pt idx="0">
                    <c:v>2010</c:v>
                  </c:pt>
                  <c:pt idx="4">
                    <c:v>2011</c:v>
                  </c:pt>
                  <c:pt idx="8">
                    <c:v>2012</c:v>
                  </c:pt>
                  <c:pt idx="12">
                    <c:v>2013</c:v>
                  </c:pt>
                  <c:pt idx="16">
                    <c:v>2014</c:v>
                  </c:pt>
                  <c:pt idx="20">
                    <c:v>2015</c:v>
                  </c:pt>
                  <c:pt idx="24">
                    <c:v>2016</c:v>
                  </c:pt>
                  <c:pt idx="28">
                    <c:v>2017</c:v>
                  </c:pt>
                  <c:pt idx="32">
                    <c:v>2018</c:v>
                  </c:pt>
                  <c:pt idx="36">
                    <c:v>2019</c:v>
                  </c:pt>
                  <c:pt idx="40">
                    <c:v>2020</c:v>
                  </c:pt>
                </c:lvl>
              </c:multiLvlStrCache>
            </c:multiLvlStrRef>
          </c:cat>
          <c:val>
            <c:numRef>
              <c:f>'Trh práce 1'!$AJ$8:$AJ$49</c:f>
              <c:numCache>
                <c:formatCode>#\ ##0.0</c:formatCode>
                <c:ptCount val="42"/>
                <c:pt idx="0">
                  <c:v>-0.18883538767441632</c:v>
                </c:pt>
                <c:pt idx="1">
                  <c:v>-3.7782752495997468E-2</c:v>
                </c:pt>
                <c:pt idx="2">
                  <c:v>5.9635142430105703E-2</c:v>
                </c:pt>
                <c:pt idx="3">
                  <c:v>4.8622113629320202E-2</c:v>
                </c:pt>
                <c:pt idx="4">
                  <c:v>-0.11317875233730314</c:v>
                </c:pt>
                <c:pt idx="5">
                  <c:v>-0.13381093544135292</c:v>
                </c:pt>
                <c:pt idx="6">
                  <c:v>-0.13233503783649886</c:v>
                </c:pt>
                <c:pt idx="7">
                  <c:v>-0.12971613699901402</c:v>
                </c:pt>
                <c:pt idx="8">
                  <c:v>0.24731639202494232</c:v>
                </c:pt>
                <c:pt idx="9">
                  <c:v>0.29651577629441173</c:v>
                </c:pt>
                <c:pt idx="10">
                  <c:v>0.30620139530701529</c:v>
                </c:pt>
                <c:pt idx="11">
                  <c:v>0.37522837007059107</c:v>
                </c:pt>
                <c:pt idx="12">
                  <c:v>0.16941225772489849</c:v>
                </c:pt>
                <c:pt idx="13">
                  <c:v>7.8138527967387544E-2</c:v>
                </c:pt>
                <c:pt idx="14">
                  <c:v>-0.13991163330795056</c:v>
                </c:pt>
                <c:pt idx="15">
                  <c:v>-0.302561493004325</c:v>
                </c:pt>
                <c:pt idx="16">
                  <c:v>0.16156745322634058</c:v>
                </c:pt>
                <c:pt idx="17">
                  <c:v>3.677125959919849E-2</c:v>
                </c:pt>
                <c:pt idx="18">
                  <c:v>0.16053642399857421</c:v>
                </c:pt>
                <c:pt idx="19">
                  <c:v>0.21505240906129308</c:v>
                </c:pt>
                <c:pt idx="20">
                  <c:v>-4.1849241349879523E-2</c:v>
                </c:pt>
                <c:pt idx="21">
                  <c:v>9.7841849673883693E-2</c:v>
                </c:pt>
                <c:pt idx="22">
                  <c:v>4.8115148164572706E-2</c:v>
                </c:pt>
                <c:pt idx="23">
                  <c:v>-4.5211861143632459E-2</c:v>
                </c:pt>
                <c:pt idx="24">
                  <c:v>0.13066419283038919</c:v>
                </c:pt>
                <c:pt idx="25">
                  <c:v>8.2910779442291055E-2</c:v>
                </c:pt>
                <c:pt idx="26">
                  <c:v>0.10551022017018501</c:v>
                </c:pt>
                <c:pt idx="27">
                  <c:v>0.16861073984045796</c:v>
                </c:pt>
                <c:pt idx="28">
                  <c:v>-5.0552331024152887E-2</c:v>
                </c:pt>
                <c:pt idx="29">
                  <c:v>1.1401054711571157E-3</c:v>
                </c:pt>
                <c:pt idx="30">
                  <c:v>3.7899847185385707E-2</c:v>
                </c:pt>
                <c:pt idx="31">
                  <c:v>4.0443247413313482E-2</c:v>
                </c:pt>
                <c:pt idx="32">
                  <c:v>0.19188733270582164</c:v>
                </c:pt>
                <c:pt idx="33">
                  <c:v>0.19975852829309734</c:v>
                </c:pt>
                <c:pt idx="34">
                  <c:v>-8.9415163358709041E-3</c:v>
                </c:pt>
                <c:pt idx="35">
                  <c:v>5.0301192361819347E-4</c:v>
                </c:pt>
                <c:pt idx="36">
                  <c:v>-0.10500949648679234</c:v>
                </c:pt>
                <c:pt idx="37">
                  <c:v>-4.3608788451318478E-2</c:v>
                </c:pt>
                <c:pt idx="38">
                  <c:v>4.676220211018825E-2</c:v>
                </c:pt>
                <c:pt idx="39">
                  <c:v>5.3562327314412982E-2</c:v>
                </c:pt>
                <c:pt idx="40">
                  <c:v>9.8186562924406556E-2</c:v>
                </c:pt>
                <c:pt idx="41">
                  <c:v>-0.10793217966444846</c:v>
                </c:pt>
              </c:numCache>
            </c:numRef>
          </c:val>
          <c:extLst>
            <c:ext xmlns:c16="http://schemas.microsoft.com/office/drawing/2014/chart" uri="{C3380CC4-5D6E-409C-BE32-E72D297353CC}">
              <c16:uniqueId val="{00000007-2945-47C5-8CFD-D8BC508A4FAA}"/>
            </c:ext>
          </c:extLst>
        </c:ser>
        <c:dLbls>
          <c:showLegendKey val="0"/>
          <c:showVal val="0"/>
          <c:showCatName val="0"/>
          <c:showSerName val="0"/>
          <c:showPercent val="0"/>
          <c:showBubbleSize val="0"/>
        </c:dLbls>
        <c:gapWidth val="47"/>
        <c:overlap val="100"/>
        <c:axId val="101898496"/>
        <c:axId val="101781504"/>
      </c:barChart>
      <c:lineChart>
        <c:grouping val="standard"/>
        <c:varyColors val="0"/>
        <c:ser>
          <c:idx val="8"/>
          <c:order val="8"/>
          <c:tx>
            <c:strRef>
              <c:f>'Trh práce 1'!$AK$7</c:f>
              <c:strCache>
                <c:ptCount val="1"/>
                <c:pt idx="0">
                  <c:v>Zaměstnanost celkem</c:v>
                </c:pt>
              </c:strCache>
            </c:strRef>
          </c:tx>
          <c:spPr>
            <a:ln w="22225">
              <a:solidFill>
                <a:schemeClr val="tx1">
                  <a:lumMod val="95000"/>
                  <a:lumOff val="5000"/>
                </a:schemeClr>
              </a:solidFill>
            </a:ln>
          </c:spPr>
          <c:marker>
            <c:symbol val="none"/>
          </c:marker>
          <c:cat>
            <c:multiLvlStrRef>
              <c:f>'Trh práce 1'!$AA$8:$AB$49</c:f>
              <c:multiLvlStrCache>
                <c:ptCount val="4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lvl>
                <c:lvl>
                  <c:pt idx="0">
                    <c:v>2010</c:v>
                  </c:pt>
                  <c:pt idx="4">
                    <c:v>2011</c:v>
                  </c:pt>
                  <c:pt idx="8">
                    <c:v>2012</c:v>
                  </c:pt>
                  <c:pt idx="12">
                    <c:v>2013</c:v>
                  </c:pt>
                  <c:pt idx="16">
                    <c:v>2014</c:v>
                  </c:pt>
                  <c:pt idx="20">
                    <c:v>2015</c:v>
                  </c:pt>
                  <c:pt idx="24">
                    <c:v>2016</c:v>
                  </c:pt>
                  <c:pt idx="28">
                    <c:v>2017</c:v>
                  </c:pt>
                  <c:pt idx="32">
                    <c:v>2018</c:v>
                  </c:pt>
                  <c:pt idx="36">
                    <c:v>2019</c:v>
                  </c:pt>
                  <c:pt idx="40">
                    <c:v>2020</c:v>
                  </c:pt>
                </c:lvl>
              </c:multiLvlStrCache>
            </c:multiLvlStrRef>
          </c:cat>
          <c:val>
            <c:numRef>
              <c:f>'Trh práce 1'!$AK$8:$AK$49</c:f>
              <c:numCache>
                <c:formatCode>#\ ##0.0</c:formatCode>
                <c:ptCount val="42"/>
                <c:pt idx="0">
                  <c:v>-2.7578655345296426</c:v>
                </c:pt>
                <c:pt idx="1">
                  <c:v>-1.2546102092398286</c:v>
                </c:pt>
                <c:pt idx="2">
                  <c:v>-0.15430691576614208</c:v>
                </c:pt>
                <c:pt idx="3">
                  <c:v>6.7486862261475267E-2</c:v>
                </c:pt>
                <c:pt idx="4">
                  <c:v>0.10799635683554243</c:v>
                </c:pt>
                <c:pt idx="5">
                  <c:v>-1.7973421506027876E-2</c:v>
                </c:pt>
                <c:pt idx="6">
                  <c:v>-0.41560579031376221</c:v>
                </c:pt>
                <c:pt idx="7">
                  <c:v>-0.76258022710381113</c:v>
                </c:pt>
                <c:pt idx="8">
                  <c:v>-3.8538435295890849E-2</c:v>
                </c:pt>
                <c:pt idx="9">
                  <c:v>0.15775106533443761</c:v>
                </c:pt>
                <c:pt idx="10">
                  <c:v>0.65643446806842576</c:v>
                </c:pt>
                <c:pt idx="11">
                  <c:v>0.90561127668257768</c:v>
                </c:pt>
                <c:pt idx="12">
                  <c:v>0.43426524625991192</c:v>
                </c:pt>
                <c:pt idx="13">
                  <c:v>0.6856739838433441</c:v>
                </c:pt>
                <c:pt idx="14">
                  <c:v>0.10901694072096291</c:v>
                </c:pt>
                <c:pt idx="15">
                  <c:v>6.1264566827418321E-2</c:v>
                </c:pt>
                <c:pt idx="16">
                  <c:v>0.55386935084378308</c:v>
                </c:pt>
                <c:pt idx="17">
                  <c:v>8.5812693917830529E-2</c:v>
                </c:pt>
                <c:pt idx="18">
                  <c:v>0.62215481278056473</c:v>
                </c:pt>
                <c:pt idx="19">
                  <c:v>0.94660847176993457</c:v>
                </c:pt>
                <c:pt idx="20">
                  <c:v>1.2568722152080483</c:v>
                </c:pt>
                <c:pt idx="21">
                  <c:v>1.755209813686605</c:v>
                </c:pt>
                <c:pt idx="22">
                  <c:v>1.3509162976145745</c:v>
                </c:pt>
                <c:pt idx="23">
                  <c:v>1.3487327908819964</c:v>
                </c:pt>
                <c:pt idx="24">
                  <c:v>1.5622074293090975</c:v>
                </c:pt>
                <c:pt idx="25">
                  <c:v>1.4490012923363622</c:v>
                </c:pt>
                <c:pt idx="26">
                  <c:v>1.510931795564602</c:v>
                </c:pt>
                <c:pt idx="27">
                  <c:v>1.8366162892787088</c:v>
                </c:pt>
                <c:pt idx="28">
                  <c:v>1.4663041775407066</c:v>
                </c:pt>
                <c:pt idx="29">
                  <c:v>1.4017976803033889</c:v>
                </c:pt>
                <c:pt idx="30">
                  <c:v>1.9311643076100466</c:v>
                </c:pt>
                <c:pt idx="31">
                  <c:v>1.3946025548949592</c:v>
                </c:pt>
                <c:pt idx="32">
                  <c:v>1.5065537498241781</c:v>
                </c:pt>
                <c:pt idx="33">
                  <c:v>1.7120392741007464</c:v>
                </c:pt>
                <c:pt idx="34">
                  <c:v>0.90441574921430856</c:v>
                </c:pt>
                <c:pt idx="35">
                  <c:v>1.2157425592426989</c:v>
                </c:pt>
                <c:pt idx="36">
                  <c:v>0.92232506347222909</c:v>
                </c:pt>
                <c:pt idx="37">
                  <c:v>0.23917587311999</c:v>
                </c:pt>
                <c:pt idx="38">
                  <c:v>0.17637823883171677</c:v>
                </c:pt>
                <c:pt idx="39">
                  <c:v>-0.33427677881685725</c:v>
                </c:pt>
                <c:pt idx="40">
                  <c:v>-0.46409784983924851</c:v>
                </c:pt>
                <c:pt idx="41">
                  <c:v>-1.860362480648476</c:v>
                </c:pt>
              </c:numCache>
            </c:numRef>
          </c:val>
          <c:smooth val="0"/>
          <c:extLst>
            <c:ext xmlns:c16="http://schemas.microsoft.com/office/drawing/2014/chart" uri="{C3380CC4-5D6E-409C-BE32-E72D297353CC}">
              <c16:uniqueId val="{00000008-2945-47C5-8CFD-D8BC508A4FAA}"/>
            </c:ext>
          </c:extLst>
        </c:ser>
        <c:dLbls>
          <c:showLegendKey val="0"/>
          <c:showVal val="0"/>
          <c:showCatName val="0"/>
          <c:showSerName val="0"/>
          <c:showPercent val="0"/>
          <c:showBubbleSize val="0"/>
        </c:dLbls>
        <c:marker val="1"/>
        <c:smooth val="0"/>
        <c:axId val="101898496"/>
        <c:axId val="101781504"/>
      </c:lineChart>
      <c:lineChart>
        <c:grouping val="standard"/>
        <c:varyColors val="0"/>
        <c:ser>
          <c:idx val="9"/>
          <c:order val="9"/>
          <c:tx>
            <c:strRef>
              <c:f>'Trh práce 1'!$AL$7</c:f>
              <c:strCache>
                <c:ptCount val="1"/>
              </c:strCache>
            </c:strRef>
          </c:tx>
          <c:spPr>
            <a:ln>
              <a:noFill/>
            </a:ln>
          </c:spPr>
          <c:marker>
            <c:symbol val="none"/>
          </c:marker>
          <c:cat>
            <c:multiLvlStrRef>
              <c:f>'Trh práce 1'!$AA$8:$AB$49</c:f>
              <c:multiLvlStrCache>
                <c:ptCount val="4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lvl>
                <c:lvl>
                  <c:pt idx="0">
                    <c:v>2010</c:v>
                  </c:pt>
                  <c:pt idx="4">
                    <c:v>2011</c:v>
                  </c:pt>
                  <c:pt idx="8">
                    <c:v>2012</c:v>
                  </c:pt>
                  <c:pt idx="12">
                    <c:v>2013</c:v>
                  </c:pt>
                  <c:pt idx="16">
                    <c:v>2014</c:v>
                  </c:pt>
                  <c:pt idx="20">
                    <c:v>2015</c:v>
                  </c:pt>
                  <c:pt idx="24">
                    <c:v>2016</c:v>
                  </c:pt>
                  <c:pt idx="28">
                    <c:v>2017</c:v>
                  </c:pt>
                  <c:pt idx="32">
                    <c:v>2018</c:v>
                  </c:pt>
                  <c:pt idx="36">
                    <c:v>2019</c:v>
                  </c:pt>
                  <c:pt idx="40">
                    <c:v>2020</c:v>
                  </c:pt>
                </c:lvl>
              </c:multiLvlStrCache>
            </c:multiLvlStrRef>
          </c:cat>
          <c:val>
            <c:numRef>
              <c:f>'Trh práce 1'!$AL$8:$AL$49</c:f>
              <c:numCache>
                <c:formatCode>General</c:formatCode>
                <c:ptCount val="42"/>
              </c:numCache>
            </c:numRef>
          </c:val>
          <c:smooth val="0"/>
          <c:extLst>
            <c:ext xmlns:c16="http://schemas.microsoft.com/office/drawing/2014/chart" uri="{C3380CC4-5D6E-409C-BE32-E72D297353CC}">
              <c16:uniqueId val="{00000009-2945-47C5-8CFD-D8BC508A4FAA}"/>
            </c:ext>
          </c:extLst>
        </c:ser>
        <c:ser>
          <c:idx val="10"/>
          <c:order val="10"/>
          <c:tx>
            <c:strRef>
              <c:f>'Trh práce 1'!$AM$7</c:f>
              <c:strCache>
                <c:ptCount val="1"/>
                <c:pt idx="0">
                  <c:v>Očekávání zaměstnanosti (průmysl)</c:v>
                </c:pt>
              </c:strCache>
            </c:strRef>
          </c:tx>
          <c:spPr>
            <a:ln w="15875">
              <a:solidFill>
                <a:schemeClr val="tx1">
                  <a:lumMod val="95000"/>
                  <a:lumOff val="5000"/>
                </a:schemeClr>
              </a:solidFill>
              <a:prstDash val="sysDot"/>
            </a:ln>
          </c:spPr>
          <c:marker>
            <c:symbol val="none"/>
          </c:marker>
          <c:cat>
            <c:multiLvlStrRef>
              <c:f>'Trh práce 1'!$AA$8:$AB$49</c:f>
              <c:multiLvlStrCache>
                <c:ptCount val="4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lvl>
                <c:lvl>
                  <c:pt idx="0">
                    <c:v>2010</c:v>
                  </c:pt>
                  <c:pt idx="4">
                    <c:v>2011</c:v>
                  </c:pt>
                  <c:pt idx="8">
                    <c:v>2012</c:v>
                  </c:pt>
                  <c:pt idx="12">
                    <c:v>2013</c:v>
                  </c:pt>
                  <c:pt idx="16">
                    <c:v>2014</c:v>
                  </c:pt>
                  <c:pt idx="20">
                    <c:v>2015</c:v>
                  </c:pt>
                  <c:pt idx="24">
                    <c:v>2016</c:v>
                  </c:pt>
                  <c:pt idx="28">
                    <c:v>2017</c:v>
                  </c:pt>
                  <c:pt idx="32">
                    <c:v>2018</c:v>
                  </c:pt>
                  <c:pt idx="36">
                    <c:v>2019</c:v>
                  </c:pt>
                  <c:pt idx="40">
                    <c:v>2020</c:v>
                  </c:pt>
                </c:lvl>
              </c:multiLvlStrCache>
            </c:multiLvlStrRef>
          </c:cat>
          <c:val>
            <c:numRef>
              <c:f>'Trh práce 1'!$AM$8:$AM$49</c:f>
              <c:numCache>
                <c:formatCode>General</c:formatCode>
                <c:ptCount val="42"/>
                <c:pt idx="0">
                  <c:v>-10.9</c:v>
                </c:pt>
                <c:pt idx="1">
                  <c:v>-1.8</c:v>
                </c:pt>
                <c:pt idx="2">
                  <c:v>3.1</c:v>
                </c:pt>
                <c:pt idx="3">
                  <c:v>9.1999999999999993</c:v>
                </c:pt>
                <c:pt idx="4">
                  <c:v>12.4</c:v>
                </c:pt>
                <c:pt idx="5">
                  <c:v>1.9</c:v>
                </c:pt>
                <c:pt idx="6">
                  <c:v>3.2</c:v>
                </c:pt>
                <c:pt idx="7">
                  <c:v>-3.7</c:v>
                </c:pt>
                <c:pt idx="8">
                  <c:v>0.6</c:v>
                </c:pt>
                <c:pt idx="9">
                  <c:v>-11.6</c:v>
                </c:pt>
                <c:pt idx="10">
                  <c:v>-16.100000000000001</c:v>
                </c:pt>
                <c:pt idx="11">
                  <c:v>-12.9</c:v>
                </c:pt>
                <c:pt idx="12">
                  <c:v>-11.6</c:v>
                </c:pt>
                <c:pt idx="13">
                  <c:v>-10.9</c:v>
                </c:pt>
                <c:pt idx="14">
                  <c:v>-8</c:v>
                </c:pt>
                <c:pt idx="15">
                  <c:v>2.6</c:v>
                </c:pt>
                <c:pt idx="16">
                  <c:v>-4.8</c:v>
                </c:pt>
                <c:pt idx="17">
                  <c:v>5.3</c:v>
                </c:pt>
                <c:pt idx="18">
                  <c:v>0.6</c:v>
                </c:pt>
                <c:pt idx="19">
                  <c:v>8.1</c:v>
                </c:pt>
                <c:pt idx="20">
                  <c:v>3.3</c:v>
                </c:pt>
                <c:pt idx="21">
                  <c:v>6.6</c:v>
                </c:pt>
                <c:pt idx="22">
                  <c:v>6.4</c:v>
                </c:pt>
                <c:pt idx="23">
                  <c:v>11.1</c:v>
                </c:pt>
                <c:pt idx="24">
                  <c:v>11.1</c:v>
                </c:pt>
                <c:pt idx="25">
                  <c:v>6.1</c:v>
                </c:pt>
                <c:pt idx="26">
                  <c:v>5.3</c:v>
                </c:pt>
                <c:pt idx="27">
                  <c:v>9.1</c:v>
                </c:pt>
                <c:pt idx="28">
                  <c:v>9.6</c:v>
                </c:pt>
                <c:pt idx="29">
                  <c:v>6.7</c:v>
                </c:pt>
                <c:pt idx="30">
                  <c:v>8.6999999999999993</c:v>
                </c:pt>
                <c:pt idx="31">
                  <c:v>8.5</c:v>
                </c:pt>
                <c:pt idx="32">
                  <c:v>12.9</c:v>
                </c:pt>
                <c:pt idx="33">
                  <c:v>7.3</c:v>
                </c:pt>
                <c:pt idx="34">
                  <c:v>5.9</c:v>
                </c:pt>
                <c:pt idx="35">
                  <c:v>5.6</c:v>
                </c:pt>
                <c:pt idx="36">
                  <c:v>0.7</c:v>
                </c:pt>
                <c:pt idx="37">
                  <c:v>-2.2999999999999998</c:v>
                </c:pt>
                <c:pt idx="38">
                  <c:v>0</c:v>
                </c:pt>
                <c:pt idx="39">
                  <c:v>-6.5</c:v>
                </c:pt>
                <c:pt idx="40">
                  <c:v>-0.8</c:v>
                </c:pt>
                <c:pt idx="41">
                  <c:v>-17.7</c:v>
                </c:pt>
              </c:numCache>
            </c:numRef>
          </c:val>
          <c:smooth val="0"/>
          <c:extLst>
            <c:ext xmlns:c16="http://schemas.microsoft.com/office/drawing/2014/chart" uri="{C3380CC4-5D6E-409C-BE32-E72D297353CC}">
              <c16:uniqueId val="{0000000A-2945-47C5-8CFD-D8BC508A4FAA}"/>
            </c:ext>
          </c:extLst>
        </c:ser>
        <c:ser>
          <c:idx val="11"/>
          <c:order val="11"/>
          <c:tx>
            <c:strRef>
              <c:f>'Trh práce 1'!$AN$7</c:f>
              <c:strCache>
                <c:ptCount val="1"/>
                <c:pt idx="0">
                  <c:v>Očekávání zaměstnanosti (stavebnictví)</c:v>
                </c:pt>
              </c:strCache>
            </c:strRef>
          </c:tx>
          <c:spPr>
            <a:ln w="15875">
              <a:solidFill>
                <a:srgbClr val="00B0F0"/>
              </a:solidFill>
              <a:prstDash val="sysDot"/>
            </a:ln>
          </c:spPr>
          <c:marker>
            <c:symbol val="none"/>
          </c:marker>
          <c:cat>
            <c:multiLvlStrRef>
              <c:f>'Trh práce 1'!$AA$8:$AB$49</c:f>
              <c:multiLvlStrCache>
                <c:ptCount val="4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lvl>
                <c:lvl>
                  <c:pt idx="0">
                    <c:v>2010</c:v>
                  </c:pt>
                  <c:pt idx="4">
                    <c:v>2011</c:v>
                  </c:pt>
                  <c:pt idx="8">
                    <c:v>2012</c:v>
                  </c:pt>
                  <c:pt idx="12">
                    <c:v>2013</c:v>
                  </c:pt>
                  <c:pt idx="16">
                    <c:v>2014</c:v>
                  </c:pt>
                  <c:pt idx="20">
                    <c:v>2015</c:v>
                  </c:pt>
                  <c:pt idx="24">
                    <c:v>2016</c:v>
                  </c:pt>
                  <c:pt idx="28">
                    <c:v>2017</c:v>
                  </c:pt>
                  <c:pt idx="32">
                    <c:v>2018</c:v>
                  </c:pt>
                  <c:pt idx="36">
                    <c:v>2019</c:v>
                  </c:pt>
                  <c:pt idx="40">
                    <c:v>2020</c:v>
                  </c:pt>
                </c:lvl>
              </c:multiLvlStrCache>
            </c:multiLvlStrRef>
          </c:cat>
          <c:val>
            <c:numRef>
              <c:f>'Trh práce 1'!$AN$8:$AN$49</c:f>
              <c:numCache>
                <c:formatCode>General</c:formatCode>
                <c:ptCount val="42"/>
                <c:pt idx="0">
                  <c:v>-21.6</c:v>
                </c:pt>
                <c:pt idx="1">
                  <c:v>-25.3</c:v>
                </c:pt>
                <c:pt idx="2">
                  <c:v>-34.5</c:v>
                </c:pt>
                <c:pt idx="3">
                  <c:v>-32.1</c:v>
                </c:pt>
                <c:pt idx="4">
                  <c:v>-29.6</c:v>
                </c:pt>
                <c:pt idx="5">
                  <c:v>-29.5</c:v>
                </c:pt>
                <c:pt idx="6">
                  <c:v>-23.6</c:v>
                </c:pt>
                <c:pt idx="7">
                  <c:v>-28.1</c:v>
                </c:pt>
                <c:pt idx="8">
                  <c:v>-31.1</c:v>
                </c:pt>
                <c:pt idx="9">
                  <c:v>-28.4</c:v>
                </c:pt>
                <c:pt idx="10">
                  <c:v>-27</c:v>
                </c:pt>
                <c:pt idx="11">
                  <c:v>-28.6</c:v>
                </c:pt>
                <c:pt idx="12">
                  <c:v>-38.9</c:v>
                </c:pt>
                <c:pt idx="13">
                  <c:v>-41.9</c:v>
                </c:pt>
                <c:pt idx="14">
                  <c:v>-32.799999999999997</c:v>
                </c:pt>
                <c:pt idx="15">
                  <c:v>-28.6</c:v>
                </c:pt>
                <c:pt idx="16">
                  <c:v>-21.8</c:v>
                </c:pt>
                <c:pt idx="17">
                  <c:v>-17.7</c:v>
                </c:pt>
                <c:pt idx="18">
                  <c:v>-8.9</c:v>
                </c:pt>
                <c:pt idx="19">
                  <c:v>-6.2</c:v>
                </c:pt>
                <c:pt idx="20">
                  <c:v>1.2</c:v>
                </c:pt>
                <c:pt idx="21">
                  <c:v>3.6</c:v>
                </c:pt>
                <c:pt idx="22">
                  <c:v>6.9</c:v>
                </c:pt>
                <c:pt idx="23">
                  <c:v>0.3</c:v>
                </c:pt>
                <c:pt idx="24">
                  <c:v>-0.6</c:v>
                </c:pt>
                <c:pt idx="25">
                  <c:v>-7.6</c:v>
                </c:pt>
                <c:pt idx="26">
                  <c:v>-14.3</c:v>
                </c:pt>
                <c:pt idx="27">
                  <c:v>-11.9</c:v>
                </c:pt>
                <c:pt idx="28">
                  <c:v>-7.6</c:v>
                </c:pt>
                <c:pt idx="29">
                  <c:v>-8.1</c:v>
                </c:pt>
                <c:pt idx="30">
                  <c:v>-9.4</c:v>
                </c:pt>
                <c:pt idx="31">
                  <c:v>0.7</c:v>
                </c:pt>
                <c:pt idx="32">
                  <c:v>6.1</c:v>
                </c:pt>
                <c:pt idx="33">
                  <c:v>3.9</c:v>
                </c:pt>
                <c:pt idx="34">
                  <c:v>9.6</c:v>
                </c:pt>
                <c:pt idx="35">
                  <c:v>15.3</c:v>
                </c:pt>
                <c:pt idx="36">
                  <c:v>10.8</c:v>
                </c:pt>
                <c:pt idx="37">
                  <c:v>14.6</c:v>
                </c:pt>
                <c:pt idx="38">
                  <c:v>6.7</c:v>
                </c:pt>
                <c:pt idx="39">
                  <c:v>15.4</c:v>
                </c:pt>
                <c:pt idx="40">
                  <c:v>6.4</c:v>
                </c:pt>
                <c:pt idx="41">
                  <c:v>-5.8</c:v>
                </c:pt>
              </c:numCache>
            </c:numRef>
          </c:val>
          <c:smooth val="0"/>
          <c:extLst>
            <c:ext xmlns:c16="http://schemas.microsoft.com/office/drawing/2014/chart" uri="{C3380CC4-5D6E-409C-BE32-E72D297353CC}">
              <c16:uniqueId val="{0000000B-2945-47C5-8CFD-D8BC508A4FAA}"/>
            </c:ext>
          </c:extLst>
        </c:ser>
        <c:ser>
          <c:idx val="12"/>
          <c:order val="12"/>
          <c:tx>
            <c:strRef>
              <c:f>'Trh práce 1'!$AO$7</c:f>
              <c:strCache>
                <c:ptCount val="1"/>
                <c:pt idx="0">
                  <c:v>Očekávání zaměstnanosti (obchod)</c:v>
                </c:pt>
              </c:strCache>
            </c:strRef>
          </c:tx>
          <c:spPr>
            <a:ln w="15875">
              <a:solidFill>
                <a:schemeClr val="accent6">
                  <a:lumMod val="75000"/>
                </a:schemeClr>
              </a:solidFill>
              <a:prstDash val="sysDot"/>
            </a:ln>
          </c:spPr>
          <c:marker>
            <c:symbol val="none"/>
          </c:marker>
          <c:cat>
            <c:multiLvlStrRef>
              <c:f>'Trh práce 1'!$AA$8:$AB$49</c:f>
              <c:multiLvlStrCache>
                <c:ptCount val="4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lvl>
                <c:lvl>
                  <c:pt idx="0">
                    <c:v>2010</c:v>
                  </c:pt>
                  <c:pt idx="4">
                    <c:v>2011</c:v>
                  </c:pt>
                  <c:pt idx="8">
                    <c:v>2012</c:v>
                  </c:pt>
                  <c:pt idx="12">
                    <c:v>2013</c:v>
                  </c:pt>
                  <c:pt idx="16">
                    <c:v>2014</c:v>
                  </c:pt>
                  <c:pt idx="20">
                    <c:v>2015</c:v>
                  </c:pt>
                  <c:pt idx="24">
                    <c:v>2016</c:v>
                  </c:pt>
                  <c:pt idx="28">
                    <c:v>2017</c:v>
                  </c:pt>
                  <c:pt idx="32">
                    <c:v>2018</c:v>
                  </c:pt>
                  <c:pt idx="36">
                    <c:v>2019</c:v>
                  </c:pt>
                  <c:pt idx="40">
                    <c:v>2020</c:v>
                  </c:pt>
                </c:lvl>
              </c:multiLvlStrCache>
            </c:multiLvlStrRef>
          </c:cat>
          <c:val>
            <c:numRef>
              <c:f>'Trh práce 1'!$AO$8:$AO$49</c:f>
              <c:numCache>
                <c:formatCode>General</c:formatCode>
                <c:ptCount val="42"/>
                <c:pt idx="0">
                  <c:v>4.2</c:v>
                </c:pt>
                <c:pt idx="1">
                  <c:v>4.7</c:v>
                </c:pt>
                <c:pt idx="2">
                  <c:v>7.7</c:v>
                </c:pt>
                <c:pt idx="3">
                  <c:v>12.5</c:v>
                </c:pt>
                <c:pt idx="4">
                  <c:v>11.6</c:v>
                </c:pt>
                <c:pt idx="5">
                  <c:v>7.3</c:v>
                </c:pt>
                <c:pt idx="6">
                  <c:v>0.8</c:v>
                </c:pt>
                <c:pt idx="7">
                  <c:v>12</c:v>
                </c:pt>
                <c:pt idx="8">
                  <c:v>9.8000000000000007</c:v>
                </c:pt>
                <c:pt idx="9">
                  <c:v>7</c:v>
                </c:pt>
                <c:pt idx="10">
                  <c:v>4.2</c:v>
                </c:pt>
                <c:pt idx="11">
                  <c:v>10.8</c:v>
                </c:pt>
                <c:pt idx="12">
                  <c:v>-2.8</c:v>
                </c:pt>
                <c:pt idx="13">
                  <c:v>10.5</c:v>
                </c:pt>
                <c:pt idx="14">
                  <c:v>1.1000000000000001</c:v>
                </c:pt>
                <c:pt idx="15">
                  <c:v>-3.4</c:v>
                </c:pt>
                <c:pt idx="16">
                  <c:v>7.4</c:v>
                </c:pt>
                <c:pt idx="17">
                  <c:v>-8.5</c:v>
                </c:pt>
                <c:pt idx="18">
                  <c:v>2.6</c:v>
                </c:pt>
                <c:pt idx="19">
                  <c:v>11.6</c:v>
                </c:pt>
                <c:pt idx="20">
                  <c:v>6</c:v>
                </c:pt>
                <c:pt idx="21">
                  <c:v>9.3000000000000007</c:v>
                </c:pt>
                <c:pt idx="22">
                  <c:v>7.9</c:v>
                </c:pt>
                <c:pt idx="23">
                  <c:v>10.199999999999999</c:v>
                </c:pt>
                <c:pt idx="24">
                  <c:v>16.5</c:v>
                </c:pt>
                <c:pt idx="25">
                  <c:v>21.3</c:v>
                </c:pt>
                <c:pt idx="26">
                  <c:v>21.6</c:v>
                </c:pt>
                <c:pt idx="27">
                  <c:v>15.3</c:v>
                </c:pt>
                <c:pt idx="28">
                  <c:v>14</c:v>
                </c:pt>
                <c:pt idx="29">
                  <c:v>17</c:v>
                </c:pt>
                <c:pt idx="30">
                  <c:v>18</c:v>
                </c:pt>
                <c:pt idx="31">
                  <c:v>11.6</c:v>
                </c:pt>
                <c:pt idx="32">
                  <c:v>29.9</c:v>
                </c:pt>
                <c:pt idx="33">
                  <c:v>29.3</c:v>
                </c:pt>
                <c:pt idx="34">
                  <c:v>18.3</c:v>
                </c:pt>
                <c:pt idx="35">
                  <c:v>18.100000000000001</c:v>
                </c:pt>
                <c:pt idx="36">
                  <c:v>16.600000000000001</c:v>
                </c:pt>
                <c:pt idx="37">
                  <c:v>14.9</c:v>
                </c:pt>
                <c:pt idx="38">
                  <c:v>17.100000000000001</c:v>
                </c:pt>
                <c:pt idx="39">
                  <c:v>15.1</c:v>
                </c:pt>
                <c:pt idx="40">
                  <c:v>9.6999999999999993</c:v>
                </c:pt>
                <c:pt idx="41">
                  <c:v>-0.8</c:v>
                </c:pt>
              </c:numCache>
            </c:numRef>
          </c:val>
          <c:smooth val="0"/>
          <c:extLst>
            <c:ext xmlns:c16="http://schemas.microsoft.com/office/drawing/2014/chart" uri="{C3380CC4-5D6E-409C-BE32-E72D297353CC}">
              <c16:uniqueId val="{0000000C-2945-47C5-8CFD-D8BC508A4FAA}"/>
            </c:ext>
          </c:extLst>
        </c:ser>
        <c:ser>
          <c:idx val="13"/>
          <c:order val="13"/>
          <c:tx>
            <c:strRef>
              <c:f>'Trh práce 1'!$AP$7</c:f>
              <c:strCache>
                <c:ptCount val="1"/>
                <c:pt idx="0">
                  <c:v>Očekávání zaměstnanosti (vybr. služby)</c:v>
                </c:pt>
              </c:strCache>
            </c:strRef>
          </c:tx>
          <c:spPr>
            <a:ln w="15875">
              <a:solidFill>
                <a:srgbClr val="C00000"/>
              </a:solidFill>
              <a:prstDash val="sysDot"/>
            </a:ln>
          </c:spPr>
          <c:marker>
            <c:symbol val="none"/>
          </c:marker>
          <c:cat>
            <c:multiLvlStrRef>
              <c:f>'Trh práce 1'!$AA$8:$AB$49</c:f>
              <c:multiLvlStrCache>
                <c:ptCount val="4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lvl>
                <c:lvl>
                  <c:pt idx="0">
                    <c:v>2010</c:v>
                  </c:pt>
                  <c:pt idx="4">
                    <c:v>2011</c:v>
                  </c:pt>
                  <c:pt idx="8">
                    <c:v>2012</c:v>
                  </c:pt>
                  <c:pt idx="12">
                    <c:v>2013</c:v>
                  </c:pt>
                  <c:pt idx="16">
                    <c:v>2014</c:v>
                  </c:pt>
                  <c:pt idx="20">
                    <c:v>2015</c:v>
                  </c:pt>
                  <c:pt idx="24">
                    <c:v>2016</c:v>
                  </c:pt>
                  <c:pt idx="28">
                    <c:v>2017</c:v>
                  </c:pt>
                  <c:pt idx="32">
                    <c:v>2018</c:v>
                  </c:pt>
                  <c:pt idx="36">
                    <c:v>2019</c:v>
                  </c:pt>
                  <c:pt idx="40">
                    <c:v>2020</c:v>
                  </c:pt>
                </c:lvl>
              </c:multiLvlStrCache>
            </c:multiLvlStrRef>
          </c:cat>
          <c:val>
            <c:numRef>
              <c:f>'Trh práce 1'!$AP$8:$AP$49</c:f>
              <c:numCache>
                <c:formatCode>General</c:formatCode>
                <c:ptCount val="42"/>
                <c:pt idx="0">
                  <c:v>-8.6999999999999993</c:v>
                </c:pt>
                <c:pt idx="1">
                  <c:v>-3.9</c:v>
                </c:pt>
                <c:pt idx="2">
                  <c:v>-3.5</c:v>
                </c:pt>
                <c:pt idx="3">
                  <c:v>-9.9</c:v>
                </c:pt>
                <c:pt idx="4">
                  <c:v>-25</c:v>
                </c:pt>
                <c:pt idx="5">
                  <c:v>-9.9</c:v>
                </c:pt>
                <c:pt idx="6">
                  <c:v>-7.8</c:v>
                </c:pt>
                <c:pt idx="7">
                  <c:v>-0.4</c:v>
                </c:pt>
                <c:pt idx="8">
                  <c:v>-3.6</c:v>
                </c:pt>
                <c:pt idx="9">
                  <c:v>-11.9</c:v>
                </c:pt>
                <c:pt idx="10">
                  <c:v>-13.6</c:v>
                </c:pt>
                <c:pt idx="11">
                  <c:v>-8.4</c:v>
                </c:pt>
                <c:pt idx="12">
                  <c:v>-12.7</c:v>
                </c:pt>
                <c:pt idx="13">
                  <c:v>-33.5</c:v>
                </c:pt>
                <c:pt idx="14">
                  <c:v>-22.9</c:v>
                </c:pt>
                <c:pt idx="15">
                  <c:v>-15.8</c:v>
                </c:pt>
                <c:pt idx="16">
                  <c:v>-11.2</c:v>
                </c:pt>
                <c:pt idx="17">
                  <c:v>-10.4</c:v>
                </c:pt>
                <c:pt idx="18">
                  <c:v>-11.6</c:v>
                </c:pt>
                <c:pt idx="19">
                  <c:v>-10.9</c:v>
                </c:pt>
                <c:pt idx="20">
                  <c:v>-14.5</c:v>
                </c:pt>
                <c:pt idx="21">
                  <c:v>-11.6</c:v>
                </c:pt>
                <c:pt idx="22">
                  <c:v>3.4</c:v>
                </c:pt>
                <c:pt idx="23">
                  <c:v>-0.6</c:v>
                </c:pt>
                <c:pt idx="24">
                  <c:v>6.1</c:v>
                </c:pt>
                <c:pt idx="25">
                  <c:v>20</c:v>
                </c:pt>
                <c:pt idx="26">
                  <c:v>-1</c:v>
                </c:pt>
                <c:pt idx="27">
                  <c:v>12.3</c:v>
                </c:pt>
                <c:pt idx="28">
                  <c:v>13.4</c:v>
                </c:pt>
                <c:pt idx="29">
                  <c:v>8.6999999999999993</c:v>
                </c:pt>
                <c:pt idx="30">
                  <c:v>16.399999999999999</c:v>
                </c:pt>
                <c:pt idx="31">
                  <c:v>6.3</c:v>
                </c:pt>
                <c:pt idx="32">
                  <c:v>9.1</c:v>
                </c:pt>
                <c:pt idx="33">
                  <c:v>9.6</c:v>
                </c:pt>
                <c:pt idx="34">
                  <c:v>2.5</c:v>
                </c:pt>
                <c:pt idx="35">
                  <c:v>-11.2</c:v>
                </c:pt>
                <c:pt idx="36">
                  <c:v>-13.2</c:v>
                </c:pt>
                <c:pt idx="37">
                  <c:v>-1.8</c:v>
                </c:pt>
                <c:pt idx="38">
                  <c:v>-2.6</c:v>
                </c:pt>
                <c:pt idx="39">
                  <c:v>-12</c:v>
                </c:pt>
                <c:pt idx="40">
                  <c:v>-20.9</c:v>
                </c:pt>
                <c:pt idx="41">
                  <c:v>-34.9</c:v>
                </c:pt>
              </c:numCache>
            </c:numRef>
          </c:val>
          <c:smooth val="0"/>
          <c:extLst>
            <c:ext xmlns:c16="http://schemas.microsoft.com/office/drawing/2014/chart" uri="{C3380CC4-5D6E-409C-BE32-E72D297353CC}">
              <c16:uniqueId val="{0000000D-2945-47C5-8CFD-D8BC508A4FAA}"/>
            </c:ext>
          </c:extLst>
        </c:ser>
        <c:dLbls>
          <c:showLegendKey val="0"/>
          <c:showVal val="0"/>
          <c:showCatName val="0"/>
          <c:showSerName val="0"/>
          <c:showPercent val="0"/>
          <c:showBubbleSize val="0"/>
        </c:dLbls>
        <c:marker val="1"/>
        <c:smooth val="0"/>
        <c:axId val="332941824"/>
        <c:axId val="332936832"/>
      </c:lineChart>
      <c:catAx>
        <c:axId val="101898496"/>
        <c:scaling>
          <c:orientation val="minMax"/>
        </c:scaling>
        <c:delete val="0"/>
        <c:axPos val="b"/>
        <c:numFmt formatCode="General" sourceLinked="1"/>
        <c:majorTickMark val="out"/>
        <c:minorTickMark val="none"/>
        <c:tickLblPos val="low"/>
        <c:spPr>
          <a:ln>
            <a:solidFill>
              <a:schemeClr val="tx1"/>
            </a:solidFill>
          </a:ln>
        </c:spPr>
        <c:crossAx val="101781504"/>
        <c:crosses val="autoZero"/>
        <c:auto val="1"/>
        <c:lblAlgn val="ctr"/>
        <c:lblOffset val="10"/>
        <c:noMultiLvlLbl val="0"/>
      </c:catAx>
      <c:valAx>
        <c:axId val="101781504"/>
        <c:scaling>
          <c:orientation val="minMax"/>
          <c:max val="2"/>
          <c:min val="-5"/>
        </c:scaling>
        <c:delete val="0"/>
        <c:axPos val="l"/>
        <c:majorGridlines>
          <c:spPr>
            <a:ln w="6350">
              <a:solidFill>
                <a:schemeClr val="bg1">
                  <a:lumMod val="75000"/>
                </a:schemeClr>
              </a:solidFill>
            </a:ln>
          </c:spPr>
        </c:majorGridlines>
        <c:title>
          <c:tx>
            <c:rich>
              <a:bodyPr/>
              <a:lstStyle/>
              <a:p>
                <a:pPr>
                  <a:defRPr sz="700" b="0" i="1"/>
                </a:pPr>
                <a:r>
                  <a:rPr lang="cs-CZ" sz="700" b="0" i="1"/>
                  <a:t>Příspěvky ke</a:t>
                </a:r>
                <a:r>
                  <a:rPr lang="cs-CZ" sz="700" b="0" i="1" baseline="0"/>
                  <a:t> změně zaměstnanosti, </a:t>
                </a:r>
                <a:r>
                  <a:rPr lang="cs-CZ" sz="700" b="0" i="1" u="none" strike="noStrike" kern="1200" baseline="0">
                    <a:solidFill>
                      <a:sysClr val="windowText" lastClr="000000"/>
                    </a:solidFill>
                    <a:latin typeface="Arial" panose="020B0604020202020204" pitchFamily="34" charset="0"/>
                    <a:ea typeface="+mn-ea"/>
                    <a:cs typeface="Arial" panose="020B0604020202020204" pitchFamily="34" charset="0"/>
                  </a:rPr>
                  <a:t>počet ek. neaktivních</a:t>
                </a:r>
                <a:endParaRPr lang="cs-CZ" sz="700" b="0" i="1"/>
              </a:p>
            </c:rich>
          </c:tx>
          <c:layout>
            <c:manualLayout>
              <c:xMode val="edge"/>
              <c:yMode val="edge"/>
              <c:x val="8.0353555644837281E-3"/>
              <c:y val="4.5530183265187922E-2"/>
            </c:manualLayout>
          </c:layout>
          <c:overlay val="0"/>
        </c:title>
        <c:numFmt formatCode="0.0" sourceLinked="0"/>
        <c:majorTickMark val="out"/>
        <c:minorTickMark val="none"/>
        <c:tickLblPos val="nextTo"/>
        <c:spPr>
          <a:ln>
            <a:solidFill>
              <a:schemeClr val="tx1"/>
            </a:solidFill>
          </a:ln>
        </c:spPr>
        <c:crossAx val="101898496"/>
        <c:crosses val="autoZero"/>
        <c:crossBetween val="between"/>
        <c:majorUnit val="0.5"/>
      </c:valAx>
      <c:valAx>
        <c:axId val="332936832"/>
        <c:scaling>
          <c:orientation val="minMax"/>
          <c:max val="100"/>
          <c:min val="-40"/>
        </c:scaling>
        <c:delete val="0"/>
        <c:axPos val="r"/>
        <c:title>
          <c:tx>
            <c:rich>
              <a:bodyPr/>
              <a:lstStyle/>
              <a:p>
                <a:pPr>
                  <a:defRPr sz="700" b="0" i="1"/>
                </a:pPr>
                <a:r>
                  <a:rPr lang="cs-CZ" sz="700" b="0" i="1"/>
                  <a:t>Očekávání</a:t>
                </a:r>
                <a:r>
                  <a:rPr lang="cs-CZ" sz="700" b="0" i="1" baseline="0"/>
                  <a:t> vývoje zaměstnanosti</a:t>
                </a:r>
                <a:endParaRPr lang="cs-CZ" sz="700" b="0" i="1"/>
              </a:p>
            </c:rich>
          </c:tx>
          <c:layout>
            <c:manualLayout>
              <c:xMode val="edge"/>
              <c:yMode val="edge"/>
              <c:x val="0.97040343782834393"/>
              <c:y val="0.19420735772001382"/>
            </c:manualLayout>
          </c:layout>
          <c:overlay val="0"/>
        </c:title>
        <c:numFmt formatCode="#,##0" sourceLinked="0"/>
        <c:majorTickMark val="out"/>
        <c:minorTickMark val="none"/>
        <c:tickLblPos val="nextTo"/>
        <c:crossAx val="332941824"/>
        <c:crosses val="max"/>
        <c:crossBetween val="between"/>
        <c:majorUnit val="10"/>
      </c:valAx>
      <c:catAx>
        <c:axId val="332941824"/>
        <c:scaling>
          <c:orientation val="minMax"/>
        </c:scaling>
        <c:delete val="1"/>
        <c:axPos val="b"/>
        <c:numFmt formatCode="General" sourceLinked="1"/>
        <c:majorTickMark val="out"/>
        <c:minorTickMark val="none"/>
        <c:tickLblPos val="nextTo"/>
        <c:crossAx val="332936832"/>
        <c:crosses val="autoZero"/>
        <c:auto val="1"/>
        <c:lblAlgn val="ctr"/>
        <c:lblOffset val="100"/>
        <c:noMultiLvlLbl val="0"/>
      </c:catAx>
      <c:spPr>
        <a:ln>
          <a:solidFill>
            <a:schemeClr val="tx1"/>
          </a:solidFill>
        </a:ln>
      </c:spPr>
    </c:plotArea>
    <c:legend>
      <c:legendPos val="b"/>
      <c:layout>
        <c:manualLayout>
          <c:xMode val="edge"/>
          <c:yMode val="edge"/>
          <c:x val="4.692510837063792E-3"/>
          <c:y val="0.7737351285059999"/>
          <c:w val="0.96005692595618608"/>
          <c:h val="0.21194618315349945"/>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2697263565753378E-2"/>
          <c:y val="1.643251153889452E-2"/>
          <c:w val="0.85454194986526066"/>
          <c:h val="0.7575347819089191"/>
        </c:manualLayout>
      </c:layout>
      <c:barChart>
        <c:barDir val="col"/>
        <c:grouping val="clustered"/>
        <c:varyColors val="0"/>
        <c:ser>
          <c:idx val="0"/>
          <c:order val="0"/>
          <c:tx>
            <c:strRef>
              <c:f>'Trh práce-2b'!$A$31</c:f>
              <c:strCache>
                <c:ptCount val="1"/>
                <c:pt idx="0">
                  <c:v>Míra nezaměstnanosti mužů (levá osa)</c:v>
                </c:pt>
              </c:strCache>
            </c:strRef>
          </c:tx>
          <c:spPr>
            <a:solidFill>
              <a:srgbClr val="BCBCBC"/>
            </a:solidFill>
          </c:spPr>
          <c:invertIfNegative val="0"/>
          <c:cat>
            <c:multiLvlStrRef>
              <c:f>'Trh práce-2b'!$B$29:$AQ$30</c:f>
              <c:multiLvlStrCache>
                <c:ptCount val="4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lvl>
                <c:lvl>
                  <c:pt idx="0">
                    <c:v>2010</c:v>
                  </c:pt>
                  <c:pt idx="4">
                    <c:v>2011</c:v>
                  </c:pt>
                  <c:pt idx="8">
                    <c:v>2012</c:v>
                  </c:pt>
                  <c:pt idx="12">
                    <c:v>2013</c:v>
                  </c:pt>
                  <c:pt idx="16">
                    <c:v>2014</c:v>
                  </c:pt>
                  <c:pt idx="20">
                    <c:v>2015</c:v>
                  </c:pt>
                  <c:pt idx="24">
                    <c:v>2016</c:v>
                  </c:pt>
                  <c:pt idx="28">
                    <c:v>2017</c:v>
                  </c:pt>
                  <c:pt idx="32">
                    <c:v>2018</c:v>
                  </c:pt>
                  <c:pt idx="36">
                    <c:v>2019</c:v>
                  </c:pt>
                  <c:pt idx="40">
                    <c:v>2020</c:v>
                  </c:pt>
                </c:lvl>
              </c:multiLvlStrCache>
            </c:multiLvlStrRef>
          </c:cat>
          <c:val>
            <c:numRef>
              <c:f>'Trh práce-2b'!$B$31:$AQ$31</c:f>
              <c:numCache>
                <c:formatCode>0.0</c:formatCode>
                <c:ptCount val="42"/>
                <c:pt idx="0">
                  <c:v>7.1604523424740121</c:v>
                </c:pt>
                <c:pt idx="1">
                  <c:v>6.4121281921519087</c:v>
                </c:pt>
                <c:pt idx="2">
                  <c:v>6.1709609297865953</c:v>
                </c:pt>
                <c:pt idx="3">
                  <c:v>6.1131978148148862</c:v>
                </c:pt>
                <c:pt idx="4">
                  <c:v>6.1002560146375542</c:v>
                </c:pt>
                <c:pt idx="5">
                  <c:v>5.9756597559482572</c:v>
                </c:pt>
                <c:pt idx="6">
                  <c:v>5.7159156023412754</c:v>
                </c:pt>
                <c:pt idx="7">
                  <c:v>5.7087133678667357</c:v>
                </c:pt>
                <c:pt idx="8">
                  <c:v>6.0583134966740291</c:v>
                </c:pt>
                <c:pt idx="9">
                  <c:v>5.9076668314324969</c:v>
                </c:pt>
                <c:pt idx="10">
                  <c:v>6.0369877832219485</c:v>
                </c:pt>
                <c:pt idx="11">
                  <c:v>6.2934312325361077</c:v>
                </c:pt>
                <c:pt idx="12">
                  <c:v>6.339947701148259</c:v>
                </c:pt>
                <c:pt idx="13">
                  <c:v>5.8433685002783831</c:v>
                </c:pt>
                <c:pt idx="14">
                  <c:v>5.950995992187015</c:v>
                </c:pt>
                <c:pt idx="15">
                  <c:v>5.8003662111322711</c:v>
                </c:pt>
                <c:pt idx="16">
                  <c:v>5.5825662119501507</c:v>
                </c:pt>
                <c:pt idx="17">
                  <c:v>5.1855428921860183</c:v>
                </c:pt>
                <c:pt idx="18">
                  <c:v>4.9090276875315224</c:v>
                </c:pt>
                <c:pt idx="19">
                  <c:v>5.01427710395091</c:v>
                </c:pt>
                <c:pt idx="20">
                  <c:v>5.0330762578903592</c:v>
                </c:pt>
                <c:pt idx="21">
                  <c:v>4.3060346271489651</c:v>
                </c:pt>
                <c:pt idx="22">
                  <c:v>4.0523390052961128</c:v>
                </c:pt>
                <c:pt idx="23">
                  <c:v>3.7950726270580621</c:v>
                </c:pt>
                <c:pt idx="24">
                  <c:v>3.6601535610942104</c:v>
                </c:pt>
                <c:pt idx="25">
                  <c:v>3.5567858585943148</c:v>
                </c:pt>
                <c:pt idx="26">
                  <c:v>3.3839743172069432</c:v>
                </c:pt>
                <c:pt idx="27">
                  <c:v>3.1605576804507014</c:v>
                </c:pt>
                <c:pt idx="28">
                  <c:v>2.701002398194706</c:v>
                </c:pt>
                <c:pt idx="29">
                  <c:v>2.4790867169033795</c:v>
                </c:pt>
                <c:pt idx="30">
                  <c:v>2.2470636598397857</c:v>
                </c:pt>
                <c:pt idx="31">
                  <c:v>2.0873237649062149</c:v>
                </c:pt>
                <c:pt idx="32">
                  <c:v>1.8992751907258054</c:v>
                </c:pt>
                <c:pt idx="33">
                  <c:v>1.819406765814735</c:v>
                </c:pt>
                <c:pt idx="34">
                  <c:v>1.8867419084423347</c:v>
                </c:pt>
                <c:pt idx="35">
                  <c:v>1.6871547982289037</c:v>
                </c:pt>
                <c:pt idx="36">
                  <c:v>1.8069218975596295</c:v>
                </c:pt>
                <c:pt idx="37">
                  <c:v>1.6642655006825746</c:v>
                </c:pt>
                <c:pt idx="38">
                  <c:v>1.7647900079859269</c:v>
                </c:pt>
                <c:pt idx="39">
                  <c:v>1.8646873027168176</c:v>
                </c:pt>
                <c:pt idx="40">
                  <c:v>1.847584661918835</c:v>
                </c:pt>
                <c:pt idx="41">
                  <c:v>2.2641497037862206</c:v>
                </c:pt>
              </c:numCache>
            </c:numRef>
          </c:val>
          <c:extLst>
            <c:ext xmlns:c16="http://schemas.microsoft.com/office/drawing/2014/chart" uri="{C3380CC4-5D6E-409C-BE32-E72D297353CC}">
              <c16:uniqueId val="{00000000-9FE7-4625-A020-3A2CFEC95681}"/>
            </c:ext>
          </c:extLst>
        </c:ser>
        <c:ser>
          <c:idx val="1"/>
          <c:order val="1"/>
          <c:tx>
            <c:strRef>
              <c:f>'Trh práce-2b'!$A$32</c:f>
              <c:strCache>
                <c:ptCount val="1"/>
                <c:pt idx="0">
                  <c:v>Míra nezaměstnanosti žen (levá osa)</c:v>
                </c:pt>
              </c:strCache>
            </c:strRef>
          </c:tx>
          <c:spPr>
            <a:solidFill>
              <a:srgbClr val="DBDBDB"/>
            </a:solidFill>
          </c:spPr>
          <c:invertIfNegative val="0"/>
          <c:cat>
            <c:multiLvlStrRef>
              <c:f>'Trh práce-2b'!$B$29:$AQ$30</c:f>
              <c:multiLvlStrCache>
                <c:ptCount val="4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lvl>
                <c:lvl>
                  <c:pt idx="0">
                    <c:v>2010</c:v>
                  </c:pt>
                  <c:pt idx="4">
                    <c:v>2011</c:v>
                  </c:pt>
                  <c:pt idx="8">
                    <c:v>2012</c:v>
                  </c:pt>
                  <c:pt idx="12">
                    <c:v>2013</c:v>
                  </c:pt>
                  <c:pt idx="16">
                    <c:v>2014</c:v>
                  </c:pt>
                  <c:pt idx="20">
                    <c:v>2015</c:v>
                  </c:pt>
                  <c:pt idx="24">
                    <c:v>2016</c:v>
                  </c:pt>
                  <c:pt idx="28">
                    <c:v>2017</c:v>
                  </c:pt>
                  <c:pt idx="32">
                    <c:v>2018</c:v>
                  </c:pt>
                  <c:pt idx="36">
                    <c:v>2019</c:v>
                  </c:pt>
                  <c:pt idx="40">
                    <c:v>2020</c:v>
                  </c:pt>
                </c:lvl>
              </c:multiLvlStrCache>
            </c:multiLvlStrRef>
          </c:cat>
          <c:val>
            <c:numRef>
              <c:f>'Trh práce-2b'!$B$32:$AQ$32</c:f>
              <c:numCache>
                <c:formatCode>0.0</c:formatCode>
                <c:ptCount val="42"/>
                <c:pt idx="0">
                  <c:v>8.787375444491941</c:v>
                </c:pt>
                <c:pt idx="1">
                  <c:v>8.5493867745332306</c:v>
                </c:pt>
                <c:pt idx="2">
                  <c:v>8.4851706560801059</c:v>
                </c:pt>
                <c:pt idx="3">
                  <c:v>8.3316826167265656</c:v>
                </c:pt>
                <c:pt idx="4">
                  <c:v>8.1886034834779746</c:v>
                </c:pt>
                <c:pt idx="5">
                  <c:v>8.0979101002516849</c:v>
                </c:pt>
                <c:pt idx="6">
                  <c:v>7.8320022168199896</c:v>
                </c:pt>
                <c:pt idx="7">
                  <c:v>7.7524354005664939</c:v>
                </c:pt>
                <c:pt idx="8">
                  <c:v>8.0738066673159938</c:v>
                </c:pt>
                <c:pt idx="9">
                  <c:v>8.1711410197693812</c:v>
                </c:pt>
                <c:pt idx="10">
                  <c:v>8.2963303124937013</c:v>
                </c:pt>
                <c:pt idx="11">
                  <c:v>8.5183736871594675</c:v>
                </c:pt>
                <c:pt idx="12">
                  <c:v>8.5065056824537137</c:v>
                </c:pt>
                <c:pt idx="13">
                  <c:v>8.4153419080279672</c:v>
                </c:pt>
                <c:pt idx="14">
                  <c:v>8.3799582003740412</c:v>
                </c:pt>
                <c:pt idx="15">
                  <c:v>8.2020121513754454</c:v>
                </c:pt>
                <c:pt idx="16">
                  <c:v>7.992304444813314</c:v>
                </c:pt>
                <c:pt idx="17">
                  <c:v>7.7067021117074717</c:v>
                </c:pt>
                <c:pt idx="18">
                  <c:v>7.3530522730084833</c:v>
                </c:pt>
                <c:pt idx="19">
                  <c:v>6.9713852345370251</c:v>
                </c:pt>
                <c:pt idx="20">
                  <c:v>6.806233418877973</c:v>
                </c:pt>
                <c:pt idx="21">
                  <c:v>6.2592777875158978</c:v>
                </c:pt>
                <c:pt idx="22">
                  <c:v>5.9742610021571307</c:v>
                </c:pt>
                <c:pt idx="23">
                  <c:v>5.6260945601636445</c:v>
                </c:pt>
                <c:pt idx="24">
                  <c:v>5.1207660814356979</c:v>
                </c:pt>
                <c:pt idx="25">
                  <c:v>4.8399895375634827</c:v>
                </c:pt>
                <c:pt idx="26">
                  <c:v>4.769536500403329</c:v>
                </c:pt>
                <c:pt idx="27">
                  <c:v>4.3664894782953736</c:v>
                </c:pt>
                <c:pt idx="28">
                  <c:v>4.2621638864718649</c:v>
                </c:pt>
                <c:pt idx="29">
                  <c:v>3.8834986595447045</c:v>
                </c:pt>
                <c:pt idx="30">
                  <c:v>3.3826881858082167</c:v>
                </c:pt>
                <c:pt idx="31">
                  <c:v>3.0327195730384719</c:v>
                </c:pt>
                <c:pt idx="32">
                  <c:v>3.0339448138877629</c:v>
                </c:pt>
                <c:pt idx="33">
                  <c:v>2.9074650812819249</c:v>
                </c:pt>
                <c:pt idx="34">
                  <c:v>2.6981069151197463</c:v>
                </c:pt>
                <c:pt idx="35">
                  <c:v>2.5781736488946954</c:v>
                </c:pt>
                <c:pt idx="36">
                  <c:v>2.4970362507687027</c:v>
                </c:pt>
                <c:pt idx="37">
                  <c:v>2.4564558844213482</c:v>
                </c:pt>
                <c:pt idx="38">
                  <c:v>2.4108125319601847</c:v>
                </c:pt>
                <c:pt idx="39">
                  <c:v>2.3486141561978333</c:v>
                </c:pt>
                <c:pt idx="40">
                  <c:v>2.3454577464264221</c:v>
                </c:pt>
                <c:pt idx="41">
                  <c:v>2.6669240565652168</c:v>
                </c:pt>
              </c:numCache>
            </c:numRef>
          </c:val>
          <c:extLst>
            <c:ext xmlns:c16="http://schemas.microsoft.com/office/drawing/2014/chart" uri="{C3380CC4-5D6E-409C-BE32-E72D297353CC}">
              <c16:uniqueId val="{00000001-9FE7-4625-A020-3A2CFEC95681}"/>
            </c:ext>
          </c:extLst>
        </c:ser>
        <c:dLbls>
          <c:showLegendKey val="0"/>
          <c:showVal val="0"/>
          <c:showCatName val="0"/>
          <c:showSerName val="0"/>
          <c:showPercent val="0"/>
          <c:showBubbleSize val="0"/>
        </c:dLbls>
        <c:gapWidth val="68"/>
        <c:axId val="100654464"/>
        <c:axId val="101647488"/>
      </c:barChart>
      <c:lineChart>
        <c:grouping val="standard"/>
        <c:varyColors val="0"/>
        <c:ser>
          <c:idx val="2"/>
          <c:order val="2"/>
          <c:tx>
            <c:strRef>
              <c:f>'Trh práce-2b'!$A$33</c:f>
              <c:strCache>
                <c:ptCount val="1"/>
                <c:pt idx="0">
                  <c:v>Podíl nezam. déle než 1 rok (pravá osa)</c:v>
                </c:pt>
              </c:strCache>
            </c:strRef>
          </c:tx>
          <c:spPr>
            <a:ln w="19050">
              <a:solidFill>
                <a:srgbClr val="00B050"/>
              </a:solidFill>
              <a:prstDash val="sysDash"/>
            </a:ln>
          </c:spPr>
          <c:marker>
            <c:symbol val="none"/>
          </c:marker>
          <c:cat>
            <c:multiLvlStrRef>
              <c:f>'Trh práce-2b'!$B$29:$AQ$30</c:f>
              <c:multiLvlStrCache>
                <c:ptCount val="4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lvl>
                <c:lvl>
                  <c:pt idx="0">
                    <c:v>2010</c:v>
                  </c:pt>
                  <c:pt idx="4">
                    <c:v>2011</c:v>
                  </c:pt>
                  <c:pt idx="8">
                    <c:v>2012</c:v>
                  </c:pt>
                  <c:pt idx="12">
                    <c:v>2013</c:v>
                  </c:pt>
                  <c:pt idx="16">
                    <c:v>2014</c:v>
                  </c:pt>
                  <c:pt idx="20">
                    <c:v>2015</c:v>
                  </c:pt>
                  <c:pt idx="24">
                    <c:v>2016</c:v>
                  </c:pt>
                  <c:pt idx="28">
                    <c:v>2017</c:v>
                  </c:pt>
                  <c:pt idx="32">
                    <c:v>2018</c:v>
                  </c:pt>
                  <c:pt idx="36">
                    <c:v>2019</c:v>
                  </c:pt>
                  <c:pt idx="40">
                    <c:v>2020</c:v>
                  </c:pt>
                </c:lvl>
              </c:multiLvlStrCache>
            </c:multiLvlStrRef>
          </c:cat>
          <c:val>
            <c:numRef>
              <c:f>'Trh práce-2b'!$B$33:$AQ$33</c:f>
              <c:numCache>
                <c:formatCode>0.0</c:formatCode>
                <c:ptCount val="42"/>
                <c:pt idx="0">
                  <c:v>35.786982248520715</c:v>
                </c:pt>
                <c:pt idx="1">
                  <c:v>41.548731642189587</c:v>
                </c:pt>
                <c:pt idx="2">
                  <c:v>43.063352044907781</c:v>
                </c:pt>
                <c:pt idx="3">
                  <c:v>44.061724993111056</c:v>
                </c:pt>
                <c:pt idx="4">
                  <c:v>40.032197477864237</c:v>
                </c:pt>
                <c:pt idx="5">
                  <c:v>39.10073989755265</c:v>
                </c:pt>
                <c:pt idx="6">
                  <c:v>40.443536620951271</c:v>
                </c:pt>
                <c:pt idx="7">
                  <c:v>42.797494780793315</c:v>
                </c:pt>
                <c:pt idx="8">
                  <c:v>43.093174431202605</c:v>
                </c:pt>
                <c:pt idx="9">
                  <c:v>44.343117697349683</c:v>
                </c:pt>
                <c:pt idx="10">
                  <c:v>43.272628431639035</c:v>
                </c:pt>
                <c:pt idx="11">
                  <c:v>42.710255734247298</c:v>
                </c:pt>
                <c:pt idx="12">
                  <c:v>43.264578558696208</c:v>
                </c:pt>
                <c:pt idx="13">
                  <c:v>44.41340782122905</c:v>
                </c:pt>
                <c:pt idx="14">
                  <c:v>43.695887445887443</c:v>
                </c:pt>
                <c:pt idx="15">
                  <c:v>42.290377039954983</c:v>
                </c:pt>
                <c:pt idx="16">
                  <c:v>41.140301844605929</c:v>
                </c:pt>
                <c:pt idx="17">
                  <c:v>43.188951663527931</c:v>
                </c:pt>
                <c:pt idx="18">
                  <c:v>43.811960345378957</c:v>
                </c:pt>
                <c:pt idx="19">
                  <c:v>46.249590566655755</c:v>
                </c:pt>
                <c:pt idx="20">
                  <c:v>45.762175838077162</c:v>
                </c:pt>
                <c:pt idx="21">
                  <c:v>46.715049656226128</c:v>
                </c:pt>
                <c:pt idx="22">
                  <c:v>48.521400778210108</c:v>
                </c:pt>
                <c:pt idx="23">
                  <c:v>48.542458808618512</c:v>
                </c:pt>
                <c:pt idx="24">
                  <c:v>45.847750865051907</c:v>
                </c:pt>
                <c:pt idx="25">
                  <c:v>43.490701001430608</c:v>
                </c:pt>
                <c:pt idx="26">
                  <c:v>39.295774647887328</c:v>
                </c:pt>
                <c:pt idx="27">
                  <c:v>39.196242171189979</c:v>
                </c:pt>
                <c:pt idx="28">
                  <c:v>37.093275488069416</c:v>
                </c:pt>
                <c:pt idx="29">
                  <c:v>37.366099558916197</c:v>
                </c:pt>
                <c:pt idx="30">
                  <c:v>32.798931195724784</c:v>
                </c:pt>
                <c:pt idx="31">
                  <c:v>31.546231546231553</c:v>
                </c:pt>
                <c:pt idx="32">
                  <c:v>31.741140215716484</c:v>
                </c:pt>
                <c:pt idx="33">
                  <c:v>30.28764805414551</c:v>
                </c:pt>
                <c:pt idx="34">
                  <c:v>28.796223446105422</c:v>
                </c:pt>
                <c:pt idx="35">
                  <c:v>31.317689530685922</c:v>
                </c:pt>
                <c:pt idx="36">
                  <c:v>32.360984503190522</c:v>
                </c:pt>
                <c:pt idx="37">
                  <c:v>32.2265625</c:v>
                </c:pt>
                <c:pt idx="38">
                  <c:v>26.979982593559615</c:v>
                </c:pt>
                <c:pt idx="39">
                  <c:v>28.623853211009177</c:v>
                </c:pt>
                <c:pt idx="40">
                  <c:v>27.049952874646561</c:v>
                </c:pt>
                <c:pt idx="41">
                  <c:v>20.823436262866192</c:v>
                </c:pt>
              </c:numCache>
            </c:numRef>
          </c:val>
          <c:smooth val="0"/>
          <c:extLst>
            <c:ext xmlns:c16="http://schemas.microsoft.com/office/drawing/2014/chart" uri="{C3380CC4-5D6E-409C-BE32-E72D297353CC}">
              <c16:uniqueId val="{00000002-9FE7-4625-A020-3A2CFEC95681}"/>
            </c:ext>
          </c:extLst>
        </c:ser>
        <c:ser>
          <c:idx val="3"/>
          <c:order val="3"/>
          <c:tx>
            <c:strRef>
              <c:f>'Trh práce-2b'!$A$34</c:f>
              <c:strCache>
                <c:ptCount val="1"/>
                <c:pt idx="0">
                  <c:v>Podíl nezam. ve věku 50+  (pravá osa)</c:v>
                </c:pt>
              </c:strCache>
            </c:strRef>
          </c:tx>
          <c:spPr>
            <a:ln w="19050">
              <a:prstDash val="sysDash"/>
            </a:ln>
          </c:spPr>
          <c:marker>
            <c:symbol val="none"/>
          </c:marker>
          <c:cat>
            <c:multiLvlStrRef>
              <c:f>'Trh práce-2b'!$B$29:$AQ$30</c:f>
              <c:multiLvlStrCache>
                <c:ptCount val="4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lvl>
                <c:lvl>
                  <c:pt idx="0">
                    <c:v>2010</c:v>
                  </c:pt>
                  <c:pt idx="4">
                    <c:v>2011</c:v>
                  </c:pt>
                  <c:pt idx="8">
                    <c:v>2012</c:v>
                  </c:pt>
                  <c:pt idx="12">
                    <c:v>2013</c:v>
                  </c:pt>
                  <c:pt idx="16">
                    <c:v>2014</c:v>
                  </c:pt>
                  <c:pt idx="20">
                    <c:v>2015</c:v>
                  </c:pt>
                  <c:pt idx="24">
                    <c:v>2016</c:v>
                  </c:pt>
                  <c:pt idx="28">
                    <c:v>2017</c:v>
                  </c:pt>
                  <c:pt idx="32">
                    <c:v>2018</c:v>
                  </c:pt>
                  <c:pt idx="36">
                    <c:v>2019</c:v>
                  </c:pt>
                  <c:pt idx="40">
                    <c:v>2020</c:v>
                  </c:pt>
                </c:lvl>
              </c:multiLvlStrCache>
            </c:multiLvlStrRef>
          </c:cat>
          <c:val>
            <c:numRef>
              <c:f>'Trh práce-2b'!$B$34:$AQ$34</c:f>
              <c:numCache>
                <c:formatCode>0.0</c:formatCode>
                <c:ptCount val="42"/>
                <c:pt idx="0">
                  <c:v>22.485207100591715</c:v>
                </c:pt>
                <c:pt idx="1">
                  <c:v>23.791722296395193</c:v>
                </c:pt>
                <c:pt idx="2">
                  <c:v>23.656776263031272</c:v>
                </c:pt>
                <c:pt idx="3">
                  <c:v>24.221548635987876</c:v>
                </c:pt>
                <c:pt idx="4">
                  <c:v>24.577408103031928</c:v>
                </c:pt>
                <c:pt idx="5">
                  <c:v>23.107569721115539</c:v>
                </c:pt>
                <c:pt idx="6">
                  <c:v>22.935512109716953</c:v>
                </c:pt>
                <c:pt idx="7">
                  <c:v>22.875037280047721</c:v>
                </c:pt>
                <c:pt idx="8">
                  <c:v>22.914409534127845</c:v>
                </c:pt>
                <c:pt idx="9">
                  <c:v>22.969506982046166</c:v>
                </c:pt>
                <c:pt idx="10">
                  <c:v>20.76651263930416</c:v>
                </c:pt>
                <c:pt idx="11">
                  <c:v>23.912470340100185</c:v>
                </c:pt>
                <c:pt idx="12">
                  <c:v>22.969187675070028</c:v>
                </c:pt>
                <c:pt idx="13">
                  <c:v>22.793296089385471</c:v>
                </c:pt>
                <c:pt idx="14">
                  <c:v>21.13095238095238</c:v>
                </c:pt>
                <c:pt idx="15">
                  <c:v>22.059651097355097</c:v>
                </c:pt>
                <c:pt idx="16">
                  <c:v>23.141419787590831</c:v>
                </c:pt>
                <c:pt idx="17">
                  <c:v>21.720025109855616</c:v>
                </c:pt>
                <c:pt idx="18">
                  <c:v>22.161816437480013</c:v>
                </c:pt>
                <c:pt idx="19">
                  <c:v>20.962987225679658</c:v>
                </c:pt>
                <c:pt idx="20">
                  <c:v>23.213156230234031</c:v>
                </c:pt>
                <c:pt idx="21">
                  <c:v>24.140565317035907</c:v>
                </c:pt>
                <c:pt idx="22">
                  <c:v>22.451361867704282</c:v>
                </c:pt>
                <c:pt idx="23">
                  <c:v>23.954372623574148</c:v>
                </c:pt>
                <c:pt idx="24">
                  <c:v>28.157439446366784</c:v>
                </c:pt>
                <c:pt idx="25">
                  <c:v>26.180257510729614</c:v>
                </c:pt>
                <c:pt idx="26">
                  <c:v>22.86384976525822</c:v>
                </c:pt>
                <c:pt idx="27">
                  <c:v>24.947807933194156</c:v>
                </c:pt>
                <c:pt idx="28">
                  <c:v>26.138828633405641</c:v>
                </c:pt>
                <c:pt idx="29">
                  <c:v>24.763705103969755</c:v>
                </c:pt>
                <c:pt idx="30">
                  <c:v>23.380093520374086</c:v>
                </c:pt>
                <c:pt idx="31">
                  <c:v>23.931623931623935</c:v>
                </c:pt>
                <c:pt idx="32">
                  <c:v>25.808936825885976</c:v>
                </c:pt>
                <c:pt idx="33">
                  <c:v>24.957698815566832</c:v>
                </c:pt>
                <c:pt idx="34">
                  <c:v>24.311565696302122</c:v>
                </c:pt>
                <c:pt idx="35">
                  <c:v>23.285198555956679</c:v>
                </c:pt>
                <c:pt idx="36">
                  <c:v>26.253418413855972</c:v>
                </c:pt>
                <c:pt idx="37">
                  <c:v>24.609374999999996</c:v>
                </c:pt>
                <c:pt idx="38">
                  <c:v>26.02262837249782</c:v>
                </c:pt>
                <c:pt idx="39">
                  <c:v>25.596330275229356</c:v>
                </c:pt>
                <c:pt idx="40">
                  <c:v>24.976437323279928</c:v>
                </c:pt>
              </c:numCache>
            </c:numRef>
          </c:val>
          <c:smooth val="0"/>
          <c:extLst>
            <c:ext xmlns:c16="http://schemas.microsoft.com/office/drawing/2014/chart" uri="{C3380CC4-5D6E-409C-BE32-E72D297353CC}">
              <c16:uniqueId val="{00000003-9FE7-4625-A020-3A2CFEC95681}"/>
            </c:ext>
          </c:extLst>
        </c:ser>
        <c:ser>
          <c:idx val="6"/>
          <c:order val="4"/>
          <c:tx>
            <c:strRef>
              <c:f>'Trh práce-2b'!$A$35</c:f>
              <c:strCache>
                <c:ptCount val="1"/>
                <c:pt idx="0">
                  <c:v>Ekon. neaktiv. chtějící pracovat (pr. osa)</c:v>
                </c:pt>
              </c:strCache>
            </c:strRef>
          </c:tx>
          <c:spPr>
            <a:ln w="19050">
              <a:solidFill>
                <a:srgbClr val="00B0F0"/>
              </a:solidFill>
              <a:prstDash val="solid"/>
            </a:ln>
          </c:spPr>
          <c:marker>
            <c:symbol val="none"/>
          </c:marker>
          <c:cat>
            <c:multiLvlStrRef>
              <c:f>'Trh práce-2b'!$B$29:$AQ$30</c:f>
              <c:multiLvlStrCache>
                <c:ptCount val="4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lvl>
                <c:lvl>
                  <c:pt idx="0">
                    <c:v>2010</c:v>
                  </c:pt>
                  <c:pt idx="4">
                    <c:v>2011</c:v>
                  </c:pt>
                  <c:pt idx="8">
                    <c:v>2012</c:v>
                  </c:pt>
                  <c:pt idx="12">
                    <c:v>2013</c:v>
                  </c:pt>
                  <c:pt idx="16">
                    <c:v>2014</c:v>
                  </c:pt>
                  <c:pt idx="20">
                    <c:v>2015</c:v>
                  </c:pt>
                  <c:pt idx="24">
                    <c:v>2016</c:v>
                  </c:pt>
                  <c:pt idx="28">
                    <c:v>2017</c:v>
                  </c:pt>
                  <c:pt idx="32">
                    <c:v>2018</c:v>
                  </c:pt>
                  <c:pt idx="36">
                    <c:v>2019</c:v>
                  </c:pt>
                  <c:pt idx="40">
                    <c:v>2020</c:v>
                  </c:pt>
                </c:lvl>
              </c:multiLvlStrCache>
            </c:multiLvlStrRef>
          </c:cat>
          <c:val>
            <c:numRef>
              <c:f>'Trh práce-2b'!$B$35:$AQ$35</c:f>
              <c:numCache>
                <c:formatCode>0.0</c:formatCode>
                <c:ptCount val="42"/>
                <c:pt idx="0">
                  <c:v>183.00000000000003</c:v>
                </c:pt>
                <c:pt idx="1">
                  <c:v>183.20000000000002</c:v>
                </c:pt>
                <c:pt idx="2">
                  <c:v>172.5</c:v>
                </c:pt>
                <c:pt idx="3">
                  <c:v>172.00000000000003</c:v>
                </c:pt>
                <c:pt idx="4">
                  <c:v>193.70000000000002</c:v>
                </c:pt>
                <c:pt idx="5">
                  <c:v>184.4</c:v>
                </c:pt>
                <c:pt idx="6">
                  <c:v>188.9</c:v>
                </c:pt>
                <c:pt idx="7">
                  <c:v>183.20000000000002</c:v>
                </c:pt>
                <c:pt idx="8">
                  <c:v>196.60000000000002</c:v>
                </c:pt>
                <c:pt idx="9">
                  <c:v>176.5</c:v>
                </c:pt>
                <c:pt idx="10">
                  <c:v>166.9</c:v>
                </c:pt>
                <c:pt idx="11">
                  <c:v>154.60000000000002</c:v>
                </c:pt>
                <c:pt idx="12">
                  <c:v>167.8</c:v>
                </c:pt>
                <c:pt idx="13">
                  <c:v>147.19999999999999</c:v>
                </c:pt>
                <c:pt idx="14">
                  <c:v>138.80000000000001</c:v>
                </c:pt>
                <c:pt idx="15">
                  <c:v>139.30000000000001</c:v>
                </c:pt>
                <c:pt idx="16">
                  <c:v>145.4</c:v>
                </c:pt>
                <c:pt idx="17">
                  <c:v>137.1</c:v>
                </c:pt>
                <c:pt idx="18">
                  <c:v>129</c:v>
                </c:pt>
                <c:pt idx="19">
                  <c:v>127.10000000000001</c:v>
                </c:pt>
                <c:pt idx="20" formatCode="General">
                  <c:v>138.5</c:v>
                </c:pt>
                <c:pt idx="21" formatCode="General">
                  <c:v>141.4</c:v>
                </c:pt>
                <c:pt idx="22" formatCode="General">
                  <c:v>137.1</c:v>
                </c:pt>
                <c:pt idx="23" formatCode="General">
                  <c:v>130.4</c:v>
                </c:pt>
                <c:pt idx="24" formatCode="General">
                  <c:v>141</c:v>
                </c:pt>
                <c:pt idx="25" formatCode="General">
                  <c:v>126.4</c:v>
                </c:pt>
                <c:pt idx="26" formatCode="General">
                  <c:v>129.69999999999999</c:v>
                </c:pt>
                <c:pt idx="27" formatCode="General">
                  <c:v>127.1</c:v>
                </c:pt>
                <c:pt idx="28">
                  <c:v>133.1</c:v>
                </c:pt>
                <c:pt idx="29">
                  <c:v>120.1</c:v>
                </c:pt>
                <c:pt idx="30">
                  <c:v>121.3</c:v>
                </c:pt>
                <c:pt idx="31">
                  <c:v>119.1</c:v>
                </c:pt>
                <c:pt idx="32">
                  <c:v>113.5</c:v>
                </c:pt>
                <c:pt idx="33">
                  <c:v>108.4</c:v>
                </c:pt>
                <c:pt idx="34">
                  <c:v>110.3</c:v>
                </c:pt>
                <c:pt idx="35">
                  <c:v>101.7</c:v>
                </c:pt>
                <c:pt idx="36">
                  <c:v>104.6</c:v>
                </c:pt>
                <c:pt idx="37">
                  <c:v>104.6</c:v>
                </c:pt>
                <c:pt idx="38">
                  <c:v>98</c:v>
                </c:pt>
                <c:pt idx="39">
                  <c:v>99.9</c:v>
                </c:pt>
                <c:pt idx="40">
                  <c:v>93.4</c:v>
                </c:pt>
                <c:pt idx="41">
                  <c:v>109.3</c:v>
                </c:pt>
              </c:numCache>
            </c:numRef>
          </c:val>
          <c:smooth val="0"/>
          <c:extLst>
            <c:ext xmlns:c16="http://schemas.microsoft.com/office/drawing/2014/chart" uri="{C3380CC4-5D6E-409C-BE32-E72D297353CC}">
              <c16:uniqueId val="{00000004-9FE7-4625-A020-3A2CFEC95681}"/>
            </c:ext>
          </c:extLst>
        </c:ser>
        <c:ser>
          <c:idx val="7"/>
          <c:order val="5"/>
          <c:tx>
            <c:strRef>
              <c:f>'Trh práce-2b'!$A$36</c:f>
              <c:strCache>
                <c:ptCount val="1"/>
                <c:pt idx="0">
                  <c:v>Očekávání vývoje nezam. (pr. osa)</c:v>
                </c:pt>
              </c:strCache>
            </c:strRef>
          </c:tx>
          <c:spPr>
            <a:ln w="6350">
              <a:solidFill>
                <a:schemeClr val="accent6">
                  <a:lumMod val="75000"/>
                </a:schemeClr>
              </a:solidFill>
              <a:prstDash val="sysDot"/>
            </a:ln>
          </c:spPr>
          <c:marker>
            <c:symbol val="circle"/>
            <c:size val="4"/>
            <c:spPr>
              <a:solidFill>
                <a:schemeClr val="accent6">
                  <a:lumMod val="75000"/>
                </a:schemeClr>
              </a:solidFill>
              <a:ln>
                <a:solidFill>
                  <a:schemeClr val="accent6">
                    <a:lumMod val="75000"/>
                  </a:schemeClr>
                </a:solidFill>
              </a:ln>
            </c:spPr>
          </c:marker>
          <c:cat>
            <c:multiLvlStrRef>
              <c:f>'Trh práce-2b'!$B$29:$AQ$30</c:f>
              <c:multiLvlStrCache>
                <c:ptCount val="4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lvl>
                <c:lvl>
                  <c:pt idx="0">
                    <c:v>2010</c:v>
                  </c:pt>
                  <c:pt idx="4">
                    <c:v>2011</c:v>
                  </c:pt>
                  <c:pt idx="8">
                    <c:v>2012</c:v>
                  </c:pt>
                  <c:pt idx="12">
                    <c:v>2013</c:v>
                  </c:pt>
                  <c:pt idx="16">
                    <c:v>2014</c:v>
                  </c:pt>
                  <c:pt idx="20">
                    <c:v>2015</c:v>
                  </c:pt>
                  <c:pt idx="24">
                    <c:v>2016</c:v>
                  </c:pt>
                  <c:pt idx="28">
                    <c:v>2017</c:v>
                  </c:pt>
                  <c:pt idx="32">
                    <c:v>2018</c:v>
                  </c:pt>
                  <c:pt idx="36">
                    <c:v>2019</c:v>
                  </c:pt>
                  <c:pt idx="40">
                    <c:v>2020</c:v>
                  </c:pt>
                </c:lvl>
              </c:multiLvlStrCache>
            </c:multiLvlStrRef>
          </c:cat>
          <c:val>
            <c:numRef>
              <c:f>'Trh práce-2b'!$B$36:$AQ$36</c:f>
              <c:numCache>
                <c:formatCode>#\ ##0.0</c:formatCode>
                <c:ptCount val="42"/>
                <c:pt idx="0">
                  <c:v>27.5</c:v>
                </c:pt>
                <c:pt idx="1">
                  <c:v>12.9</c:v>
                </c:pt>
                <c:pt idx="2">
                  <c:v>32.299999999999997</c:v>
                </c:pt>
                <c:pt idx="3">
                  <c:v>26.7</c:v>
                </c:pt>
                <c:pt idx="4">
                  <c:v>24.4</c:v>
                </c:pt>
                <c:pt idx="5">
                  <c:v>20.5</c:v>
                </c:pt>
                <c:pt idx="6">
                  <c:v>30.9</c:v>
                </c:pt>
                <c:pt idx="7">
                  <c:v>48.3</c:v>
                </c:pt>
                <c:pt idx="8">
                  <c:v>42.5</c:v>
                </c:pt>
                <c:pt idx="9">
                  <c:v>36</c:v>
                </c:pt>
                <c:pt idx="10">
                  <c:v>42.2</c:v>
                </c:pt>
                <c:pt idx="11">
                  <c:v>44.4</c:v>
                </c:pt>
                <c:pt idx="12">
                  <c:v>37</c:v>
                </c:pt>
                <c:pt idx="13">
                  <c:v>30.8</c:v>
                </c:pt>
                <c:pt idx="14">
                  <c:v>28.3</c:v>
                </c:pt>
                <c:pt idx="15">
                  <c:v>30.2</c:v>
                </c:pt>
                <c:pt idx="16">
                  <c:v>17.3</c:v>
                </c:pt>
                <c:pt idx="17">
                  <c:v>14.3</c:v>
                </c:pt>
                <c:pt idx="18">
                  <c:v>24.7</c:v>
                </c:pt>
                <c:pt idx="19">
                  <c:v>12.9</c:v>
                </c:pt>
                <c:pt idx="20">
                  <c:v>11.6</c:v>
                </c:pt>
                <c:pt idx="21">
                  <c:v>4.2</c:v>
                </c:pt>
                <c:pt idx="22">
                  <c:v>10.1</c:v>
                </c:pt>
                <c:pt idx="23">
                  <c:v>2.1</c:v>
                </c:pt>
                <c:pt idx="24">
                  <c:v>2.1</c:v>
                </c:pt>
                <c:pt idx="25">
                  <c:v>3.7</c:v>
                </c:pt>
                <c:pt idx="26">
                  <c:v>7.1</c:v>
                </c:pt>
                <c:pt idx="27">
                  <c:v>4.5999999999999996</c:v>
                </c:pt>
                <c:pt idx="28">
                  <c:v>-3.6</c:v>
                </c:pt>
                <c:pt idx="29">
                  <c:v>0</c:v>
                </c:pt>
                <c:pt idx="30">
                  <c:v>0.4</c:v>
                </c:pt>
                <c:pt idx="31">
                  <c:v>1</c:v>
                </c:pt>
                <c:pt idx="32">
                  <c:v>-0.6</c:v>
                </c:pt>
                <c:pt idx="33">
                  <c:v>-1.6</c:v>
                </c:pt>
                <c:pt idx="34">
                  <c:v>2.2999999999999998</c:v>
                </c:pt>
                <c:pt idx="35">
                  <c:v>3.3</c:v>
                </c:pt>
                <c:pt idx="36">
                  <c:v>8.5</c:v>
                </c:pt>
                <c:pt idx="37">
                  <c:v>6.1</c:v>
                </c:pt>
                <c:pt idx="38">
                  <c:v>14.4</c:v>
                </c:pt>
                <c:pt idx="39">
                  <c:v>17.5</c:v>
                </c:pt>
                <c:pt idx="40">
                  <c:v>16.899999999999999</c:v>
                </c:pt>
                <c:pt idx="41">
                  <c:v>45.1</c:v>
                </c:pt>
              </c:numCache>
            </c:numRef>
          </c:val>
          <c:smooth val="0"/>
          <c:extLst>
            <c:ext xmlns:c16="http://schemas.microsoft.com/office/drawing/2014/chart" uri="{C3380CC4-5D6E-409C-BE32-E72D297353CC}">
              <c16:uniqueId val="{00000005-9FE7-4625-A020-3A2CFEC95681}"/>
            </c:ext>
          </c:extLst>
        </c:ser>
        <c:dLbls>
          <c:showLegendKey val="0"/>
          <c:showVal val="0"/>
          <c:showCatName val="0"/>
          <c:showSerName val="0"/>
          <c:showPercent val="0"/>
          <c:showBubbleSize val="0"/>
        </c:dLbls>
        <c:marker val="1"/>
        <c:smooth val="0"/>
        <c:axId val="331670576"/>
        <c:axId val="323971328"/>
      </c:lineChart>
      <c:catAx>
        <c:axId val="100654464"/>
        <c:scaling>
          <c:orientation val="minMax"/>
        </c:scaling>
        <c:delete val="0"/>
        <c:axPos val="b"/>
        <c:numFmt formatCode="General" sourceLinked="0"/>
        <c:majorTickMark val="out"/>
        <c:minorTickMark val="none"/>
        <c:tickLblPos val="low"/>
        <c:spPr>
          <a:ln>
            <a:solidFill>
              <a:schemeClr val="tx1"/>
            </a:solidFill>
          </a:ln>
        </c:spPr>
        <c:crossAx val="101647488"/>
        <c:crossesAt val="-50"/>
        <c:auto val="1"/>
        <c:lblAlgn val="ctr"/>
        <c:lblOffset val="0"/>
        <c:noMultiLvlLbl val="0"/>
      </c:catAx>
      <c:valAx>
        <c:axId val="101647488"/>
        <c:scaling>
          <c:orientation val="minMax"/>
          <c:max val="11"/>
        </c:scaling>
        <c:delete val="0"/>
        <c:axPos val="l"/>
        <c:majorGridlines>
          <c:spPr>
            <a:ln w="6350">
              <a:solidFill>
                <a:schemeClr val="bg1">
                  <a:lumMod val="75000"/>
                </a:schemeClr>
              </a:solidFill>
            </a:ln>
          </c:spPr>
        </c:majorGridlines>
        <c:title>
          <c:tx>
            <c:rich>
              <a:bodyPr/>
              <a:lstStyle/>
              <a:p>
                <a:pPr>
                  <a:defRPr sz="700" b="0" i="1"/>
                </a:pPr>
                <a:r>
                  <a:rPr lang="cs-CZ" sz="700" b="0" i="1"/>
                  <a:t>Míra</a:t>
                </a:r>
                <a:r>
                  <a:rPr lang="cs-CZ" sz="700" b="0" i="1" baseline="0"/>
                  <a:t> nezaměstnanosti</a:t>
                </a:r>
                <a:endParaRPr lang="cs-CZ" sz="700" b="0" i="1"/>
              </a:p>
            </c:rich>
          </c:tx>
          <c:overlay val="0"/>
        </c:title>
        <c:numFmt formatCode="0" sourceLinked="0"/>
        <c:majorTickMark val="out"/>
        <c:minorTickMark val="none"/>
        <c:tickLblPos val="nextTo"/>
        <c:spPr>
          <a:ln>
            <a:solidFill>
              <a:schemeClr val="tx1"/>
            </a:solidFill>
          </a:ln>
        </c:spPr>
        <c:crossAx val="100654464"/>
        <c:crosses val="autoZero"/>
        <c:crossBetween val="between"/>
        <c:majorUnit val="1"/>
      </c:valAx>
      <c:valAx>
        <c:axId val="323971328"/>
        <c:scaling>
          <c:orientation val="minMax"/>
          <c:max val="200"/>
          <c:min val="-20"/>
        </c:scaling>
        <c:delete val="0"/>
        <c:axPos val="r"/>
        <c:title>
          <c:tx>
            <c:rich>
              <a:bodyPr/>
              <a:lstStyle/>
              <a:p>
                <a:pPr>
                  <a:defRPr sz="700" b="0" i="1"/>
                </a:pPr>
                <a:r>
                  <a:rPr lang="cs-CZ" sz="700" b="0" i="1"/>
                  <a:t>Počet</a:t>
                </a:r>
                <a:r>
                  <a:rPr lang="cs-CZ" sz="700" b="0" i="1" baseline="0"/>
                  <a:t> ek. neaktivních, očekávání nezaměstnanosti</a:t>
                </a:r>
                <a:endParaRPr lang="cs-CZ" sz="700" b="0" i="1"/>
              </a:p>
            </c:rich>
          </c:tx>
          <c:overlay val="0"/>
        </c:title>
        <c:numFmt formatCode="#,##0" sourceLinked="0"/>
        <c:majorTickMark val="out"/>
        <c:minorTickMark val="none"/>
        <c:tickLblPos val="nextTo"/>
        <c:crossAx val="331670576"/>
        <c:crosses val="max"/>
        <c:crossBetween val="between"/>
        <c:majorUnit val="20"/>
      </c:valAx>
      <c:catAx>
        <c:axId val="331670576"/>
        <c:scaling>
          <c:orientation val="minMax"/>
        </c:scaling>
        <c:delete val="1"/>
        <c:axPos val="b"/>
        <c:numFmt formatCode="General" sourceLinked="1"/>
        <c:majorTickMark val="out"/>
        <c:minorTickMark val="none"/>
        <c:tickLblPos val="nextTo"/>
        <c:crossAx val="323971328"/>
        <c:crosses val="autoZero"/>
        <c:auto val="1"/>
        <c:lblAlgn val="ctr"/>
        <c:lblOffset val="100"/>
        <c:noMultiLvlLbl val="0"/>
      </c:catAx>
      <c:spPr>
        <a:ln>
          <a:solidFill>
            <a:schemeClr val="tx1"/>
          </a:solidFill>
        </a:ln>
      </c:spPr>
    </c:plotArea>
    <c:legend>
      <c:legendPos val="b"/>
      <c:layout>
        <c:manualLayout>
          <c:xMode val="edge"/>
          <c:yMode val="edge"/>
          <c:x val="2.0411716257698633E-2"/>
          <c:y val="0.87009214574436677"/>
          <c:w val="0.96008712889427228"/>
          <c:h val="0.12620991153472777"/>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0091348527306885E-2"/>
          <c:y val="1.6549886621315273E-2"/>
          <c:w val="0.94100987714831696"/>
          <c:h val="0.76395209750566906"/>
        </c:manualLayout>
      </c:layout>
      <c:barChart>
        <c:barDir val="col"/>
        <c:grouping val="clustered"/>
        <c:varyColors val="0"/>
        <c:ser>
          <c:idx val="4"/>
          <c:order val="1"/>
          <c:tx>
            <c:strRef>
              <c:f>'Trh práce 3'!$D$8</c:f>
              <c:strCache>
                <c:ptCount val="1"/>
                <c:pt idx="0">
                  <c:v>Průměrná mzda celkem (reálně)</c:v>
                </c:pt>
              </c:strCache>
            </c:strRef>
          </c:tx>
          <c:spPr>
            <a:solidFill>
              <a:srgbClr val="DBDBDB"/>
            </a:solidFill>
            <a:ln w="19050">
              <a:noFill/>
            </a:ln>
          </c:spPr>
          <c:invertIfNegative val="0"/>
          <c:cat>
            <c:multiLvlStrRef>
              <c:f>'Trh práce 3'!$A$17:$B$50</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'Trh práce 3'!$D$17:$D$50</c:f>
              <c:numCache>
                <c:formatCode>#\ ##0.0</c:formatCode>
                <c:ptCount val="34"/>
                <c:pt idx="0">
                  <c:v>-0.5</c:v>
                </c:pt>
                <c:pt idx="1">
                  <c:v>-1.2999999999999972</c:v>
                </c:pt>
                <c:pt idx="2">
                  <c:v>-1.7999999999999972</c:v>
                </c:pt>
                <c:pt idx="3">
                  <c:v>0.40000000000000568</c:v>
                </c:pt>
                <c:pt idx="4">
                  <c:v>-2.4000000000000057</c:v>
                </c:pt>
                <c:pt idx="5">
                  <c:v>-0.5</c:v>
                </c:pt>
                <c:pt idx="6">
                  <c:v>0</c:v>
                </c:pt>
                <c:pt idx="7">
                  <c:v>-3.0999999999999943</c:v>
                </c:pt>
                <c:pt idx="8">
                  <c:v>3.7000000000000028</c:v>
                </c:pt>
                <c:pt idx="9">
                  <c:v>2.5999999999999943</c:v>
                </c:pt>
                <c:pt idx="10">
                  <c:v>1.5999999999999943</c:v>
                </c:pt>
                <c:pt idx="11">
                  <c:v>2.2999999999999972</c:v>
                </c:pt>
                <c:pt idx="12">
                  <c:v>2.2000000000000028</c:v>
                </c:pt>
                <c:pt idx="13">
                  <c:v>2.5999999999999943</c:v>
                </c:pt>
                <c:pt idx="14">
                  <c:v>3.0999999999999943</c:v>
                </c:pt>
                <c:pt idx="15">
                  <c:v>3.5999999999999943</c:v>
                </c:pt>
                <c:pt idx="16">
                  <c:v>4.2000000000000028</c:v>
                </c:pt>
                <c:pt idx="17">
                  <c:v>3.7999999999999972</c:v>
                </c:pt>
                <c:pt idx="18">
                  <c:v>4.2000000000000028</c:v>
                </c:pt>
                <c:pt idx="19">
                  <c:v>3</c:v>
                </c:pt>
                <c:pt idx="20">
                  <c:v>2.5999999999999943</c:v>
                </c:pt>
                <c:pt idx="21">
                  <c:v>4.9000000000000057</c:v>
                </c:pt>
                <c:pt idx="22">
                  <c:v>4.0999999999999943</c:v>
                </c:pt>
                <c:pt idx="23">
                  <c:v>5.0999999999999943</c:v>
                </c:pt>
                <c:pt idx="24">
                  <c:v>6.5</c:v>
                </c:pt>
                <c:pt idx="25">
                  <c:v>6.2999999999999972</c:v>
                </c:pt>
                <c:pt idx="26">
                  <c:v>5.9000000000000057</c:v>
                </c:pt>
                <c:pt idx="27">
                  <c:v>4.9000000000000057</c:v>
                </c:pt>
                <c:pt idx="28">
                  <c:v>3.9000000000000057</c:v>
                </c:pt>
                <c:pt idx="29">
                  <c:v>3.7000000000000028</c:v>
                </c:pt>
                <c:pt idx="30">
                  <c:v>3.4000000000000057</c:v>
                </c:pt>
                <c:pt idx="31">
                  <c:v>3.0999999999999943</c:v>
                </c:pt>
                <c:pt idx="32">
                  <c:v>1.4000000000000057</c:v>
                </c:pt>
                <c:pt idx="33">
                  <c:v>-2.5</c:v>
                </c:pt>
              </c:numCache>
            </c:numRef>
          </c:val>
          <c:extLst>
            <c:ext xmlns:c16="http://schemas.microsoft.com/office/drawing/2014/chart" uri="{C3380CC4-5D6E-409C-BE32-E72D297353CC}">
              <c16:uniqueId val="{00000000-A63B-4F20-8DEB-57C78E7DB9A6}"/>
            </c:ext>
          </c:extLst>
        </c:ser>
        <c:dLbls>
          <c:showLegendKey val="0"/>
          <c:showVal val="0"/>
          <c:showCatName val="0"/>
          <c:showSerName val="0"/>
          <c:showPercent val="0"/>
          <c:showBubbleSize val="0"/>
        </c:dLbls>
        <c:gapWidth val="37"/>
        <c:axId val="100688640"/>
        <c:axId val="100690560"/>
      </c:barChart>
      <c:lineChart>
        <c:grouping val="standard"/>
        <c:varyColors val="0"/>
        <c:ser>
          <c:idx val="0"/>
          <c:order val="0"/>
          <c:tx>
            <c:strRef>
              <c:f>'Trh práce 3'!$C$8</c:f>
              <c:strCache>
                <c:ptCount val="1"/>
                <c:pt idx="0">
                  <c:v>Průměrná mzda celkem (nominálně)</c:v>
                </c:pt>
              </c:strCache>
            </c:strRef>
          </c:tx>
          <c:spPr>
            <a:ln w="19050">
              <a:solidFill>
                <a:schemeClr val="tx1">
                  <a:lumMod val="95000"/>
                  <a:lumOff val="5000"/>
                </a:schemeClr>
              </a:solidFill>
            </a:ln>
          </c:spPr>
          <c:marker>
            <c:symbol val="none"/>
          </c:marker>
          <c:cat>
            <c:multiLvlStrRef>
              <c:f>'Trh práce 3'!$A$17:$B$50</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'Trh práce 3'!$C$17:$C$50</c:f>
              <c:numCache>
                <c:formatCode>0.0</c:formatCode>
                <c:ptCount val="34"/>
                <c:pt idx="0">
                  <c:v>3.2000000000000028</c:v>
                </c:pt>
                <c:pt idx="1">
                  <c:v>2.0999999999999943</c:v>
                </c:pt>
                <c:pt idx="2">
                  <c:v>1.4000000000000057</c:v>
                </c:pt>
                <c:pt idx="3">
                  <c:v>3.2000000000000028</c:v>
                </c:pt>
                <c:pt idx="4">
                  <c:v>-0.59999999999999432</c:v>
                </c:pt>
                <c:pt idx="5">
                  <c:v>1</c:v>
                </c:pt>
                <c:pt idx="6">
                  <c:v>1.2000000000000028</c:v>
                </c:pt>
                <c:pt idx="7">
                  <c:v>-2</c:v>
                </c:pt>
                <c:pt idx="8">
                  <c:v>3.9000000000000057</c:v>
                </c:pt>
                <c:pt idx="9">
                  <c:v>2.7999999999999972</c:v>
                </c:pt>
                <c:pt idx="10">
                  <c:v>2.2000000000000028</c:v>
                </c:pt>
                <c:pt idx="11">
                  <c:v>2.7999999999999972</c:v>
                </c:pt>
                <c:pt idx="12">
                  <c:v>2.2999999999999972</c:v>
                </c:pt>
                <c:pt idx="13">
                  <c:v>3.2999999999999972</c:v>
                </c:pt>
                <c:pt idx="14">
                  <c:v>3.5</c:v>
                </c:pt>
                <c:pt idx="15">
                  <c:v>3.7000000000000028</c:v>
                </c:pt>
                <c:pt idx="16">
                  <c:v>4.7000000000000028</c:v>
                </c:pt>
                <c:pt idx="17">
                  <c:v>4</c:v>
                </c:pt>
                <c:pt idx="18">
                  <c:v>4.7000000000000028</c:v>
                </c:pt>
                <c:pt idx="19">
                  <c:v>4.4000000000000057</c:v>
                </c:pt>
                <c:pt idx="20">
                  <c:v>5.0999999999999943</c:v>
                </c:pt>
                <c:pt idx="21">
                  <c:v>7.2000000000000028</c:v>
                </c:pt>
                <c:pt idx="22">
                  <c:v>6.7000000000000028</c:v>
                </c:pt>
                <c:pt idx="23">
                  <c:v>7.7999999999999972</c:v>
                </c:pt>
                <c:pt idx="24">
                  <c:v>8.5</c:v>
                </c:pt>
                <c:pt idx="25">
                  <c:v>8.7000000000000028</c:v>
                </c:pt>
                <c:pt idx="26">
                  <c:v>8.4000000000000057</c:v>
                </c:pt>
                <c:pt idx="27">
                  <c:v>7.0999999999999943</c:v>
                </c:pt>
                <c:pt idx="28">
                  <c:v>6.7000000000000028</c:v>
                </c:pt>
                <c:pt idx="29">
                  <c:v>6.5999999999999943</c:v>
                </c:pt>
                <c:pt idx="30">
                  <c:v>6.2999999999999972</c:v>
                </c:pt>
                <c:pt idx="31">
                  <c:v>6.2000000000000028</c:v>
                </c:pt>
                <c:pt idx="32">
                  <c:v>5.0999999999999943</c:v>
                </c:pt>
                <c:pt idx="33">
                  <c:v>0.5</c:v>
                </c:pt>
              </c:numCache>
            </c:numRef>
          </c:val>
          <c:smooth val="0"/>
          <c:extLst>
            <c:ext xmlns:c16="http://schemas.microsoft.com/office/drawing/2014/chart" uri="{C3380CC4-5D6E-409C-BE32-E72D297353CC}">
              <c16:uniqueId val="{00000001-A63B-4F20-8DEB-57C78E7DB9A6}"/>
            </c:ext>
          </c:extLst>
        </c:ser>
        <c:ser>
          <c:idx val="5"/>
          <c:order val="2"/>
          <c:tx>
            <c:strRef>
              <c:f>'Trh práce 3'!$E$8</c:f>
              <c:strCache>
                <c:ptCount val="1"/>
                <c:pt idx="0">
                  <c:v>Prům. mzda v průmyslu (nominálně)</c:v>
                </c:pt>
              </c:strCache>
            </c:strRef>
          </c:tx>
          <c:spPr>
            <a:ln w="9525">
              <a:solidFill>
                <a:srgbClr val="C00000"/>
              </a:solidFill>
              <a:prstDash val="solid"/>
            </a:ln>
          </c:spPr>
          <c:marker>
            <c:symbol val="none"/>
          </c:marker>
          <c:cat>
            <c:multiLvlStrRef>
              <c:f>'Trh práce 3'!$A$17:$B$50</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'Trh práce 3'!$E$17:$E$50</c:f>
              <c:numCache>
                <c:formatCode>0.0</c:formatCode>
                <c:ptCount val="34"/>
                <c:pt idx="0">
                  <c:v>3.7769088643492523</c:v>
                </c:pt>
                <c:pt idx="1">
                  <c:v>2.921477585569292</c:v>
                </c:pt>
                <c:pt idx="2">
                  <c:v>1.9451664291104294</c:v>
                </c:pt>
                <c:pt idx="3">
                  <c:v>3.5035265256056363</c:v>
                </c:pt>
                <c:pt idx="4">
                  <c:v>0.11593242795626679</c:v>
                </c:pt>
                <c:pt idx="5">
                  <c:v>1.5370488661769315</c:v>
                </c:pt>
                <c:pt idx="6">
                  <c:v>2.0725388601036343</c:v>
                </c:pt>
                <c:pt idx="7">
                  <c:v>-0.40737723131620385</c:v>
                </c:pt>
                <c:pt idx="8">
                  <c:v>4.5202646815549912</c:v>
                </c:pt>
                <c:pt idx="9">
                  <c:v>3.1140644045138259</c:v>
                </c:pt>
                <c:pt idx="10">
                  <c:v>2.521956329062931</c:v>
                </c:pt>
                <c:pt idx="11">
                  <c:v>3.1124497991967814</c:v>
                </c:pt>
                <c:pt idx="12">
                  <c:v>1.6381118189372046</c:v>
                </c:pt>
                <c:pt idx="13">
                  <c:v>2.6920877025738719</c:v>
                </c:pt>
                <c:pt idx="14">
                  <c:v>3.010059729644766</c:v>
                </c:pt>
                <c:pt idx="15">
                  <c:v>2.9788308269320822</c:v>
                </c:pt>
                <c:pt idx="16">
                  <c:v>4.6482656596722052</c:v>
                </c:pt>
                <c:pt idx="17">
                  <c:v>3.9508373250157831</c:v>
                </c:pt>
                <c:pt idx="18">
                  <c:v>4.6540016784924205</c:v>
                </c:pt>
                <c:pt idx="19">
                  <c:v>3.8977412011906836</c:v>
                </c:pt>
                <c:pt idx="20">
                  <c:v>5.1746586808526445</c:v>
                </c:pt>
                <c:pt idx="21">
                  <c:v>8.0728701553848907</c:v>
                </c:pt>
                <c:pt idx="22">
                  <c:v>6.8272945979441602</c:v>
                </c:pt>
                <c:pt idx="23">
                  <c:v>7.0884454631252538</c:v>
                </c:pt>
                <c:pt idx="24">
                  <c:v>7.9018109790605564</c:v>
                </c:pt>
                <c:pt idx="25">
                  <c:v>8.1936869938853221</c:v>
                </c:pt>
                <c:pt idx="26">
                  <c:v>7.3566042242467802</c:v>
                </c:pt>
                <c:pt idx="27">
                  <c:v>7.6170092222467076</c:v>
                </c:pt>
                <c:pt idx="28">
                  <c:v>5.8906444633842483</c:v>
                </c:pt>
                <c:pt idx="29">
                  <c:v>5.883790554163852</c:v>
                </c:pt>
                <c:pt idx="30">
                  <c:v>5.5271271016749779</c:v>
                </c:pt>
                <c:pt idx="31">
                  <c:v>4.4163668801731433</c:v>
                </c:pt>
                <c:pt idx="32">
                  <c:v>4.4918428628919855</c:v>
                </c:pt>
                <c:pt idx="33">
                  <c:v>-4.2094633583381409</c:v>
                </c:pt>
              </c:numCache>
            </c:numRef>
          </c:val>
          <c:smooth val="0"/>
          <c:extLst>
            <c:ext xmlns:c16="http://schemas.microsoft.com/office/drawing/2014/chart" uri="{C3380CC4-5D6E-409C-BE32-E72D297353CC}">
              <c16:uniqueId val="{00000002-A63B-4F20-8DEB-57C78E7DB9A6}"/>
            </c:ext>
          </c:extLst>
        </c:ser>
        <c:ser>
          <c:idx val="1"/>
          <c:order val="3"/>
          <c:tx>
            <c:strRef>
              <c:f>'Trh práce 3'!$F$8</c:f>
              <c:strCache>
                <c:ptCount val="1"/>
                <c:pt idx="0">
                  <c:v>Prům. mzda v obchodu (nominálně)</c:v>
                </c:pt>
              </c:strCache>
            </c:strRef>
          </c:tx>
          <c:spPr>
            <a:ln w="9525">
              <a:solidFill>
                <a:srgbClr val="0070C0"/>
              </a:solidFill>
              <a:prstDash val="solid"/>
            </a:ln>
          </c:spPr>
          <c:marker>
            <c:symbol val="none"/>
          </c:marker>
          <c:cat>
            <c:multiLvlStrRef>
              <c:f>'Trh práce 3'!$A$17:$B$50</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'Trh práce 3'!$F$17:$F$50</c:f>
              <c:numCache>
                <c:formatCode>0.0</c:formatCode>
                <c:ptCount val="34"/>
                <c:pt idx="0">
                  <c:v>4.0793724042454897</c:v>
                </c:pt>
                <c:pt idx="1">
                  <c:v>0.74380901478710371</c:v>
                </c:pt>
                <c:pt idx="2">
                  <c:v>0.80315938942136711</c:v>
                </c:pt>
                <c:pt idx="3">
                  <c:v>3.3521825800414859</c:v>
                </c:pt>
                <c:pt idx="4">
                  <c:v>-0.36357187195176266</c:v>
                </c:pt>
                <c:pt idx="5">
                  <c:v>0.83115964454663072</c:v>
                </c:pt>
                <c:pt idx="6">
                  <c:v>1.2941849716071658</c:v>
                </c:pt>
                <c:pt idx="7">
                  <c:v>-4.6290100373942096</c:v>
                </c:pt>
                <c:pt idx="8">
                  <c:v>3.4576361694553128</c:v>
                </c:pt>
                <c:pt idx="9">
                  <c:v>4.1785416758012985</c:v>
                </c:pt>
                <c:pt idx="10">
                  <c:v>2.8899222111164136</c:v>
                </c:pt>
                <c:pt idx="11">
                  <c:v>2.761153989021409</c:v>
                </c:pt>
                <c:pt idx="12">
                  <c:v>3.1055099144049194</c:v>
                </c:pt>
                <c:pt idx="13">
                  <c:v>3.9141414141414117</c:v>
                </c:pt>
                <c:pt idx="14">
                  <c:v>3.949146815340427</c:v>
                </c:pt>
                <c:pt idx="15">
                  <c:v>5.7916298497871423</c:v>
                </c:pt>
                <c:pt idx="16">
                  <c:v>5.6443202202661524</c:v>
                </c:pt>
                <c:pt idx="17">
                  <c:v>3.9570676387201189</c:v>
                </c:pt>
                <c:pt idx="18">
                  <c:v>4.9977652269310511</c:v>
                </c:pt>
                <c:pt idx="19">
                  <c:v>4.4950645406226215</c:v>
                </c:pt>
                <c:pt idx="20">
                  <c:v>5.6231243089559229</c:v>
                </c:pt>
                <c:pt idx="21">
                  <c:v>7.9284684614485457</c:v>
                </c:pt>
                <c:pt idx="22">
                  <c:v>7.693200727526019</c:v>
                </c:pt>
                <c:pt idx="23">
                  <c:v>8.3926754832146457</c:v>
                </c:pt>
                <c:pt idx="24">
                  <c:v>7.2416629280693883</c:v>
                </c:pt>
                <c:pt idx="25">
                  <c:v>7.0392029456356937</c:v>
                </c:pt>
                <c:pt idx="26">
                  <c:v>6.8381903769449082</c:v>
                </c:pt>
                <c:pt idx="27">
                  <c:v>6.6970570490044992</c:v>
                </c:pt>
                <c:pt idx="28">
                  <c:v>7.819417814188597</c:v>
                </c:pt>
                <c:pt idx="29">
                  <c:v>5.5341966815054491</c:v>
                </c:pt>
                <c:pt idx="30">
                  <c:v>6.4442351674963021</c:v>
                </c:pt>
                <c:pt idx="31">
                  <c:v>4.3541090726313172</c:v>
                </c:pt>
                <c:pt idx="32">
                  <c:v>4.3261769270563946</c:v>
                </c:pt>
                <c:pt idx="33">
                  <c:v>-0.71901064135748527</c:v>
                </c:pt>
              </c:numCache>
            </c:numRef>
          </c:val>
          <c:smooth val="0"/>
          <c:extLst>
            <c:ext xmlns:c16="http://schemas.microsoft.com/office/drawing/2014/chart" uri="{C3380CC4-5D6E-409C-BE32-E72D297353CC}">
              <c16:uniqueId val="{00000003-A63B-4F20-8DEB-57C78E7DB9A6}"/>
            </c:ext>
          </c:extLst>
        </c:ser>
        <c:ser>
          <c:idx val="2"/>
          <c:order val="4"/>
          <c:tx>
            <c:strRef>
              <c:f>'Trh práce 3'!$G$8</c:f>
              <c:strCache>
                <c:ptCount val="1"/>
                <c:pt idx="0">
                  <c:v>Prům. mzda ve veř. službách (nominálně)*</c:v>
                </c:pt>
              </c:strCache>
            </c:strRef>
          </c:tx>
          <c:spPr>
            <a:ln w="9525">
              <a:solidFill>
                <a:srgbClr val="00B050"/>
              </a:solidFill>
              <a:prstDash val="solid"/>
            </a:ln>
          </c:spPr>
          <c:marker>
            <c:symbol val="none"/>
          </c:marker>
          <c:cat>
            <c:multiLvlStrRef>
              <c:f>'Trh práce 3'!$A$17:$B$50</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'Trh práce 3'!$G$17:$G$50</c:f>
              <c:numCache>
                <c:formatCode>0.0</c:formatCode>
                <c:ptCount val="34"/>
                <c:pt idx="0">
                  <c:v>3.2279568792092874</c:v>
                </c:pt>
                <c:pt idx="1">
                  <c:v>1.7574406830760552</c:v>
                </c:pt>
                <c:pt idx="2">
                  <c:v>1.8920783570674899</c:v>
                </c:pt>
                <c:pt idx="3">
                  <c:v>1.0598177996607347</c:v>
                </c:pt>
                <c:pt idx="4">
                  <c:v>2.4966291616919989E-2</c:v>
                </c:pt>
                <c:pt idx="5">
                  <c:v>1.6016040487051129</c:v>
                </c:pt>
                <c:pt idx="6">
                  <c:v>0.63880459502811959</c:v>
                </c:pt>
                <c:pt idx="7">
                  <c:v>0.17964165062383586</c:v>
                </c:pt>
                <c:pt idx="8">
                  <c:v>2.2807600057714694</c:v>
                </c:pt>
                <c:pt idx="9">
                  <c:v>1.7741806147294028</c:v>
                </c:pt>
                <c:pt idx="10">
                  <c:v>2.0112509376191809</c:v>
                </c:pt>
                <c:pt idx="11">
                  <c:v>4.0222566728863143</c:v>
                </c:pt>
                <c:pt idx="12">
                  <c:v>3.2925091204842687</c:v>
                </c:pt>
                <c:pt idx="13">
                  <c:v>4.3135889286729565</c:v>
                </c:pt>
                <c:pt idx="14">
                  <c:v>3.8145419077079765</c:v>
                </c:pt>
                <c:pt idx="15">
                  <c:v>3.6381766938736746</c:v>
                </c:pt>
                <c:pt idx="16">
                  <c:v>4.64178325585614</c:v>
                </c:pt>
                <c:pt idx="17">
                  <c:v>3.8061258933532116</c:v>
                </c:pt>
                <c:pt idx="18">
                  <c:v>4.8526374704253925</c:v>
                </c:pt>
                <c:pt idx="19">
                  <c:v>6.1351981806606233</c:v>
                </c:pt>
                <c:pt idx="20">
                  <c:v>5.4566112929362163</c:v>
                </c:pt>
                <c:pt idx="21">
                  <c:v>7.3192456135909225</c:v>
                </c:pt>
                <c:pt idx="22">
                  <c:v>7.9981713137873953</c:v>
                </c:pt>
                <c:pt idx="23">
                  <c:v>10.484072576559427</c:v>
                </c:pt>
                <c:pt idx="24">
                  <c:v>12.179699393983398</c:v>
                </c:pt>
                <c:pt idx="25">
                  <c:v>11.89217733254111</c:v>
                </c:pt>
                <c:pt idx="26">
                  <c:v>11.361326321628667</c:v>
                </c:pt>
                <c:pt idx="27">
                  <c:v>6.1282038917470629</c:v>
                </c:pt>
                <c:pt idx="28">
                  <c:v>8.2546748266468626</c:v>
                </c:pt>
                <c:pt idx="29">
                  <c:v>8.1369829157287512</c:v>
                </c:pt>
                <c:pt idx="30">
                  <c:v>7.2135483258725941</c:v>
                </c:pt>
                <c:pt idx="31">
                  <c:v>10.00176307206651</c:v>
                </c:pt>
                <c:pt idx="32">
                  <c:v>5.052780952700985</c:v>
                </c:pt>
                <c:pt idx="33">
                  <c:v>5.0731796240498568</c:v>
                </c:pt>
              </c:numCache>
            </c:numRef>
          </c:val>
          <c:smooth val="0"/>
          <c:extLst>
            <c:ext xmlns:c16="http://schemas.microsoft.com/office/drawing/2014/chart" uri="{C3380CC4-5D6E-409C-BE32-E72D297353CC}">
              <c16:uniqueId val="{00000004-A63B-4F20-8DEB-57C78E7DB9A6}"/>
            </c:ext>
          </c:extLst>
        </c:ser>
        <c:ser>
          <c:idx val="3"/>
          <c:order val="5"/>
          <c:tx>
            <c:strRef>
              <c:f>'Trh práce 3'!$H$8</c:f>
              <c:strCache>
                <c:ptCount val="1"/>
                <c:pt idx="0">
                  <c:v>Mediánová mzda celkem (nominálně)</c:v>
                </c:pt>
              </c:strCache>
            </c:strRef>
          </c:tx>
          <c:spPr>
            <a:ln w="19050">
              <a:noFill/>
            </a:ln>
          </c:spPr>
          <c:marker>
            <c:symbol val="circle"/>
            <c:size val="5"/>
            <c:spPr>
              <a:solidFill>
                <a:srgbClr val="FFFF00"/>
              </a:solidFill>
              <a:ln w="6350">
                <a:solidFill>
                  <a:schemeClr val="bg1">
                    <a:lumMod val="50000"/>
                  </a:schemeClr>
                </a:solidFill>
              </a:ln>
            </c:spPr>
          </c:marker>
          <c:cat>
            <c:multiLvlStrRef>
              <c:f>'Trh práce 3'!$A$17:$B$50</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'Trh práce 3'!$H$17:$H$50</c:f>
              <c:numCache>
                <c:formatCode>0.0</c:formatCode>
                <c:ptCount val="34"/>
                <c:pt idx="0">
                  <c:v>1.4000000000000057</c:v>
                </c:pt>
                <c:pt idx="1">
                  <c:v>1.2999999999999972</c:v>
                </c:pt>
                <c:pt idx="2">
                  <c:v>-0.40000000000000568</c:v>
                </c:pt>
                <c:pt idx="3">
                  <c:v>-0.59999999999999432</c:v>
                </c:pt>
                <c:pt idx="4">
                  <c:v>0.59999999999999432</c:v>
                </c:pt>
                <c:pt idx="5">
                  <c:v>1.4000000000000057</c:v>
                </c:pt>
                <c:pt idx="6">
                  <c:v>2.2999999999999972</c:v>
                </c:pt>
                <c:pt idx="7">
                  <c:v>1.2000000000000028</c:v>
                </c:pt>
                <c:pt idx="8">
                  <c:v>4.7000000000000028</c:v>
                </c:pt>
                <c:pt idx="9">
                  <c:v>3.2999999999999972</c:v>
                </c:pt>
                <c:pt idx="10">
                  <c:v>2.5999999999999943</c:v>
                </c:pt>
                <c:pt idx="11">
                  <c:v>2.2999999999999972</c:v>
                </c:pt>
                <c:pt idx="12">
                  <c:v>0.70000000000000284</c:v>
                </c:pt>
                <c:pt idx="13">
                  <c:v>2.2999999999999972</c:v>
                </c:pt>
                <c:pt idx="14">
                  <c:v>3.7999999999999972</c:v>
                </c:pt>
                <c:pt idx="15">
                  <c:v>4.7000000000000028</c:v>
                </c:pt>
                <c:pt idx="16">
                  <c:v>6.7000000000000028</c:v>
                </c:pt>
                <c:pt idx="17">
                  <c:v>4.5999999999999943</c:v>
                </c:pt>
                <c:pt idx="18">
                  <c:v>5.2999999999999972</c:v>
                </c:pt>
                <c:pt idx="19">
                  <c:v>6.2000000000000028</c:v>
                </c:pt>
                <c:pt idx="20">
                  <c:v>4.9000000000000057</c:v>
                </c:pt>
                <c:pt idx="21">
                  <c:v>7.7000000000000028</c:v>
                </c:pt>
                <c:pt idx="22">
                  <c:v>7</c:v>
                </c:pt>
                <c:pt idx="23">
                  <c:v>8.9000000000000057</c:v>
                </c:pt>
                <c:pt idx="24">
                  <c:v>8.2999999999999972</c:v>
                </c:pt>
                <c:pt idx="25">
                  <c:v>9.5999999999999943</c:v>
                </c:pt>
                <c:pt idx="26">
                  <c:v>10</c:v>
                </c:pt>
                <c:pt idx="27">
                  <c:v>7.2000000000000028</c:v>
                </c:pt>
                <c:pt idx="28">
                  <c:v>7.4000000000000057</c:v>
                </c:pt>
                <c:pt idx="29">
                  <c:v>6.5999999999999943</c:v>
                </c:pt>
                <c:pt idx="30">
                  <c:v>6</c:v>
                </c:pt>
                <c:pt idx="31">
                  <c:v>6.0999999999999943</c:v>
                </c:pt>
                <c:pt idx="32">
                  <c:v>6</c:v>
                </c:pt>
                <c:pt idx="33">
                  <c:v>-0.20000000000000284</c:v>
                </c:pt>
              </c:numCache>
            </c:numRef>
          </c:val>
          <c:smooth val="0"/>
          <c:extLst>
            <c:ext xmlns:c16="http://schemas.microsoft.com/office/drawing/2014/chart" uri="{C3380CC4-5D6E-409C-BE32-E72D297353CC}">
              <c16:uniqueId val="{00000005-A63B-4F20-8DEB-57C78E7DB9A6}"/>
            </c:ext>
          </c:extLst>
        </c:ser>
        <c:dLbls>
          <c:showLegendKey val="0"/>
          <c:showVal val="0"/>
          <c:showCatName val="0"/>
          <c:showSerName val="0"/>
          <c:showPercent val="0"/>
          <c:showBubbleSize val="0"/>
        </c:dLbls>
        <c:marker val="1"/>
        <c:smooth val="0"/>
        <c:axId val="100688640"/>
        <c:axId val="100690560"/>
      </c:lineChart>
      <c:catAx>
        <c:axId val="100688640"/>
        <c:scaling>
          <c:orientation val="minMax"/>
        </c:scaling>
        <c:delete val="0"/>
        <c:axPos val="b"/>
        <c:numFmt formatCode="General" sourceLinked="1"/>
        <c:majorTickMark val="out"/>
        <c:minorTickMark val="none"/>
        <c:tickLblPos val="low"/>
        <c:spPr>
          <a:ln>
            <a:solidFill>
              <a:schemeClr val="tx1"/>
            </a:solidFill>
          </a:ln>
        </c:spPr>
        <c:txPr>
          <a:bodyPr rot="0" vert="horz"/>
          <a:lstStyle/>
          <a:p>
            <a:pPr>
              <a:defRPr/>
            </a:pPr>
            <a:endParaRPr lang="cs-CZ"/>
          </a:p>
        </c:txPr>
        <c:crossAx val="100690560"/>
        <c:crosses val="autoZero"/>
        <c:auto val="1"/>
        <c:lblAlgn val="ctr"/>
        <c:lblOffset val="0"/>
        <c:tickMarkSkip val="4"/>
        <c:noMultiLvlLbl val="0"/>
      </c:catAx>
      <c:valAx>
        <c:axId val="100690560"/>
        <c:scaling>
          <c:orientation val="minMax"/>
          <c:max val="12.2"/>
          <c:min val="-5"/>
        </c:scaling>
        <c:delete val="0"/>
        <c:axPos val="l"/>
        <c:majorGridlines>
          <c:spPr>
            <a:ln>
              <a:solidFill>
                <a:schemeClr val="bg1">
                  <a:lumMod val="75000"/>
                </a:schemeClr>
              </a:solidFill>
            </a:ln>
          </c:spPr>
        </c:majorGridlines>
        <c:numFmt formatCode="0" sourceLinked="0"/>
        <c:majorTickMark val="out"/>
        <c:minorTickMark val="none"/>
        <c:tickLblPos val="nextTo"/>
        <c:spPr>
          <a:ln>
            <a:solidFill>
              <a:schemeClr val="tx1"/>
            </a:solidFill>
          </a:ln>
        </c:spPr>
        <c:crossAx val="100688640"/>
        <c:crosses val="autoZero"/>
        <c:crossBetween val="between"/>
        <c:majorUnit val="1"/>
      </c:valAx>
      <c:spPr>
        <a:ln>
          <a:solidFill>
            <a:schemeClr val="tx1"/>
          </a:solidFill>
        </a:ln>
      </c:spPr>
    </c:plotArea>
    <c:legend>
      <c:legendPos val="b"/>
      <c:layout>
        <c:manualLayout>
          <c:xMode val="edge"/>
          <c:yMode val="edge"/>
          <c:x val="3.1246167703413017E-2"/>
          <c:y val="0.87578174603174608"/>
          <c:w val="0.95532757942632895"/>
          <c:h val="0.11341893424036281"/>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5D9A6-4C93-46D8-868B-D5478241DC9C}">
  <ds:schemaRefs>
    <ds:schemaRef ds:uri="http://schemas.openxmlformats.org/officeDocument/2006/bibliography"/>
  </ds:schemaRefs>
</ds:datastoreItem>
</file>

<file path=customXml/itemProps2.xml><?xml version="1.0" encoding="utf-8"?>
<ds:datastoreItem xmlns:ds="http://schemas.openxmlformats.org/officeDocument/2006/customXml" ds:itemID="{829E2684-682E-4AD7-AFAA-8DAFC3015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1</TotalTime>
  <Pages>1</Pages>
  <Words>2399</Words>
  <Characters>14159</Characters>
  <Application>Microsoft Office Word</Application>
  <DocSecurity>0</DocSecurity>
  <Lines>117</Lines>
  <Paragraphs>33</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16525</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Karolína Súkupová</dc:creator>
  <cp:lastModifiedBy>Mgr. Karolína Zábojníková</cp:lastModifiedBy>
  <cp:revision>5</cp:revision>
  <cp:lastPrinted>2019-04-08T10:52:00Z</cp:lastPrinted>
  <dcterms:created xsi:type="dcterms:W3CDTF">2020-09-11T08:14:00Z</dcterms:created>
  <dcterms:modified xsi:type="dcterms:W3CDTF">2020-09-11T08:48:00Z</dcterms:modified>
</cp:coreProperties>
</file>