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6E4B" w14:textId="6E15F7C5" w:rsidR="000D4DC0" w:rsidRDefault="000D4DC0" w:rsidP="000D4DC0">
      <w:pPr>
        <w:pStyle w:val="Nadpis11"/>
      </w:pPr>
      <w:bookmarkStart w:id="0" w:name="_Toc50712132"/>
      <w:bookmarkStart w:id="1" w:name="_Toc26865023"/>
      <w:bookmarkStart w:id="2" w:name="_GoBack"/>
      <w:bookmarkEnd w:id="2"/>
      <w:r w:rsidRPr="009110F7">
        <w:t>8</w:t>
      </w:r>
      <w:r>
        <w:t>. </w:t>
      </w:r>
      <w:r w:rsidRPr="009110F7">
        <w:t>Státní rozpočet</w:t>
      </w:r>
      <w:bookmarkEnd w:id="0"/>
    </w:p>
    <w:tbl>
      <w:tblPr>
        <w:tblW w:w="9669" w:type="dxa"/>
        <w:tblInd w:w="-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2"/>
        <w:gridCol w:w="217"/>
        <w:gridCol w:w="7720"/>
      </w:tblGrid>
      <w:tr w:rsidR="00E42054" w:rsidRPr="003C07E6" w14:paraId="0219A5DA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BA02236" w14:textId="77777777" w:rsidR="00E42054" w:rsidRDefault="00E42054" w:rsidP="00061BD1">
            <w:pPr>
              <w:pStyle w:val="Marginlie"/>
            </w:pPr>
            <w:r>
              <w:t>Hospodaření státního rozpočtu se ve 2. čtvrtletí propadlo k nejhlubšímu deficitu v novodobé historii.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394D2F49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11BC9CD" w14:textId="77777777" w:rsidR="00E42054" w:rsidRPr="00333835" w:rsidRDefault="00E42054" w:rsidP="00061BD1">
            <w:pPr>
              <w:spacing w:after="200"/>
              <w:rPr>
                <w:spacing w:val="-2"/>
              </w:rPr>
            </w:pPr>
            <w:r w:rsidRPr="00333835">
              <w:rPr>
                <w:spacing w:val="-2"/>
              </w:rPr>
              <w:t>Za 1.</w:t>
            </w:r>
            <w:r>
              <w:rPr>
                <w:spacing w:val="-2"/>
              </w:rPr>
              <w:t> pololet</w:t>
            </w:r>
            <w:r w:rsidRPr="00333835">
              <w:rPr>
                <w:spacing w:val="-2"/>
              </w:rPr>
              <w:t>í 2020 dosáhl státní rozpočet (SR)</w:t>
            </w:r>
            <w:r w:rsidRPr="00333835">
              <w:rPr>
                <w:rStyle w:val="Znakapoznpodarou"/>
                <w:spacing w:val="-2"/>
              </w:rPr>
              <w:footnoteReference w:id="1"/>
            </w:r>
            <w:r>
              <w:rPr>
                <w:spacing w:val="-2"/>
              </w:rPr>
              <w:t xml:space="preserve"> výrazného schodku 195,2 mld.</w:t>
            </w:r>
            <w:r w:rsidRPr="00333835">
              <w:rPr>
                <w:spacing w:val="-2"/>
              </w:rPr>
              <w:t xml:space="preserve"> korun</w:t>
            </w:r>
            <w:r>
              <w:rPr>
                <w:spacing w:val="-2"/>
              </w:rPr>
              <w:t>. Oproti dosud rekordní pololetní hodnotě z roku 2010, která již z velké části reflektovala dopady hluboké hospodářské recese, byl letošní deficit více než dvaapůlkrát vyšší. Přestože se SR potýkal s deficity ve všech dosavadních letošních měsících, k pololetnímu výsledku přispěl nejvíce květnový schodek (64 mld.). Během 2. čtvrtletí se již velmi citelně projevily dopady intenzivních protipandemických opatření, a to jak na příjmové, tak na výdajové straně rozpočtu. To přineslo nevyhnutelně i potřebu zásadní revize původně schváleného celoročního rozpočtového deficitu</w:t>
            </w:r>
            <w:r w:rsidRPr="00333835">
              <w:rPr>
                <w:rStyle w:val="Znakapoznpodarou"/>
                <w:spacing w:val="-2"/>
              </w:rPr>
              <w:footnoteReference w:id="2"/>
            </w:r>
            <w:r>
              <w:rPr>
                <w:spacing w:val="-2"/>
              </w:rPr>
              <w:t>.</w:t>
            </w:r>
          </w:p>
        </w:tc>
      </w:tr>
      <w:tr w:rsidR="00E42054" w:rsidRPr="003C07E6" w14:paraId="3E6FB4E5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2CFC50A6" w14:textId="77777777" w:rsidR="00E42054" w:rsidRDefault="00E42054" w:rsidP="00061BD1">
            <w:pPr>
              <w:pStyle w:val="Marginlie"/>
            </w:pPr>
            <w:r>
              <w:t>Útlum ekonomické aktivity spolu s opatřeními na posílení likvidity firem vyústily ve 12,6% pokles celostátního daňového inkasa.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6AEA97A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5A88E80" w14:textId="77777777" w:rsidR="00E42054" w:rsidRPr="00333835" w:rsidRDefault="00E42054" w:rsidP="00061BD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Celkové příjmy SR v 1. pololetí se meziročně snížily o 5,9 %, resp. 44 mld. korun. V rámci 1. pololetí šlo o první pokles od roku 2017, tehdy však byl ovlivněn propadem evropských dotací, jenž nastal při náběhu na nové programové období. Samotné daňové příjmy SR meziročně klesly naposledy v 1. pololetí 2012. Hloubku útlumu ekonomické aktivity v 1. letošním pololetí dokládá i meziroční propad celostátního daňového inkasa (na úrovni všech veřejných rozpočtů), jenž činil 12,6 %, resp. 65 mld. korun (bez pojistného na sociální zabezpečení). V 1. pololetí 2009 přitom inkaso kleslo „jen“ o 10,2 %. V letošním inkasu se ale významně promítla opatření na posílení likvidity firem postižených propadem tržeb</w:t>
            </w:r>
            <w:r w:rsidRPr="00333835">
              <w:rPr>
                <w:rStyle w:val="Znakapoznpodarou"/>
                <w:spacing w:val="-2"/>
              </w:rPr>
              <w:footnoteReference w:id="3"/>
            </w:r>
            <w:r>
              <w:rPr>
                <w:spacing w:val="-2"/>
              </w:rPr>
              <w:t>. Pokles celkových příjmů SR byl tlumen sílícím přílivem prostředků z rozpočtu EU.</w:t>
            </w:r>
          </w:p>
        </w:tc>
      </w:tr>
      <w:tr w:rsidR="00E42054" w:rsidRPr="003C07E6" w14:paraId="6BA6CECA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E7B7A59" w14:textId="77777777" w:rsidR="00E42054" w:rsidRDefault="00E42054" w:rsidP="00061BD1">
            <w:pPr>
              <w:pStyle w:val="Marginlie"/>
            </w:pPr>
            <w:r>
              <w:t>Na celkovém daňovém inkasu se negativně podepsal hlavně citelný pokles výběru přímých daní.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2119B46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87E9855" w14:textId="77777777" w:rsidR="00E42054" w:rsidRPr="00835DD5" w:rsidRDefault="00E42054" w:rsidP="00061BD1">
            <w:pPr>
              <w:spacing w:after="200"/>
              <w:rPr>
                <w:spacing w:val="-3"/>
              </w:rPr>
            </w:pPr>
            <w:r w:rsidRPr="00835DD5">
              <w:rPr>
                <w:spacing w:val="-3"/>
              </w:rPr>
              <w:t>K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poklesu pololetních daňových příjmů SR nejvíce přispěl výběr korporátní daně, jenž byl meziročně o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čtvrtinu nižší (v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1.</w:t>
            </w:r>
            <w:r>
              <w:rPr>
                <w:spacing w:val="-3"/>
              </w:rPr>
              <w:t> čtvrtlet</w:t>
            </w:r>
            <w:r w:rsidRPr="00835DD5">
              <w:rPr>
                <w:spacing w:val="-3"/>
              </w:rPr>
              <w:t>í ještě vykazoval slabý růst o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1,6</w:t>
            </w:r>
            <w:r>
              <w:rPr>
                <w:spacing w:val="-3"/>
              </w:rPr>
              <w:t> %</w:t>
            </w:r>
            <w:r w:rsidRPr="00835DD5">
              <w:rPr>
                <w:spacing w:val="-3"/>
              </w:rPr>
              <w:t>). Zásadní roli sehrála výše uvedená daňová opatření. O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18,5</w:t>
            </w:r>
            <w:r>
              <w:rPr>
                <w:spacing w:val="-3"/>
              </w:rPr>
              <w:t> %</w:t>
            </w:r>
            <w:r w:rsidRPr="00835DD5">
              <w:rPr>
                <w:spacing w:val="-3"/>
              </w:rPr>
              <w:t xml:space="preserve"> se v 1.</w:t>
            </w:r>
            <w:r>
              <w:rPr>
                <w:spacing w:val="-3"/>
              </w:rPr>
              <w:t> pololet</w:t>
            </w:r>
            <w:r w:rsidRPr="00835DD5">
              <w:rPr>
                <w:spacing w:val="-3"/>
              </w:rPr>
              <w:t>í propadlo i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inkaso daně z příjmu fyzických osob. Na jeho výši měly vliv vypla</w:t>
            </w:r>
            <w:r>
              <w:rPr>
                <w:spacing w:val="-3"/>
              </w:rPr>
              <w:t>cené kompenzační bonusy (zejména OSVČ </w:t>
            </w:r>
            <w:r w:rsidRPr="00835DD5">
              <w:rPr>
                <w:spacing w:val="-3"/>
              </w:rPr>
              <w:t>–</w:t>
            </w:r>
            <w:r>
              <w:rPr>
                <w:spacing w:val="-3"/>
              </w:rPr>
              <w:t xml:space="preserve"> ve výši</w:t>
            </w:r>
            <w:r w:rsidRPr="00835DD5">
              <w:rPr>
                <w:spacing w:val="-3"/>
              </w:rPr>
              <w:t xml:space="preserve"> 21</w:t>
            </w:r>
            <w:r>
              <w:rPr>
                <w:spacing w:val="-3"/>
              </w:rPr>
              <w:t> mld.</w:t>
            </w:r>
            <w:r w:rsidRPr="00835DD5">
              <w:rPr>
                <w:spacing w:val="-3"/>
              </w:rPr>
              <w:t xml:space="preserve"> korun), prodloužení termínů podání přiznání k dani u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poplatníků, nárůst počtu lidí čerpající</w:t>
            </w:r>
            <w:r>
              <w:rPr>
                <w:spacing w:val="-3"/>
              </w:rPr>
              <w:t>ch</w:t>
            </w:r>
            <w:r w:rsidRPr="00835DD5">
              <w:rPr>
                <w:spacing w:val="-3"/>
              </w:rPr>
              <w:t xml:space="preserve"> ošetřovné i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 xml:space="preserve">pokles objemu vyplacených mezd </w:t>
            </w:r>
            <w:r>
              <w:rPr>
                <w:spacing w:val="-3"/>
              </w:rPr>
              <w:t>v </w:t>
            </w:r>
            <w:r w:rsidRPr="00835DD5">
              <w:rPr>
                <w:spacing w:val="-3"/>
              </w:rPr>
              <w:t>ekonomice vlivem redukce zaměstnanosti i</w:t>
            </w:r>
            <w:r>
              <w:rPr>
                <w:spacing w:val="-3"/>
              </w:rPr>
              <w:t> </w:t>
            </w:r>
            <w:r w:rsidRPr="00835DD5">
              <w:rPr>
                <w:spacing w:val="-3"/>
              </w:rPr>
              <w:t>snížení růstového tempa průměrné mzdy.</w:t>
            </w:r>
          </w:p>
        </w:tc>
      </w:tr>
      <w:tr w:rsidR="00E42054" w:rsidRPr="003C07E6" w14:paraId="08993C0D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9581A62" w14:textId="77777777" w:rsidR="00E42054" w:rsidRDefault="00E42054" w:rsidP="00061BD1">
            <w:pPr>
              <w:pStyle w:val="Marginlie"/>
            </w:pPr>
            <w:r>
              <w:t>Nižší inkaso DPH reflektovalo hlubší březnový a dubnový pokles maloobchodních tržeb. V červnu se pokles inkasa téměř zastavil.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3F91D4F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6E63558" w14:textId="77777777" w:rsidR="00E42054" w:rsidRDefault="00E42054" w:rsidP="00061BD1">
            <w:pPr>
              <w:spacing w:after="200"/>
              <w:rPr>
                <w:spacing w:val="-2"/>
              </w:rPr>
            </w:pPr>
            <w:r>
              <w:rPr>
                <w:spacing w:val="-2"/>
              </w:rPr>
              <w:t>Z </w:t>
            </w:r>
            <w:r>
              <w:rPr>
                <w:spacing w:val="-6"/>
              </w:rPr>
              <w:t>váhově dominantní daně – DPH – plynulo v 1. pololetí do SR meziročně o 6,1 % (resp. o 8,2 mld. korun) méně. Tento</w:t>
            </w:r>
            <w:r w:rsidRPr="00E8072D">
              <w:rPr>
                <w:spacing w:val="-2"/>
              </w:rPr>
              <w:t xml:space="preserve"> pokles reflektoval zejména útlum maloobchodních tržeb v</w:t>
            </w:r>
            <w:r>
              <w:rPr>
                <w:spacing w:val="-2"/>
              </w:rPr>
              <w:t> </w:t>
            </w:r>
            <w:r w:rsidRPr="00E8072D">
              <w:rPr>
                <w:spacing w:val="-2"/>
              </w:rPr>
              <w:t>březnu a</w:t>
            </w:r>
            <w:r>
              <w:rPr>
                <w:spacing w:val="-2"/>
              </w:rPr>
              <w:t> </w:t>
            </w:r>
            <w:r w:rsidRPr="00E8072D">
              <w:rPr>
                <w:spacing w:val="-2"/>
              </w:rPr>
              <w:t>v</w:t>
            </w:r>
            <w:r>
              <w:rPr>
                <w:spacing w:val="-2"/>
              </w:rPr>
              <w:t> </w:t>
            </w:r>
            <w:r w:rsidRPr="00E8072D">
              <w:rPr>
                <w:spacing w:val="-2"/>
              </w:rPr>
              <w:t>dubnu</w:t>
            </w:r>
            <w:r>
              <w:rPr>
                <w:spacing w:val="-2"/>
              </w:rPr>
              <w:t xml:space="preserve">, neboť během prvních dvou měsíců roku výběr daně rostl. Samotné červnové inkaso DPH již za loňskou úrovní významně </w:t>
            </w:r>
            <w:r w:rsidRPr="00163F98">
              <w:rPr>
                <w:spacing w:val="-2"/>
              </w:rPr>
              <w:t>nezaostávalo (</w:t>
            </w:r>
            <w:r w:rsidRPr="00163F98">
              <w:rPr>
                <w:spacing w:val="-6"/>
              </w:rPr>
              <w:t>–</w:t>
            </w:r>
            <w:r w:rsidRPr="00163F98">
              <w:rPr>
                <w:spacing w:val="-2"/>
              </w:rPr>
              <w:t>1,6</w:t>
            </w:r>
            <w:r>
              <w:rPr>
                <w:spacing w:val="-2"/>
              </w:rPr>
              <w:t> %</w:t>
            </w:r>
            <w:r w:rsidRPr="00163F98">
              <w:rPr>
                <w:spacing w:val="-2"/>
              </w:rPr>
              <w:t>). Pololetní</w:t>
            </w:r>
            <w:r>
              <w:rPr>
                <w:spacing w:val="-2"/>
              </w:rPr>
              <w:t xml:space="preserve"> inkaso bylo negativně ovlivněno také pozdržením části plateb (ve výši 5,8 mld. korun), menší vliv mělo i snížení sazby daně u některých položek</w:t>
            </w:r>
            <w:r w:rsidRPr="00333835">
              <w:rPr>
                <w:rStyle w:val="Znakapoznpodarou"/>
                <w:spacing w:val="-2"/>
              </w:rPr>
              <w:footnoteReference w:id="4"/>
            </w:r>
            <w:r>
              <w:rPr>
                <w:spacing w:val="-2"/>
              </w:rPr>
              <w:t xml:space="preserve">. </w:t>
            </w:r>
            <w:r>
              <w:rPr>
                <w:spacing w:val="-6"/>
              </w:rPr>
              <w:t>Opačně působily vyšší výdaje vládního sektoru.</w:t>
            </w:r>
          </w:p>
        </w:tc>
      </w:tr>
      <w:tr w:rsidR="00E42054" w:rsidRPr="003C07E6" w14:paraId="622DEF00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9A17258" w14:textId="77777777" w:rsidR="00E42054" w:rsidRDefault="00E42054" w:rsidP="00061BD1">
            <w:pPr>
              <w:pStyle w:val="Marginlie"/>
            </w:pPr>
            <w:r>
              <w:t>Nižší dopravní výkony se projevily v 10% poklesu inkasa daně z minerálních olejů. Omezení vztahů s nerezidenty působilo i na slabší výběr daně z piva či tabákových výrobků.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41AC9FF1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680B1B3" w14:textId="77777777" w:rsidR="00E42054" w:rsidRPr="00ED3827" w:rsidRDefault="00E42054" w:rsidP="00061BD1">
            <w:pPr>
              <w:spacing w:after="0"/>
              <w:rPr>
                <w:spacing w:val="-4"/>
              </w:rPr>
            </w:pPr>
            <w:r w:rsidRPr="00ED3827">
              <w:rPr>
                <w:spacing w:val="-4"/>
              </w:rPr>
              <w:t xml:space="preserve">Celkové inkaso SR </w:t>
            </w:r>
            <w:r w:rsidRPr="00ED3827">
              <w:rPr>
                <w:color w:val="0D0D0D" w:themeColor="text1" w:themeTint="F2"/>
                <w:spacing w:val="-4"/>
              </w:rPr>
              <w:t>ze spotřebních daní v 1.</w:t>
            </w:r>
            <w:r>
              <w:rPr>
                <w:color w:val="0D0D0D" w:themeColor="text1" w:themeTint="F2"/>
                <w:spacing w:val="-4"/>
              </w:rPr>
              <w:t> pololet</w:t>
            </w:r>
            <w:r w:rsidRPr="00ED3827">
              <w:rPr>
                <w:color w:val="0D0D0D" w:themeColor="text1" w:themeTint="F2"/>
                <w:spacing w:val="-4"/>
              </w:rPr>
              <w:t xml:space="preserve">í meziročně oslabilo </w:t>
            </w:r>
            <w:r w:rsidRPr="00ED3827">
              <w:rPr>
                <w:spacing w:val="-4"/>
              </w:rPr>
              <w:t>o 6,5 % (resp. téměř 5</w:t>
            </w:r>
            <w:r>
              <w:rPr>
                <w:spacing w:val="-4"/>
              </w:rPr>
              <w:t> mld.</w:t>
            </w:r>
            <w:r w:rsidRPr="00ED3827">
              <w:rPr>
                <w:spacing w:val="-4"/>
              </w:rPr>
              <w:t xml:space="preserve"> korun). Projevil se zejména výpadek inkasa daně z minerálních olejů (o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10</w:t>
            </w:r>
            <w:r>
              <w:rPr>
                <w:spacing w:val="-4"/>
              </w:rPr>
              <w:t> %</w:t>
            </w:r>
            <w:r w:rsidRPr="00ED3827">
              <w:rPr>
                <w:spacing w:val="-4"/>
              </w:rPr>
              <w:t>)</w:t>
            </w:r>
            <w:r>
              <w:rPr>
                <w:spacing w:val="-4"/>
              </w:rPr>
              <w:t xml:space="preserve"> vlivem citelné</w:t>
            </w:r>
            <w:r w:rsidRPr="00ED3827">
              <w:rPr>
                <w:spacing w:val="-4"/>
              </w:rPr>
              <w:t xml:space="preserve"> redukce dopravních výkonů (v</w:t>
            </w:r>
            <w:r>
              <w:rPr>
                <w:spacing w:val="-4"/>
              </w:rPr>
              <w:t>č. </w:t>
            </w:r>
            <w:r w:rsidRPr="00ED3827">
              <w:rPr>
                <w:spacing w:val="-4"/>
              </w:rPr>
              <w:t>tranzitní dopravy). Z podrobnějších údajů ČSÚ o spotřebě ropných produktů vyplývá, že k největšímu útlumu došlo během dubna</w:t>
            </w:r>
            <w:r w:rsidRPr="00ED3827">
              <w:rPr>
                <w:rStyle w:val="Znakapoznpodarou"/>
                <w:spacing w:val="-4"/>
              </w:rPr>
              <w:footnoteReference w:id="5"/>
            </w:r>
            <w:r w:rsidRPr="00ED3827">
              <w:rPr>
                <w:spacing w:val="-4"/>
              </w:rPr>
              <w:t>. Protipandemická opatření se podepsala i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na slabším výběru ostatních spotřebních daní, např. u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piva (o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8</w:t>
            </w:r>
            <w:r>
              <w:rPr>
                <w:spacing w:val="-4"/>
              </w:rPr>
              <w:t> %</w:t>
            </w:r>
            <w:r w:rsidRPr="00ED3827">
              <w:rPr>
                <w:spacing w:val="-4"/>
              </w:rPr>
              <w:t>), kde vyšší spotřeba lahvového piva nestačila kompenzovat nižší útlum točeného piva, či tabákových výrobků, kde výběr navzdory růstu sazby daně klesl o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3</w:t>
            </w:r>
            <w:r>
              <w:rPr>
                <w:spacing w:val="-4"/>
              </w:rPr>
              <w:t> %</w:t>
            </w:r>
            <w:r w:rsidRPr="00ED3827">
              <w:rPr>
                <w:spacing w:val="-4"/>
              </w:rPr>
              <w:t xml:space="preserve"> (mj. i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vlivem dočasného útlumu přeshraničních nákupů z Německa a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Rakouska). Rozpočtová očekávání nenaplnil ani výběr daně z lihu, u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>níž byl efekt růstu sazby tlumen nižší spotřebou, a</w:t>
            </w:r>
            <w:r>
              <w:rPr>
                <w:spacing w:val="-4"/>
              </w:rPr>
              <w:t> </w:t>
            </w:r>
            <w:r w:rsidRPr="00ED3827">
              <w:rPr>
                <w:spacing w:val="-4"/>
              </w:rPr>
              <w:t xml:space="preserve">to </w:t>
            </w:r>
            <w:r>
              <w:rPr>
                <w:spacing w:val="-4"/>
              </w:rPr>
              <w:t>i </w:t>
            </w:r>
            <w:r w:rsidRPr="00ED3827">
              <w:rPr>
                <w:spacing w:val="-4"/>
              </w:rPr>
              <w:t xml:space="preserve">v důsledku </w:t>
            </w:r>
            <w:r>
              <w:rPr>
                <w:spacing w:val="-4"/>
              </w:rPr>
              <w:t xml:space="preserve">dramatického </w:t>
            </w:r>
            <w:r w:rsidRPr="00ED3827">
              <w:rPr>
                <w:spacing w:val="-4"/>
              </w:rPr>
              <w:t>propadu příjezdového cestovního ruchu v celém 2.</w:t>
            </w:r>
            <w:r>
              <w:rPr>
                <w:spacing w:val="-4"/>
              </w:rPr>
              <w:t> čtvrtlet</w:t>
            </w:r>
            <w:r w:rsidRPr="00ED3827">
              <w:rPr>
                <w:spacing w:val="-4"/>
              </w:rPr>
              <w:t>í.</w:t>
            </w:r>
          </w:p>
        </w:tc>
      </w:tr>
      <w:tr w:rsidR="00E42054" w:rsidRPr="00F704D2" w14:paraId="010BA271" w14:textId="77777777" w:rsidTr="00061BD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1736BE13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2A26A809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8091F89" w14:textId="77777777" w:rsidR="00E42054" w:rsidRPr="00B80CE9" w:rsidRDefault="00E42054" w:rsidP="00061BD1">
            <w:pPr>
              <w:spacing w:after="0" w:line="240" w:lineRule="auto"/>
              <w:rPr>
                <w:rFonts w:cs="Arial"/>
                <w:bCs/>
              </w:rPr>
            </w:pPr>
            <w:r w:rsidRPr="00B80CE9">
              <w:rPr>
                <w:rFonts w:cs="Arial"/>
                <w:b/>
                <w:bCs/>
                <w:color w:val="000000"/>
                <w:szCs w:val="20"/>
              </w:rPr>
              <w:t>Graf č. 16</w:t>
            </w:r>
            <w:r w:rsidRPr="00B80C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B80CE9">
              <w:rPr>
                <w:rFonts w:cs="Arial"/>
                <w:b/>
                <w:bCs/>
              </w:rPr>
              <w:t xml:space="preserve">Celostátní inkasa vybraných daňových příjmů </w:t>
            </w:r>
            <w:r w:rsidRPr="00B80CE9">
              <w:rPr>
                <w:rFonts w:cs="Arial"/>
                <w:bCs/>
              </w:rPr>
              <w:t>(</w:t>
            </w:r>
            <w:r w:rsidRPr="00B80CE9">
              <w:t>meziročně</w:t>
            </w:r>
            <w:r w:rsidRPr="00B80CE9">
              <w:rPr>
                <w:bCs/>
              </w:rPr>
              <w:t xml:space="preserve"> v %)</w:t>
            </w:r>
            <w:r w:rsidRPr="00B80CE9">
              <w:rPr>
                <w:bCs/>
              </w:rPr>
              <w:br/>
            </w:r>
            <w:r w:rsidRPr="00B80CE9">
              <w:rPr>
                <w:rFonts w:cs="Arial"/>
                <w:b/>
                <w:bCs/>
              </w:rPr>
              <w:t>a saldo státního rozpočtu</w:t>
            </w:r>
            <w:r w:rsidRPr="00B80CE9">
              <w:t xml:space="preserve"> </w:t>
            </w:r>
            <w:r>
              <w:rPr>
                <w:rFonts w:cs="Arial"/>
                <w:bCs/>
              </w:rPr>
              <w:t>(v mld. korun, pravá osa</w:t>
            </w:r>
            <w:r w:rsidRPr="00B80CE9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v kumulaci za 1. pololetí</w:t>
            </w:r>
          </w:p>
        </w:tc>
      </w:tr>
      <w:tr w:rsidR="00E42054" w14:paraId="6D0FDC91" w14:textId="77777777" w:rsidTr="00061BD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36636A18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1EE9F888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10F0483C" w14:textId="77777777" w:rsidR="00E42054" w:rsidRPr="0067514E" w:rsidRDefault="00E42054" w:rsidP="00061BD1">
            <w:pPr>
              <w:spacing w:after="0"/>
              <w:rPr>
                <w:spacing w:val="-6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53F2948" wp14:editId="331F7D9B">
                  <wp:extent cx="4770051" cy="3572454"/>
                  <wp:effectExtent l="0" t="0" r="0" b="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42054" w:rsidRPr="007B3A78" w14:paraId="66A1B2DD" w14:textId="77777777" w:rsidTr="00061BD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148D9E6A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1803062D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4710B2A1" w14:textId="77777777" w:rsidR="00E42054" w:rsidRPr="003F7E63" w:rsidRDefault="00E42054" w:rsidP="00061BD1">
            <w:pPr>
              <w:spacing w:after="200" w:line="240" w:lineRule="auto"/>
              <w:jc w:val="left"/>
              <w:rPr>
                <w:spacing w:val="-6"/>
                <w:sz w:val="14"/>
                <w:szCs w:val="14"/>
              </w:rPr>
            </w:pPr>
            <w:r w:rsidRPr="00B80CE9">
              <w:rPr>
                <w:spacing w:val="-6"/>
                <w:sz w:val="14"/>
                <w:szCs w:val="14"/>
              </w:rPr>
              <w:t>*Saldo očištěné o</w:t>
            </w:r>
            <w:r>
              <w:rPr>
                <w:spacing w:val="-6"/>
                <w:sz w:val="14"/>
                <w:szCs w:val="14"/>
              </w:rPr>
              <w:t> prostředky na programy a </w:t>
            </w:r>
            <w:r w:rsidRPr="00B80CE9">
              <w:rPr>
                <w:spacing w:val="-6"/>
                <w:sz w:val="14"/>
                <w:szCs w:val="14"/>
              </w:rPr>
              <w:t>projekty z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 xml:space="preserve">rozpočtu EU </w:t>
            </w:r>
            <w:r>
              <w:rPr>
                <w:spacing w:val="-6"/>
                <w:sz w:val="14"/>
                <w:szCs w:val="14"/>
              </w:rPr>
              <w:t>(vč. finančních mechanismů)</w:t>
            </w:r>
            <w:r w:rsidRPr="00B80CE9">
              <w:rPr>
                <w:spacing w:val="-6"/>
                <w:sz w:val="14"/>
                <w:szCs w:val="14"/>
              </w:rPr>
              <w:t>, které byly předfinancovány ze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>SR a</w:t>
            </w:r>
            <w:r>
              <w:rPr>
                <w:spacing w:val="-6"/>
                <w:sz w:val="14"/>
                <w:szCs w:val="14"/>
              </w:rPr>
              <w:t> </w:t>
            </w:r>
            <w:r w:rsidRPr="00B80CE9">
              <w:rPr>
                <w:spacing w:val="-6"/>
                <w:sz w:val="14"/>
                <w:szCs w:val="14"/>
              </w:rPr>
              <w:t>následně jsou proplácen</w:t>
            </w:r>
            <w:r>
              <w:rPr>
                <w:spacing w:val="-6"/>
                <w:sz w:val="14"/>
                <w:szCs w:val="14"/>
              </w:rPr>
              <w:t xml:space="preserve">y z rozpočtů EU a FM. Údaje jsou k dispozici počínaje rokem 2013.                                                 </w:t>
            </w:r>
            <w:r w:rsidRPr="0067514E">
              <w:rPr>
                <w:spacing w:val="-6"/>
                <w:sz w:val="14"/>
                <w:szCs w:val="14"/>
              </w:rPr>
              <w:t>Zdroj: MF ČR</w:t>
            </w:r>
          </w:p>
        </w:tc>
      </w:tr>
      <w:tr w:rsidR="00E42054" w:rsidRPr="008266F0" w14:paraId="53761BE1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457A319" w14:textId="77777777" w:rsidR="00E42054" w:rsidRDefault="00E42054" w:rsidP="00061BD1">
            <w:pPr>
              <w:pStyle w:val="Marginlie"/>
            </w:pPr>
            <w:r>
              <w:t>Tempo růstu celkových výdajů SR akcelerovalo. Bylo taženo vyššími běžnými výdaji i investicemi.</w:t>
            </w:r>
          </w:p>
          <w:p w14:paraId="1118D59E" w14:textId="77777777" w:rsidR="00E42054" w:rsidRDefault="00E42054" w:rsidP="00061BD1">
            <w:pPr>
              <w:pStyle w:val="Marginlie"/>
            </w:pPr>
          </w:p>
          <w:p w14:paraId="00C7D895" w14:textId="77777777" w:rsidR="00E42054" w:rsidRDefault="00E42054" w:rsidP="00061BD1">
            <w:pPr>
              <w:pStyle w:val="Marginlie"/>
            </w:pPr>
          </w:p>
          <w:p w14:paraId="0DCC78DD" w14:textId="77777777" w:rsidR="00E42054" w:rsidRDefault="00E42054" w:rsidP="00061BD1">
            <w:pPr>
              <w:pStyle w:val="Marginlie"/>
            </w:pPr>
          </w:p>
          <w:p w14:paraId="78457A9E" w14:textId="77777777" w:rsidR="00E42054" w:rsidRPr="009740AC" w:rsidRDefault="00E42054" w:rsidP="00061BD1">
            <w:pPr>
              <w:pStyle w:val="Marginlie"/>
              <w:rPr>
                <w:spacing w:val="-4"/>
              </w:rPr>
            </w:pPr>
            <w:r w:rsidRPr="009740AC">
              <w:rPr>
                <w:spacing w:val="-4"/>
              </w:rPr>
              <w:t xml:space="preserve">Více než třetina růstu běžných výdajů souvisela s protipandemickými </w:t>
            </w:r>
            <w:r>
              <w:rPr>
                <w:spacing w:val="-4"/>
              </w:rPr>
              <w:t>opatřeními,…</w:t>
            </w:r>
          </w:p>
          <w:p w14:paraId="1C7DFDEB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882DBA4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3F30F00E" w14:textId="77777777" w:rsidR="00E42054" w:rsidRPr="00EA32C7" w:rsidRDefault="00E42054" w:rsidP="00061BD1">
            <w:pPr>
              <w:spacing w:after="220"/>
              <w:rPr>
                <w:spacing w:val="-4"/>
              </w:rPr>
            </w:pPr>
            <w:r w:rsidRPr="00EA32C7">
              <w:rPr>
                <w:spacing w:val="-4"/>
              </w:rPr>
              <w:t>Celkové výdaje SR v 1.</w:t>
            </w:r>
            <w:r>
              <w:rPr>
                <w:spacing w:val="-4"/>
              </w:rPr>
              <w:t> pololet</w:t>
            </w:r>
            <w:r w:rsidRPr="00EA32C7">
              <w:rPr>
                <w:spacing w:val="-4"/>
              </w:rPr>
              <w:t>í meziročně vzrostly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17,0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resp. 130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 xml:space="preserve"> korun (za</w:t>
            </w:r>
            <w:r>
              <w:rPr>
                <w:spacing w:val="-4"/>
              </w:rPr>
              <w:t xml:space="preserve"> </w:t>
            </w:r>
            <w:r w:rsidRPr="00EA32C7">
              <w:rPr>
                <w:spacing w:val="-4"/>
              </w:rPr>
              <w:t>1. čtvrtletí +13</w:t>
            </w:r>
            <w:r>
              <w:rPr>
                <w:spacing w:val="-4"/>
              </w:rPr>
              <w:t>,0 %</w:t>
            </w:r>
            <w:r w:rsidRPr="00EA32C7">
              <w:rPr>
                <w:spacing w:val="-4"/>
              </w:rPr>
              <w:t>). Přestože dvouciferný růst byl zaznamenán i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 xml:space="preserve">během let 2018 </w:t>
            </w:r>
            <w:r>
              <w:rPr>
                <w:spacing w:val="-4"/>
              </w:rPr>
              <w:t>a </w:t>
            </w:r>
            <w:r w:rsidRPr="00EA32C7">
              <w:rPr>
                <w:spacing w:val="-4"/>
              </w:rPr>
              <w:t>2019, patří letošní pololetní tempo v historii samostatné ČR k nejvyšším</w:t>
            </w:r>
            <w:r w:rsidRPr="00EA32C7">
              <w:rPr>
                <w:rStyle w:val="Znakapoznpodarou"/>
                <w:spacing w:val="-4"/>
              </w:rPr>
              <w:footnoteReference w:id="6"/>
            </w:r>
            <w:r w:rsidRPr="00EA32C7">
              <w:rPr>
                <w:spacing w:val="-4"/>
              </w:rPr>
              <w:t>. Proti původně schvá</w:t>
            </w:r>
            <w:r>
              <w:rPr>
                <w:spacing w:val="-4"/>
              </w:rPr>
              <w:t>lenému rozpočtu (z konce roku</w:t>
            </w:r>
            <w:r w:rsidRPr="00EA32C7">
              <w:rPr>
                <w:spacing w:val="-4"/>
              </w:rPr>
              <w:t xml:space="preserve"> 2019) bylo dosažené tempo více než čtyřnásobné. K růstu přispěly hlavně běžné výdaje (+15,5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+112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>), více než třetina z jejich přírůstku šla na vrub přímých výdajů ze SR spojených s protipandemickými opatřeními</w:t>
            </w:r>
            <w:r w:rsidRPr="00EA32C7">
              <w:rPr>
                <w:rStyle w:val="Znakapoznpodarou"/>
                <w:spacing w:val="-4"/>
              </w:rPr>
              <w:footnoteReference w:id="7"/>
            </w:r>
            <w:r w:rsidRPr="00EA32C7">
              <w:rPr>
                <w:spacing w:val="-4"/>
              </w:rPr>
              <w:t>. To se nejvíce projevilo v akceleraci neinvestičních transferů podnikatelským subjektům (+83 %, více než z poloviny tažen</w:t>
            </w:r>
            <w:r>
              <w:rPr>
                <w:spacing w:val="-4"/>
              </w:rPr>
              <w:t>o</w:t>
            </w:r>
            <w:r w:rsidRPr="00EA32C7">
              <w:rPr>
                <w:spacing w:val="-4"/>
              </w:rPr>
              <w:t xml:space="preserve"> náhradou části mezd zaměstnanců v rámci programu Antivirus), neinvestičních nákupů a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souvisejících výdajů (+27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téměř výhradně vlivem nákupů ochranných pomůcek a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materiálů) či běžných transferů příspěvkovým organizacím (+23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ze dvou třetin vlivem částečného oddlužení nemocnic a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posílení transferů v oblasti kultury).</w:t>
            </w:r>
          </w:p>
        </w:tc>
      </w:tr>
      <w:tr w:rsidR="00E42054" w:rsidRPr="008266F0" w14:paraId="75EDDBDD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5187BEC" w14:textId="77777777" w:rsidR="00E42054" w:rsidRDefault="00E42054" w:rsidP="00061BD1">
            <w:pPr>
              <w:pStyle w:val="Marginlie"/>
            </w:pPr>
            <w:r>
              <w:t>… obdobně ale přispělo i</w:t>
            </w:r>
            <w:r w:rsidRPr="009740AC">
              <w:rPr>
                <w:spacing w:val="-4"/>
              </w:rPr>
              <w:t> </w:t>
            </w:r>
            <w:r>
              <w:t>vyšší čerpání sociálních dávek, zejména nedůchodových.</w:t>
            </w:r>
          </w:p>
          <w:p w14:paraId="4757103C" w14:textId="77777777" w:rsidR="00E42054" w:rsidRDefault="00E42054" w:rsidP="00061BD1">
            <w:pPr>
              <w:pStyle w:val="Marginlie"/>
            </w:pPr>
          </w:p>
          <w:p w14:paraId="72169F3E" w14:textId="77777777" w:rsidR="00E42054" w:rsidRDefault="00E42054" w:rsidP="00061BD1">
            <w:pPr>
              <w:pStyle w:val="Marginlie"/>
            </w:pPr>
          </w:p>
          <w:p w14:paraId="68E7F85E" w14:textId="77777777" w:rsidR="00E42054" w:rsidRDefault="00E42054" w:rsidP="00061BD1">
            <w:pPr>
              <w:pStyle w:val="Marginlie"/>
            </w:pPr>
          </w:p>
          <w:p w14:paraId="26302F40" w14:textId="77777777" w:rsidR="00E42054" w:rsidRDefault="00E42054" w:rsidP="00061BD1">
            <w:pPr>
              <w:pStyle w:val="Marginlie"/>
            </w:pPr>
            <w:r>
              <w:t>Pokračoval svižný růst výdajů na platy ve vzdělávání i v sociální péči.</w:t>
            </w:r>
          </w:p>
          <w:p w14:paraId="219182D1" w14:textId="77777777" w:rsidR="00E42054" w:rsidRDefault="00E42054" w:rsidP="00061BD1">
            <w:pPr>
              <w:pStyle w:val="Marginlie"/>
            </w:pPr>
          </w:p>
          <w:p w14:paraId="66545A39" w14:textId="77777777" w:rsidR="00E42054" w:rsidRDefault="00E42054" w:rsidP="00061BD1">
            <w:pPr>
              <w:pStyle w:val="Marginlie"/>
            </w:pPr>
          </w:p>
          <w:p w14:paraId="4D1635CA" w14:textId="77777777" w:rsidR="00E42054" w:rsidRDefault="00E42054" w:rsidP="00061BD1">
            <w:pPr>
              <w:pStyle w:val="Marginlie"/>
            </w:pPr>
          </w:p>
          <w:p w14:paraId="681A749A" w14:textId="77777777" w:rsidR="00E42054" w:rsidRDefault="00E42054" w:rsidP="00061BD1">
            <w:pPr>
              <w:pStyle w:val="Marginlie"/>
            </w:pPr>
            <w:r>
              <w:lastRenderedPageBreak/>
              <w:t>Celková finanční situace domácností se zatím i</w:t>
            </w:r>
            <w:r w:rsidRPr="009740AC">
              <w:rPr>
                <w:spacing w:val="-4"/>
              </w:rPr>
              <w:t> </w:t>
            </w:r>
            <w:r>
              <w:t>díky mimořádným veřejným transferům výrazně nezhoršila.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9F81933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1DEBB0E4" w14:textId="77777777" w:rsidR="00E42054" w:rsidRPr="00EA32C7" w:rsidRDefault="00E42054" w:rsidP="00061BD1">
            <w:pPr>
              <w:spacing w:after="220"/>
              <w:rPr>
                <w:spacing w:val="-4"/>
              </w:rPr>
            </w:pPr>
            <w:r w:rsidRPr="00EA32C7">
              <w:rPr>
                <w:spacing w:val="-4"/>
              </w:rPr>
              <w:t>Dominantním zdrojem růstu běžných výdajů SR však zůstala opatření stimulující příjmy, resp. spotřebu domácností (sociální dávky, platy v rozpočtové sféře). Běžné transfery územní</w:t>
            </w:r>
            <w:r>
              <w:rPr>
                <w:spacing w:val="-4"/>
              </w:rPr>
              <w:t>m</w:t>
            </w:r>
            <w:r w:rsidRPr="00EA32C7">
              <w:rPr>
                <w:spacing w:val="-4"/>
              </w:rPr>
              <w:t xml:space="preserve"> rozpočtům posílily meziročně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sedminu (zejm. navýšením mzdových prostředků pracovníkům základních i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středních škol a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též v oblasti sociální pé</w:t>
            </w:r>
            <w:r>
              <w:rPr>
                <w:spacing w:val="-4"/>
              </w:rPr>
              <w:t>če). Skromněji rostly mzdové výdaje v ústředních orgánech státní správy</w:t>
            </w:r>
            <w:r w:rsidRPr="00EA32C7">
              <w:rPr>
                <w:spacing w:val="-4"/>
              </w:rPr>
              <w:t xml:space="preserve"> (+4,1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čtyřleté minimum). Přestože meziroční tempo výdajů na sociální dávky vzrostlo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13,3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 xml:space="preserve"> a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proti loňskému tempu zesílilo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více než polovinu, podíl dávek na všech výdajích SR klesl již třetím rokem (na rekordních 37,9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). Poprvé po roce 2014 byl růst sociálních transferů tažen primárně nedůchodovými dávkami, které meziročně vzrostly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třetinu (na 86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 xml:space="preserve"> korun). Vyplacené dávky nemocenského pojištění akcelerovaly (+10,2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>)</w:t>
            </w:r>
            <w:r w:rsidRPr="00EA32C7">
              <w:rPr>
                <w:rStyle w:val="Znakapoznpodarou"/>
                <w:spacing w:val="-4"/>
              </w:rPr>
              <w:footnoteReference w:id="8"/>
            </w:r>
            <w:r w:rsidRPr="00EA32C7">
              <w:rPr>
                <w:spacing w:val="-4"/>
              </w:rPr>
              <w:t>, za čímž ze dvou třetin stála výplata ošetřovného</w:t>
            </w:r>
            <w:r>
              <w:rPr>
                <w:spacing w:val="-4"/>
              </w:rPr>
              <w:t xml:space="preserve"> poskytovaného z důvodu uzavření škol a jiných zařízení</w:t>
            </w:r>
            <w:r w:rsidRPr="00EA32C7">
              <w:rPr>
                <w:spacing w:val="-4"/>
              </w:rPr>
              <w:t xml:space="preserve">. </w:t>
            </w:r>
            <w:r>
              <w:rPr>
                <w:spacing w:val="-4"/>
              </w:rPr>
              <w:t xml:space="preserve">Projevil se ale i nárůst </w:t>
            </w:r>
            <w:r>
              <w:rPr>
                <w:spacing w:val="-4"/>
              </w:rPr>
              <w:lastRenderedPageBreak/>
              <w:t xml:space="preserve">celkové nemocnosti (zčásti vlivem zrušení karenční doby), mírně vyšší bylo i čerpání peněžité pomoci v mateřství. </w:t>
            </w:r>
            <w:r w:rsidRPr="00EA32C7">
              <w:rPr>
                <w:spacing w:val="-4"/>
              </w:rPr>
              <w:t>Výdaje na státní sociální podporu posílily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třetinu (+6,6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>), takřka výhradně vlivem zákonného navýšení rodičovského příspěvku. Došlo i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ke zrychlení dlouhodobě rostoucího příspěvku na péči (o pětinu, resp. 2,9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>). Druhým rokem v řadě vydal stát více na podporách v nezaměstnanosti. Byť stavy registrovaných uchazečů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práci se zatím výrazněji nerozšířily</w:t>
            </w:r>
            <w:r w:rsidRPr="00EA32C7">
              <w:rPr>
                <w:rStyle w:val="Znakapoznpodarou"/>
                <w:spacing w:val="-4"/>
              </w:rPr>
              <w:footnoteReference w:id="9"/>
            </w:r>
            <w:r w:rsidRPr="00EA32C7">
              <w:rPr>
                <w:spacing w:val="-4"/>
              </w:rPr>
              <w:t>, objem vyplacených dávek vzrostl proti 1</w:t>
            </w:r>
            <w:r>
              <w:rPr>
                <w:spacing w:val="-4"/>
              </w:rPr>
              <w:t>. </w:t>
            </w:r>
            <w:r w:rsidRPr="00EA32C7">
              <w:rPr>
                <w:spacing w:val="-4"/>
              </w:rPr>
              <w:t>loňskému pololetí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0,9</w:t>
            </w:r>
            <w:r>
              <w:rPr>
                <w:spacing w:val="-4"/>
              </w:rPr>
              <w:t> mld.</w:t>
            </w:r>
            <w:r w:rsidRPr="00EA32C7">
              <w:rPr>
                <w:spacing w:val="-4"/>
              </w:rPr>
              <w:t>, resp.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pětinu (nejvíce po roce 2009)</w:t>
            </w:r>
            <w:r w:rsidRPr="00EA32C7">
              <w:rPr>
                <w:rStyle w:val="Znakapoznpodarou"/>
                <w:spacing w:val="-4"/>
              </w:rPr>
              <w:footnoteReference w:id="10"/>
            </w:r>
            <w:r w:rsidRPr="00EA32C7">
              <w:rPr>
                <w:spacing w:val="-4"/>
              </w:rPr>
              <w:t>. Na druh</w:t>
            </w:r>
            <w:r>
              <w:rPr>
                <w:spacing w:val="-4"/>
              </w:rPr>
              <w:t>é</w:t>
            </w:r>
            <w:r w:rsidRPr="00EA32C7">
              <w:rPr>
                <w:spacing w:val="-4"/>
              </w:rPr>
              <w:t xml:space="preserve"> stran</w:t>
            </w:r>
            <w:r>
              <w:rPr>
                <w:spacing w:val="-4"/>
              </w:rPr>
              <w:t>ě</w:t>
            </w:r>
            <w:r w:rsidRPr="00EA32C7">
              <w:rPr>
                <w:spacing w:val="-4"/>
              </w:rPr>
              <w:t xml:space="preserve"> celková finanční situace domácností </w:t>
            </w:r>
            <w:r>
              <w:rPr>
                <w:spacing w:val="-4"/>
              </w:rPr>
              <w:t xml:space="preserve">se </w:t>
            </w:r>
            <w:r w:rsidRPr="00EA32C7">
              <w:rPr>
                <w:spacing w:val="-4"/>
              </w:rPr>
              <w:t>i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díky mi</w:t>
            </w:r>
            <w:r>
              <w:rPr>
                <w:spacing w:val="-4"/>
              </w:rPr>
              <w:t xml:space="preserve">mořádným veřejným transferům </w:t>
            </w:r>
            <w:r w:rsidRPr="00EA32C7">
              <w:rPr>
                <w:spacing w:val="-4"/>
              </w:rPr>
              <w:t>během dosavadní části roku významně nezhoršila. Dokládá to i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šest let trvající meziroční pokles objemu vyplacených dávek hmotné nouze (v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úhrnu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61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, letos o</w:t>
            </w:r>
            <w:r>
              <w:rPr>
                <w:spacing w:val="-4"/>
              </w:rPr>
              <w:t> </w:t>
            </w:r>
            <w:r w:rsidRPr="00EA32C7">
              <w:rPr>
                <w:spacing w:val="-4"/>
              </w:rPr>
              <w:t>2</w:t>
            </w:r>
            <w:r>
              <w:rPr>
                <w:spacing w:val="-4"/>
              </w:rPr>
              <w:t> %</w:t>
            </w:r>
            <w:r w:rsidRPr="00EA32C7">
              <w:rPr>
                <w:spacing w:val="-4"/>
              </w:rPr>
              <w:t>)</w:t>
            </w:r>
            <w:r w:rsidRPr="00EA32C7">
              <w:rPr>
                <w:rStyle w:val="Znakapoznpodarou"/>
                <w:spacing w:val="-4"/>
              </w:rPr>
              <w:footnoteReference w:id="11"/>
            </w:r>
            <w:r>
              <w:rPr>
                <w:spacing w:val="-4"/>
              </w:rPr>
              <w:t xml:space="preserve"> či pokles vyplacených přídavků na děti.</w:t>
            </w:r>
          </w:p>
        </w:tc>
      </w:tr>
      <w:tr w:rsidR="00E42054" w:rsidRPr="008266F0" w14:paraId="7439CE0E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4118A09A" w14:textId="77777777" w:rsidR="00E42054" w:rsidRDefault="00E42054" w:rsidP="00061BD1">
            <w:pPr>
              <w:pStyle w:val="Marginlie"/>
            </w:pPr>
            <w:r>
              <w:lastRenderedPageBreak/>
              <w:t>Příjmy důchodového pojištění poprvé po roce 2013 klesly. Schodek důchodového účtu dosáhl šestiletého maxima.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68D5FC66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7440C7B1" w14:textId="77777777" w:rsidR="00E42054" w:rsidRPr="00FD2E24" w:rsidRDefault="00E42054" w:rsidP="00061BD1">
            <w:pPr>
              <w:spacing w:after="22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spacing w:val="-6"/>
              </w:rPr>
              <w:t>Meziroční růst výdajů na důchody dosáhl v 1. pololetí 8,0 % a jen mírně zaostal za loňským tempem (8,8 %), jež ale bylo nejvyšší po roce 2009.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 xml:space="preserve"> Při stagnaci celkového počtu osob pobírajících důchod (včetně starobních důchodců) se plně projevil vliv zákonných úprav</w:t>
            </w:r>
            <w:r w:rsidRPr="0067514E">
              <w:rPr>
                <w:rStyle w:val="Znakapoznpodarou"/>
                <w:spacing w:val="-6"/>
              </w:rPr>
              <w:footnoteReference w:id="12"/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.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Příjmy důchodového pojištění poprvé po roce 2013 klesly (o 1,1 %). Projevila se tak nejen zhoršená situace na trhu práce (snížení zaměstnanosti i počtu odpracovaných hodin, zvolnění růstu průměrných mezd), ale i rozpočtová opatření na podporu drobných podnikatelů</w:t>
            </w:r>
            <w:r w:rsidRPr="0067514E">
              <w:rPr>
                <w:rStyle w:val="Znakapoznpodarou"/>
                <w:color w:val="0D0D0D" w:themeColor="text1" w:themeTint="F2"/>
                <w:spacing w:val="-6"/>
              </w:rPr>
              <w:footnoteReference w:id="13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. 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Saldo důchodového účtu</w:t>
            </w:r>
            <w:r w:rsidRPr="0067514E">
              <w:rPr>
                <w:rStyle w:val="Znakapoznpodarou"/>
                <w:color w:val="0D0D0D" w:themeColor="text1" w:themeTint="F2"/>
                <w:spacing w:val="-6"/>
              </w:rPr>
              <w:footnoteReference w:id="14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se tak po dvou přebytkových letech vrátilo k deficitu. Ten v 1. čtvrtletí čítal 12 mld. korun, což znamenalo nejhorší výsledek za posledních šest let.</w:t>
            </w:r>
          </w:p>
        </w:tc>
      </w:tr>
      <w:tr w:rsidR="00E42054" w:rsidRPr="008266F0" w14:paraId="297880EF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68A2D98F" w14:textId="77777777" w:rsidR="00E42054" w:rsidRDefault="00E42054" w:rsidP="00061BD1">
            <w:pPr>
              <w:pStyle w:val="Marginlie"/>
            </w:pPr>
            <w:r>
              <w:t>Růst investic ze SR dále zrychloval, především díky vyšším výdajům na dopravní infrastrukturu.</w:t>
            </w:r>
          </w:p>
          <w:p w14:paraId="4A812122" w14:textId="77777777" w:rsidR="00E42054" w:rsidRDefault="00E42054" w:rsidP="00061BD1">
            <w:pPr>
              <w:pStyle w:val="Marginlie"/>
            </w:pPr>
          </w:p>
          <w:p w14:paraId="56E0FB8D" w14:textId="77777777" w:rsidR="00E42054" w:rsidRDefault="00E42054" w:rsidP="00061BD1">
            <w:pPr>
              <w:pStyle w:val="Marginlie"/>
            </w:pPr>
          </w:p>
          <w:p w14:paraId="101F4723" w14:textId="77777777" w:rsidR="00E42054" w:rsidRDefault="00E42054" w:rsidP="00061BD1">
            <w:pPr>
              <w:pStyle w:val="Marginlie"/>
            </w:pPr>
          </w:p>
          <w:p w14:paraId="1AF8C74F" w14:textId="77777777" w:rsidR="00E42054" w:rsidRDefault="00E42054" w:rsidP="00061BD1">
            <w:pPr>
              <w:pStyle w:val="Marginlie"/>
            </w:pPr>
            <w:r>
              <w:t>Kladné saldo ČR vůči rozpočtu EU se meziročně zdvojnásobilo.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502E103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6A7F1C95" w14:textId="77777777" w:rsidR="00E42054" w:rsidRDefault="00E42054" w:rsidP="00061BD1">
            <w:pPr>
              <w:spacing w:after="220"/>
              <w:rPr>
                <w:spacing w:val="-6"/>
              </w:rPr>
            </w:pPr>
            <w:r>
              <w:rPr>
                <w:spacing w:val="-6"/>
              </w:rPr>
              <w:t xml:space="preserve">S blížícím se koncem současného programového období EU postupně v Česku zrychluje čerpání eurofondů. Celkové kapitálové výdaje SR čítaly v 1. pololetí 64,5 mld. korun, meziročně vzrostly o dvě pětiny, resp. 18,7 mld. korun. Na tomto růstu se podílely převážně investice z národních zdrojů (+13,7 mld.), což souviselo s vyššími výdaji na dopravní infrastrukturu. I tak stále tvořily v celkovém objemu investic převažující část prostředky na společné programy ČR a EU (35,5 mld.). </w:t>
            </w:r>
            <w:r w:rsidRPr="0067514E">
              <w:rPr>
                <w:spacing w:val="-6"/>
              </w:rPr>
              <w:t>Podíl investic na všec</w:t>
            </w:r>
            <w:r>
              <w:rPr>
                <w:spacing w:val="-6"/>
              </w:rPr>
              <w:t>h výdajích SR se zvyšoval třetím rokem v řadě a dosáhl 7,2 %, což bylo nejvíce za posledních pět let. Čistá pozice ČR vůči rozpočtu EU činila v 1. pololetí +50,1 mld. korun a meziročně se zdvojnásobila. Zasloužil se o to hlavně příliv prostředků ze strukturálních fondů (+21,7 mld.) i fondu soudržnosti (+5,1 mld.). Naopak tradičně plynule probíhaly přímé platby v zemědělství, jež letos tvořily zhruba čtvrtinu celkových příjmů z EU (z 82,1 mld.).</w:t>
            </w:r>
          </w:p>
        </w:tc>
      </w:tr>
      <w:tr w:rsidR="00E42054" w:rsidRPr="008266F0" w14:paraId="496CD9FC" w14:textId="77777777" w:rsidTr="00061BD1">
        <w:trPr>
          <w:trHeight w:val="145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0EF70D85" w14:textId="77777777" w:rsidR="00E42054" w:rsidRDefault="00E42054" w:rsidP="00061BD1">
            <w:pPr>
              <w:pStyle w:val="Marginlie"/>
            </w:pPr>
            <w:r>
              <w:t>Výše státního dluhu během 1. pololetí akcelerovala. Objem vydaných státních dluhopisů přesáhl půl bilionu korun.</w:t>
            </w:r>
          </w:p>
          <w:p w14:paraId="36CE5FBD" w14:textId="77777777" w:rsidR="00E42054" w:rsidRDefault="00E42054" w:rsidP="00061BD1">
            <w:pPr>
              <w:pStyle w:val="Marginlie"/>
            </w:pPr>
          </w:p>
          <w:p w14:paraId="263BA6E2" w14:textId="77777777" w:rsidR="00E42054" w:rsidRDefault="00E42054" w:rsidP="00061BD1">
            <w:pPr>
              <w:pStyle w:val="Marginlie"/>
            </w:pPr>
          </w:p>
          <w:p w14:paraId="597E020B" w14:textId="77777777" w:rsidR="00E42054" w:rsidRDefault="00E42054" w:rsidP="00061BD1">
            <w:pPr>
              <w:pStyle w:val="Marginlie"/>
            </w:pPr>
          </w:p>
          <w:p w14:paraId="522146F2" w14:textId="77777777" w:rsidR="00E42054" w:rsidRDefault="00E42054" w:rsidP="00061BD1">
            <w:pPr>
              <w:pStyle w:val="Marginlie"/>
            </w:pPr>
          </w:p>
          <w:p w14:paraId="61ABA1C8" w14:textId="77777777" w:rsidR="00E42054" w:rsidRDefault="00E42054" w:rsidP="00061BD1">
            <w:pPr>
              <w:pStyle w:val="Marginlie"/>
            </w:pPr>
            <w:r>
              <w:t>Mezi držiteli domácích dluhopisů posílila váha finančních institucí na úkor nerezidentů.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106A56C4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A8F6043" w14:textId="77777777" w:rsidR="00E42054" w:rsidRPr="008A2E3D" w:rsidRDefault="00E42054" w:rsidP="00061BD1">
            <w:pPr>
              <w:spacing w:after="0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spacing w:val="-6"/>
              </w:rPr>
              <w:t>Hodnota státního dluhu ve 2. čtvrtletí 2020 akcelerovala. Na jeho konci činila 2 157 mld. korun, mezičtvrtletní navýšení pak 384 mld. Dluh vzrostl meziročně o čtvrtinu a přiblížil se rekordnímu tempu ze 3. kvartálu krizového roku 2009. Ke krytí letošního mimořádného schodku SR, plánovaných splátek dluhu (soustředěných zejména do druhé půle roku 2020) i posílení likvidních rezerv byl během 1. pololetí vydán rekordní objem státních dluhopisů (533 mld. korun)</w:t>
            </w:r>
            <w:r w:rsidRPr="00EA32C7">
              <w:rPr>
                <w:rStyle w:val="Znakapoznpodarou"/>
                <w:spacing w:val="-4"/>
              </w:rPr>
              <w:footnoteReference w:id="15"/>
            </w:r>
            <w:r>
              <w:rPr>
                <w:spacing w:val="-6"/>
              </w:rPr>
              <w:t>. Podobně jako v předešlých letech se výpůjční aktivita omezila na domácí trh. Korunová hodnota vnějšího dluhu se tak dále snižovala (meziročně o 7 %).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Na konci června 2020 tvořil vnější dluh již méně než desetinu celkového státního dluhu (minimum za posledních šestnáct let). Klíčovým držitelem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tuzemských </w:t>
            </w:r>
            <w:r w:rsidRPr="006A5327">
              <w:rPr>
                <w:rFonts w:cs="Arial"/>
                <w:color w:val="0D0D0D" w:themeColor="text1" w:themeTint="F2"/>
                <w:spacing w:val="-6"/>
              </w:rPr>
              <w:t>státních dluhopisů zůstávají finanční instituce s</w:t>
            </w:r>
            <w:r>
              <w:rPr>
                <w:rFonts w:cs="Arial"/>
                <w:color w:val="0D0D0D" w:themeColor="text1" w:themeTint="F2"/>
                <w:spacing w:val="-6"/>
              </w:rPr>
              <w:t> podílem 61 %, nerezidenti vlastnili 35 % dluhopisů. Ve 2. čtvrtletí 2020 pozice finančních institucí posílila a váha nerezidentů byla jedna z nejslabších od konce roku 2016 (kdy ještě probíhaly devizové intervence ČNB). Čisté výdaje SR na obsluhu státního dluhu</w:t>
            </w:r>
            <w:r w:rsidRPr="00EA32C7">
              <w:rPr>
                <w:rStyle w:val="Znakapoznpodarou"/>
                <w:spacing w:val="-4"/>
              </w:rPr>
              <w:footnoteReference w:id="16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čítaly v 1. pololetí 12,5</w:t>
            </w:r>
            <w:r>
              <w:rPr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>mld. korun a meziročně se o čtvrtinu snížily.</w:t>
            </w:r>
          </w:p>
        </w:tc>
      </w:tr>
      <w:tr w:rsidR="00E42054" w:rsidRPr="00F704D2" w14:paraId="4AA3CAA1" w14:textId="77777777" w:rsidTr="00061BD1">
        <w:trPr>
          <w:trHeight w:val="170"/>
        </w:trPr>
        <w:tc>
          <w:tcPr>
            <w:tcW w:w="1732" w:type="dxa"/>
            <w:vMerge w:val="restart"/>
            <w:shd w:val="clear" w:color="auto" w:fill="auto"/>
            <w:tcMar>
              <w:left w:w="0" w:type="dxa"/>
            </w:tcMar>
          </w:tcPr>
          <w:p w14:paraId="6FF364BF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 w:val="restart"/>
            <w:shd w:val="clear" w:color="auto" w:fill="auto"/>
            <w:tcMar>
              <w:left w:w="0" w:type="dxa"/>
            </w:tcMar>
          </w:tcPr>
          <w:p w14:paraId="676CE92C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83A2B81" w14:textId="77777777" w:rsidR="00E42054" w:rsidRPr="0067514E" w:rsidRDefault="00E42054" w:rsidP="00061BD1">
            <w:pPr>
              <w:spacing w:after="40" w:line="240" w:lineRule="auto"/>
              <w:jc w:val="left"/>
              <w:rPr>
                <w:rFonts w:cs="Arial"/>
                <w:bCs/>
                <w:spacing w:val="-6"/>
              </w:rPr>
            </w:pPr>
            <w:r w:rsidRPr="0067514E">
              <w:rPr>
                <w:b/>
                <w:spacing w:val="-6"/>
              </w:rPr>
              <w:t xml:space="preserve">Graf č. 17  </w:t>
            </w:r>
            <w:r w:rsidRPr="0067514E">
              <w:rPr>
                <w:rFonts w:cs="Arial"/>
                <w:b/>
                <w:bCs/>
                <w:spacing w:val="-6"/>
              </w:rPr>
              <w:t>Vybrané výdaje státního rozpočtu</w:t>
            </w:r>
            <w:r>
              <w:rPr>
                <w:rFonts w:cs="Arial"/>
                <w:bCs/>
                <w:spacing w:val="-6"/>
              </w:rPr>
              <w:t xml:space="preserve"> </w:t>
            </w:r>
            <w:r>
              <w:rPr>
                <w:rFonts w:cs="Arial"/>
                <w:b/>
                <w:bCs/>
              </w:rPr>
              <w:t>v kumulaci za 1. pololetí</w:t>
            </w:r>
            <w:r>
              <w:rPr>
                <w:rFonts w:cs="Arial"/>
                <w:bCs/>
                <w:spacing w:val="-6"/>
              </w:rPr>
              <w:t xml:space="preserve"> (v mld. korun</w:t>
            </w:r>
            <w:r w:rsidRPr="0067514E">
              <w:rPr>
                <w:rFonts w:cs="Arial"/>
                <w:bCs/>
                <w:spacing w:val="-6"/>
              </w:rPr>
              <w:t>)</w:t>
            </w:r>
          </w:p>
        </w:tc>
      </w:tr>
      <w:tr w:rsidR="00E42054" w14:paraId="58902C85" w14:textId="77777777" w:rsidTr="00061BD1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732" w:type="dxa"/>
            <w:vMerge/>
            <w:shd w:val="clear" w:color="auto" w:fill="auto"/>
          </w:tcPr>
          <w:p w14:paraId="08A1695E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</w:tcPr>
          <w:p w14:paraId="3353FDB0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</w:tcPr>
          <w:p w14:paraId="383807CE" w14:textId="77777777" w:rsidR="00E42054" w:rsidRPr="0067514E" w:rsidRDefault="00E42054" w:rsidP="00061BD1">
            <w:pPr>
              <w:spacing w:after="0"/>
              <w:rPr>
                <w:spacing w:val="-6"/>
              </w:rPr>
            </w:pPr>
            <w:r>
              <w:rPr>
                <w:noProof/>
              </w:rPr>
              <w:drawing>
                <wp:inline distT="0" distB="0" distL="0" distR="0" wp14:anchorId="5A2283F7" wp14:editId="5BB59342">
                  <wp:extent cx="4797425" cy="3328416"/>
                  <wp:effectExtent l="0" t="0" r="3175" b="571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42054" w:rsidRPr="00343AC1" w14:paraId="5A295696" w14:textId="77777777" w:rsidTr="00061BD1">
        <w:trPr>
          <w:trHeight w:val="170"/>
        </w:trPr>
        <w:tc>
          <w:tcPr>
            <w:tcW w:w="1732" w:type="dxa"/>
            <w:vMerge/>
            <w:shd w:val="clear" w:color="auto" w:fill="auto"/>
            <w:tcMar>
              <w:left w:w="0" w:type="dxa"/>
            </w:tcMar>
          </w:tcPr>
          <w:p w14:paraId="2E08DD7C" w14:textId="77777777" w:rsidR="00E42054" w:rsidRDefault="00E42054" w:rsidP="00061BD1">
            <w:pPr>
              <w:pStyle w:val="Marginlie"/>
            </w:pPr>
          </w:p>
        </w:tc>
        <w:tc>
          <w:tcPr>
            <w:tcW w:w="217" w:type="dxa"/>
            <w:vMerge/>
            <w:shd w:val="clear" w:color="auto" w:fill="auto"/>
            <w:tcMar>
              <w:left w:w="0" w:type="dxa"/>
            </w:tcMar>
          </w:tcPr>
          <w:p w14:paraId="2525987E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E57E753" w14:textId="77777777" w:rsidR="00E42054" w:rsidRPr="0067514E" w:rsidRDefault="00E42054" w:rsidP="00061BD1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*Pokrýv</w:t>
            </w:r>
            <w:r>
              <w:rPr>
                <w:spacing w:val="-6"/>
                <w:sz w:val="14"/>
                <w:szCs w:val="14"/>
              </w:rPr>
              <w:t>ají</w:t>
            </w:r>
            <w:r w:rsidRPr="0067514E">
              <w:rPr>
                <w:spacing w:val="-6"/>
                <w:sz w:val="14"/>
                <w:szCs w:val="14"/>
              </w:rPr>
              <w:t xml:space="preserve"> výdaje na platy v ústředních </w:t>
            </w:r>
            <w:r w:rsidRPr="00C90475">
              <w:rPr>
                <w:spacing w:val="-6"/>
                <w:sz w:val="14"/>
                <w:szCs w:val="14"/>
              </w:rPr>
              <w:t>orgánech státní správy</w:t>
            </w:r>
            <w:r w:rsidRPr="0067514E">
              <w:rPr>
                <w:spacing w:val="-6"/>
                <w:sz w:val="14"/>
                <w:szCs w:val="14"/>
              </w:rPr>
              <w:t>. Nezahrnuj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např</w:t>
            </w:r>
            <w:r>
              <w:rPr>
                <w:spacing w:val="-6"/>
                <w:sz w:val="14"/>
                <w:szCs w:val="14"/>
              </w:rPr>
              <w:t xml:space="preserve">íklad </w:t>
            </w:r>
            <w:r w:rsidRPr="0067514E">
              <w:rPr>
                <w:spacing w:val="-6"/>
                <w:sz w:val="14"/>
                <w:szCs w:val="14"/>
              </w:rPr>
              <w:t>mzdové výdaje na regionální školství.</w:t>
            </w:r>
          </w:p>
          <w:p w14:paraId="7D5234EA" w14:textId="77777777" w:rsidR="00E42054" w:rsidRDefault="00E42054" w:rsidP="00061BD1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**Zahrnuje i dávky pěstounské péče.</w:t>
            </w:r>
          </w:p>
          <w:p w14:paraId="55C4E613" w14:textId="77777777" w:rsidR="00E42054" w:rsidRDefault="00E42054" w:rsidP="00061BD1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***Zahrnuj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dávky pomoci v hmotné nouzi, dávky osobám se zdravotním postižením, příspěvek na péči dle z</w:t>
            </w:r>
            <w:r>
              <w:rPr>
                <w:spacing w:val="-6"/>
                <w:sz w:val="14"/>
                <w:szCs w:val="14"/>
              </w:rPr>
              <w:t>ákona o sociálních službách.</w:t>
            </w:r>
          </w:p>
          <w:p w14:paraId="7DBB447C" w14:textId="77777777" w:rsidR="00E42054" w:rsidRDefault="00E42054" w:rsidP="00061BD1">
            <w:pPr>
              <w:pStyle w:val="Textpoznpodarou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****Obsahuj</w:t>
            </w:r>
            <w:r>
              <w:rPr>
                <w:spacing w:val="-6"/>
                <w:sz w:val="14"/>
                <w:szCs w:val="14"/>
              </w:rPr>
              <w:t>í</w:t>
            </w:r>
            <w:r w:rsidRPr="0067514E">
              <w:rPr>
                <w:spacing w:val="-6"/>
                <w:sz w:val="14"/>
                <w:szCs w:val="14"/>
              </w:rPr>
              <w:t xml:space="preserve"> zejména výdaje na nákup služeb, materiálu, energií či ostatních služeb (např</w:t>
            </w:r>
            <w:r>
              <w:rPr>
                <w:spacing w:val="-6"/>
                <w:sz w:val="14"/>
                <w:szCs w:val="14"/>
              </w:rPr>
              <w:t xml:space="preserve">íklad </w:t>
            </w:r>
            <w:r w:rsidRPr="0067514E">
              <w:rPr>
                <w:spacing w:val="-6"/>
                <w:sz w:val="14"/>
                <w:szCs w:val="14"/>
              </w:rPr>
              <w:t>výdaje na opravy a udržování).</w:t>
            </w:r>
          </w:p>
          <w:p w14:paraId="143F443B" w14:textId="77777777" w:rsidR="00E42054" w:rsidRPr="00387CC4" w:rsidRDefault="00E42054" w:rsidP="00061BD1">
            <w:pPr>
              <w:pStyle w:val="Textpoznpodarou"/>
              <w:spacing w:after="200"/>
              <w:rPr>
                <w:spacing w:val="-6"/>
                <w:sz w:val="14"/>
                <w:szCs w:val="14"/>
              </w:rPr>
            </w:pPr>
            <w:r w:rsidRPr="0067514E">
              <w:rPr>
                <w:spacing w:val="-6"/>
                <w:sz w:val="14"/>
                <w:szCs w:val="14"/>
              </w:rPr>
              <w:t>*****Odpovídá saldu rozpočtové kapitoly Státní dluh.</w:t>
            </w:r>
            <w:r>
              <w:rPr>
                <w:spacing w:val="-6"/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  <w:r w:rsidRPr="0067514E">
              <w:rPr>
                <w:spacing w:val="-6"/>
                <w:sz w:val="14"/>
                <w:szCs w:val="14"/>
              </w:rPr>
              <w:t>Zdroj: MF ČR, MPSV</w:t>
            </w:r>
          </w:p>
        </w:tc>
      </w:tr>
      <w:tr w:rsidR="00E42054" w:rsidRPr="00343AC1" w14:paraId="2C7D2265" w14:textId="77777777" w:rsidTr="00061BD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7EEB9972" w14:textId="77777777" w:rsidR="00E42054" w:rsidRDefault="00E42054" w:rsidP="00061BD1">
            <w:pPr>
              <w:pStyle w:val="Marginlie"/>
            </w:pPr>
            <w:r>
              <w:t>Míra zadlužení sektoru vládních institucí se proti dlouhodobému minimu z konce roku 2019 zatím zvýšila jen mírně. Saldo hospodaření se ale již prohloubilo citelněji.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2F6AAC44" w14:textId="77777777" w:rsidR="00E42054" w:rsidRDefault="00E42054" w:rsidP="00061BD1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2A5F7E4D" w14:textId="77777777" w:rsidR="00E42054" w:rsidRPr="00866E5C" w:rsidRDefault="00E42054" w:rsidP="00061BD1">
            <w:pPr>
              <w:pStyle w:val="Textpoznpodarou"/>
              <w:spacing w:after="200" w:line="276" w:lineRule="auto"/>
              <w:jc w:val="both"/>
              <w:rPr>
                <w:rFonts w:cs="Arial"/>
                <w:color w:val="0D0D0D" w:themeColor="text1" w:themeTint="F2"/>
                <w:spacing w:val="-6"/>
              </w:rPr>
            </w:pPr>
            <w:r>
              <w:rPr>
                <w:rFonts w:cs="Arial"/>
                <w:color w:val="0D0D0D" w:themeColor="text1" w:themeTint="F2"/>
                <w:spacing w:val="-6"/>
              </w:rPr>
              <w:t>K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 xml:space="preserve">onsolidovaný dluh sektoru vládních institucí </w:t>
            </w:r>
            <w:r>
              <w:rPr>
                <w:rFonts w:cs="Arial"/>
                <w:color w:val="0D0D0D" w:themeColor="text1" w:themeTint="F2"/>
                <w:spacing w:val="-6"/>
              </w:rPr>
              <w:t>činil na konci 1. čtvrtletí 2020</w:t>
            </w:r>
            <w:r w:rsidRPr="0067514E">
              <w:rPr>
                <w:rStyle w:val="Znakapoznpodarou"/>
                <w:color w:val="000000" w:themeColor="text1"/>
                <w:spacing w:val="-6"/>
              </w:rPr>
              <w:footnoteReference w:id="17"/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dle údajů ČSÚ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1 894 mld. korun. Meziročně posílil o 3,2 %, a ve srovnání s koncem loňského roku dokonce o</w:t>
            </w:r>
            <w:r w:rsidRPr="0067514E">
              <w:rPr>
                <w:rFonts w:cs="Arial"/>
                <w:color w:val="0D0D0D" w:themeColor="text1" w:themeTint="F2"/>
                <w:spacing w:val="-6"/>
              </w:rPr>
              <w:t> 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8,9 %. Významnější mezičtvrtletní růst dluhu na počátku roku se však projevil i v předchozích třech letech. Míra zadlužení v 1. čtvrtletí se rovnala 32,8 % HDP a od konce loňského roku, kdy přebývala na desetiletém minimu, narostla o 2,6 p. b. Přestože tuzemská ekonomika se v 1. čtvrtletí nacházela teprve na prahu recese, sezónně očištěný deficit hospodaření vládních institucí již testoval hranici 2 % HDP, čímž docílil nejhoršího výsledku od konce roku 2014. </w:t>
            </w:r>
            <w:r>
              <w:rPr>
                <w:spacing w:val="-6"/>
              </w:rPr>
              <w:t>To souviselo s tím, že po více než třech letech došlo vlivem slabšího inkasa z objemově významných daní k meziročnímu poklesu celkových příjmů sektoru (o 1,5 %).</w:t>
            </w:r>
            <w:r>
              <w:rPr>
                <w:rFonts w:cs="Arial"/>
                <w:color w:val="0D0D0D" w:themeColor="text1" w:themeTint="F2"/>
                <w:spacing w:val="-6"/>
              </w:rPr>
              <w:t xml:space="preserve"> Dynamika celkových výdajů však zůstávala vysoká (+9,8 %).</w:t>
            </w:r>
          </w:p>
        </w:tc>
      </w:tr>
      <w:tr w:rsidR="00E42054" w:rsidRPr="00343AC1" w14:paraId="454E758A" w14:textId="77777777" w:rsidTr="00061BD1">
        <w:trPr>
          <w:trHeight w:val="170"/>
        </w:trPr>
        <w:tc>
          <w:tcPr>
            <w:tcW w:w="1732" w:type="dxa"/>
            <w:shd w:val="clear" w:color="auto" w:fill="auto"/>
            <w:tcMar>
              <w:left w:w="0" w:type="dxa"/>
            </w:tcMar>
          </w:tcPr>
          <w:p w14:paraId="579D4F09" w14:textId="77777777" w:rsidR="00E42054" w:rsidRDefault="00E42054" w:rsidP="00061BD1">
            <w:pPr>
              <w:pStyle w:val="Marginlie"/>
            </w:pPr>
            <w:r>
              <w:t>Deficit hospodaření vládních institucí v zemích EU vzrostl na počátku roku na 2,3 % HDP.</w:t>
            </w:r>
          </w:p>
          <w:p w14:paraId="48EDFE03" w14:textId="77777777" w:rsidR="00E42054" w:rsidRDefault="00E42054" w:rsidP="00061BD1">
            <w:pPr>
              <w:pStyle w:val="Marginlie"/>
            </w:pPr>
          </w:p>
          <w:p w14:paraId="6D368896" w14:textId="77777777" w:rsidR="00E42054" w:rsidRDefault="00E42054" w:rsidP="00061BD1">
            <w:pPr>
              <w:pStyle w:val="Marginlie"/>
            </w:pPr>
          </w:p>
          <w:p w14:paraId="6022D7FA" w14:textId="77777777" w:rsidR="00E42054" w:rsidRDefault="00E42054" w:rsidP="00061BD1">
            <w:pPr>
              <w:pStyle w:val="Marginlie"/>
            </w:pPr>
          </w:p>
          <w:p w14:paraId="33C48AD5" w14:textId="77777777" w:rsidR="00E42054" w:rsidRDefault="00E42054" w:rsidP="00061BD1">
            <w:pPr>
              <w:pStyle w:val="Marginlie"/>
            </w:pPr>
          </w:p>
          <w:p w14:paraId="160ECE45" w14:textId="77777777" w:rsidR="00E42054" w:rsidRDefault="00E42054" w:rsidP="00061BD1">
            <w:pPr>
              <w:pStyle w:val="Marginlie"/>
            </w:pPr>
          </w:p>
          <w:p w14:paraId="510BEC15" w14:textId="77777777" w:rsidR="00E42054" w:rsidRDefault="00E42054" w:rsidP="00061BD1">
            <w:pPr>
              <w:pStyle w:val="Marginlie"/>
            </w:pPr>
            <w:r>
              <w:t>Mezikvartální růst míry zadlužení v EU dosáhl v 1. čtvrtletí desetiletého maxima. Projevila se mj. horší pozice států s rychlým nástupem nemoci covid-19.</w:t>
            </w:r>
          </w:p>
        </w:tc>
        <w:tc>
          <w:tcPr>
            <w:tcW w:w="217" w:type="dxa"/>
            <w:shd w:val="clear" w:color="auto" w:fill="auto"/>
            <w:tcMar>
              <w:left w:w="0" w:type="dxa"/>
            </w:tcMar>
          </w:tcPr>
          <w:p w14:paraId="516CB240" w14:textId="77777777" w:rsidR="00E42054" w:rsidRPr="008E181A" w:rsidRDefault="00E42054" w:rsidP="00061BD1">
            <w:pPr>
              <w:pStyle w:val="Textpoznpodarou"/>
              <w:jc w:val="both"/>
              <w:rPr>
                <w:spacing w:val="-6"/>
              </w:rPr>
            </w:pPr>
          </w:p>
        </w:tc>
        <w:tc>
          <w:tcPr>
            <w:tcW w:w="7720" w:type="dxa"/>
            <w:shd w:val="clear" w:color="auto" w:fill="auto"/>
            <w:tcMar>
              <w:left w:w="0" w:type="dxa"/>
            </w:tcMar>
          </w:tcPr>
          <w:p w14:paraId="51FF2C2C" w14:textId="77777777" w:rsidR="00E42054" w:rsidRPr="008E181A" w:rsidRDefault="00E42054" w:rsidP="00061BD1">
            <w:pPr>
              <w:pStyle w:val="Textpoznpodarou"/>
              <w:spacing w:line="276" w:lineRule="auto"/>
              <w:jc w:val="both"/>
              <w:rPr>
                <w:spacing w:val="-6"/>
              </w:rPr>
            </w:pPr>
            <w:r w:rsidRPr="008E181A">
              <w:rPr>
                <w:rFonts w:cs="Arial"/>
                <w:color w:val="0D0D0D" w:themeColor="text1" w:themeTint="F2"/>
                <w:spacing w:val="-6"/>
              </w:rPr>
              <w:t xml:space="preserve">Zhoršování stavu veřejných financí se projevilo v drtivé většině států EU. </w:t>
            </w:r>
            <w:r>
              <w:rPr>
                <w:rFonts w:cs="Arial"/>
                <w:color w:val="0D0D0D" w:themeColor="text1" w:themeTint="F2"/>
                <w:spacing w:val="-6"/>
              </w:rPr>
              <w:t>S</w:t>
            </w:r>
            <w:r w:rsidRPr="008E181A">
              <w:rPr>
                <w:rFonts w:cs="Arial"/>
                <w:color w:val="0D0D0D" w:themeColor="text1" w:themeTint="F2"/>
                <w:spacing w:val="-6"/>
              </w:rPr>
              <w:t>ez</w:t>
            </w:r>
            <w:r>
              <w:rPr>
                <w:rFonts w:cs="Arial"/>
                <w:color w:val="0D0D0D" w:themeColor="text1" w:themeTint="F2"/>
                <w:spacing w:val="-6"/>
              </w:rPr>
              <w:t>ónně očištěné</w:t>
            </w:r>
            <w:r w:rsidRPr="008E181A">
              <w:rPr>
                <w:rFonts w:cs="Arial"/>
                <w:color w:val="0D0D0D" w:themeColor="text1" w:themeTint="F2"/>
                <w:spacing w:val="-6"/>
              </w:rPr>
              <w:t xml:space="preserve"> saldo hospodaření</w:t>
            </w:r>
            <w:r w:rsidRPr="008E181A">
              <w:rPr>
                <w:spacing w:val="-6"/>
              </w:rPr>
              <w:t xml:space="preserve"> </w:t>
            </w:r>
            <w:r>
              <w:rPr>
                <w:spacing w:val="-6"/>
              </w:rPr>
              <w:t>kleslo v 1. čtvrtletí mezikvartálně o 1,6 p. b. na –2,3 % HDP, tedy na nejnižší úroveň od konce roku 2014. Mírný přebytek (do 1 % HDP) si ze sledovaných zemí</w:t>
            </w:r>
            <w:r w:rsidRPr="0067514E">
              <w:rPr>
                <w:rStyle w:val="Znakapoznpodarou"/>
                <w:color w:val="000000" w:themeColor="text1"/>
                <w:spacing w:val="-6"/>
              </w:rPr>
              <w:footnoteReference w:id="18"/>
            </w:r>
            <w:r>
              <w:rPr>
                <w:spacing w:val="-6"/>
              </w:rPr>
              <w:t xml:space="preserve"> držely jen Německo, Nizozemsko a Lucembursko. Celkové nominální příjmy vládního sektoru klesly meziročně v polovině států Unie. U výdajů se to týkalo ale jen Kypru a v polovině států jejich růstové tempo ve srovnání s počátkem loňského roku dokonce posílilo (zejm. v zemích střední a východní Evropy). Míra zadlužení v EU navzdory zpomalování růstu ekonomiky po většinu loňského roku pokračovala v sestupné tendenci. Ke zlomu došlo až na počátku roku 2020, kdy zadlužení mezikvartálně posílilo o 1,8 p. b. (nejvíce po roce 2010) na úroveň 79,5 % HDP. Negativní vývoj se více projevil v zemích eurozóny (+2,2 p. b.), alespoň k mírnému zhoršení ale došlo v 90 % států Unie. Meziročně vzrostla zadluženost v 10 zemích – nejvíce ve Finsku (+4,7 p. b.) a Rumunsku (+3,6 p. b.), byly mezi nimi i státy silně postižené koronavirovou epidemií (Španělsko, Itálie, Francie, Belgie). V Česku, podobně jako u většiny jeho sousedů, zadluženost mírně klesla. ČR si tak držela pozici čtvrté nejméně zadlužené ekonomiky Unie.</w:t>
            </w:r>
          </w:p>
        </w:tc>
      </w:tr>
      <w:bookmarkEnd w:id="1"/>
    </w:tbl>
    <w:p w14:paraId="5BCF3DC5" w14:textId="6BE085D8" w:rsidR="00E42054" w:rsidRPr="00E42054" w:rsidRDefault="00E42054" w:rsidP="00E42054">
      <w:pPr>
        <w:pStyle w:val="Nadpis11"/>
        <w:spacing w:after="0"/>
        <w:rPr>
          <w:b w:val="0"/>
          <w:sz w:val="2"/>
          <w:szCs w:val="2"/>
        </w:rPr>
      </w:pPr>
    </w:p>
    <w:sectPr w:rsidR="00E42054" w:rsidRPr="00E42054" w:rsidSect="00290C5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73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C136F" w14:textId="77777777" w:rsidR="00EE3450" w:rsidRDefault="00EE3450" w:rsidP="00E71A58">
      <w:r>
        <w:separator/>
      </w:r>
    </w:p>
  </w:endnote>
  <w:endnote w:type="continuationSeparator" w:id="0">
    <w:p w14:paraId="7E483C55" w14:textId="77777777" w:rsidR="00EE3450" w:rsidRDefault="00EE345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7C579BEF" w:rsidR="00E1168B" w:rsidRPr="00932443" w:rsidRDefault="00E116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90C59">
      <w:rPr>
        <w:szCs w:val="16"/>
      </w:rPr>
      <w:t>32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pololetí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A83C6D8" w:rsidR="00E1168B" w:rsidRPr="00932443" w:rsidRDefault="00E116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pololetí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90C59">
      <w:rPr>
        <w:rStyle w:val="ZpatChar"/>
        <w:szCs w:val="16"/>
      </w:rPr>
      <w:t>33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EB04" w14:textId="77777777" w:rsidR="00EE3450" w:rsidRDefault="00EE3450" w:rsidP="00A21B4D">
      <w:pPr>
        <w:spacing w:after="0"/>
      </w:pPr>
      <w:r>
        <w:separator/>
      </w:r>
    </w:p>
  </w:footnote>
  <w:footnote w:type="continuationSeparator" w:id="0">
    <w:p w14:paraId="23202929" w14:textId="77777777" w:rsidR="00EE3450" w:rsidRDefault="00EE3450" w:rsidP="00E71A58">
      <w:r>
        <w:continuationSeparator/>
      </w:r>
    </w:p>
  </w:footnote>
  <w:footnote w:id="1">
    <w:p w14:paraId="61AF81C2" w14:textId="77777777" w:rsidR="00E42054" w:rsidRPr="006E08B8" w:rsidRDefault="00E42054" w:rsidP="00E42054">
      <w:pPr>
        <w:pStyle w:val="Textpoznpodarou"/>
        <w:jc w:val="both"/>
        <w:rPr>
          <w:spacing w:val="-2"/>
          <w:sz w:val="16"/>
          <w:szCs w:val="16"/>
        </w:rPr>
      </w:pPr>
      <w:r w:rsidRPr="006E08B8">
        <w:rPr>
          <w:rStyle w:val="Znakapoznpodarou"/>
          <w:spacing w:val="-2"/>
          <w:sz w:val="16"/>
          <w:szCs w:val="16"/>
        </w:rPr>
        <w:footnoteRef/>
      </w:r>
      <w:r w:rsidRPr="006E08B8">
        <w:rPr>
          <w:spacing w:val="-2"/>
          <w:sz w:val="16"/>
          <w:szCs w:val="16"/>
        </w:rPr>
        <w:t xml:space="preserve"> </w:t>
      </w:r>
      <w:r w:rsidRPr="006E08B8">
        <w:rPr>
          <w:color w:val="0D0D0D" w:themeColor="text1" w:themeTint="F2"/>
          <w:spacing w:val="-2"/>
          <w:sz w:val="16"/>
          <w:szCs w:val="16"/>
        </w:rPr>
        <w:t xml:space="preserve">Pokud není uvedeno jinak, vycházejí všechny údaje týkající se státního rozpočtu </w:t>
      </w:r>
      <w:r w:rsidRPr="006E08B8">
        <w:rPr>
          <w:rFonts w:cs="Arial"/>
          <w:color w:val="0D0D0D" w:themeColor="text1" w:themeTint="F2"/>
          <w:spacing w:val="-2"/>
          <w:sz w:val="16"/>
          <w:szCs w:val="16"/>
        </w:rPr>
        <w:t>z dat Ministerstva financí o pokladním plnění.</w:t>
      </w:r>
    </w:p>
  </w:footnote>
  <w:footnote w:id="2">
    <w:p w14:paraId="2511DFCC" w14:textId="77777777" w:rsidR="00E42054" w:rsidRPr="006E08B8" w:rsidRDefault="00E42054" w:rsidP="00E42054">
      <w:pPr>
        <w:pStyle w:val="Textpoznpodarou"/>
        <w:jc w:val="both"/>
        <w:rPr>
          <w:spacing w:val="-2"/>
          <w:sz w:val="16"/>
          <w:szCs w:val="16"/>
        </w:rPr>
      </w:pPr>
      <w:r w:rsidRPr="006E08B8">
        <w:rPr>
          <w:rStyle w:val="Znakapoznpodarou"/>
          <w:spacing w:val="-2"/>
          <w:sz w:val="16"/>
          <w:szCs w:val="16"/>
        </w:rPr>
        <w:footnoteRef/>
      </w:r>
      <w:r w:rsidRPr="006E08B8">
        <w:rPr>
          <w:spacing w:val="-2"/>
          <w:sz w:val="16"/>
          <w:szCs w:val="16"/>
        </w:rPr>
        <w:t xml:space="preserve"> Tento deficit ve výši 40</w:t>
      </w:r>
      <w:r>
        <w:rPr>
          <w:spacing w:val="-2"/>
          <w:sz w:val="16"/>
          <w:szCs w:val="16"/>
        </w:rPr>
        <w:t> mld.</w:t>
      </w:r>
      <w:r w:rsidRPr="006E08B8">
        <w:rPr>
          <w:spacing w:val="-2"/>
          <w:sz w:val="16"/>
          <w:szCs w:val="16"/>
        </w:rPr>
        <w:t xml:space="preserve"> korun vycházel ze zákona o státním rozpočtu ČR (schváleného 4. prosince 2019). </w:t>
      </w:r>
      <w:r w:rsidRPr="006E08B8">
        <w:rPr>
          <w:color w:val="0D0D0D" w:themeColor="text1" w:themeTint="F2"/>
          <w:spacing w:val="-2"/>
          <w:sz w:val="16"/>
          <w:szCs w:val="16"/>
        </w:rPr>
        <w:t>V průběhu března a dubna 2020 byly schváleny zákony počíta</w:t>
      </w:r>
      <w:r>
        <w:rPr>
          <w:color w:val="0D0D0D" w:themeColor="text1" w:themeTint="F2"/>
          <w:spacing w:val="-2"/>
          <w:sz w:val="16"/>
          <w:szCs w:val="16"/>
        </w:rPr>
        <w:t xml:space="preserve">jící s prohloubením deficitu </w:t>
      </w:r>
      <w:r w:rsidRPr="006E08B8">
        <w:rPr>
          <w:color w:val="0D0D0D" w:themeColor="text1" w:themeTint="F2"/>
          <w:spacing w:val="-2"/>
          <w:sz w:val="16"/>
          <w:szCs w:val="16"/>
        </w:rPr>
        <w:t>na</w:t>
      </w:r>
      <w:r>
        <w:rPr>
          <w:color w:val="0D0D0D" w:themeColor="text1" w:themeTint="F2"/>
          <w:spacing w:val="-2"/>
          <w:sz w:val="16"/>
          <w:szCs w:val="16"/>
        </w:rPr>
        <w:t xml:space="preserve"> 200, resp. </w:t>
      </w:r>
      <w:r w:rsidRPr="006E08B8">
        <w:rPr>
          <w:color w:val="0D0D0D" w:themeColor="text1" w:themeTint="F2"/>
          <w:spacing w:val="-2"/>
          <w:sz w:val="16"/>
          <w:szCs w:val="16"/>
        </w:rPr>
        <w:t>300 mld., na počátku červe</w:t>
      </w:r>
      <w:r>
        <w:rPr>
          <w:color w:val="0D0D0D" w:themeColor="text1" w:themeTint="F2"/>
          <w:spacing w:val="-2"/>
          <w:sz w:val="16"/>
          <w:szCs w:val="16"/>
        </w:rPr>
        <w:t>nce byl schválen schodek 500 mld.</w:t>
      </w:r>
    </w:p>
  </w:footnote>
  <w:footnote w:id="3">
    <w:p w14:paraId="39C3534D" w14:textId="77777777" w:rsidR="00E42054" w:rsidRPr="006E08B8" w:rsidRDefault="00E42054" w:rsidP="00E42054">
      <w:pPr>
        <w:pStyle w:val="Textpoznpodarou"/>
        <w:jc w:val="both"/>
        <w:rPr>
          <w:spacing w:val="-2"/>
          <w:sz w:val="16"/>
          <w:szCs w:val="16"/>
        </w:rPr>
      </w:pPr>
      <w:r w:rsidRPr="006E08B8">
        <w:rPr>
          <w:rStyle w:val="Znakapoznpodarou"/>
          <w:spacing w:val="-2"/>
          <w:sz w:val="16"/>
          <w:szCs w:val="16"/>
        </w:rPr>
        <w:footnoteRef/>
      </w:r>
      <w:r w:rsidRPr="006E08B8">
        <w:rPr>
          <w:spacing w:val="-2"/>
          <w:sz w:val="16"/>
          <w:szCs w:val="16"/>
        </w:rPr>
        <w:t xml:space="preserve"> Šlo hlavně o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prominutí červnové zálohy na daň z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příjmu fyzických (FO) i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právnických osob (PO), o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možnost posunu lhůty pro podání přiznání k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dani z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příjmů FO a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PO za rok 2019 a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jejího zaplacení až 18.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srpna</w:t>
      </w:r>
      <w:r>
        <w:rPr>
          <w:spacing w:val="-2"/>
          <w:sz w:val="16"/>
          <w:szCs w:val="16"/>
        </w:rPr>
        <w:t>, vyplacené kompenzační bonusy (zejm. OSVČ)</w:t>
      </w:r>
      <w:r w:rsidRPr="006E08B8">
        <w:rPr>
          <w:spacing w:val="-2"/>
          <w:sz w:val="16"/>
          <w:szCs w:val="16"/>
        </w:rPr>
        <w:t xml:space="preserve"> a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dále také o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 xml:space="preserve">posečkání </w:t>
      </w:r>
      <w:r>
        <w:rPr>
          <w:spacing w:val="-2"/>
          <w:sz w:val="16"/>
          <w:szCs w:val="16"/>
        </w:rPr>
        <w:t>s </w:t>
      </w:r>
      <w:r w:rsidRPr="006E08B8">
        <w:rPr>
          <w:spacing w:val="-2"/>
          <w:sz w:val="16"/>
          <w:szCs w:val="16"/>
        </w:rPr>
        <w:t>část</w:t>
      </w:r>
      <w:r>
        <w:rPr>
          <w:spacing w:val="-2"/>
          <w:sz w:val="16"/>
          <w:szCs w:val="16"/>
        </w:rPr>
        <w:t>í</w:t>
      </w:r>
      <w:r w:rsidRPr="006E08B8">
        <w:rPr>
          <w:spacing w:val="-2"/>
          <w:sz w:val="16"/>
          <w:szCs w:val="16"/>
        </w:rPr>
        <w:t xml:space="preserve"> plateb u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DPH. Dle odhadu MF vedly výše uvedené úpravy ke snížení celostátního daňového inkasa z</w:t>
      </w:r>
      <w:r>
        <w:rPr>
          <w:spacing w:val="-2"/>
          <w:sz w:val="16"/>
          <w:szCs w:val="16"/>
        </w:rPr>
        <w:t>a 1. pololetí o 53 mld.</w:t>
      </w:r>
      <w:r w:rsidRPr="006E08B8">
        <w:rPr>
          <w:spacing w:val="-2"/>
          <w:sz w:val="16"/>
          <w:szCs w:val="16"/>
        </w:rPr>
        <w:t xml:space="preserve"> korun.</w:t>
      </w:r>
    </w:p>
  </w:footnote>
  <w:footnote w:id="4">
    <w:p w14:paraId="155F81AC" w14:textId="77777777" w:rsidR="00E42054" w:rsidRPr="006E08B8" w:rsidRDefault="00E42054" w:rsidP="00E42054">
      <w:pPr>
        <w:pStyle w:val="Textpoznpodarou"/>
        <w:jc w:val="both"/>
        <w:rPr>
          <w:spacing w:val="-2"/>
          <w:sz w:val="16"/>
          <w:szCs w:val="16"/>
        </w:rPr>
      </w:pPr>
      <w:r w:rsidRPr="006E08B8">
        <w:rPr>
          <w:rStyle w:val="Znakapoznpodarou"/>
          <w:spacing w:val="-2"/>
          <w:sz w:val="16"/>
          <w:szCs w:val="16"/>
        </w:rPr>
        <w:footnoteRef/>
      </w:r>
      <w:r w:rsidRPr="006E08B8">
        <w:rPr>
          <w:spacing w:val="-2"/>
          <w:sz w:val="16"/>
          <w:szCs w:val="16"/>
        </w:rPr>
        <w:t xml:space="preserve"> Jednalo se zejména o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pravidelnou hromadnou dopravu, teplo,</w:t>
      </w:r>
      <w:r>
        <w:rPr>
          <w:spacing w:val="-2"/>
          <w:sz w:val="16"/>
          <w:szCs w:val="16"/>
        </w:rPr>
        <w:t xml:space="preserve"> chlazený vzduch</w:t>
      </w:r>
      <w:r w:rsidRPr="006E08B8">
        <w:rPr>
          <w:spacing w:val="-2"/>
          <w:sz w:val="16"/>
          <w:szCs w:val="16"/>
        </w:rPr>
        <w:t xml:space="preserve"> a</w:t>
      </w:r>
      <w:r>
        <w:rPr>
          <w:spacing w:val="-2"/>
          <w:sz w:val="16"/>
          <w:szCs w:val="16"/>
        </w:rPr>
        <w:t> </w:t>
      </w:r>
      <w:r w:rsidRPr="006E08B8">
        <w:rPr>
          <w:spacing w:val="-2"/>
          <w:sz w:val="16"/>
          <w:szCs w:val="16"/>
        </w:rPr>
        <w:t>také stravovací služby.</w:t>
      </w:r>
    </w:p>
  </w:footnote>
  <w:footnote w:id="5">
    <w:p w14:paraId="0BFE6F04" w14:textId="77777777" w:rsidR="00E42054" w:rsidRPr="00E847B6" w:rsidRDefault="00E42054" w:rsidP="00E42054">
      <w:pPr>
        <w:pStyle w:val="Textpoznpodarou"/>
        <w:jc w:val="both"/>
        <w:rPr>
          <w:spacing w:val="-2"/>
          <w:sz w:val="16"/>
          <w:szCs w:val="16"/>
        </w:rPr>
      </w:pPr>
      <w:r w:rsidRPr="006E08B8">
        <w:rPr>
          <w:rStyle w:val="Znakapoznpodarou"/>
          <w:spacing w:val="-2"/>
          <w:sz w:val="16"/>
          <w:szCs w:val="16"/>
        </w:rPr>
        <w:footnoteRef/>
      </w:r>
      <w:r w:rsidRPr="006E08B8">
        <w:rPr>
          <w:spacing w:val="-2"/>
          <w:sz w:val="16"/>
          <w:szCs w:val="16"/>
        </w:rPr>
        <w:t xml:space="preserve"> </w:t>
      </w:r>
      <w:r w:rsidRPr="006E08B8">
        <w:rPr>
          <w:spacing w:val="-4"/>
          <w:sz w:val="16"/>
          <w:szCs w:val="16"/>
        </w:rPr>
        <w:t>V dubnu klesla spotřeba motorové nafty meziročně o</w:t>
      </w:r>
      <w:r>
        <w:rPr>
          <w:spacing w:val="-4"/>
          <w:sz w:val="16"/>
          <w:szCs w:val="16"/>
        </w:rPr>
        <w:t> </w:t>
      </w:r>
      <w:r w:rsidRPr="006E08B8">
        <w:rPr>
          <w:spacing w:val="-4"/>
          <w:sz w:val="16"/>
          <w:szCs w:val="16"/>
        </w:rPr>
        <w:t>pětinu, u</w:t>
      </w:r>
      <w:r>
        <w:rPr>
          <w:spacing w:val="-4"/>
          <w:sz w:val="16"/>
          <w:szCs w:val="16"/>
        </w:rPr>
        <w:t> </w:t>
      </w:r>
      <w:r w:rsidRPr="006E08B8">
        <w:rPr>
          <w:spacing w:val="-4"/>
          <w:sz w:val="16"/>
          <w:szCs w:val="16"/>
        </w:rPr>
        <w:t>motorového benz</w:t>
      </w:r>
      <w:r>
        <w:rPr>
          <w:spacing w:val="-4"/>
          <w:sz w:val="16"/>
          <w:szCs w:val="16"/>
        </w:rPr>
        <w:t>i</w:t>
      </w:r>
      <w:r w:rsidRPr="006E08B8">
        <w:rPr>
          <w:spacing w:val="-4"/>
          <w:sz w:val="16"/>
          <w:szCs w:val="16"/>
        </w:rPr>
        <w:t xml:space="preserve">nu </w:t>
      </w:r>
      <w:r>
        <w:rPr>
          <w:spacing w:val="-4"/>
          <w:sz w:val="16"/>
          <w:szCs w:val="16"/>
        </w:rPr>
        <w:t xml:space="preserve">dokonce </w:t>
      </w:r>
      <w:r w:rsidRPr="006E08B8">
        <w:rPr>
          <w:spacing w:val="-4"/>
          <w:sz w:val="16"/>
          <w:szCs w:val="16"/>
        </w:rPr>
        <w:t>o</w:t>
      </w:r>
      <w:r>
        <w:rPr>
          <w:spacing w:val="-4"/>
          <w:sz w:val="16"/>
          <w:szCs w:val="16"/>
        </w:rPr>
        <w:t> </w:t>
      </w:r>
      <w:r w:rsidRPr="006E08B8">
        <w:rPr>
          <w:spacing w:val="-4"/>
          <w:sz w:val="16"/>
          <w:szCs w:val="16"/>
        </w:rPr>
        <w:t>třetinu. Květnový pokles se zmírnil na 9</w:t>
      </w:r>
      <w:r>
        <w:rPr>
          <w:spacing w:val="-4"/>
          <w:sz w:val="16"/>
          <w:szCs w:val="16"/>
        </w:rPr>
        <w:t> %</w:t>
      </w:r>
      <w:r w:rsidRPr="006E08B8">
        <w:rPr>
          <w:spacing w:val="-4"/>
          <w:sz w:val="16"/>
          <w:szCs w:val="16"/>
        </w:rPr>
        <w:t>, resp. 19</w:t>
      </w:r>
      <w:r>
        <w:rPr>
          <w:spacing w:val="-4"/>
          <w:sz w:val="16"/>
          <w:szCs w:val="16"/>
        </w:rPr>
        <w:t> %, u leteckého petroleje se ale nebývalý propad dále prohloubil (ze 73 % na 89 %). Za první dva měsíce roku 2020 přitom spotřeba všech hlavních ropných produktů rostla (např. motorová nafta +1,8 %, motorový benzin +0,4 %).</w:t>
      </w:r>
    </w:p>
  </w:footnote>
  <w:footnote w:id="6">
    <w:p w14:paraId="3AF5A387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V rámci 1. pololetí rostly v období po roce 2000 celkové rozpočtové výdaje nejvíce v roce 2008 (meziročně o 12,5 %), kdy ovšem byly doprovázeny vysokou inflací (meziroční růst spotřebitelských cen za celý rok 2008 činil 6,3 %).</w:t>
      </w:r>
    </w:p>
  </w:footnote>
  <w:footnote w:id="7">
    <w:p w14:paraId="7C8F38EC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>Za 1. pololetí 2020 šlo</w:t>
      </w:r>
      <w:r>
        <w:rPr>
          <w:color w:val="0D0D0D" w:themeColor="text1" w:themeTint="F2"/>
          <w:sz w:val="16"/>
          <w:szCs w:val="16"/>
        </w:rPr>
        <w:t xml:space="preserve"> hlavně o program Antivirus (13,6 mld. korun), ošetřovné pro zaměstnance a OSVČ (7,9 mld.), n</w:t>
      </w:r>
      <w:r w:rsidRPr="00070A5B">
        <w:rPr>
          <w:color w:val="0D0D0D" w:themeColor="text1" w:themeTint="F2"/>
          <w:sz w:val="16"/>
          <w:szCs w:val="16"/>
        </w:rPr>
        <w:t>ákup och</w:t>
      </w:r>
      <w:r>
        <w:rPr>
          <w:color w:val="0D0D0D" w:themeColor="text1" w:themeTint="F2"/>
          <w:sz w:val="16"/>
          <w:szCs w:val="16"/>
        </w:rPr>
        <w:t>ranných prostředků a jiné výdaje</w:t>
      </w:r>
      <w:r w:rsidRPr="00070A5B">
        <w:rPr>
          <w:color w:val="0D0D0D" w:themeColor="text1" w:themeTint="F2"/>
          <w:sz w:val="16"/>
          <w:szCs w:val="16"/>
        </w:rPr>
        <w:t xml:space="preserve"> v</w:t>
      </w:r>
      <w:r>
        <w:rPr>
          <w:color w:val="0D0D0D" w:themeColor="text1" w:themeTint="F2"/>
          <w:sz w:val="16"/>
          <w:szCs w:val="16"/>
        </w:rPr>
        <w:t> </w:t>
      </w:r>
      <w:r w:rsidRPr="00070A5B">
        <w:rPr>
          <w:color w:val="0D0D0D" w:themeColor="text1" w:themeTint="F2"/>
          <w:sz w:val="16"/>
          <w:szCs w:val="16"/>
        </w:rPr>
        <w:t>souvislosti s</w:t>
      </w:r>
      <w:r>
        <w:rPr>
          <w:color w:val="0D0D0D" w:themeColor="text1" w:themeTint="F2"/>
          <w:sz w:val="16"/>
          <w:szCs w:val="16"/>
        </w:rPr>
        <w:t> covid-19 (9,6 mld.), oddlužení vybraných nemocnic (6,6 mld.) a z</w:t>
      </w:r>
      <w:r w:rsidRPr="00043651">
        <w:rPr>
          <w:color w:val="0D0D0D" w:themeColor="text1" w:themeTint="F2"/>
          <w:sz w:val="16"/>
          <w:szCs w:val="16"/>
        </w:rPr>
        <w:t>výšení platby státu za státního pojištěnce</w:t>
      </w:r>
      <w:r>
        <w:rPr>
          <w:color w:val="0D0D0D" w:themeColor="text1" w:themeTint="F2"/>
          <w:sz w:val="16"/>
          <w:szCs w:val="16"/>
        </w:rPr>
        <w:t xml:space="preserve"> (3,0 mld.).</w:t>
      </w:r>
    </w:p>
  </w:footnote>
  <w:footnote w:id="8">
    <w:p w14:paraId="1D87AF7F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sz w:val="16"/>
          <w:szCs w:val="16"/>
        </w:rPr>
        <w:t>To se negativně projevilo v citelném meziročním prohloubení deficitu nemocenského pojištění (z –1,5 mld. korun na –13,0 mld. korun). Ten byl za 1. pololetí 2020 dokonce větší než u důchodového pojištění.</w:t>
      </w:r>
    </w:p>
  </w:footnote>
  <w:footnote w:id="9">
    <w:p w14:paraId="7964550E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 w:rsidRPr="00674C95">
        <w:rPr>
          <w:color w:val="0D0D0D" w:themeColor="text1" w:themeTint="F2"/>
          <w:spacing w:val="-2"/>
          <w:sz w:val="16"/>
          <w:szCs w:val="16"/>
        </w:rPr>
        <w:t>Podíl nezaměstnaných uchazečů (na populaci v produktivním věku) činil na konci června 3,7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674C95">
        <w:rPr>
          <w:color w:val="0D0D0D" w:themeColor="text1" w:themeTint="F2"/>
          <w:spacing w:val="-2"/>
          <w:sz w:val="16"/>
          <w:szCs w:val="16"/>
        </w:rPr>
        <w:t xml:space="preserve">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674C95">
        <w:rPr>
          <w:color w:val="0D0D0D" w:themeColor="text1" w:themeTint="F2"/>
          <w:spacing w:val="-2"/>
          <w:sz w:val="16"/>
          <w:szCs w:val="16"/>
        </w:rPr>
        <w:t>meziročně se zvýšil o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674C95">
        <w:rPr>
          <w:color w:val="0D0D0D" w:themeColor="text1" w:themeTint="F2"/>
          <w:spacing w:val="-2"/>
          <w:sz w:val="16"/>
          <w:szCs w:val="16"/>
        </w:rPr>
        <w:t>1,1</w:t>
      </w:r>
      <w:r>
        <w:rPr>
          <w:color w:val="0D0D0D" w:themeColor="text1" w:themeTint="F2"/>
          <w:spacing w:val="-2"/>
          <w:sz w:val="16"/>
          <w:szCs w:val="16"/>
        </w:rPr>
        <w:t> p. b.</w:t>
      </w:r>
      <w:r w:rsidRPr="00674C95">
        <w:rPr>
          <w:color w:val="0D0D0D" w:themeColor="text1" w:themeTint="F2"/>
          <w:spacing w:val="-2"/>
          <w:sz w:val="16"/>
          <w:szCs w:val="16"/>
        </w:rPr>
        <w:t xml:space="preserve"> Počet uchazečů s nárokem na podporu vzrostl ze 68 na 93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674C95">
        <w:rPr>
          <w:color w:val="0D0D0D" w:themeColor="text1" w:themeTint="F2"/>
          <w:spacing w:val="-2"/>
          <w:sz w:val="16"/>
          <w:szCs w:val="16"/>
        </w:rPr>
        <w:t>tis</w:t>
      </w:r>
      <w:r>
        <w:rPr>
          <w:color w:val="0D0D0D" w:themeColor="text1" w:themeTint="F2"/>
          <w:spacing w:val="-2"/>
          <w:sz w:val="16"/>
          <w:szCs w:val="16"/>
        </w:rPr>
        <w:t>.</w:t>
      </w:r>
      <w:r w:rsidRPr="00674C95">
        <w:rPr>
          <w:color w:val="0D0D0D" w:themeColor="text1" w:themeTint="F2"/>
          <w:spacing w:val="-2"/>
          <w:sz w:val="16"/>
          <w:szCs w:val="16"/>
        </w:rPr>
        <w:t>, jejich podíl na všech nezaměstnaných zůstal po oba poslední roky shodný (35</w:t>
      </w:r>
      <w:r>
        <w:rPr>
          <w:color w:val="0D0D0D" w:themeColor="text1" w:themeTint="F2"/>
          <w:spacing w:val="-2"/>
          <w:sz w:val="16"/>
          <w:szCs w:val="16"/>
        </w:rPr>
        <w:t> %</w:t>
      </w:r>
      <w:r w:rsidRPr="00674C95">
        <w:rPr>
          <w:color w:val="0D0D0D" w:themeColor="text1" w:themeTint="F2"/>
          <w:spacing w:val="-2"/>
          <w:sz w:val="16"/>
          <w:szCs w:val="16"/>
        </w:rPr>
        <w:t>).</w:t>
      </w:r>
    </w:p>
  </w:footnote>
  <w:footnote w:id="10">
    <w:p w14:paraId="191FE396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F5302">
        <w:rPr>
          <w:rStyle w:val="Znakapoznpodarou"/>
          <w:sz w:val="16"/>
          <w:szCs w:val="16"/>
        </w:rPr>
        <w:footnoteRef/>
      </w:r>
      <w:r w:rsidRPr="007F5302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Podílel se na tom hlavně vývoj v květnu a červnu 2020, kdy objem podpor vzrostl meziročně o 47 %, resp. 71 %.</w:t>
      </w:r>
    </w:p>
  </w:footnote>
  <w:footnote w:id="11">
    <w:p w14:paraId="776AC1BD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B46E1">
        <w:rPr>
          <w:rStyle w:val="Znakapoznpodarou"/>
          <w:sz w:val="16"/>
          <w:szCs w:val="16"/>
        </w:rPr>
        <w:footnoteRef/>
      </w:r>
      <w:r w:rsidRPr="007B46E1">
        <w:rPr>
          <w:sz w:val="16"/>
          <w:szCs w:val="16"/>
        </w:rPr>
        <w:t xml:space="preserve"> </w:t>
      </w:r>
      <w:r w:rsidRPr="007B46E1">
        <w:rPr>
          <w:color w:val="0D0D0D" w:themeColor="text1" w:themeTint="F2"/>
          <w:sz w:val="16"/>
          <w:szCs w:val="16"/>
        </w:rPr>
        <w:t>Za příznivým výsledkem stál vývoj v 1.</w:t>
      </w:r>
      <w:r>
        <w:rPr>
          <w:color w:val="0D0D0D" w:themeColor="text1" w:themeTint="F2"/>
          <w:sz w:val="16"/>
          <w:szCs w:val="16"/>
        </w:rPr>
        <w:t> čtvrtlet</w:t>
      </w:r>
      <w:r w:rsidRPr="007B46E1">
        <w:rPr>
          <w:color w:val="0D0D0D" w:themeColor="text1" w:themeTint="F2"/>
          <w:sz w:val="16"/>
          <w:szCs w:val="16"/>
        </w:rPr>
        <w:t>í 2020 (–11</w:t>
      </w:r>
      <w:r>
        <w:rPr>
          <w:color w:val="0D0D0D" w:themeColor="text1" w:themeTint="F2"/>
          <w:sz w:val="16"/>
          <w:szCs w:val="16"/>
        </w:rPr>
        <w:t> %</w:t>
      </w:r>
      <w:r w:rsidRPr="007B46E1">
        <w:rPr>
          <w:color w:val="0D0D0D" w:themeColor="text1" w:themeTint="F2"/>
          <w:sz w:val="16"/>
          <w:szCs w:val="16"/>
        </w:rPr>
        <w:t>), ve 2.</w:t>
      </w:r>
      <w:r>
        <w:rPr>
          <w:color w:val="0D0D0D" w:themeColor="text1" w:themeTint="F2"/>
          <w:sz w:val="16"/>
          <w:szCs w:val="16"/>
        </w:rPr>
        <w:t> čtvrtlet</w:t>
      </w:r>
      <w:r w:rsidRPr="007B46E1">
        <w:rPr>
          <w:color w:val="0D0D0D" w:themeColor="text1" w:themeTint="F2"/>
          <w:sz w:val="16"/>
          <w:szCs w:val="16"/>
        </w:rPr>
        <w:t>í již objem nárokovaných dávek meziročně vzrostl (+7</w:t>
      </w:r>
      <w:r>
        <w:rPr>
          <w:color w:val="0D0D0D" w:themeColor="text1" w:themeTint="F2"/>
          <w:sz w:val="16"/>
          <w:szCs w:val="16"/>
        </w:rPr>
        <w:t> %</w:t>
      </w:r>
      <w:r w:rsidRPr="007B46E1">
        <w:rPr>
          <w:color w:val="0D0D0D" w:themeColor="text1" w:themeTint="F2"/>
          <w:sz w:val="16"/>
          <w:szCs w:val="16"/>
        </w:rPr>
        <w:t>)</w:t>
      </w:r>
      <w:r>
        <w:rPr>
          <w:color w:val="0D0D0D" w:themeColor="text1" w:themeTint="F2"/>
          <w:sz w:val="16"/>
          <w:szCs w:val="16"/>
        </w:rPr>
        <w:t>.</w:t>
      </w:r>
    </w:p>
  </w:footnote>
  <w:footnote w:id="12">
    <w:p w14:paraId="55975E1A" w14:textId="77777777" w:rsidR="00E42054" w:rsidRPr="006D61C4" w:rsidRDefault="00E42054" w:rsidP="00E42054">
      <w:pPr>
        <w:pStyle w:val="Textpoznpodarou"/>
        <w:jc w:val="both"/>
        <w:rPr>
          <w:sz w:val="16"/>
          <w:szCs w:val="16"/>
        </w:rPr>
      </w:pPr>
      <w:r w:rsidRPr="006D61C4">
        <w:rPr>
          <w:rStyle w:val="Znakapoznpodarou"/>
          <w:sz w:val="16"/>
          <w:szCs w:val="16"/>
        </w:rPr>
        <w:footnoteRef/>
      </w:r>
      <w:r w:rsidRPr="006D61C4">
        <w:rPr>
          <w:sz w:val="16"/>
          <w:szCs w:val="16"/>
        </w:rPr>
        <w:t xml:space="preserve"> </w:t>
      </w:r>
      <w:r>
        <w:rPr>
          <w:color w:val="0D0D0D" w:themeColor="text1" w:themeTint="F2"/>
          <w:spacing w:val="-2"/>
          <w:sz w:val="16"/>
          <w:szCs w:val="16"/>
        </w:rPr>
        <w:t>Základní výměra</w:t>
      </w:r>
      <w:r w:rsidRPr="008274EF">
        <w:rPr>
          <w:color w:val="0D0D0D" w:themeColor="text1" w:themeTint="F2"/>
          <w:spacing w:val="-2"/>
          <w:sz w:val="16"/>
          <w:szCs w:val="16"/>
        </w:rPr>
        <w:t xml:space="preserve"> důchodu </w:t>
      </w:r>
      <w:r>
        <w:rPr>
          <w:color w:val="0D0D0D" w:themeColor="text1" w:themeTint="F2"/>
          <w:spacing w:val="-2"/>
          <w:sz w:val="16"/>
          <w:szCs w:val="16"/>
        </w:rPr>
        <w:t>se zvýšila o 220 korun (3 490 korun), procentní výměra vzrostla o 5,2 % a o dodatečnou částku 151 korun. Dle údajů ČSSZ činil průměrný měsíční starobní důchod (sólo) ve 2. čtvrtletí 14 427 korun, meziročně o 1 019 korun více.</w:t>
      </w:r>
    </w:p>
  </w:footnote>
  <w:footnote w:id="13">
    <w:p w14:paraId="2B0201C2" w14:textId="77777777" w:rsidR="00E42054" w:rsidRPr="006B5B53" w:rsidRDefault="00E42054" w:rsidP="00E42054">
      <w:pPr>
        <w:pStyle w:val="Textpoznpodarou"/>
        <w:jc w:val="both"/>
      </w:pPr>
      <w:r w:rsidRPr="000315DB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Šlo o </w:t>
      </w:r>
      <w:r w:rsidRPr="00FD2E24">
        <w:rPr>
          <w:color w:val="0D0D0D" w:themeColor="text1" w:themeTint="F2"/>
          <w:spacing w:val="-2"/>
          <w:sz w:val="16"/>
          <w:szCs w:val="16"/>
        </w:rPr>
        <w:t xml:space="preserve">zrušení minimálních záloh pro OSVČ na sociální pojištění s odhadovaným </w:t>
      </w:r>
      <w:r>
        <w:rPr>
          <w:color w:val="0D0D0D" w:themeColor="text1" w:themeTint="F2"/>
          <w:spacing w:val="-2"/>
          <w:sz w:val="16"/>
          <w:szCs w:val="16"/>
        </w:rPr>
        <w:t>rozpočtovým dopadem ve výši 4,8 mld. korun (dle MF).</w:t>
      </w:r>
    </w:p>
  </w:footnote>
  <w:footnote w:id="14">
    <w:p w14:paraId="070A420D" w14:textId="77777777" w:rsidR="00E42054" w:rsidRPr="006B5B53" w:rsidRDefault="00E42054" w:rsidP="00E42054">
      <w:pPr>
        <w:pStyle w:val="Textpoznpodarou"/>
        <w:jc w:val="both"/>
      </w:pPr>
      <w:r w:rsidRPr="000315DB">
        <w:rPr>
          <w:rStyle w:val="Znakapoznpodarou"/>
          <w:sz w:val="16"/>
          <w:szCs w:val="16"/>
        </w:rPr>
        <w:footnoteRef/>
      </w:r>
      <w:r w:rsidRPr="000315DB">
        <w:rPr>
          <w:sz w:val="16"/>
          <w:szCs w:val="16"/>
        </w:rPr>
        <w:t xml:space="preserve"> Je vyjádřeno jako 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rozdíl mezi příjmy a</w:t>
      </w:r>
      <w:r>
        <w:rPr>
          <w:rFonts w:cs="Arial"/>
          <w:color w:val="000000" w:themeColor="text1"/>
          <w:spacing w:val="-4"/>
          <w:sz w:val="16"/>
          <w:szCs w:val="16"/>
        </w:rPr>
        <w:t> 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výdaji na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důchody ze SR</w:t>
      </w:r>
      <w:r w:rsidRPr="000315DB">
        <w:rPr>
          <w:rFonts w:cs="Arial"/>
          <w:color w:val="000000" w:themeColor="text1"/>
          <w:spacing w:val="-4"/>
          <w:sz w:val="16"/>
          <w:szCs w:val="16"/>
        </w:rPr>
        <w:t>.</w:t>
      </w:r>
      <w:r>
        <w:rPr>
          <w:rFonts w:cs="Arial"/>
          <w:color w:val="000000" w:themeColor="text1"/>
          <w:spacing w:val="-4"/>
          <w:sz w:val="16"/>
          <w:szCs w:val="16"/>
        </w:rPr>
        <w:t xml:space="preserve"> Ve výdajích nejsou zahrnuty prostředky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 xml:space="preserve"> na správu systému důchodového </w:t>
      </w:r>
      <w:r w:rsidRPr="004D1257">
        <w:rPr>
          <w:rFonts w:cs="Arial"/>
          <w:color w:val="0D0D0D" w:themeColor="text1" w:themeTint="F2"/>
          <w:spacing w:val="-4"/>
          <w:sz w:val="16"/>
          <w:szCs w:val="16"/>
        </w:rPr>
        <w:t>pojištění (</w:t>
      </w:r>
      <w:r>
        <w:rPr>
          <w:rFonts w:cs="Arial"/>
          <w:color w:val="0D0D0D" w:themeColor="text1" w:themeTint="F2"/>
          <w:spacing w:val="-4"/>
          <w:sz w:val="16"/>
          <w:szCs w:val="16"/>
        </w:rPr>
        <w:t>za celý rok</w:t>
      </w:r>
      <w:r w:rsidRPr="004D1257">
        <w:rPr>
          <w:rFonts w:cs="Arial"/>
          <w:color w:val="0D0D0D" w:themeColor="text1" w:themeTint="F2"/>
          <w:spacing w:val="-4"/>
          <w:sz w:val="16"/>
          <w:szCs w:val="16"/>
        </w:rPr>
        <w:t xml:space="preserve"> 2019 dosáhly </w:t>
      </w:r>
      <w:r>
        <w:rPr>
          <w:rFonts w:cs="Arial"/>
          <w:color w:val="000000" w:themeColor="text1"/>
          <w:spacing w:val="-4"/>
          <w:sz w:val="16"/>
          <w:szCs w:val="16"/>
        </w:rPr>
        <w:t>dle údajů MF 6,3</w:t>
      </w:r>
      <w:r w:rsidRPr="006B5B53">
        <w:rPr>
          <w:rFonts w:cs="Arial"/>
          <w:color w:val="000000" w:themeColor="text1"/>
          <w:spacing w:val="-4"/>
          <w:sz w:val="16"/>
          <w:szCs w:val="16"/>
        </w:rPr>
        <w:t> mld. korun).</w:t>
      </w:r>
    </w:p>
  </w:footnote>
  <w:footnote w:id="15">
    <w:p w14:paraId="2F94A6A5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B46E1">
        <w:rPr>
          <w:rStyle w:val="Znakapoznpodarou"/>
          <w:sz w:val="16"/>
          <w:szCs w:val="16"/>
        </w:rPr>
        <w:footnoteRef/>
      </w:r>
      <w:r w:rsidRPr="007B46E1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Jejich průměrný roční výnos činil 1,15 %, průměrná doba splatnosti pak 5,5 roku.</w:t>
      </w:r>
    </w:p>
  </w:footnote>
  <w:footnote w:id="16">
    <w:p w14:paraId="74C9CB13" w14:textId="77777777" w:rsidR="00E42054" w:rsidRPr="007F5302" w:rsidRDefault="00E42054" w:rsidP="00E42054">
      <w:pPr>
        <w:pStyle w:val="Textpoznpodarou"/>
        <w:jc w:val="both"/>
        <w:rPr>
          <w:sz w:val="16"/>
          <w:szCs w:val="16"/>
        </w:rPr>
      </w:pPr>
      <w:r w:rsidRPr="007B46E1">
        <w:rPr>
          <w:rStyle w:val="Znakapoznpodarou"/>
          <w:sz w:val="16"/>
          <w:szCs w:val="16"/>
        </w:rPr>
        <w:footnoteRef/>
      </w:r>
      <w:r w:rsidRPr="007B46E1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Odpovídá saldu rozpočtové kapitoly Státní dluh (č. 396). Je tvořen čistými úrokovými výdaji a též poplatky.</w:t>
      </w:r>
    </w:p>
  </w:footnote>
  <w:footnote w:id="17">
    <w:p w14:paraId="7C808E83" w14:textId="77777777" w:rsidR="00E42054" w:rsidRPr="00D815C6" w:rsidRDefault="00E42054" w:rsidP="00E42054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D815C6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D815C6">
        <w:rPr>
          <w:color w:val="0D0D0D" w:themeColor="text1" w:themeTint="F2"/>
          <w:spacing w:val="-4"/>
          <w:sz w:val="16"/>
          <w:szCs w:val="16"/>
        </w:rPr>
        <w:t xml:space="preserve"> </w:t>
      </w:r>
      <w:r w:rsidRPr="00A221B9">
        <w:rPr>
          <w:color w:val="0D0D0D" w:themeColor="text1" w:themeTint="F2"/>
          <w:spacing w:val="-2"/>
          <w:sz w:val="16"/>
          <w:szCs w:val="16"/>
        </w:rPr>
        <w:t>Předběžné údaje o dluhu a deficitu sektoru vládních institucí za 2. čtvrtletí 2020 zveřejní ČSÚ 5. října</w:t>
      </w:r>
      <w:r>
        <w:rPr>
          <w:color w:val="0D0D0D" w:themeColor="text1" w:themeTint="F2"/>
          <w:spacing w:val="-2"/>
          <w:sz w:val="16"/>
          <w:szCs w:val="16"/>
        </w:rPr>
        <w:t>, Eurostat na konci října</w:t>
      </w:r>
      <w:r w:rsidRPr="00A221B9">
        <w:rPr>
          <w:color w:val="0D0D0D" w:themeColor="text1" w:themeTint="F2"/>
          <w:spacing w:val="-2"/>
          <w:sz w:val="16"/>
          <w:szCs w:val="16"/>
        </w:rPr>
        <w:t xml:space="preserve"> 2020.</w:t>
      </w:r>
    </w:p>
  </w:footnote>
  <w:footnote w:id="18">
    <w:p w14:paraId="6AE8261B" w14:textId="77777777" w:rsidR="00E42054" w:rsidRPr="008D3918" w:rsidRDefault="00E42054" w:rsidP="00E42054">
      <w:pPr>
        <w:pStyle w:val="Textpoznpodarou"/>
        <w:rPr>
          <w:color w:val="0D0D0D" w:themeColor="text1" w:themeTint="F2"/>
          <w:spacing w:val="-4"/>
          <w:sz w:val="16"/>
          <w:szCs w:val="16"/>
        </w:rPr>
      </w:pPr>
      <w:r w:rsidRPr="008D3918">
        <w:rPr>
          <w:rStyle w:val="Znakapoznpodarou"/>
          <w:color w:val="0D0D0D" w:themeColor="text1" w:themeTint="F2"/>
          <w:spacing w:val="-4"/>
          <w:sz w:val="16"/>
          <w:szCs w:val="16"/>
        </w:rPr>
        <w:footnoteRef/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 Jde o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D3918">
        <w:rPr>
          <w:color w:val="0D0D0D" w:themeColor="text1" w:themeTint="F2"/>
          <w:spacing w:val="-4"/>
          <w:sz w:val="16"/>
          <w:szCs w:val="16"/>
        </w:rPr>
        <w:t>21</w:t>
      </w:r>
      <w:r>
        <w:rPr>
          <w:color w:val="0D0D0D" w:themeColor="text1" w:themeTint="F2"/>
          <w:spacing w:val="-4"/>
          <w:sz w:val="16"/>
          <w:szCs w:val="16"/>
        </w:rPr>
        <w:t> </w:t>
      </w:r>
      <w:r w:rsidRPr="008D3918">
        <w:rPr>
          <w:color w:val="0D0D0D" w:themeColor="text1" w:themeTint="F2"/>
          <w:spacing w:val="-4"/>
          <w:sz w:val="16"/>
          <w:szCs w:val="16"/>
        </w:rPr>
        <w:t>zemí poskytujících údaje v sezónním očištění</w:t>
      </w:r>
      <w:r>
        <w:rPr>
          <w:color w:val="0D0D0D" w:themeColor="text1" w:themeTint="F2"/>
          <w:spacing w:val="-4"/>
          <w:sz w:val="16"/>
          <w:szCs w:val="16"/>
        </w:rPr>
        <w:t>.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 Z neočištěných dat plyne, že přebytku dosáhly jen </w:t>
      </w:r>
      <w:r>
        <w:rPr>
          <w:color w:val="0D0D0D" w:themeColor="text1" w:themeTint="F2"/>
          <w:spacing w:val="-4"/>
          <w:sz w:val="16"/>
          <w:szCs w:val="16"/>
        </w:rPr>
        <w:t>čtyři státy. Oproti</w:t>
      </w:r>
      <w:r w:rsidRPr="008D3918">
        <w:rPr>
          <w:color w:val="0D0D0D" w:themeColor="text1" w:themeTint="F2"/>
          <w:spacing w:val="-4"/>
          <w:sz w:val="16"/>
          <w:szCs w:val="16"/>
        </w:rPr>
        <w:t> 1.</w:t>
      </w:r>
      <w:r>
        <w:rPr>
          <w:color w:val="0D0D0D" w:themeColor="text1" w:themeTint="F2"/>
          <w:spacing w:val="-4"/>
          <w:sz w:val="16"/>
          <w:szCs w:val="16"/>
        </w:rPr>
        <w:t> čtvrtletí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 2019 se saldo zhoršilo</w:t>
      </w:r>
      <w:r>
        <w:rPr>
          <w:color w:val="0D0D0D" w:themeColor="text1" w:themeTint="F2"/>
          <w:spacing w:val="-4"/>
          <w:sz w:val="16"/>
          <w:szCs w:val="16"/>
        </w:rPr>
        <w:t xml:space="preserve"> v celé EU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 (vyjma Kypr</w:t>
      </w:r>
      <w:r>
        <w:rPr>
          <w:color w:val="0D0D0D" w:themeColor="text1" w:themeTint="F2"/>
          <w:spacing w:val="-4"/>
          <w:sz w:val="16"/>
          <w:szCs w:val="16"/>
        </w:rPr>
        <w:t>u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). Nejhlubší deficit </w:t>
      </w:r>
      <w:r>
        <w:rPr>
          <w:color w:val="0D0D0D" w:themeColor="text1" w:themeTint="F2"/>
          <w:spacing w:val="-4"/>
          <w:sz w:val="16"/>
          <w:szCs w:val="16"/>
        </w:rPr>
        <w:t xml:space="preserve">(přes 9 % HDP) 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letos </w:t>
      </w:r>
      <w:r>
        <w:rPr>
          <w:color w:val="0D0D0D" w:themeColor="text1" w:themeTint="F2"/>
          <w:spacing w:val="-4"/>
          <w:sz w:val="16"/>
          <w:szCs w:val="16"/>
        </w:rPr>
        <w:t>měly</w:t>
      </w:r>
      <w:r w:rsidRPr="008D3918">
        <w:rPr>
          <w:color w:val="0D0D0D" w:themeColor="text1" w:themeTint="F2"/>
          <w:spacing w:val="-4"/>
          <w:sz w:val="16"/>
          <w:szCs w:val="16"/>
        </w:rPr>
        <w:t xml:space="preserve"> Belgie, Itálie, Malta, </w:t>
      </w:r>
      <w:r>
        <w:rPr>
          <w:color w:val="0D0D0D" w:themeColor="text1" w:themeTint="F2"/>
          <w:spacing w:val="-4"/>
          <w:sz w:val="16"/>
          <w:szCs w:val="16"/>
        </w:rPr>
        <w:t>Rumunsko a </w:t>
      </w:r>
      <w:r w:rsidRPr="008D3918">
        <w:rPr>
          <w:color w:val="0D0D0D" w:themeColor="text1" w:themeTint="F2"/>
          <w:spacing w:val="-4"/>
          <w:sz w:val="16"/>
          <w:szCs w:val="16"/>
        </w:rPr>
        <w:t>Francie.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E1168B" w:rsidRDefault="00E1168B" w:rsidP="00937AE2">
    <w:pPr>
      <w:pStyle w:val="Zhlav"/>
    </w:pPr>
    <w:r>
      <w:t>Vývoj ekonomiky České republiky</w:t>
    </w:r>
  </w:p>
  <w:p w14:paraId="675E4C41" w14:textId="77777777" w:rsidR="00E1168B" w:rsidRPr="006F5416" w:rsidRDefault="00E116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E1168B" w:rsidRDefault="00E1168B" w:rsidP="00937AE2">
    <w:pPr>
      <w:pStyle w:val="Zhlav"/>
    </w:pPr>
    <w:r>
      <w:t>Vývoj ekonomiky České republiky</w:t>
    </w:r>
  </w:p>
  <w:p w14:paraId="0CDCFD48" w14:textId="77777777" w:rsidR="00E1168B" w:rsidRPr="006F5416" w:rsidRDefault="00E116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2596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1A7C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3868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4DC0"/>
    <w:rsid w:val="000D5637"/>
    <w:rsid w:val="000D6F4E"/>
    <w:rsid w:val="000D73BB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6CD3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B08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0C59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6F0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9C6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8C6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4B2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4FE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334C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314"/>
    <w:rsid w:val="008C0E88"/>
    <w:rsid w:val="008C1717"/>
    <w:rsid w:val="008C4B50"/>
    <w:rsid w:val="008C5A37"/>
    <w:rsid w:val="008C7569"/>
    <w:rsid w:val="008C79C3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158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3FD5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6A9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C2A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3ADF"/>
    <w:rsid w:val="00DA4174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0B1"/>
    <w:rsid w:val="00E35A53"/>
    <w:rsid w:val="00E3656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67D"/>
    <w:rsid w:val="00E747DC"/>
    <w:rsid w:val="00E74A2D"/>
    <w:rsid w:val="00E75C94"/>
    <w:rsid w:val="00E76A08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072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851"/>
    <w:rsid w:val="00ED3F10"/>
    <w:rsid w:val="00ED4D04"/>
    <w:rsid w:val="00ED566D"/>
    <w:rsid w:val="00ED5907"/>
    <w:rsid w:val="00ED5F5B"/>
    <w:rsid w:val="00ED62C6"/>
    <w:rsid w:val="00ED64C1"/>
    <w:rsid w:val="00ED781F"/>
    <w:rsid w:val="00EE2EB4"/>
    <w:rsid w:val="00EE3446"/>
    <w:rsid w:val="00EE3450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47234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D7802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01B6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20\Q-makro\1.pololet&#237;%202020\Grafy-st&#225;tn&#237;%20rozpo&#269;et-rok-1-pol-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20\Q-makro\1.pololet&#237;%202020\Grafy-st&#225;tn&#237;%20rozpo&#269;et-rok-1-pol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908338784405057E-2"/>
          <c:y val="1.7107238390107405E-2"/>
          <c:w val="0.84381833758037139"/>
          <c:h val="0.81522316394353223"/>
        </c:manualLayout>
      </c:layout>
      <c:barChart>
        <c:barDir val="col"/>
        <c:grouping val="clustered"/>
        <c:varyColors val="0"/>
        <c:ser>
          <c:idx val="4"/>
          <c:order val="3"/>
          <c:tx>
            <c:strRef>
              <c:f>'G1-Státní rozpočet-příjmy'!$A$38</c:f>
              <c:strCache>
                <c:ptCount val="1"/>
                <c:pt idx="0">
                  <c:v>Saldo státního rozpočtu (SR, pravá osa)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numRef>
              <c:f>'G1-Státní rozpočet-příjmy'!$B$34:$Q$34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rozpočet-příjmy'!$B$38:$Q$38</c:f>
              <c:numCache>
                <c:formatCode>#\ ##0.0</c:formatCode>
                <c:ptCount val="16"/>
                <c:pt idx="0">
                  <c:v>3.76</c:v>
                </c:pt>
                <c:pt idx="1">
                  <c:v>7.64</c:v>
                </c:pt>
                <c:pt idx="2">
                  <c:v>1.2749999999999999</c:v>
                </c:pt>
                <c:pt idx="3">
                  <c:v>-5.6520000000000001</c:v>
                </c:pt>
                <c:pt idx="4">
                  <c:v>-68.259</c:v>
                </c:pt>
                <c:pt idx="5">
                  <c:v>-75.662000000000006</c:v>
                </c:pt>
                <c:pt idx="6">
                  <c:v>-62.856000000000002</c:v>
                </c:pt>
                <c:pt idx="7">
                  <c:v>-71.721999999999994</c:v>
                </c:pt>
                <c:pt idx="8">
                  <c:v>-31.52</c:v>
                </c:pt>
                <c:pt idx="9">
                  <c:v>1.45</c:v>
                </c:pt>
                <c:pt idx="10">
                  <c:v>22.65</c:v>
                </c:pt>
                <c:pt idx="11">
                  <c:v>40.65</c:v>
                </c:pt>
                <c:pt idx="12">
                  <c:v>4.62</c:v>
                </c:pt>
                <c:pt idx="13">
                  <c:v>-5.88</c:v>
                </c:pt>
                <c:pt idx="14">
                  <c:v>-20.68</c:v>
                </c:pt>
                <c:pt idx="15">
                  <c:v>-195.24722774568022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C-4D43-B771-5DA059643512}"/>
            </c:ext>
          </c:extLst>
        </c:ser>
        <c:ser>
          <c:idx val="2"/>
          <c:order val="4"/>
          <c:tx>
            <c:strRef>
              <c:f>'G1-Státní rozpočet-příjmy'!$A$39</c:f>
              <c:strCache>
                <c:ptCount val="1"/>
                <c:pt idx="0">
                  <c:v>Saldo SR očištěné o vliv EU a FM* (pr.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8575">
              <a:noFill/>
            </a:ln>
          </c:spPr>
          <c:invertIfNegative val="0"/>
          <c:cat>
            <c:numRef>
              <c:f>'G1-Státní rozpočet-příjmy'!$B$34:$Q$34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rozpočet-příjmy'!$B$39:$Q$39</c:f>
              <c:numCache>
                <c:formatCode>General</c:formatCode>
                <c:ptCount val="16"/>
                <c:pt idx="8" formatCode="#\ ##0.0">
                  <c:v>-69.3</c:v>
                </c:pt>
                <c:pt idx="9" formatCode="#\ ##0.0">
                  <c:v>-42.6</c:v>
                </c:pt>
                <c:pt idx="10" formatCode="#\ ##0.0">
                  <c:v>-47.7</c:v>
                </c:pt>
                <c:pt idx="11" formatCode="#\ ##0.0">
                  <c:v>-30.8</c:v>
                </c:pt>
                <c:pt idx="12" formatCode="#\ ##0.0">
                  <c:v>-13.2</c:v>
                </c:pt>
                <c:pt idx="13" formatCode="#\ ##0.0">
                  <c:v>-28.4</c:v>
                </c:pt>
                <c:pt idx="14" formatCode="#\ ##0.0">
                  <c:v>-22.810324545670142</c:v>
                </c:pt>
                <c:pt idx="15" formatCode="#\ ##0.0">
                  <c:v>-196.10355120125018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EC-4D43-B771-5DA059643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7259904"/>
        <c:axId val="337258656"/>
      </c:barChart>
      <c:lineChart>
        <c:grouping val="standard"/>
        <c:varyColors val="0"/>
        <c:ser>
          <c:idx val="0"/>
          <c:order val="0"/>
          <c:tx>
            <c:strRef>
              <c:f>'G1-Státní rozpočet-příjmy'!$A$35</c:f>
              <c:strCache>
                <c:ptCount val="1"/>
                <c:pt idx="0">
                  <c:v>DPH a spotřební daně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6"/>
            <c:spPr>
              <a:solidFill>
                <a:srgbClr val="00B050"/>
              </a:solidFill>
              <a:ln>
                <a:noFill/>
              </a:ln>
            </c:spPr>
          </c:marker>
          <c:cat>
            <c:numRef>
              <c:f>'G1-Státní rozpočet-příjmy'!$B$34:$Q$34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rozpočet-příjmy'!$B$35:$Q$35</c:f>
              <c:numCache>
                <c:formatCode>#\ ##0.0</c:formatCode>
                <c:ptCount val="16"/>
                <c:pt idx="0">
                  <c:v>26.071458881439384</c:v>
                </c:pt>
                <c:pt idx="1">
                  <c:v>14.762706159542233</c:v>
                </c:pt>
                <c:pt idx="2">
                  <c:v>1.7362740497419082</c:v>
                </c:pt>
                <c:pt idx="3">
                  <c:v>4.3646217712176991</c:v>
                </c:pt>
                <c:pt idx="4">
                  <c:v>-2.5247223910281065</c:v>
                </c:pt>
                <c:pt idx="5">
                  <c:v>9.1022443890274189</c:v>
                </c:pt>
                <c:pt idx="6">
                  <c:v>6.7532467532467564</c:v>
                </c:pt>
                <c:pt idx="7">
                  <c:v>-4.4720194647201907</c:v>
                </c:pt>
                <c:pt idx="8">
                  <c:v>8.0077428556874395</c:v>
                </c:pt>
                <c:pt idx="9">
                  <c:v>8.055463849455279</c:v>
                </c:pt>
                <c:pt idx="10">
                  <c:v>-4.5087512548557385</c:v>
                </c:pt>
                <c:pt idx="11">
                  <c:v>6.5682420696590071</c:v>
                </c:pt>
                <c:pt idx="12">
                  <c:v>9.761955822431915</c:v>
                </c:pt>
                <c:pt idx="13">
                  <c:v>6.0607244734476922</c:v>
                </c:pt>
                <c:pt idx="14">
                  <c:v>3.1611524574460077</c:v>
                </c:pt>
                <c:pt idx="15">
                  <c:v>-6.2418802907821487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CEC-4D43-B771-5DA059643512}"/>
            </c:ext>
          </c:extLst>
        </c:ser>
        <c:ser>
          <c:idx val="1"/>
          <c:order val="1"/>
          <c:tx>
            <c:strRef>
              <c:f>'G1-Státní rozpočet-příjmy'!$A$36</c:f>
              <c:strCache>
                <c:ptCount val="1"/>
                <c:pt idx="0">
                  <c:v>Daně z příjmů (DPFO) ze závislé činnosti</c:v>
                </c:pt>
              </c:strCache>
            </c:strRef>
          </c:tx>
          <c:spPr>
            <a:ln w="19050">
              <a:solidFill>
                <a:srgbClr val="BD1B25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EC-4D43-B771-5DA05964351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EC-4D43-B771-5DA05964351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EC-4D43-B771-5DA05964351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EC-4D43-B771-5DA059643512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EC-4D43-B771-5DA05964351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EC-4D43-B771-5DA059643512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EC-4D43-B771-5DA05964351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EC-4D43-B771-5DA05964351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CEC-4D43-B771-5DA05964351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CEC-4D43-B771-5DA05964351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CEC-4D43-B771-5DA05964351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EC-4D43-B771-5DA059643512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EC-4D43-B771-5DA059643512}"/>
                </c:ext>
              </c:extLst>
            </c:dLbl>
            <c:dLbl>
              <c:idx val="13"/>
              <c:layout>
                <c:manualLayout>
                  <c:x val="-1.0970476382178435E-2"/>
                  <c:y val="0.59767631453126346"/>
                </c:manualLayout>
              </c:layout>
              <c:tx>
                <c:rich>
                  <a:bodyPr/>
                  <a:lstStyle/>
                  <a:p>
                    <a:r>
                      <a:rPr lang="en-US" sz="7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–</a:t>
                    </a:r>
                    <a:r>
                      <a:rPr lang="en-US"/>
                      <a:t>195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CEC-4D43-B771-5DA059643512}"/>
                </c:ext>
              </c:extLst>
            </c:dLbl>
            <c:dLbl>
              <c:idx val="14"/>
              <c:layout>
                <c:manualLayout>
                  <c:x val="-4.6020563999186678E-2"/>
                  <c:y val="0.60372876821191301"/>
                </c:manualLayout>
              </c:layout>
              <c:tx>
                <c:rich>
                  <a:bodyPr/>
                  <a:lstStyle/>
                  <a:p>
                    <a:r>
                      <a:rPr lang="en-US" sz="700" b="0" i="0" u="none" strike="noStrike" kern="120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rPr>
                      <a:t>–</a:t>
                    </a:r>
                    <a:r>
                      <a:rPr lang="en-US"/>
                      <a:t>196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CEC-4D43-B771-5DA059643512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CEC-4D43-B771-5DA0596435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'G1-Státní rozpočet-příjmy'!$B$34:$Q$34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rozpočet-příjmy'!$B$36:$Q$36</c:f>
              <c:numCache>
                <c:formatCode>#\ ##0.0</c:formatCode>
                <c:ptCount val="16"/>
                <c:pt idx="0">
                  <c:v>7.2278911564625901</c:v>
                </c:pt>
                <c:pt idx="1">
                  <c:v>2.2997620935765468</c:v>
                </c:pt>
                <c:pt idx="2">
                  <c:v>12.20930232558139</c:v>
                </c:pt>
                <c:pt idx="3">
                  <c:v>-5.4749568221070746</c:v>
                </c:pt>
                <c:pt idx="4">
                  <c:v>-6.0661428832450213</c:v>
                </c:pt>
                <c:pt idx="5">
                  <c:v>-0.11670881151526658</c:v>
                </c:pt>
                <c:pt idx="6">
                  <c:v>6.6601752677702137</c:v>
                </c:pt>
                <c:pt idx="7">
                  <c:v>2.2092386342888375</c:v>
                </c:pt>
                <c:pt idx="8">
                  <c:v>5.4841014648088731</c:v>
                </c:pt>
                <c:pt idx="9">
                  <c:v>4.7417442845046622</c:v>
                </c:pt>
                <c:pt idx="10">
                  <c:v>1.0509296685529534</c:v>
                </c:pt>
                <c:pt idx="11">
                  <c:v>10.704000000000008</c:v>
                </c:pt>
                <c:pt idx="12">
                  <c:v>12.559618441971381</c:v>
                </c:pt>
                <c:pt idx="13">
                  <c:v>15.382639958911156</c:v>
                </c:pt>
                <c:pt idx="14">
                  <c:v>13.265079011796118</c:v>
                </c:pt>
                <c:pt idx="15">
                  <c:v>-15.472154279151113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FCEC-4D43-B771-5DA059643512}"/>
            </c:ext>
          </c:extLst>
        </c:ser>
        <c:ser>
          <c:idx val="3"/>
          <c:order val="2"/>
          <c:tx>
            <c:strRef>
              <c:f>'G1-Státní rozpočet-příjmy'!$A$37</c:f>
              <c:strCache>
                <c:ptCount val="1"/>
                <c:pt idx="0">
                  <c:v>Daně z příjmů právnických osob (DPPO)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'G1-Státní rozpočet-příjmy'!$B$34:$Q$34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'G1-Státní rozpočet-příjmy'!$B$37:$Q$37</c:f>
              <c:numCache>
                <c:formatCode>#\ ##0.0</c:formatCode>
                <c:ptCount val="16"/>
                <c:pt idx="0">
                  <c:v>26.596315507064944</c:v>
                </c:pt>
                <c:pt idx="1">
                  <c:v>5.9197513421870553</c:v>
                </c:pt>
                <c:pt idx="2">
                  <c:v>-1.3872215552887752</c:v>
                </c:pt>
                <c:pt idx="3">
                  <c:v>26.565670228594598</c:v>
                </c:pt>
                <c:pt idx="4">
                  <c:v>-22.293470129314954</c:v>
                </c:pt>
                <c:pt idx="5">
                  <c:v>10.16366387016916</c:v>
                </c:pt>
                <c:pt idx="6">
                  <c:v>-13.508114856429458</c:v>
                </c:pt>
                <c:pt idx="7">
                  <c:v>-1.8042725173210101</c:v>
                </c:pt>
                <c:pt idx="8">
                  <c:v>-2.6458915184477405</c:v>
                </c:pt>
                <c:pt idx="9">
                  <c:v>8.3949871659368966</c:v>
                </c:pt>
                <c:pt idx="10">
                  <c:v>8.3855690207549856</c:v>
                </c:pt>
                <c:pt idx="11">
                  <c:v>11.425266675234539</c:v>
                </c:pt>
                <c:pt idx="12">
                  <c:v>7.5778546712802779</c:v>
                </c:pt>
                <c:pt idx="13">
                  <c:v>-7.5050927415020396E-2</c:v>
                </c:pt>
                <c:pt idx="14">
                  <c:v>6.2982832618025668</c:v>
                </c:pt>
                <c:pt idx="15">
                  <c:v>-24.910920731765415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FCEC-4D43-B771-5DA059643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288576"/>
        <c:axId val="66855296"/>
      </c:lineChart>
      <c:catAx>
        <c:axId val="792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66855296"/>
        <c:crosses val="autoZero"/>
        <c:auto val="1"/>
        <c:lblAlgn val="ctr"/>
        <c:lblOffset val="0"/>
        <c:noMultiLvlLbl val="0"/>
      </c:catAx>
      <c:valAx>
        <c:axId val="66855296"/>
        <c:scaling>
          <c:orientation val="minMax"/>
          <c:max val="30"/>
          <c:min val="-4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Jednotlivé druhy příjmů (změna 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%</a:t>
                </a:r>
                <a:r>
                  <a:rPr lang="cs-CZ" sz="700" b="0" i="1" baseline="0">
                    <a:effectLst/>
                  </a:rPr>
                  <a:t>)</a:t>
                </a:r>
                <a:endParaRPr lang="cs-CZ" sz="700" b="0" i="1">
                  <a:effectLst/>
                </a:endParaRPr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9288576"/>
        <c:crosses val="autoZero"/>
        <c:crossBetween val="between"/>
        <c:majorUnit val="5"/>
      </c:valAx>
      <c:valAx>
        <c:axId val="337258656"/>
        <c:scaling>
          <c:orientation val="minMax"/>
          <c:max val="90"/>
          <c:min val="-12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0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Saldo státního rozpočtu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mld.</a:t>
                </a:r>
                <a:r>
                  <a:rPr lang="cs-CZ" sz="700" b="0" i="1" baseline="0">
                    <a:effectLst/>
                  </a:rPr>
                  <a:t> korun)</a:t>
                </a:r>
                <a:endParaRPr lang="cs-CZ" sz="700" i="1">
                  <a:effectLst/>
                </a:endParaRPr>
              </a:p>
            </c:rich>
          </c:tx>
          <c:layout>
            <c:manualLayout>
              <c:xMode val="edge"/>
              <c:yMode val="edge"/>
              <c:x val="0.97027241952391585"/>
              <c:y val="0.19370288341385586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spPr>
          <a:ln w="6350"/>
        </c:spPr>
        <c:crossAx val="337259904"/>
        <c:crosses val="max"/>
        <c:crossBetween val="between"/>
        <c:majorUnit val="15"/>
      </c:valAx>
      <c:catAx>
        <c:axId val="337259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7258656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4383830153176014E-2"/>
          <c:y val="0.8871124825006298"/>
          <c:w val="0.96954720742731881"/>
          <c:h val="9.8483288509762304E-2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261536239710156E-2"/>
          <c:y val="1.7112323287741892E-2"/>
          <c:w val="0.84586291999023488"/>
          <c:h val="0.77882954656549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'G2-Stání rozpočet-výdaje'!$B$31</c:f>
              <c:strCache>
                <c:ptCount val="1"/>
                <c:pt idx="0">
                  <c:v>Běžné výdaje (pravá osa)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rozpočet-výdaje'!$B$32:$B$47</c:f>
              <c:numCache>
                <c:formatCode>0.0</c:formatCode>
                <c:ptCount val="16"/>
                <c:pt idx="0">
                  <c:v>402.04</c:v>
                </c:pt>
                <c:pt idx="1">
                  <c:v>437.53300000000002</c:v>
                </c:pt>
                <c:pt idx="2">
                  <c:v>455.274</c:v>
                </c:pt>
                <c:pt idx="3">
                  <c:v>488.71899999999999</c:v>
                </c:pt>
                <c:pt idx="4">
                  <c:v>523.79999999999995</c:v>
                </c:pt>
                <c:pt idx="5">
                  <c:v>527.73400000000004</c:v>
                </c:pt>
                <c:pt idx="6">
                  <c:v>523.22</c:v>
                </c:pt>
                <c:pt idx="7">
                  <c:v>534.42999999999995</c:v>
                </c:pt>
                <c:pt idx="8">
                  <c:v>544.65</c:v>
                </c:pt>
                <c:pt idx="9">
                  <c:v>552.71100000000001</c:v>
                </c:pt>
                <c:pt idx="10">
                  <c:v>564.13</c:v>
                </c:pt>
                <c:pt idx="11">
                  <c:v>575.57000000000005</c:v>
                </c:pt>
                <c:pt idx="12">
                  <c:v>609.53</c:v>
                </c:pt>
                <c:pt idx="13">
                  <c:v>660.76</c:v>
                </c:pt>
                <c:pt idx="14">
                  <c:v>718.74153402592015</c:v>
                </c:pt>
                <c:pt idx="15">
                  <c:v>830.41205201672994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9-44D1-B3BF-9B9528AD1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72836608"/>
        <c:axId val="72835072"/>
      </c:barChart>
      <c:lineChart>
        <c:grouping val="standard"/>
        <c:varyColors val="0"/>
        <c:ser>
          <c:idx val="1"/>
          <c:order val="1"/>
          <c:tx>
            <c:strRef>
              <c:f>'G2-Stání rozpočet-výdaje'!$C$31</c:f>
              <c:strCache>
                <c:ptCount val="1"/>
                <c:pt idx="0">
                  <c:v>Platy státních zaměstnanců*</c:v>
                </c:pt>
              </c:strCache>
            </c:strRef>
          </c:tx>
          <c:spPr>
            <a:ln w="15875">
              <a:solidFill>
                <a:srgbClr val="984807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rozpočet-výdaje'!$C$32:$C$47</c:f>
              <c:numCache>
                <c:formatCode>0.0</c:formatCode>
                <c:ptCount val="16"/>
                <c:pt idx="0">
                  <c:v>34.159999999999997</c:v>
                </c:pt>
                <c:pt idx="1">
                  <c:v>35.65</c:v>
                </c:pt>
                <c:pt idx="2">
                  <c:v>37.92</c:v>
                </c:pt>
                <c:pt idx="3">
                  <c:v>37.729999999999997</c:v>
                </c:pt>
                <c:pt idx="4">
                  <c:v>38.979999999999997</c:v>
                </c:pt>
                <c:pt idx="5">
                  <c:v>39.36</c:v>
                </c:pt>
                <c:pt idx="6">
                  <c:v>35.700000000000003</c:v>
                </c:pt>
                <c:pt idx="7">
                  <c:v>36.299999999999997</c:v>
                </c:pt>
                <c:pt idx="8">
                  <c:v>36.880000000000003</c:v>
                </c:pt>
                <c:pt idx="9">
                  <c:v>38.090000000000003</c:v>
                </c:pt>
                <c:pt idx="10">
                  <c:v>41.88</c:v>
                </c:pt>
                <c:pt idx="11">
                  <c:v>43.22</c:v>
                </c:pt>
                <c:pt idx="12">
                  <c:v>46.52</c:v>
                </c:pt>
                <c:pt idx="13">
                  <c:v>53.13</c:v>
                </c:pt>
                <c:pt idx="14">
                  <c:v>57.572759809109989</c:v>
                </c:pt>
                <c:pt idx="15">
                  <c:v>59.911420432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49-44D1-B3BF-9B9528AD1D89}"/>
            </c:ext>
          </c:extLst>
        </c:ser>
        <c:ser>
          <c:idx val="6"/>
          <c:order val="2"/>
          <c:tx>
            <c:strRef>
              <c:f>'G2-Stání rozpočet-výdaje'!$D$31</c:f>
              <c:strCache>
                <c:ptCount val="1"/>
                <c:pt idx="0">
                  <c:v>Podpora v nezaměstnanosti</c:v>
                </c:pt>
              </c:strCache>
            </c:strRef>
          </c:tx>
          <c:spPr>
            <a:ln w="15875">
              <a:solidFill>
                <a:srgbClr val="48AEE7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rozpočet-výdaje'!$D$32:$D$47</c:f>
              <c:numCache>
                <c:formatCode>0.0</c:formatCode>
                <c:ptCount val="16"/>
                <c:pt idx="0">
                  <c:v>3.69</c:v>
                </c:pt>
                <c:pt idx="1">
                  <c:v>3.8959999999999999</c:v>
                </c:pt>
                <c:pt idx="2">
                  <c:v>3.78</c:v>
                </c:pt>
                <c:pt idx="3">
                  <c:v>3.56</c:v>
                </c:pt>
                <c:pt idx="4">
                  <c:v>7.3049999999999997</c:v>
                </c:pt>
                <c:pt idx="5">
                  <c:v>7.77</c:v>
                </c:pt>
                <c:pt idx="6">
                  <c:v>6.2279999999999998</c:v>
                </c:pt>
                <c:pt idx="7">
                  <c:v>4.8410000000000002</c:v>
                </c:pt>
                <c:pt idx="8">
                  <c:v>5.3579999999999997</c:v>
                </c:pt>
                <c:pt idx="9">
                  <c:v>5.2690000000000001</c:v>
                </c:pt>
                <c:pt idx="10">
                  <c:v>4.6150000000000002</c:v>
                </c:pt>
                <c:pt idx="11">
                  <c:v>4.4829999999999997</c:v>
                </c:pt>
                <c:pt idx="12">
                  <c:v>4.3310000000000004</c:v>
                </c:pt>
                <c:pt idx="13">
                  <c:v>3.98</c:v>
                </c:pt>
                <c:pt idx="14">
                  <c:v>4.2361097359899995</c:v>
                </c:pt>
                <c:pt idx="15">
                  <c:v>5.1431777073900005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49-44D1-B3BF-9B9528AD1D89}"/>
            </c:ext>
          </c:extLst>
        </c:ser>
        <c:ser>
          <c:idx val="7"/>
          <c:order val="3"/>
          <c:tx>
            <c:strRef>
              <c:f>'G2-Stání rozpočet-výdaje'!$E$31</c:f>
              <c:strCache>
                <c:ptCount val="1"/>
                <c:pt idx="0">
                  <c:v>Státní sociální podpora**</c:v>
                </c:pt>
              </c:strCache>
            </c:strRef>
          </c:tx>
          <c:spPr>
            <a:ln w="15875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rozpočet-výdaje'!$E$32:$E$47</c:f>
              <c:numCache>
                <c:formatCode>0.0</c:formatCode>
                <c:ptCount val="16"/>
                <c:pt idx="0">
                  <c:v>16.649999999999999</c:v>
                </c:pt>
                <c:pt idx="1">
                  <c:v>17.04</c:v>
                </c:pt>
                <c:pt idx="2">
                  <c:v>23.83</c:v>
                </c:pt>
                <c:pt idx="3">
                  <c:v>21.52</c:v>
                </c:pt>
                <c:pt idx="4">
                  <c:v>20.594999999999999</c:v>
                </c:pt>
                <c:pt idx="5">
                  <c:v>20.64</c:v>
                </c:pt>
                <c:pt idx="6">
                  <c:v>18.405999999999999</c:v>
                </c:pt>
                <c:pt idx="7">
                  <c:v>17.881</c:v>
                </c:pt>
                <c:pt idx="8">
                  <c:v>18.681999999999999</c:v>
                </c:pt>
                <c:pt idx="9">
                  <c:v>18.91</c:v>
                </c:pt>
                <c:pt idx="10">
                  <c:v>18.873999999999999</c:v>
                </c:pt>
                <c:pt idx="11">
                  <c:v>18.963999999999999</c:v>
                </c:pt>
                <c:pt idx="12">
                  <c:v>18.742000000000001</c:v>
                </c:pt>
                <c:pt idx="13">
                  <c:v>19.53</c:v>
                </c:pt>
                <c:pt idx="14">
                  <c:v>19.01942501061</c:v>
                </c:pt>
                <c:pt idx="15">
                  <c:v>25.66026027677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649-44D1-B3BF-9B9528AD1D89}"/>
            </c:ext>
          </c:extLst>
        </c:ser>
        <c:ser>
          <c:idx val="2"/>
          <c:order val="4"/>
          <c:tx>
            <c:strRef>
              <c:f>'G2-Stání rozpočet-výdaje'!$F$31</c:f>
              <c:strCache>
                <c:ptCount val="1"/>
                <c:pt idx="0">
                  <c:v>Dávky nemocenského pojištění</c:v>
                </c:pt>
              </c:strCache>
            </c:strRef>
          </c:tx>
          <c:spPr>
            <a:ln w="1587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rozpočet-výdaje'!$F$32:$F$47</c:f>
              <c:numCache>
                <c:formatCode>0.00</c:formatCode>
                <c:ptCount val="16"/>
                <c:pt idx="0">
                  <c:v>17.497</c:v>
                </c:pt>
                <c:pt idx="1">
                  <c:v>17.936</c:v>
                </c:pt>
                <c:pt idx="2">
                  <c:v>18.398</c:v>
                </c:pt>
                <c:pt idx="3">
                  <c:v>16.734000000000002</c:v>
                </c:pt>
                <c:pt idx="4">
                  <c:v>14.089</c:v>
                </c:pt>
                <c:pt idx="5">
                  <c:v>11.56</c:v>
                </c:pt>
                <c:pt idx="6">
                  <c:v>11.773</c:v>
                </c:pt>
                <c:pt idx="7">
                  <c:v>10.244</c:v>
                </c:pt>
                <c:pt idx="8">
                  <c:v>10.609</c:v>
                </c:pt>
                <c:pt idx="9">
                  <c:v>11.201000000000001</c:v>
                </c:pt>
                <c:pt idx="10">
                  <c:v>12.429</c:v>
                </c:pt>
                <c:pt idx="11">
                  <c:v>13.566000000000001</c:v>
                </c:pt>
                <c:pt idx="12">
                  <c:v>14.757999999999999</c:v>
                </c:pt>
                <c:pt idx="13">
                  <c:v>17.3</c:v>
                </c:pt>
                <c:pt idx="14">
                  <c:v>19.93</c:v>
                </c:pt>
                <c:pt idx="15">
                  <c:v>30.15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49-44D1-B3BF-9B9528AD1D89}"/>
            </c:ext>
          </c:extLst>
        </c:ser>
        <c:ser>
          <c:idx val="3"/>
          <c:order val="5"/>
          <c:tx>
            <c:strRef>
              <c:f>'G2-Stání rozpočet-výdaje'!$G$31</c:f>
              <c:strCache>
                <c:ptCount val="1"/>
                <c:pt idx="0">
                  <c:v>Dávky sociální péče***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rozpočet-výdaje'!$G$32:$G$47</c:f>
              <c:numCache>
                <c:formatCode>General</c:formatCode>
                <c:ptCount val="16"/>
                <c:pt idx="2" formatCode="0.00">
                  <c:v>11.690999999999999</c:v>
                </c:pt>
                <c:pt idx="3" formatCode="0.00">
                  <c:v>13.247</c:v>
                </c:pt>
                <c:pt idx="4" formatCode="0.00">
                  <c:v>13.003</c:v>
                </c:pt>
                <c:pt idx="5" formatCode="0.00">
                  <c:v>13.486000000000001</c:v>
                </c:pt>
                <c:pt idx="6" formatCode="0.00">
                  <c:v>12.911000000000001</c:v>
                </c:pt>
                <c:pt idx="7" formatCode="0.00">
                  <c:v>13.282</c:v>
                </c:pt>
                <c:pt idx="8" formatCode="0.00">
                  <c:v>15.668000000000001</c:v>
                </c:pt>
                <c:pt idx="9" formatCode="0.00">
                  <c:v>16.734999999999999</c:v>
                </c:pt>
                <c:pt idx="10" formatCode="0.00">
                  <c:v>16.93</c:v>
                </c:pt>
                <c:pt idx="11" formatCode="0.00">
                  <c:v>16.78</c:v>
                </c:pt>
                <c:pt idx="12" formatCode="0.00">
                  <c:v>17.489999999999998</c:v>
                </c:pt>
                <c:pt idx="13" formatCode="0.00">
                  <c:v>17.100000000000001</c:v>
                </c:pt>
                <c:pt idx="14" formatCode="0.00">
                  <c:v>17.32</c:v>
                </c:pt>
                <c:pt idx="15" formatCode="0.00">
                  <c:v>20.09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649-44D1-B3BF-9B9528AD1D89}"/>
            </c:ext>
          </c:extLst>
        </c:ser>
        <c:ser>
          <c:idx val="4"/>
          <c:order val="6"/>
          <c:tx>
            <c:strRef>
              <c:f>'G2-Stání rozpočet-výdaje'!$H$31</c:f>
              <c:strCache>
                <c:ptCount val="1"/>
                <c:pt idx="0">
                  <c:v>Neinv. nákupy a souvis. výdaje****</c:v>
                </c:pt>
              </c:strCache>
            </c:strRef>
          </c:tx>
          <c:spPr>
            <a:ln w="15875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rozpočet-výdaje'!$H$32:$H$47</c:f>
              <c:numCache>
                <c:formatCode>0.0</c:formatCode>
                <c:ptCount val="16"/>
                <c:pt idx="0">
                  <c:v>29.280999999999999</c:v>
                </c:pt>
                <c:pt idx="1">
                  <c:v>31.251000000000005</c:v>
                </c:pt>
                <c:pt idx="2">
                  <c:v>33.647000000000006</c:v>
                </c:pt>
                <c:pt idx="3">
                  <c:v>31.934000000000005</c:v>
                </c:pt>
                <c:pt idx="4">
                  <c:v>32.001999999999995</c:v>
                </c:pt>
                <c:pt idx="5">
                  <c:v>31.84</c:v>
                </c:pt>
                <c:pt idx="6">
                  <c:v>29.076999999999998</c:v>
                </c:pt>
                <c:pt idx="7">
                  <c:v>26.950000000000003</c:v>
                </c:pt>
                <c:pt idx="8">
                  <c:v>23.5</c:v>
                </c:pt>
                <c:pt idx="9">
                  <c:v>22.14</c:v>
                </c:pt>
                <c:pt idx="10">
                  <c:v>25.509999999999998</c:v>
                </c:pt>
                <c:pt idx="11">
                  <c:v>25.499999999999996</c:v>
                </c:pt>
                <c:pt idx="12">
                  <c:v>29.889999999999997</c:v>
                </c:pt>
                <c:pt idx="13">
                  <c:v>30.75</c:v>
                </c:pt>
                <c:pt idx="14">
                  <c:v>27.947201055630007</c:v>
                </c:pt>
                <c:pt idx="15">
                  <c:v>35.609426507660004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649-44D1-B3BF-9B9528AD1D89}"/>
            </c:ext>
          </c:extLst>
        </c:ser>
        <c:ser>
          <c:idx val="5"/>
          <c:order val="7"/>
          <c:tx>
            <c:strRef>
              <c:f>'G2-Stání rozpočet-výdaje'!$I$31</c:f>
              <c:strCache>
                <c:ptCount val="1"/>
                <c:pt idx="0">
                  <c:v>Státní dluh (čisté výdaje)*****</c:v>
                </c:pt>
              </c:strCache>
            </c:strRef>
          </c:tx>
          <c:spPr>
            <a:ln w="15875">
              <a:solidFill>
                <a:srgbClr val="BD1B25"/>
              </a:solidFill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rozpočet-výdaje'!$I$32:$I$47</c:f>
              <c:numCache>
                <c:formatCode>0.0</c:formatCode>
                <c:ptCount val="16"/>
                <c:pt idx="0">
                  <c:v>14.81</c:v>
                </c:pt>
                <c:pt idx="1">
                  <c:v>17.16</c:v>
                </c:pt>
                <c:pt idx="2">
                  <c:v>17.05</c:v>
                </c:pt>
                <c:pt idx="3">
                  <c:v>16.5</c:v>
                </c:pt>
                <c:pt idx="4">
                  <c:v>25.770000000000003</c:v>
                </c:pt>
                <c:pt idx="5">
                  <c:v>21.27</c:v>
                </c:pt>
                <c:pt idx="6">
                  <c:v>25.81</c:v>
                </c:pt>
                <c:pt idx="7">
                  <c:v>26.419999999999998</c:v>
                </c:pt>
                <c:pt idx="8">
                  <c:v>30.400000000000002</c:v>
                </c:pt>
                <c:pt idx="9">
                  <c:v>26.86</c:v>
                </c:pt>
                <c:pt idx="10">
                  <c:v>23.55</c:v>
                </c:pt>
                <c:pt idx="11">
                  <c:v>23.76</c:v>
                </c:pt>
                <c:pt idx="12">
                  <c:v>18.739999999999998</c:v>
                </c:pt>
                <c:pt idx="13">
                  <c:v>20.11</c:v>
                </c:pt>
                <c:pt idx="14">
                  <c:v>16.91954772339</c:v>
                </c:pt>
                <c:pt idx="15">
                  <c:v>12.518656263610001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649-44D1-B3BF-9B9528AD1D89}"/>
            </c:ext>
          </c:extLst>
        </c:ser>
        <c:ser>
          <c:idx val="8"/>
          <c:order val="8"/>
          <c:tx>
            <c:strRef>
              <c:f>'G2-Stání rozpočet-výdaje'!$J$31</c:f>
              <c:strCache>
                <c:ptCount val="1"/>
                <c:pt idx="0">
                  <c:v>Kapitálové výdaje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'G2-Stání rozpočet-výdaje'!$A$32:$A$47</c:f>
              <c:numCache>
                <c:formatCode>General</c:formatCod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</c:numCache>
            </c:numRef>
          </c:cat>
          <c:val>
            <c:numRef>
              <c:f>'G2-Stání rozpočet-výdaje'!$J$32:$J$47</c:f>
              <c:numCache>
                <c:formatCode>0.0</c:formatCode>
                <c:ptCount val="16"/>
                <c:pt idx="0">
                  <c:v>20.45</c:v>
                </c:pt>
                <c:pt idx="1">
                  <c:v>23.643000000000001</c:v>
                </c:pt>
                <c:pt idx="2">
                  <c:v>26.771000000000001</c:v>
                </c:pt>
                <c:pt idx="3">
                  <c:v>53.505000000000003</c:v>
                </c:pt>
                <c:pt idx="4">
                  <c:v>51.149000000000001</c:v>
                </c:pt>
                <c:pt idx="5">
                  <c:v>55.872999999999998</c:v>
                </c:pt>
                <c:pt idx="6">
                  <c:v>47.277000000000001</c:v>
                </c:pt>
                <c:pt idx="7">
                  <c:v>41.93</c:v>
                </c:pt>
                <c:pt idx="8">
                  <c:v>36.779000000000003</c:v>
                </c:pt>
                <c:pt idx="9">
                  <c:v>34.893999999999998</c:v>
                </c:pt>
                <c:pt idx="10">
                  <c:v>54.02</c:v>
                </c:pt>
                <c:pt idx="11">
                  <c:v>39.090000000000003</c:v>
                </c:pt>
                <c:pt idx="12">
                  <c:v>20.309999999999999</c:v>
                </c:pt>
                <c:pt idx="13">
                  <c:v>33.25</c:v>
                </c:pt>
                <c:pt idx="14">
                  <c:v>45.820505926130004</c:v>
                </c:pt>
                <c:pt idx="15">
                  <c:v>64.502125553789995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649-44D1-B3BF-9B9528AD1D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827648"/>
        <c:axId val="72829184"/>
      </c:lineChart>
      <c:catAx>
        <c:axId val="7282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350">
            <a:solidFill>
              <a:schemeClr val="bg1">
                <a:lumMod val="50000"/>
              </a:schemeClr>
            </a:solidFill>
          </a:ln>
        </c:spPr>
        <c:crossAx val="72829184"/>
        <c:crosses val="autoZero"/>
        <c:auto val="1"/>
        <c:lblAlgn val="ctr"/>
        <c:lblOffset val="20"/>
        <c:noMultiLvlLbl val="0"/>
      </c:catAx>
      <c:valAx>
        <c:axId val="72829184"/>
        <c:scaling>
          <c:orientation val="minMax"/>
          <c:max val="85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Ostatní výdaje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mld.</a:t>
                </a:r>
                <a:r>
                  <a:rPr lang="cs-CZ" sz="700" b="0" i="1" baseline="0">
                    <a:effectLst/>
                  </a:rPr>
                  <a:t> korun)</a:t>
                </a:r>
                <a:endParaRPr lang="cs-CZ" sz="7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0.22613499913827934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27648"/>
        <c:crosses val="autoZero"/>
        <c:crossBetween val="between"/>
        <c:majorUnit val="5"/>
      </c:valAx>
      <c:valAx>
        <c:axId val="72835072"/>
        <c:scaling>
          <c:orientation val="minMax"/>
          <c:max val="850"/>
          <c:min val="0"/>
        </c:scaling>
        <c:delete val="0"/>
        <c:axPos val="r"/>
        <c:title>
          <c:tx>
            <c:rich>
              <a:bodyPr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700" b="1" i="1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700" b="0" i="1" baseline="0">
                    <a:effectLst/>
                  </a:rPr>
                  <a:t>Běžné výdaje celkem (v</a:t>
                </a:r>
                <a:r>
                  <a:rPr lang="cs-CZ" sz="700" b="0" i="1" u="none" strike="noStrike" kern="120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rPr>
                  <a:t> mld.</a:t>
                </a:r>
                <a:r>
                  <a:rPr lang="cs-CZ" sz="700" b="0" i="1" baseline="0">
                    <a:effectLst/>
                  </a:rPr>
                  <a:t> korun)</a:t>
                </a:r>
                <a:endParaRPr lang="cs-CZ" sz="700" i="1">
                  <a:effectLst/>
                </a:endParaRPr>
              </a:p>
            </c:rich>
          </c:tx>
          <c:layout>
            <c:manualLayout>
              <c:xMode val="edge"/>
              <c:yMode val="edge"/>
              <c:x val="0.97053250319037876"/>
              <c:y val="0.18723657086670256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crossAx val="72836608"/>
        <c:crosses val="max"/>
        <c:crossBetween val="between"/>
        <c:majorUnit val="50"/>
      </c:valAx>
      <c:catAx>
        <c:axId val="72836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72835072"/>
        <c:crosses val="autoZero"/>
        <c:auto val="1"/>
        <c:lblAlgn val="ctr"/>
        <c:lblOffset val="100"/>
        <c:noMultiLvlLbl val="0"/>
      </c:catAx>
      <c:spPr>
        <a:ln w="6350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9021370130255139E-2"/>
          <c:y val="0.85592730503448311"/>
          <c:w val="0.8462641314360303"/>
          <c:h val="0.14048888667824966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0.85197</cdr:x>
      <cdr:y>0.72521</cdr:y>
    </cdr:from>
    <cdr:to>
      <cdr:x>0.91777</cdr:x>
      <cdr:y>0.7558</cdr:y>
    </cdr:to>
    <cdr:sp macro="" textlink="">
      <cdr:nvSpPr>
        <cdr:cNvPr id="2" name="Kosoúhelník 1"/>
        <cdr:cNvSpPr/>
      </cdr:nvSpPr>
      <cdr:spPr bwMode="auto">
        <a:xfrm xmlns:a="http://schemas.openxmlformats.org/drawingml/2006/main" rot="19738280">
          <a:off x="4054516" y="2552443"/>
          <a:ext cx="313154" cy="107681"/>
        </a:xfrm>
        <a:prstGeom xmlns:a="http://schemas.openxmlformats.org/drawingml/2006/main" prst="parallelogram">
          <a:avLst/>
        </a:prstGeom>
        <a:solidFill xmlns:a="http://schemas.openxmlformats.org/drawingml/2006/main">
          <a:srgbClr val="FFFFFF"/>
        </a:solidFill>
        <a:ln xmlns:a="http://schemas.openxmlformats.org/drawingml/2006/main" w="9525" cap="flat" cmpd="sng" algn="ctr">
          <a:noFill/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0.8389</cdr:x>
      <cdr:y>0.78202</cdr:y>
    </cdr:from>
    <cdr:to>
      <cdr:x>0.87666</cdr:x>
      <cdr:y>0.78357</cdr:y>
    </cdr:to>
    <cdr:cxnSp macro="">
      <cdr:nvCxnSpPr>
        <cdr:cNvPr id="4" name="Přímá spojnice se šipkou 3"/>
        <cdr:cNvCxnSpPr/>
      </cdr:nvCxnSpPr>
      <cdr:spPr bwMode="auto">
        <a:xfrm xmlns:a="http://schemas.openxmlformats.org/drawingml/2006/main" flipV="1">
          <a:off x="3989614" y="2753375"/>
          <a:ext cx="179614" cy="5443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6350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triangle" w="sm" len="med"/>
        </a:ln>
        <a:effectLst xmlns:a="http://schemas.openxmlformats.org/drawingml/2006/main"/>
      </cdr:spPr>
    </cdr:cxnSp>
  </cdr:relSizeAnchor>
  <cdr:relSizeAnchor xmlns:cdr="http://schemas.openxmlformats.org/drawingml/2006/chartDrawing">
    <cdr:from>
      <cdr:x>0.85848</cdr:x>
      <cdr:y>0.81312</cdr:y>
    </cdr:from>
    <cdr:to>
      <cdr:x>0.9007</cdr:x>
      <cdr:y>0.81758</cdr:y>
    </cdr:to>
    <cdr:cxnSp macro="">
      <cdr:nvCxnSpPr>
        <cdr:cNvPr id="5" name="Přímá spojnice se šipkou 4"/>
        <cdr:cNvCxnSpPr/>
      </cdr:nvCxnSpPr>
      <cdr:spPr bwMode="auto">
        <a:xfrm xmlns:a="http://schemas.openxmlformats.org/drawingml/2006/main">
          <a:off x="4081564" y="2860495"/>
          <a:ext cx="200713" cy="15699"/>
        </a:xfrm>
        <a:prstGeom xmlns:a="http://schemas.openxmlformats.org/drawingml/2006/main" prst="straightConnector1">
          <a:avLst/>
        </a:prstGeom>
        <a:solidFill xmlns:a="http://schemas.openxmlformats.org/drawingml/2006/main">
          <a:srgbClr val="FFFFFF"/>
        </a:solidFill>
        <a:ln xmlns:a="http://schemas.openxmlformats.org/drawingml/2006/main" w="6350" cap="flat" cmpd="sng" algn="ctr">
          <a:solidFill>
            <a:schemeClr val="bg1">
              <a:lumMod val="50000"/>
            </a:schemeClr>
          </a:solidFill>
          <a:prstDash val="solid"/>
          <a:round/>
          <a:headEnd type="none" w="med" len="med"/>
          <a:tailEnd type="triangle" w="sm" len="med"/>
        </a:ln>
        <a:effectLst xmlns:a="http://schemas.openxmlformats.org/drawingml/2006/main"/>
      </cdr:spPr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7A0B-7D6C-4EB1-A65D-77EFC6D26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0B0BAA-B60C-424D-A420-36321281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1</Pages>
  <Words>2080</Words>
  <Characters>12275</Characters>
  <Application>Microsoft Office Word</Application>
  <DocSecurity>0</DocSecurity>
  <Lines>102</Lines>
  <Paragraphs>28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14327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Mgr. Karolína Zábojníková</cp:lastModifiedBy>
  <cp:revision>5</cp:revision>
  <cp:lastPrinted>2019-04-08T10:52:00Z</cp:lastPrinted>
  <dcterms:created xsi:type="dcterms:W3CDTF">2020-09-11T08:14:00Z</dcterms:created>
  <dcterms:modified xsi:type="dcterms:W3CDTF">2020-09-11T08:51:00Z</dcterms:modified>
</cp:coreProperties>
</file>