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7B62" w14:textId="2B9BBE06" w:rsidR="00867569" w:rsidRDefault="007F6239" w:rsidP="00E42E00">
      <w:pPr>
        <w:pStyle w:val="Datum"/>
      </w:pPr>
      <w:r>
        <w:t>2</w:t>
      </w:r>
      <w:r w:rsidR="00C0711F">
        <w:t>8</w:t>
      </w:r>
      <w:r w:rsidR="00F03815">
        <w:t>. </w:t>
      </w:r>
      <w:r w:rsidR="00C0711F">
        <w:t>ledna</w:t>
      </w:r>
      <w:r>
        <w:t xml:space="preserve"> 202</w:t>
      </w:r>
      <w:r w:rsidR="00C0711F">
        <w:t>1</w:t>
      </w:r>
    </w:p>
    <w:p w14:paraId="0B263346" w14:textId="289E899B" w:rsidR="00867569" w:rsidRPr="00A56C80" w:rsidRDefault="000B7652" w:rsidP="00A56C80">
      <w:pPr>
        <w:pStyle w:val="Nzev"/>
      </w:pPr>
      <w:r>
        <w:t>Analýza sektorových účtů</w:t>
      </w:r>
      <w:r w:rsidR="00FF04D9">
        <w:t> </w:t>
      </w:r>
      <w:r w:rsidR="00FB7E0F">
        <w:t>–</w:t>
      </w:r>
      <w:r w:rsidR="00FF04D9">
        <w:t xml:space="preserve"> </w:t>
      </w:r>
      <w:r w:rsidR="00066E38">
        <w:t>3</w:t>
      </w:r>
      <w:r>
        <w:t>.</w:t>
      </w:r>
      <w:r w:rsidR="00F03815">
        <w:t> čtvrtlet</w:t>
      </w:r>
      <w:r>
        <w:t>í 2020</w:t>
      </w:r>
    </w:p>
    <w:p w14:paraId="76CE2286" w14:textId="63E45318" w:rsidR="00E843B7" w:rsidRPr="00E843B7" w:rsidRDefault="00E843B7" w:rsidP="000302A6">
      <w:pPr>
        <w:pStyle w:val="Perex"/>
        <w:spacing w:after="120"/>
      </w:pPr>
      <w:r w:rsidRPr="00E843B7">
        <w:t xml:space="preserve">Uvolnění opatření proti šíření </w:t>
      </w:r>
      <w:proofErr w:type="spellStart"/>
      <w:r w:rsidRPr="00E843B7">
        <w:t>koronaviru</w:t>
      </w:r>
      <w:proofErr w:type="spellEnd"/>
      <w:r w:rsidRPr="00E843B7">
        <w:t xml:space="preserve"> ve 3.</w:t>
      </w:r>
      <w:r w:rsidR="003B3260">
        <w:t> čtvrtlet</w:t>
      </w:r>
      <w:r w:rsidRPr="00E843B7">
        <w:t xml:space="preserve">í přineslo částečný návrat k běžnému ekonomickému provozu. </w:t>
      </w:r>
      <w:r w:rsidR="00B15E58">
        <w:t xml:space="preserve">Trvající nejistota </w:t>
      </w:r>
      <w:r w:rsidR="00624989">
        <w:t>a </w:t>
      </w:r>
      <w:r w:rsidR="00B15E58">
        <w:t>pokles příjmů se projevovaly zejména na investiční akti</w:t>
      </w:r>
      <w:bookmarkStart w:id="0" w:name="_GoBack"/>
      <w:bookmarkEnd w:id="0"/>
      <w:r w:rsidR="00B15E58">
        <w:t xml:space="preserve">vitě nefinančních podniků </w:t>
      </w:r>
      <w:r w:rsidR="00624989">
        <w:t>a </w:t>
      </w:r>
      <w:r w:rsidR="00B15E58">
        <w:t xml:space="preserve">domácností, která se snižovala </w:t>
      </w:r>
      <w:r w:rsidR="00624989">
        <w:t>i </w:t>
      </w:r>
      <w:r w:rsidR="00B15E58">
        <w:t>ve srovnání s krizovým 2.</w:t>
      </w:r>
      <w:r w:rsidR="003B3260">
        <w:t> čtvrtlet</w:t>
      </w:r>
      <w:r w:rsidR="00B15E58">
        <w:t xml:space="preserve">ím. Výrazně deficitní bylo </w:t>
      </w:r>
      <w:r w:rsidR="00624989">
        <w:t>i </w:t>
      </w:r>
      <w:r w:rsidR="00B15E58">
        <w:t>nadále hospodaření sektoru vládních institucí.</w:t>
      </w:r>
    </w:p>
    <w:p w14:paraId="284FBAAC" w14:textId="07C99020" w:rsidR="00066E38" w:rsidRDefault="008F35E4" w:rsidP="000302A6">
      <w:pPr>
        <w:pStyle w:val="Nadpis1"/>
        <w:spacing w:after="120"/>
      </w:pPr>
      <w:r w:rsidRPr="00066E38">
        <w:t>Nefinanční podniky</w:t>
      </w:r>
    </w:p>
    <w:p w14:paraId="5AAABD6B" w14:textId="3B798A3F" w:rsidR="00066E38" w:rsidRDefault="006133FC" w:rsidP="000302A6">
      <w:pPr>
        <w:spacing w:after="120"/>
      </w:pPr>
      <w:r>
        <w:t>Ve 3.</w:t>
      </w:r>
      <w:r w:rsidR="003B3260">
        <w:t> čtvrtlet</w:t>
      </w:r>
      <w:r>
        <w:t xml:space="preserve">í 2020 došlo k uvolnění opatření proti šíření </w:t>
      </w:r>
      <w:proofErr w:type="spellStart"/>
      <w:r>
        <w:t>koronaviru</w:t>
      </w:r>
      <w:proofErr w:type="spellEnd"/>
      <w:r>
        <w:t>, čímž se podařilo obnovit také většinu ekonomického provozu ochromeného v průběhu 2.</w:t>
      </w:r>
      <w:r w:rsidR="003B3260">
        <w:t> kvartál</w:t>
      </w:r>
      <w:r>
        <w:t xml:space="preserve">u. Velká část nefinančních podniků </w:t>
      </w:r>
      <w:r w:rsidR="008C45BF">
        <w:t xml:space="preserve">(NP) </w:t>
      </w:r>
      <w:r>
        <w:t xml:space="preserve">se snažila </w:t>
      </w:r>
      <w:r w:rsidR="008157C0">
        <w:t>redukovat</w:t>
      </w:r>
      <w:r>
        <w:t xml:space="preserve"> ztráty vzniklé během jara. V některých odvětvích, zejména těch navázaných na cestovní ruch (především zahraniční), ale krize pokračovala.</w:t>
      </w:r>
      <w:r w:rsidR="008C45BF">
        <w:t xml:space="preserve"> Hrubá přidaná hodnota (HPH) NP byla v porovnání se třetím čtvrtletím 2019 nižší </w:t>
      </w:r>
      <w:r w:rsidR="00624989">
        <w:t>o </w:t>
      </w:r>
      <w:r w:rsidR="008C45BF">
        <w:t>124,5</w:t>
      </w:r>
      <w:r w:rsidR="003B3260">
        <w:t> mld.</w:t>
      </w:r>
      <w:r w:rsidR="008C45BF">
        <w:t xml:space="preserve"> korun</w:t>
      </w:r>
      <w:r w:rsidR="008C45BF" w:rsidRPr="008C45BF">
        <w:rPr>
          <w:rStyle w:val="Znakapoznpodarou"/>
        </w:rPr>
        <w:footnoteReference w:id="1"/>
      </w:r>
      <w:r w:rsidR="008C45BF">
        <w:t xml:space="preserve">. </w:t>
      </w:r>
      <w:r w:rsidR="00C30A81">
        <w:t>Meziroční růst cenové hladiny byl nadále silný</w:t>
      </w:r>
      <w:r w:rsidR="008C45BF">
        <w:t>. Reálný meziroční propad HPH tak dosáhl 7,0</w:t>
      </w:r>
      <w:r w:rsidR="003B3260">
        <w:t> %</w:t>
      </w:r>
      <w:r w:rsidR="008C45BF" w:rsidRPr="008C45BF">
        <w:rPr>
          <w:rStyle w:val="Znakapoznpodarou"/>
          <w:spacing w:val="-2"/>
        </w:rPr>
        <w:footnoteReference w:id="2"/>
      </w:r>
      <w:r w:rsidR="008C45BF">
        <w:t xml:space="preserve">. Oživení v sektoru provázelo </w:t>
      </w:r>
      <w:r w:rsidR="00624989">
        <w:t>i </w:t>
      </w:r>
      <w:r w:rsidR="008C45BF">
        <w:t>zmírnění meziročního propadu celkové zaměstnanosti</w:t>
      </w:r>
      <w:r w:rsidR="008C45BF" w:rsidRPr="008C45BF">
        <w:rPr>
          <w:rStyle w:val="Znakapoznpodarou"/>
        </w:rPr>
        <w:footnoteReference w:id="3"/>
      </w:r>
      <w:r w:rsidR="008C45BF">
        <w:t xml:space="preserve"> na 1,2</w:t>
      </w:r>
      <w:r w:rsidR="003B3260">
        <w:t> %</w:t>
      </w:r>
      <w:r w:rsidR="000302A6">
        <w:t>.</w:t>
      </w:r>
    </w:p>
    <w:p w14:paraId="7E53BC17" w14:textId="32F2E03E" w:rsidR="00066E38" w:rsidRDefault="00F74BE5" w:rsidP="000302A6">
      <w:pPr>
        <w:spacing w:after="120"/>
      </w:pPr>
      <w:r>
        <w:t>Nefinanční podniky ve 3.</w:t>
      </w:r>
      <w:r w:rsidR="003B3260">
        <w:t> čtvrtlet</w:t>
      </w:r>
      <w:r>
        <w:t>í vyplatily 432,4</w:t>
      </w:r>
      <w:r w:rsidR="003B3260">
        <w:t> mld.</w:t>
      </w:r>
      <w:r>
        <w:t xml:space="preserve"> korun ve formě náhrad zaměstnancům. To bylo meziročně </w:t>
      </w:r>
      <w:r w:rsidR="00624989">
        <w:t>o </w:t>
      </w:r>
      <w:r>
        <w:t>11,5</w:t>
      </w:r>
      <w:r w:rsidR="003B3260">
        <w:t> mld.</w:t>
      </w:r>
      <w:r>
        <w:t xml:space="preserve"> méně</w:t>
      </w:r>
      <w:r w:rsidR="00794B22">
        <w:t xml:space="preserve"> (</w:t>
      </w:r>
      <w:r w:rsidR="003B3260">
        <w:t>–</w:t>
      </w:r>
      <w:r w:rsidR="00794B22">
        <w:t>2,6</w:t>
      </w:r>
      <w:r w:rsidR="003B3260">
        <w:t> %</w:t>
      </w:r>
      <w:r w:rsidR="00794B22">
        <w:t>)</w:t>
      </w:r>
      <w:r>
        <w:t>, ale pokles se proti 2.</w:t>
      </w:r>
      <w:r w:rsidR="003B3260">
        <w:t> čtvrtlet</w:t>
      </w:r>
      <w:r>
        <w:t>í zmírnil.</w:t>
      </w:r>
      <w:r w:rsidR="00794B22">
        <w:t xml:space="preserve"> Zároveň se změn</w:t>
      </w:r>
      <w:r w:rsidR="00A826E6">
        <w:t>ila situace oproti 2.</w:t>
      </w:r>
      <w:r w:rsidR="003B3260">
        <w:t> čtvrtlet</w:t>
      </w:r>
      <w:r w:rsidR="00A826E6">
        <w:t xml:space="preserve">í, </w:t>
      </w:r>
      <w:r w:rsidR="00E77C6D">
        <w:t xml:space="preserve">ve kterém </w:t>
      </w:r>
      <w:r w:rsidR="00A826E6">
        <w:t xml:space="preserve">výrazně klesl objem </w:t>
      </w:r>
      <w:r w:rsidR="00E77C6D">
        <w:t xml:space="preserve">vyplacených </w:t>
      </w:r>
      <w:r w:rsidR="00A826E6">
        <w:t xml:space="preserve">mezd </w:t>
      </w:r>
      <w:r w:rsidR="00624989">
        <w:t>a </w:t>
      </w:r>
      <w:r w:rsidR="00A826E6">
        <w:t xml:space="preserve">platů </w:t>
      </w:r>
      <w:r w:rsidR="00624989">
        <w:t>a </w:t>
      </w:r>
      <w:r w:rsidR="00B54330">
        <w:t xml:space="preserve">kompenzován byl nárůstem </w:t>
      </w:r>
      <w:r w:rsidR="00E77C6D">
        <w:t xml:space="preserve">prostředků </w:t>
      </w:r>
      <w:r w:rsidR="00B54330">
        <w:t>v rámci programu Antivirus</w:t>
      </w:r>
      <w:r w:rsidR="006D6521">
        <w:rPr>
          <w:rStyle w:val="Znakapoznpodarou"/>
        </w:rPr>
        <w:footnoteReference w:id="4"/>
      </w:r>
      <w:r w:rsidR="00B54330">
        <w:t>.</w:t>
      </w:r>
      <w:r>
        <w:t xml:space="preserve"> </w:t>
      </w:r>
      <w:r w:rsidR="00B54330">
        <w:t>Ve 3.</w:t>
      </w:r>
      <w:r w:rsidR="003B3260">
        <w:t> kvartál</w:t>
      </w:r>
      <w:r w:rsidR="00B54330">
        <w:t>u</w:t>
      </w:r>
      <w:r w:rsidR="00145FEE">
        <w:t xml:space="preserve"> se naopak mzdy </w:t>
      </w:r>
      <w:r w:rsidR="00624989">
        <w:t>a </w:t>
      </w:r>
      <w:r w:rsidR="00145FEE">
        <w:t>platy meziročně snižovaly jen mírně (</w:t>
      </w:r>
      <w:r w:rsidR="003B3260">
        <w:t>–</w:t>
      </w:r>
      <w:r w:rsidR="00145FEE">
        <w:t>1,1</w:t>
      </w:r>
      <w:r w:rsidR="003B3260">
        <w:t> %</w:t>
      </w:r>
      <w:r w:rsidR="00145FEE">
        <w:t xml:space="preserve">), ale propad nastal </w:t>
      </w:r>
      <w:r w:rsidR="00624989">
        <w:t>u </w:t>
      </w:r>
      <w:r w:rsidR="00145FEE">
        <w:t>sociálních příspěvků zaměstnavatelů (</w:t>
      </w:r>
      <w:r w:rsidR="003B3260">
        <w:t>–</w:t>
      </w:r>
      <w:r w:rsidR="00145FEE">
        <w:t>7,6</w:t>
      </w:r>
      <w:r w:rsidR="003B3260">
        <w:t> %</w:t>
      </w:r>
      <w:r w:rsidR="00145FEE">
        <w:t>), na čemž mělo podíl zejména odpuštění sociálních příspěvků menším podnikům.</w:t>
      </w:r>
      <w:r w:rsidR="00D573FE">
        <w:t xml:space="preserve"> Dotace na výrobu, které zahrnují prostředky vládní podpory</w:t>
      </w:r>
      <w:r w:rsidR="006D6521" w:rsidRPr="006D6521">
        <w:rPr>
          <w:rStyle w:val="Znakapoznpodarou"/>
        </w:rPr>
        <w:footnoteReference w:id="5"/>
      </w:r>
      <w:r w:rsidR="00D573FE">
        <w:t>, byly stále výrazně vyšší, než je pro 3.</w:t>
      </w:r>
      <w:r w:rsidR="00082045">
        <w:t> </w:t>
      </w:r>
      <w:r w:rsidR="00D573FE">
        <w:t>čtvrtletí běžné. Dosáhly 11,0</w:t>
      </w:r>
      <w:r w:rsidR="003B3260">
        <w:t> mld.</w:t>
      </w:r>
      <w:r w:rsidR="00D573FE">
        <w:t xml:space="preserve"> korun </w:t>
      </w:r>
      <w:r w:rsidR="00624989">
        <w:t>a </w:t>
      </w:r>
      <w:r w:rsidR="00D573FE">
        <w:t xml:space="preserve">meziročně se navýšily </w:t>
      </w:r>
      <w:r w:rsidR="00624989">
        <w:t>o </w:t>
      </w:r>
      <w:r w:rsidR="00D573FE">
        <w:t>4,5</w:t>
      </w:r>
      <w:r w:rsidR="003B3260">
        <w:t> mld.</w:t>
      </w:r>
      <w:r w:rsidR="00D573FE">
        <w:t xml:space="preserve"> Na jejich vývoji ale bylo patrné zklidnění situace (ve 2.</w:t>
      </w:r>
      <w:r w:rsidR="003B3260">
        <w:t> čtvrtlet</w:t>
      </w:r>
      <w:r w:rsidR="00D573FE">
        <w:t xml:space="preserve">í byl objem vyplacených dotací </w:t>
      </w:r>
      <w:r w:rsidR="00EA7AF3">
        <w:t>22,8</w:t>
      </w:r>
      <w:r w:rsidR="003B3260">
        <w:t> mld.</w:t>
      </w:r>
      <w:r w:rsidR="00EA7AF3">
        <w:t xml:space="preserve"> korun, což bylo nejvíce za dostupnou časovou řadu</w:t>
      </w:r>
      <w:r w:rsidR="00D573FE">
        <w:t>).</w:t>
      </w:r>
    </w:p>
    <w:p w14:paraId="25C411FC" w14:textId="2A9178D3" w:rsidR="00BE0028" w:rsidRPr="00066E38" w:rsidRDefault="00611583" w:rsidP="000302A6">
      <w:pPr>
        <w:spacing w:after="120"/>
        <w:rPr>
          <w:highlight w:val="yellow"/>
        </w:rPr>
      </w:pPr>
      <w:r>
        <w:t>Propad hrubého provozního přebytku ve 3.</w:t>
      </w:r>
      <w:r w:rsidR="003B3260">
        <w:t> čtvrtlet</w:t>
      </w:r>
      <w:r>
        <w:t>í zmírnil na 6,1</w:t>
      </w:r>
      <w:r w:rsidR="003B3260">
        <w:t> mld.</w:t>
      </w:r>
      <w:r>
        <w:t xml:space="preserve"> korun </w:t>
      </w:r>
      <w:r w:rsidR="00624989">
        <w:t>a </w:t>
      </w:r>
      <w:r>
        <w:t>přebytek dosáhl 376,5</w:t>
      </w:r>
      <w:r w:rsidR="003B3260">
        <w:t> mld.</w:t>
      </w:r>
      <w:r>
        <w:t xml:space="preserve"> </w:t>
      </w:r>
      <w:r w:rsidR="00624989">
        <w:t>I </w:t>
      </w:r>
      <w:r w:rsidR="00852368">
        <w:t xml:space="preserve">díky výše zmíněnému částečnému odpuštění sociálních příspěvků </w:t>
      </w:r>
      <w:r w:rsidR="00624989">
        <w:t>a </w:t>
      </w:r>
      <w:r w:rsidR="00852368">
        <w:t>dotacím tak došlo ke skokovému nárůstu míry zisku nefinančních podniků</w:t>
      </w:r>
      <w:r w:rsidR="00852368" w:rsidRPr="00852368">
        <w:rPr>
          <w:rStyle w:val="Znakapoznpodarou"/>
        </w:rPr>
        <w:footnoteReference w:id="6"/>
      </w:r>
      <w:r w:rsidR="00852368">
        <w:t xml:space="preserve"> na 45,2</w:t>
      </w:r>
      <w:r w:rsidR="003B3260">
        <w:t> %</w:t>
      </w:r>
      <w:r w:rsidR="00852368">
        <w:t xml:space="preserve"> (sezónně očištěno). Oproti 2.</w:t>
      </w:r>
      <w:r w:rsidR="003B3260">
        <w:t> čtvrtlet</w:t>
      </w:r>
      <w:r w:rsidR="00852368">
        <w:t xml:space="preserve">í tak došlo k navýšení </w:t>
      </w:r>
      <w:r w:rsidR="00624989">
        <w:t>o </w:t>
      </w:r>
      <w:r w:rsidR="00852368">
        <w:t>1,5</w:t>
      </w:r>
      <w:r w:rsidR="003B3260">
        <w:t> p. b.</w:t>
      </w:r>
      <w:r w:rsidR="00852368">
        <w:t xml:space="preserve"> Zastavil se také trend postupného poklesu </w:t>
      </w:r>
      <w:r w:rsidR="00624989">
        <w:t>a </w:t>
      </w:r>
      <w:r w:rsidR="00852368">
        <w:t>ukazatel byl nejvyšší od 2.</w:t>
      </w:r>
      <w:r w:rsidR="003B3260">
        <w:t> čtvrtlet</w:t>
      </w:r>
      <w:r w:rsidR="00852368">
        <w:t xml:space="preserve">í 2018. Vývoj v posledních čtvrtletích je ale dán </w:t>
      </w:r>
      <w:r w:rsidR="00E77C6D">
        <w:t xml:space="preserve">nestandardní </w:t>
      </w:r>
      <w:r w:rsidR="00852368">
        <w:t xml:space="preserve">ekonomickou situací. </w:t>
      </w:r>
      <w:r w:rsidR="005B0A5A" w:rsidRPr="00852368">
        <w:t xml:space="preserve">Meziroční </w:t>
      </w:r>
      <w:r w:rsidR="00852368">
        <w:t>nárůst</w:t>
      </w:r>
      <w:r w:rsidR="005B0A5A" w:rsidRPr="00852368">
        <w:t xml:space="preserve"> míry zisku (sezónně neočištěné) dosáhl </w:t>
      </w:r>
      <w:r w:rsidR="00852368">
        <w:t>0,5</w:t>
      </w:r>
      <w:r w:rsidR="00CF1CFF" w:rsidRPr="00852368">
        <w:t> p. b.</w:t>
      </w:r>
    </w:p>
    <w:p w14:paraId="6DF2AB71" w14:textId="77777777" w:rsidR="000B7652" w:rsidRPr="00C24B18" w:rsidRDefault="007F6239" w:rsidP="000302A6">
      <w:pPr>
        <w:pStyle w:val="TabulkaGraf"/>
        <w:spacing w:after="120"/>
      </w:pPr>
      <w:r w:rsidRPr="00C24B18">
        <w:lastRenderedPageBreak/>
        <w:t>G</w:t>
      </w:r>
      <w:r w:rsidR="002E6F00" w:rsidRPr="00C24B18">
        <w:t>raf </w:t>
      </w:r>
      <w:r w:rsidRPr="00C24B18">
        <w:t xml:space="preserve">1: Meziroční nominální přírůstek HPH </w:t>
      </w:r>
      <w:r w:rsidR="00F03815" w:rsidRPr="00C24B18">
        <w:t>a </w:t>
      </w:r>
      <w:r w:rsidRPr="00C24B18">
        <w:t>náhrad zaměstnancům (v</w:t>
      </w:r>
      <w:r w:rsidR="00840938" w:rsidRPr="00C24B18">
        <w:t> mld.</w:t>
      </w:r>
      <w:r w:rsidRPr="00C24B18">
        <w:t xml:space="preserve"> korun), míra zisku (sezónně očištěno, v</w:t>
      </w:r>
      <w:r w:rsidR="00840938" w:rsidRPr="00C24B18">
        <w:t> %</w:t>
      </w:r>
      <w:r w:rsidRPr="00C24B18">
        <w:t>)</w:t>
      </w:r>
    </w:p>
    <w:p w14:paraId="11A7F60E" w14:textId="6F49CC61" w:rsidR="007F6239" w:rsidRPr="00066E38" w:rsidRDefault="005655D7" w:rsidP="000302A6">
      <w:pPr>
        <w:pStyle w:val="TabulkaGraf"/>
        <w:spacing w:after="120"/>
        <w:jc w:val="center"/>
        <w:rPr>
          <w:rFonts w:cs="Arial"/>
          <w:b w:val="0"/>
          <w:szCs w:val="20"/>
          <w:highlight w:val="yellow"/>
        </w:rPr>
      </w:pPr>
      <w:r>
        <w:rPr>
          <w:noProof/>
          <w:lang w:eastAsia="cs-CZ"/>
        </w:rPr>
        <w:drawing>
          <wp:inline distT="0" distB="0" distL="0" distR="0" wp14:anchorId="14F590E1" wp14:editId="2BC3BDB0">
            <wp:extent cx="4737600" cy="2958400"/>
            <wp:effectExtent l="0" t="0" r="6350" b="1397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3972F0E" w14:textId="77777777" w:rsidR="00941335" w:rsidRPr="005655D7" w:rsidRDefault="00941335" w:rsidP="000302A6">
      <w:pPr>
        <w:spacing w:after="120"/>
      </w:pPr>
      <w:r w:rsidRPr="005655D7">
        <w:t>Zdroj: ČSÚ, národní účty</w:t>
      </w:r>
    </w:p>
    <w:p w14:paraId="770908C6" w14:textId="7BDF7ACA" w:rsidR="00A05534" w:rsidRDefault="0009303F" w:rsidP="000302A6">
      <w:pPr>
        <w:spacing w:after="120"/>
      </w:pPr>
      <w:r w:rsidRPr="0009303F">
        <w:t>Saldo důchodů z vlastnictví NP</w:t>
      </w:r>
      <w:r>
        <w:t xml:space="preserve"> ve 3.</w:t>
      </w:r>
      <w:r w:rsidR="003B3260">
        <w:t> čtvrtlet</w:t>
      </w:r>
      <w:r>
        <w:t xml:space="preserve">í </w:t>
      </w:r>
      <w:r w:rsidR="000370D3">
        <w:t xml:space="preserve">jako obvykle </w:t>
      </w:r>
      <w:r>
        <w:t>dosáhlo deficitu</w:t>
      </w:r>
      <w:r w:rsidR="000370D3">
        <w:t>, který činil 106,1</w:t>
      </w:r>
      <w:r w:rsidR="003B3260">
        <w:t> mld.</w:t>
      </w:r>
      <w:r w:rsidR="000370D3">
        <w:t xml:space="preserve"> korun. Meziročně klesaly prostředky na straně užití </w:t>
      </w:r>
      <w:r w:rsidR="00624989">
        <w:t>i </w:t>
      </w:r>
      <w:r w:rsidR="000370D3">
        <w:t xml:space="preserve">zdrojů, výrazněji se ale snížila pasiva, což způsobilo zmírnění deficitu </w:t>
      </w:r>
      <w:r w:rsidR="00624989">
        <w:t>o </w:t>
      </w:r>
      <w:r w:rsidR="000370D3">
        <w:t>12,8</w:t>
      </w:r>
      <w:r w:rsidR="003B3260">
        <w:t> mld.</w:t>
      </w:r>
      <w:r w:rsidR="000370D3">
        <w:t xml:space="preserve"> korun.</w:t>
      </w:r>
      <w:r w:rsidR="00082547">
        <w:t xml:space="preserve"> Na straně pasiv poklesly zejména rozdělované důchody společností </w:t>
      </w:r>
      <w:r w:rsidR="00624989">
        <w:t>o </w:t>
      </w:r>
      <w:r w:rsidR="00082547">
        <w:t>83,9</w:t>
      </w:r>
      <w:r w:rsidR="003B3260">
        <w:t> mld.</w:t>
      </w:r>
      <w:r w:rsidR="00082547">
        <w:t xml:space="preserve"> korun na 64,6</w:t>
      </w:r>
      <w:r w:rsidR="003B3260">
        <w:t> mld.</w:t>
      </w:r>
      <w:r w:rsidR="00082547">
        <w:t>, což je v rámci 3.</w:t>
      </w:r>
      <w:r w:rsidR="003B3260">
        <w:t> čtvrtlet</w:t>
      </w:r>
      <w:r w:rsidR="00082547">
        <w:t>í nejm</w:t>
      </w:r>
      <w:r w:rsidR="00743982">
        <w:t>enší hodnota</w:t>
      </w:r>
      <w:r w:rsidR="00082547">
        <w:t xml:space="preserve"> od roku 2005. </w:t>
      </w:r>
      <w:r w:rsidR="00CE75DD">
        <w:t xml:space="preserve">Reinvestované zisky z přímých zahraničních investic se naopak meziročně navýšily </w:t>
      </w:r>
      <w:r w:rsidR="00624989">
        <w:t>o </w:t>
      </w:r>
      <w:r w:rsidR="00CE75DD">
        <w:t>49,8 mld. na 56,9</w:t>
      </w:r>
      <w:r w:rsidR="003B3260">
        <w:t> mld.</w:t>
      </w:r>
      <w:r w:rsidR="00CE75DD">
        <w:t xml:space="preserve"> korun, což je za 3.</w:t>
      </w:r>
      <w:r w:rsidR="003B3260">
        <w:t> čtvrtlet</w:t>
      </w:r>
      <w:r w:rsidR="00CE75DD">
        <w:t>í největší zaznamenaná hodnota. V aktivech také nejvíce meziročně klesly rozdělované důchody společností (</w:t>
      </w:r>
      <w:r w:rsidR="00624989">
        <w:t>o </w:t>
      </w:r>
      <w:r w:rsidR="00CE75DD">
        <w:t>21,6</w:t>
      </w:r>
      <w:r w:rsidR="003B3260">
        <w:t> mld.</w:t>
      </w:r>
      <w:r w:rsidR="00CE75DD">
        <w:t xml:space="preserve"> korun).</w:t>
      </w:r>
      <w:r w:rsidR="007243C8">
        <w:t xml:space="preserve"> Záporné saldo druhotných důchodů ve 3.</w:t>
      </w:r>
      <w:r w:rsidR="003B3260">
        <w:t> čtvrtlet</w:t>
      </w:r>
      <w:r w:rsidR="007243C8">
        <w:t>í činilo 38,0</w:t>
      </w:r>
      <w:r w:rsidR="003B3260">
        <w:t> mld.</w:t>
      </w:r>
      <w:r w:rsidR="007243C8">
        <w:t xml:space="preserve"> korun </w:t>
      </w:r>
      <w:r w:rsidR="00624989">
        <w:t>a </w:t>
      </w:r>
      <w:r w:rsidR="007243C8">
        <w:t>meziročně se drobně prohloubilo (</w:t>
      </w:r>
      <w:r w:rsidR="00624989">
        <w:t>o </w:t>
      </w:r>
      <w:r w:rsidR="007243C8">
        <w:t>0,7</w:t>
      </w:r>
      <w:r w:rsidR="003B3260">
        <w:t> mld.</w:t>
      </w:r>
      <w:r w:rsidR="007243C8">
        <w:t>). Po propadu ze 2.</w:t>
      </w:r>
      <w:r w:rsidR="003B3260">
        <w:t> čtvrtlet</w:t>
      </w:r>
      <w:r w:rsidR="007243C8">
        <w:t>í se na úroveň předchozího roku opět vrátil objem zaplacených běžných daní z </w:t>
      </w:r>
      <w:r w:rsidR="00D175AA">
        <w:t xml:space="preserve">důchodů </w:t>
      </w:r>
      <w:r w:rsidR="00624989">
        <w:t>a </w:t>
      </w:r>
      <w:r w:rsidR="007243C8">
        <w:t xml:space="preserve">jmění (meziroční navýšení </w:t>
      </w:r>
      <w:r w:rsidR="00624989">
        <w:t>o </w:t>
      </w:r>
      <w:r w:rsidR="007243C8">
        <w:t>0,3</w:t>
      </w:r>
      <w:r w:rsidR="003B3260">
        <w:t> mld.</w:t>
      </w:r>
      <w:r w:rsidR="007243C8">
        <w:t xml:space="preserve"> korun). Hrubé úspory nefinančních podniků ve 2.</w:t>
      </w:r>
      <w:r w:rsidR="003B3260">
        <w:t> čtvrtlet</w:t>
      </w:r>
      <w:r w:rsidR="007243C8">
        <w:t>í dosáhly 232,3</w:t>
      </w:r>
      <w:r w:rsidR="003B3260">
        <w:t> mld.</w:t>
      </w:r>
      <w:r w:rsidR="00E63873">
        <w:t xml:space="preserve"> korun </w:t>
      </w:r>
      <w:r w:rsidR="00624989">
        <w:t>a </w:t>
      </w:r>
      <w:r w:rsidR="00E63873">
        <w:t xml:space="preserve">meziročně se navýšily </w:t>
      </w:r>
      <w:r w:rsidR="00624989">
        <w:t>o </w:t>
      </w:r>
      <w:r w:rsidR="00E63873">
        <w:t>6,0</w:t>
      </w:r>
      <w:r w:rsidR="003B3260">
        <w:t> mld.</w:t>
      </w:r>
      <w:r w:rsidR="00E63873">
        <w:t xml:space="preserve"> Míra úspor NP se tak meziročně navýšila </w:t>
      </w:r>
      <w:r w:rsidR="00624989">
        <w:t>o </w:t>
      </w:r>
      <w:r w:rsidR="00E63873">
        <w:t>1,5</w:t>
      </w:r>
      <w:r w:rsidR="003B3260">
        <w:t> p. b.</w:t>
      </w:r>
      <w:r w:rsidR="00E63873">
        <w:t xml:space="preserve"> na 28,9</w:t>
      </w:r>
      <w:r w:rsidR="003B3260">
        <w:t> %</w:t>
      </w:r>
      <w:r w:rsidR="00E63873">
        <w:t>.</w:t>
      </w:r>
    </w:p>
    <w:p w14:paraId="784D9CBC" w14:textId="060C33CE" w:rsidR="003C092E" w:rsidRDefault="003C092E" w:rsidP="000302A6">
      <w:pPr>
        <w:spacing w:after="120"/>
      </w:pPr>
      <w:r>
        <w:t>Ve formě kapitálových transferů nefinanční podniky ve 3.</w:t>
      </w:r>
      <w:r w:rsidR="003B3260">
        <w:t> čtvrtlet</w:t>
      </w:r>
      <w:r>
        <w:t>í obdržely 8,5</w:t>
      </w:r>
      <w:r w:rsidR="003B3260">
        <w:t> mld.</w:t>
      </w:r>
      <w:r>
        <w:t xml:space="preserve"> korun, což je meziročně </w:t>
      </w:r>
      <w:r w:rsidR="00624989">
        <w:t>o </w:t>
      </w:r>
      <w:r>
        <w:t>3,0</w:t>
      </w:r>
      <w:r w:rsidR="003B3260">
        <w:t> mld.</w:t>
      </w:r>
      <w:r>
        <w:t xml:space="preserve"> více. Narůstal zejména objem obdržených investičních dotací (ty dosáhly 7,4</w:t>
      </w:r>
      <w:r w:rsidR="003B3260">
        <w:t> mld.</w:t>
      </w:r>
      <w:r>
        <w:t xml:space="preserve"> korun). </w:t>
      </w:r>
      <w:r w:rsidR="00BF37CC">
        <w:t>Výrazněji než v</w:t>
      </w:r>
      <w:r w:rsidR="00002857">
        <w:t>e</w:t>
      </w:r>
      <w:r w:rsidR="00570ABA">
        <w:t xml:space="preserve"> </w:t>
      </w:r>
      <w:r w:rsidR="00002857">
        <w:t>2</w:t>
      </w:r>
      <w:r w:rsidR="00BF37CC">
        <w:t>.</w:t>
      </w:r>
      <w:r w:rsidR="003B3260">
        <w:t> čtvrtlet</w:t>
      </w:r>
      <w:r w:rsidR="00BF37CC">
        <w:t>í se snižovaly investiční výdaje NP. Výdaje na tvorbu hrubého fixního kapitálu ve 3.</w:t>
      </w:r>
      <w:r w:rsidR="003B3260">
        <w:t> čtvrtlet</w:t>
      </w:r>
      <w:r w:rsidR="00BF37CC">
        <w:t>í dosáhly 212,0</w:t>
      </w:r>
      <w:r w:rsidR="003B3260">
        <w:t> mld.</w:t>
      </w:r>
      <w:r w:rsidR="00BF37CC">
        <w:t xml:space="preserve"> korun </w:t>
      </w:r>
      <w:r w:rsidR="00624989">
        <w:t>a </w:t>
      </w:r>
      <w:r w:rsidR="00BF37CC">
        <w:t xml:space="preserve">meziročně se snížily </w:t>
      </w:r>
      <w:r w:rsidR="00624989">
        <w:t>o </w:t>
      </w:r>
      <w:r w:rsidR="00BF37CC">
        <w:t>27,9</w:t>
      </w:r>
      <w:r w:rsidR="003B3260">
        <w:t> mld.</w:t>
      </w:r>
      <w:r w:rsidR="00BF37CC">
        <w:t xml:space="preserve"> Jde </w:t>
      </w:r>
      <w:r w:rsidR="00624989">
        <w:t>o </w:t>
      </w:r>
      <w:r w:rsidR="00BF37CC">
        <w:t>největší nominální propad od 3.</w:t>
      </w:r>
      <w:r w:rsidR="003B3260">
        <w:t> čtvrtlet</w:t>
      </w:r>
      <w:r w:rsidR="00BF37CC">
        <w:t>í 2009.</w:t>
      </w:r>
      <w:r w:rsidR="00002857">
        <w:t xml:space="preserve"> Podle sezónně očištěných údajů investice klesly mezičtvrtletně </w:t>
      </w:r>
      <w:r w:rsidR="00624989">
        <w:t>o </w:t>
      </w:r>
      <w:r w:rsidR="00002857">
        <w:t>5,6</w:t>
      </w:r>
      <w:r w:rsidR="003B3260">
        <w:t> mld.</w:t>
      </w:r>
      <w:r w:rsidR="00002857">
        <w:t xml:space="preserve"> korun. Míra investic</w:t>
      </w:r>
      <w:r w:rsidR="00BE210B" w:rsidRPr="00BE210B">
        <w:rPr>
          <w:rStyle w:val="Znakapoznpodarou"/>
        </w:rPr>
        <w:footnoteReference w:id="7"/>
      </w:r>
      <w:r w:rsidR="00002857">
        <w:t xml:space="preserve"> dosáhla 26,7</w:t>
      </w:r>
      <w:r w:rsidR="003B3260">
        <w:t> %</w:t>
      </w:r>
      <w:r w:rsidR="00002857">
        <w:t xml:space="preserve"> (sezónně očištěno) </w:t>
      </w:r>
      <w:r w:rsidR="00624989">
        <w:t>a </w:t>
      </w:r>
      <w:r w:rsidR="00002857">
        <w:t xml:space="preserve">mezičtvrtletně se snížila </w:t>
      </w:r>
      <w:r w:rsidR="00624989">
        <w:t>o </w:t>
      </w:r>
      <w:r w:rsidR="00002857">
        <w:t>2,1</w:t>
      </w:r>
      <w:r w:rsidR="003B3260">
        <w:t> p. b.</w:t>
      </w:r>
      <w:r w:rsidR="00002857">
        <w:t xml:space="preserve"> Meziročně se míra investic (neočištěná) propadla </w:t>
      </w:r>
      <w:r w:rsidR="00624989">
        <w:t>o </w:t>
      </w:r>
      <w:r w:rsidR="00002857">
        <w:t>2,</w:t>
      </w:r>
      <w:r w:rsidR="00624989">
        <w:t>7 </w:t>
      </w:r>
      <w:r w:rsidR="00002857">
        <w:t>p. b.</w:t>
      </w:r>
    </w:p>
    <w:p w14:paraId="551D4C2E" w14:textId="01DBF309" w:rsidR="0050641C" w:rsidRPr="00BE210B" w:rsidRDefault="0050641C" w:rsidP="000302A6">
      <w:pPr>
        <w:pStyle w:val="TabulkaGraf"/>
        <w:spacing w:after="120"/>
      </w:pPr>
      <w:r w:rsidRPr="00BE210B">
        <w:lastRenderedPageBreak/>
        <w:t>G</w:t>
      </w:r>
      <w:r w:rsidR="002E6F00" w:rsidRPr="00BE210B">
        <w:t>raf </w:t>
      </w:r>
      <w:r w:rsidRPr="00BE210B">
        <w:t>2: Meziroční nominální přírůstek tvorby hrubého fixního kapitálu (v</w:t>
      </w:r>
      <w:r w:rsidR="00840938" w:rsidRPr="00BE210B">
        <w:t> mld.</w:t>
      </w:r>
      <w:r w:rsidRPr="00BE210B">
        <w:t xml:space="preserve"> korun) </w:t>
      </w:r>
      <w:r w:rsidR="00F03815" w:rsidRPr="00BE210B">
        <w:t>a </w:t>
      </w:r>
      <w:r w:rsidRPr="00BE210B">
        <w:t>míra investic (sezónně očištěno, v</w:t>
      </w:r>
      <w:r w:rsidR="00840938" w:rsidRPr="00BE210B">
        <w:t> %</w:t>
      </w:r>
      <w:r w:rsidRPr="00BE210B">
        <w:t>)</w:t>
      </w:r>
    </w:p>
    <w:p w14:paraId="60006B1C" w14:textId="6FA6CD95" w:rsidR="007F6239" w:rsidRPr="00BE210B" w:rsidRDefault="00BE210B" w:rsidP="000302A6">
      <w:pPr>
        <w:spacing w:after="120"/>
        <w:jc w:val="center"/>
      </w:pPr>
      <w:r>
        <w:rPr>
          <w:noProof/>
          <w:lang w:eastAsia="cs-CZ"/>
        </w:rPr>
        <w:drawing>
          <wp:inline distT="0" distB="0" distL="0" distR="0" wp14:anchorId="42F953FD" wp14:editId="7217EA26">
            <wp:extent cx="4737600" cy="2958400"/>
            <wp:effectExtent l="0" t="0" r="6350" b="1397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19E851" w14:textId="77777777" w:rsidR="00941335" w:rsidRPr="00BE210B" w:rsidRDefault="00941335" w:rsidP="000302A6">
      <w:pPr>
        <w:spacing w:after="120"/>
      </w:pPr>
      <w:r w:rsidRPr="00BE210B">
        <w:t>Zdroj: ČSÚ, národní účty</w:t>
      </w:r>
    </w:p>
    <w:p w14:paraId="7BF2286A" w14:textId="77777777" w:rsidR="00F50CEF" w:rsidRPr="00576E3A" w:rsidRDefault="00F50CEF" w:rsidP="000302A6">
      <w:pPr>
        <w:pStyle w:val="Nadpis1"/>
        <w:spacing w:after="120"/>
      </w:pPr>
      <w:r w:rsidRPr="00576E3A">
        <w:t>Vládní instituce</w:t>
      </w:r>
    </w:p>
    <w:p w14:paraId="53F19469" w14:textId="47769CD4" w:rsidR="0053545A" w:rsidRDefault="00624989" w:rsidP="000302A6">
      <w:pPr>
        <w:spacing w:after="120"/>
      </w:pPr>
      <w:r>
        <w:t>I </w:t>
      </w:r>
      <w:r w:rsidR="00576E3A">
        <w:t>ve 3.</w:t>
      </w:r>
      <w:r w:rsidR="003B3260">
        <w:t> čtvrtlet</w:t>
      </w:r>
      <w:r w:rsidR="00576E3A">
        <w:t xml:space="preserve">í bylo hospodaření vládních institucí deficitní </w:t>
      </w:r>
      <w:r>
        <w:t>a </w:t>
      </w:r>
      <w:r w:rsidR="00576E3A">
        <w:t>schodek dosáhl 42,2</w:t>
      </w:r>
      <w:r w:rsidR="003B3260">
        <w:t> mld.</w:t>
      </w:r>
      <w:r w:rsidR="00576E3A">
        <w:t xml:space="preserve"> korun, což je meziročně </w:t>
      </w:r>
      <w:r>
        <w:t>o </w:t>
      </w:r>
      <w:r w:rsidR="00576E3A">
        <w:t>57,5</w:t>
      </w:r>
      <w:r w:rsidR="003B3260">
        <w:t> mld.</w:t>
      </w:r>
      <w:r w:rsidR="00576E3A">
        <w:t xml:space="preserve"> horší výsledek. V letech 2014–2019 bylo hospodaření ve 3.</w:t>
      </w:r>
      <w:r w:rsidR="003B3260">
        <w:t> kvartál</w:t>
      </w:r>
      <w:r w:rsidR="00576E3A">
        <w:t xml:space="preserve">u vždy přebytkové </w:t>
      </w:r>
      <w:r>
        <w:t>a </w:t>
      </w:r>
      <w:r w:rsidR="00576E3A">
        <w:t>aktuální výsledek je nejhorším za 3.</w:t>
      </w:r>
      <w:r w:rsidR="003B3260">
        <w:t> čtvrtlet</w:t>
      </w:r>
      <w:r w:rsidR="00576E3A">
        <w:t xml:space="preserve">í od roku 2010. </w:t>
      </w:r>
      <w:r w:rsidR="00D175AA">
        <w:t xml:space="preserve">Stále </w:t>
      </w:r>
      <w:r w:rsidR="001B579F">
        <w:t>trvala situace, kdy výdaje vládních institucí rostly, zatímco příjmy klesaly. Ve 3.</w:t>
      </w:r>
      <w:r w:rsidR="003B3260">
        <w:t> čtvrtlet</w:t>
      </w:r>
      <w:r w:rsidR="001B579F">
        <w:t>í se ale zmírnil meziroční přírůstek výdajů (49,9</w:t>
      </w:r>
      <w:r w:rsidR="003B3260">
        <w:t> mld.</w:t>
      </w:r>
      <w:r w:rsidR="001B579F">
        <w:t xml:space="preserve"> korun, 8,6</w:t>
      </w:r>
      <w:r w:rsidR="003B3260">
        <w:t> %</w:t>
      </w:r>
      <w:r w:rsidR="001B579F">
        <w:t xml:space="preserve">) </w:t>
      </w:r>
      <w:r>
        <w:t>a </w:t>
      </w:r>
      <w:r w:rsidR="001B579F">
        <w:t>zároveň propad příjmů nebyl tak výrazný jako ve 2. kvartálu (</w:t>
      </w:r>
      <w:r w:rsidR="003B3260">
        <w:t>–</w:t>
      </w:r>
      <w:r w:rsidR="001B579F">
        <w:t>7,6</w:t>
      </w:r>
      <w:r w:rsidR="003B3260">
        <w:t> mld.</w:t>
      </w:r>
      <w:r w:rsidR="001B579F">
        <w:t xml:space="preserve">, </w:t>
      </w:r>
      <w:r w:rsidR="003B3260">
        <w:t>–</w:t>
      </w:r>
      <w:r w:rsidR="001B579F">
        <w:t>1,3</w:t>
      </w:r>
      <w:r w:rsidR="003B3260">
        <w:t> %</w:t>
      </w:r>
      <w:r w:rsidR="001B579F">
        <w:t>).</w:t>
      </w:r>
    </w:p>
    <w:p w14:paraId="6BC8E45D" w14:textId="7FA02942" w:rsidR="00C36AD6" w:rsidRDefault="00B403FC" w:rsidP="000302A6">
      <w:pPr>
        <w:spacing w:after="120"/>
      </w:pPr>
      <w:r>
        <w:t>Příjmy vládních institucí dosáhly ve 3.</w:t>
      </w:r>
      <w:r w:rsidR="003B3260">
        <w:t> čtvrtlet</w:t>
      </w:r>
      <w:r>
        <w:t>í 590,0</w:t>
      </w:r>
      <w:r w:rsidR="003B3260">
        <w:t> mld.</w:t>
      </w:r>
      <w:r>
        <w:t xml:space="preserve"> korun. Jejich meziroční pokles byl způsoben zejména propadem přijatých daní z výroby </w:t>
      </w:r>
      <w:r w:rsidR="00624989">
        <w:t>a </w:t>
      </w:r>
      <w:r>
        <w:t xml:space="preserve">dovozu </w:t>
      </w:r>
      <w:r w:rsidR="00624989">
        <w:t>o </w:t>
      </w:r>
      <w:r>
        <w:t>8,0</w:t>
      </w:r>
      <w:r w:rsidR="003B3260">
        <w:t> mld.</w:t>
      </w:r>
      <w:r>
        <w:t xml:space="preserve"> korun</w:t>
      </w:r>
      <w:r w:rsidR="000F7F50">
        <w:t>, snížila se ale většina zdrojů příjmů</w:t>
      </w:r>
      <w:r>
        <w:t>. Podobně jako ve 2.</w:t>
      </w:r>
      <w:r w:rsidR="003B3260">
        <w:t> čtvrtlet</w:t>
      </w:r>
      <w:r>
        <w:t xml:space="preserve">í meziročně </w:t>
      </w:r>
      <w:r w:rsidR="000F7F50">
        <w:t>klesl</w:t>
      </w:r>
      <w:r>
        <w:t xml:space="preserve">y přijaté sociální příspěvky </w:t>
      </w:r>
      <w:r w:rsidR="00624989">
        <w:t>o </w:t>
      </w:r>
      <w:r>
        <w:t>2,1</w:t>
      </w:r>
      <w:r w:rsidR="003B3260">
        <w:t> mld.</w:t>
      </w:r>
      <w:r w:rsidR="00D175AA">
        <w:t> </w:t>
      </w:r>
      <w:r>
        <w:t xml:space="preserve">– pokles se ale oproti předchozímu kvartálu zmírnil. </w:t>
      </w:r>
      <w:r w:rsidR="008157C0">
        <w:t>Uvedený p</w:t>
      </w:r>
      <w:r>
        <w:t>okles se přitom týkal příspěvků zaměstnavatelů (</w:t>
      </w:r>
      <w:r w:rsidR="003B3260">
        <w:t>–</w:t>
      </w:r>
      <w:r>
        <w:t>6,8</w:t>
      </w:r>
      <w:r w:rsidR="003B3260">
        <w:t> mld.</w:t>
      </w:r>
      <w:r w:rsidR="00FE4662">
        <w:t>, projevilo se odpuštění menším podnikům</w:t>
      </w:r>
      <w:r>
        <w:t xml:space="preserve">), </w:t>
      </w:r>
      <w:r w:rsidR="00624989">
        <w:t>u </w:t>
      </w:r>
      <w:r>
        <w:t>domácností se meziroční růst obnovil (+4,6</w:t>
      </w:r>
      <w:r w:rsidR="003B3260">
        <w:t> mld.</w:t>
      </w:r>
      <w:r>
        <w:t>).</w:t>
      </w:r>
      <w:r w:rsidR="00FE4662">
        <w:t xml:space="preserve"> </w:t>
      </w:r>
      <w:r w:rsidR="00511C14">
        <w:t>O 1,1</w:t>
      </w:r>
      <w:r w:rsidR="003B3260">
        <w:t> mld.</w:t>
      </w:r>
      <w:r w:rsidR="00511C14">
        <w:t xml:space="preserve"> korun poklesly také přijaté ostatní běžné transfery.</w:t>
      </w:r>
      <w:r w:rsidR="000F7F50">
        <w:t xml:space="preserve"> Naopak opětovný meziroční přírůstek byl zaznamenán </w:t>
      </w:r>
      <w:r w:rsidR="00624989">
        <w:t>u </w:t>
      </w:r>
      <w:r w:rsidR="000F7F50">
        <w:t xml:space="preserve">přijatých běžných daní z důchodů </w:t>
      </w:r>
      <w:r w:rsidR="00624989">
        <w:t>a </w:t>
      </w:r>
      <w:r w:rsidR="000F7F50">
        <w:t xml:space="preserve">jmění (2,7 mld.). Nárůst přijatých kapitálových transferů </w:t>
      </w:r>
      <w:r w:rsidR="00624989">
        <w:t>i </w:t>
      </w:r>
      <w:r w:rsidR="000F7F50">
        <w:t>hodnoty tržní produkce byl jen drobný</w:t>
      </w:r>
      <w:r w:rsidR="00D175AA">
        <w:t>.</w:t>
      </w:r>
    </w:p>
    <w:p w14:paraId="48AAC753" w14:textId="2C6B5E30" w:rsidR="00E20705" w:rsidRPr="00E20705" w:rsidRDefault="00E20705" w:rsidP="000302A6">
      <w:pPr>
        <w:spacing w:after="120"/>
      </w:pPr>
      <w:r>
        <w:t>Výdaje</w:t>
      </w:r>
      <w:r w:rsidR="00D718B9">
        <w:t xml:space="preserve"> vládních institucí dosáhly ve 3.</w:t>
      </w:r>
      <w:r w:rsidR="003B3260">
        <w:t> čtvrtlet</w:t>
      </w:r>
      <w:r w:rsidR="00D718B9">
        <w:t>í 632,2</w:t>
      </w:r>
      <w:r w:rsidR="003B3260">
        <w:t> mld.</w:t>
      </w:r>
      <w:r w:rsidR="00D718B9">
        <w:t xml:space="preserve"> korun. Jejich meziroční dynamika proti předchozímu kvartálu zvolnila, ale </w:t>
      </w:r>
      <w:r w:rsidR="00624989">
        <w:t>i </w:t>
      </w:r>
      <w:r w:rsidR="00D718B9">
        <w:t xml:space="preserve">tak byl nárůst poměrně silný. Zvyšovaly se zejména vyplacené sociální dávky </w:t>
      </w:r>
      <w:r w:rsidR="00624989">
        <w:t>a </w:t>
      </w:r>
      <w:r w:rsidR="00D718B9">
        <w:t>naturální sociální transfery (+31,4</w:t>
      </w:r>
      <w:r w:rsidR="003B3260">
        <w:t> mld.</w:t>
      </w:r>
      <w:r w:rsidR="00D718B9">
        <w:t xml:space="preserve"> korun). Jejich nominální meziroční nárůst sílí nepřetržitě od druhé poloviny roku 2017 </w:t>
      </w:r>
      <w:r w:rsidR="00624989">
        <w:t>a </w:t>
      </w:r>
      <w:r w:rsidR="00D718B9">
        <w:t xml:space="preserve">v současnosti za ním stojí navyšování starobních důchodů, vyšší objem plateb za ošetřovné pro zaměstnance </w:t>
      </w:r>
      <w:r w:rsidR="00624989">
        <w:t>a </w:t>
      </w:r>
      <w:r w:rsidR="00D718B9">
        <w:t xml:space="preserve">OSVČ </w:t>
      </w:r>
      <w:r w:rsidR="00624989">
        <w:lastRenderedPageBreak/>
        <w:t>a </w:t>
      </w:r>
      <w:r w:rsidR="00D718B9">
        <w:t>také vyšší platby za státní pojištěnce.</w:t>
      </w:r>
      <w:r w:rsidR="009372DF">
        <w:t xml:space="preserve"> Ve 3.</w:t>
      </w:r>
      <w:r w:rsidR="003B3260">
        <w:t> čtvrtlet</w:t>
      </w:r>
      <w:r w:rsidR="009372DF">
        <w:t>í opět posílil meziroční přírůstek vyplacených náhrad zaměstnancům (+13,3</w:t>
      </w:r>
      <w:r w:rsidR="003B3260">
        <w:t> mld.</w:t>
      </w:r>
      <w:r w:rsidR="009372DF">
        <w:t xml:space="preserve"> korun), ve kterých se pravděpodobně projevily odměny zaměstnancům, kteří se podíl</w:t>
      </w:r>
      <w:r w:rsidR="00D175AA">
        <w:t>ej</w:t>
      </w:r>
      <w:r w:rsidR="009372DF">
        <w:t>í na řešení aktuální krize. Výrazný přírůstek</w:t>
      </w:r>
      <w:r w:rsidR="00D175AA">
        <w:t>,</w:t>
      </w:r>
      <w:r w:rsidR="009372DF">
        <w:t xml:space="preserve"> </w:t>
      </w:r>
      <w:r w:rsidR="00624989">
        <w:t>i </w:t>
      </w:r>
      <w:r w:rsidR="009372DF">
        <w:t>když mírnější než ve 2.</w:t>
      </w:r>
      <w:r w:rsidR="003B3260">
        <w:t> čtvrtlet</w:t>
      </w:r>
      <w:r w:rsidR="009372DF">
        <w:t>í</w:t>
      </w:r>
      <w:r w:rsidR="00D175AA">
        <w:t>,</w:t>
      </w:r>
      <w:r w:rsidR="009372DF">
        <w:t xml:space="preserve"> měly </w:t>
      </w:r>
      <w:r w:rsidR="00624989">
        <w:t>i </w:t>
      </w:r>
      <w:r w:rsidR="009372DF">
        <w:t>vyplacené dotace (+7,3</w:t>
      </w:r>
      <w:r w:rsidR="003B3260">
        <w:t> mld.</w:t>
      </w:r>
      <w:r w:rsidR="009372DF">
        <w:t xml:space="preserve">). </w:t>
      </w:r>
      <w:r w:rsidR="00D175AA">
        <w:t xml:space="preserve">Ve </w:t>
      </w:r>
      <w:r w:rsidR="00BE7C44">
        <w:t xml:space="preserve">zmírnění se projevila </w:t>
      </w:r>
      <w:r w:rsidR="009372DF">
        <w:t>menší potřeba podpůrných programů</w:t>
      </w:r>
      <w:r w:rsidR="00BE7C44">
        <w:t xml:space="preserve"> pro podnikatele</w:t>
      </w:r>
      <w:r w:rsidR="009372DF">
        <w:t>.</w:t>
      </w:r>
      <w:r w:rsidR="00BE7C44">
        <w:t xml:space="preserve"> Velmi podobná situace byla </w:t>
      </w:r>
      <w:r w:rsidR="00624989">
        <w:t>u </w:t>
      </w:r>
      <w:r w:rsidR="00BE7C44">
        <w:t xml:space="preserve">kapitálových transferů, které meziročně narostly </w:t>
      </w:r>
      <w:r w:rsidR="00624989">
        <w:t>o </w:t>
      </w:r>
      <w:r w:rsidR="00BE7C44">
        <w:t>7,0</w:t>
      </w:r>
      <w:r w:rsidR="003B3260">
        <w:t> mld.</w:t>
      </w:r>
      <w:r w:rsidR="00BE7C44">
        <w:t xml:space="preserve"> korun.</w:t>
      </w:r>
      <w:r w:rsidR="00F97CCA">
        <w:t xml:space="preserve"> </w:t>
      </w:r>
      <w:r w:rsidR="00AD6519">
        <w:t xml:space="preserve">Naopak </w:t>
      </w:r>
      <w:proofErr w:type="spellStart"/>
      <w:r w:rsidR="00AD6519">
        <w:t>m</w:t>
      </w:r>
      <w:r w:rsidR="00F97CCA">
        <w:t>ezispotřeba</w:t>
      </w:r>
      <w:proofErr w:type="spellEnd"/>
      <w:r w:rsidR="00F97CCA">
        <w:t xml:space="preserve"> meziročně klesla </w:t>
      </w:r>
      <w:r w:rsidR="00624989">
        <w:t>o </w:t>
      </w:r>
      <w:r w:rsidR="00F97CCA">
        <w:t>4,9</w:t>
      </w:r>
      <w:r w:rsidR="003B3260">
        <w:t> mld.</w:t>
      </w:r>
      <w:r w:rsidR="00F97CCA">
        <w:t xml:space="preserve"> korun </w:t>
      </w:r>
      <w:r w:rsidR="00624989">
        <w:t>a </w:t>
      </w:r>
      <w:r w:rsidR="00AD6519">
        <w:t>vy</w:t>
      </w:r>
      <w:r w:rsidR="00F97CCA">
        <w:t xml:space="preserve">placené ostatní běžné transfery </w:t>
      </w:r>
      <w:r w:rsidR="00624989">
        <w:t>o </w:t>
      </w:r>
      <w:r w:rsidR="00F97CCA">
        <w:t>4,1</w:t>
      </w:r>
      <w:r w:rsidR="003B3260">
        <w:t> mld.</w:t>
      </w:r>
      <w:r w:rsidR="00F97CCA">
        <w:t xml:space="preserve"> </w:t>
      </w:r>
      <w:r w:rsidR="00073A99">
        <w:t xml:space="preserve">Investiční aktivita vládních institucí ve 3. čtvrtletí meziročně stagnovala </w:t>
      </w:r>
      <w:r w:rsidR="00624989">
        <w:t>a </w:t>
      </w:r>
      <w:r w:rsidR="00073A99">
        <w:t xml:space="preserve">podle sezónně očištěných údajů mezičtvrtletně klesla </w:t>
      </w:r>
      <w:r w:rsidR="00624989">
        <w:t>o </w:t>
      </w:r>
      <w:r w:rsidR="00073A99">
        <w:t>0,5 mld. korun</w:t>
      </w:r>
      <w:r w:rsidR="00D175AA">
        <w:t>.</w:t>
      </w:r>
    </w:p>
    <w:p w14:paraId="6BDFBC0A" w14:textId="77777777" w:rsidR="00C65FAA" w:rsidRPr="00026950" w:rsidRDefault="00C65FAA" w:rsidP="000302A6">
      <w:pPr>
        <w:pStyle w:val="TabulkaGraf"/>
        <w:spacing w:after="120"/>
      </w:pPr>
      <w:r w:rsidRPr="00026950">
        <w:t>G</w:t>
      </w:r>
      <w:r w:rsidR="002E6F00" w:rsidRPr="00026950">
        <w:t>raf </w:t>
      </w:r>
      <w:r w:rsidRPr="00026950">
        <w:t>3: Saldo hospodaření vládních institucí (v</w:t>
      </w:r>
      <w:r w:rsidR="00840938" w:rsidRPr="00026950">
        <w:t> mld.</w:t>
      </w:r>
      <w:r w:rsidRPr="00026950">
        <w:t xml:space="preserve"> korun)</w:t>
      </w:r>
    </w:p>
    <w:p w14:paraId="013DB62F" w14:textId="2F70B42E" w:rsidR="00E52B7F" w:rsidRPr="00066E38" w:rsidRDefault="00026950" w:rsidP="000302A6">
      <w:pPr>
        <w:spacing w:after="120"/>
        <w:jc w:val="center"/>
        <w:rPr>
          <w:b/>
          <w:highlight w:val="yellow"/>
        </w:rPr>
      </w:pPr>
      <w:r>
        <w:rPr>
          <w:noProof/>
          <w:lang w:eastAsia="cs-CZ"/>
        </w:rPr>
        <w:drawing>
          <wp:inline distT="0" distB="0" distL="0" distR="0" wp14:anchorId="564ACD2E" wp14:editId="0EAE3CA6">
            <wp:extent cx="4737600" cy="2958400"/>
            <wp:effectExtent l="0" t="0" r="6350" b="0"/>
            <wp:docPr id="21" name="Graf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782E7F1" w14:textId="77777777" w:rsidR="00941335" w:rsidRPr="00026950" w:rsidRDefault="00941335" w:rsidP="000302A6">
      <w:pPr>
        <w:spacing w:after="120"/>
      </w:pPr>
      <w:r w:rsidRPr="00026950">
        <w:t>Zdroj: ČSÚ, národní účty</w:t>
      </w:r>
    </w:p>
    <w:p w14:paraId="619BF6FF" w14:textId="0B729F61" w:rsidR="00A2003A" w:rsidRDefault="00361733" w:rsidP="000302A6">
      <w:pPr>
        <w:spacing w:after="120"/>
      </w:pPr>
      <w:r w:rsidRPr="00361733">
        <w:t xml:space="preserve">Hlavní podíl deficitu připadl opět na </w:t>
      </w:r>
      <w:proofErr w:type="spellStart"/>
      <w:r w:rsidRPr="00361733">
        <w:t>subsektor</w:t>
      </w:r>
      <w:proofErr w:type="spellEnd"/>
      <w:r w:rsidRPr="00361733">
        <w:t xml:space="preserve"> ústředních vládních institucí, který se nejvíce podílí na současn</w:t>
      </w:r>
      <w:r>
        <w:t>ém růstu</w:t>
      </w:r>
      <w:r w:rsidRPr="00361733">
        <w:t xml:space="preserve"> výdaj</w:t>
      </w:r>
      <w:r>
        <w:t>ů. Jeho záporné saldo ve 3.</w:t>
      </w:r>
      <w:r w:rsidR="003B3260">
        <w:t> čtvrtlet</w:t>
      </w:r>
      <w:r>
        <w:t>í činilo 63,2</w:t>
      </w:r>
      <w:r w:rsidR="003B3260">
        <w:t> mld.</w:t>
      </w:r>
      <w:r>
        <w:t xml:space="preserve"> korun </w:t>
      </w:r>
      <w:r w:rsidR="00624989">
        <w:t>a </w:t>
      </w:r>
      <w:r>
        <w:t xml:space="preserve">meziročně se prohloubilo </w:t>
      </w:r>
      <w:r w:rsidR="00624989">
        <w:t>o </w:t>
      </w:r>
      <w:r w:rsidR="00743982">
        <w:t>74,6</w:t>
      </w:r>
      <w:r w:rsidR="003B3260">
        <w:t> mld.</w:t>
      </w:r>
      <w:r w:rsidR="00675702">
        <w:t xml:space="preserve"> Výdaje ústředních vládních institucí </w:t>
      </w:r>
      <w:r w:rsidR="00624989">
        <w:t>i </w:t>
      </w:r>
      <w:r w:rsidR="00675702">
        <w:t>nadále masivně rostly (+58,3 mld., 14,2</w:t>
      </w:r>
      <w:r w:rsidR="003B3260">
        <w:t> %</w:t>
      </w:r>
      <w:r w:rsidR="00675702">
        <w:t>, druhý nejvyšší zaznamenaný nárůst).</w:t>
      </w:r>
      <w:r w:rsidR="005237CD">
        <w:t xml:space="preserve"> Nejvíce se přitom zvýšily sociální dávky (+27,4</w:t>
      </w:r>
      <w:r w:rsidR="003B3260">
        <w:t> mld.</w:t>
      </w:r>
      <w:r w:rsidR="005237CD">
        <w:t xml:space="preserve"> korun)</w:t>
      </w:r>
      <w:r w:rsidR="009E52CF">
        <w:t xml:space="preserve"> </w:t>
      </w:r>
      <w:r w:rsidR="00624989">
        <w:t>a </w:t>
      </w:r>
      <w:r w:rsidR="009E52CF">
        <w:t>ostatní běžné transfery (15,1</w:t>
      </w:r>
      <w:r w:rsidR="003B3260">
        <w:t> mld.</w:t>
      </w:r>
      <w:r w:rsidR="009E52CF">
        <w:t xml:space="preserve">). </w:t>
      </w:r>
      <w:r w:rsidR="00495108">
        <w:t xml:space="preserve">Příjmy ústředních vládních institucí klesly </w:t>
      </w:r>
      <w:r w:rsidR="00624989">
        <w:t>o </w:t>
      </w:r>
      <w:r w:rsidR="00495108">
        <w:t>16,3</w:t>
      </w:r>
      <w:r w:rsidR="003B3260">
        <w:t> mld.</w:t>
      </w:r>
      <w:r w:rsidR="00495108">
        <w:t xml:space="preserve"> korun (</w:t>
      </w:r>
      <w:r w:rsidR="003B3260">
        <w:t>–</w:t>
      </w:r>
      <w:r w:rsidR="00495108">
        <w:t>3,9</w:t>
      </w:r>
      <w:r w:rsidR="003B3260">
        <w:t> %</w:t>
      </w:r>
      <w:r w:rsidR="00495108">
        <w:t xml:space="preserve">), zejména kvůli poklesu přijatých čistých sociálních příspěvků </w:t>
      </w:r>
      <w:r w:rsidR="00624989">
        <w:t>o </w:t>
      </w:r>
      <w:r w:rsidR="00495108">
        <w:t>12,9</w:t>
      </w:r>
      <w:r w:rsidR="003B3260">
        <w:t> mld.</w:t>
      </w:r>
      <w:r w:rsidR="00495108">
        <w:t xml:space="preserve"> korun </w:t>
      </w:r>
      <w:r w:rsidR="00624989">
        <w:t>a </w:t>
      </w:r>
      <w:r w:rsidR="00495108">
        <w:t xml:space="preserve">daní z výroby </w:t>
      </w:r>
      <w:r w:rsidR="00624989">
        <w:t>a </w:t>
      </w:r>
      <w:r w:rsidR="00495108">
        <w:t xml:space="preserve">dovozu </w:t>
      </w:r>
      <w:r w:rsidR="00624989">
        <w:t>o </w:t>
      </w:r>
      <w:r w:rsidR="00495108">
        <w:t>8,1</w:t>
      </w:r>
      <w:r w:rsidR="003B3260">
        <w:t> mld.</w:t>
      </w:r>
    </w:p>
    <w:p w14:paraId="06FEB317" w14:textId="55FBE76E" w:rsidR="005F1E2F" w:rsidRDefault="000A5AAC" w:rsidP="000302A6">
      <w:pPr>
        <w:spacing w:after="120"/>
      </w:pPr>
      <w:r>
        <w:t>Místní vládní instituce hospodařily s přebytkem 14,0</w:t>
      </w:r>
      <w:r w:rsidR="003B3260">
        <w:t> mld.</w:t>
      </w:r>
      <w:r>
        <w:t xml:space="preserve"> korun, což je ve srovnání s obvyklou úrovní ve 3.</w:t>
      </w:r>
      <w:r w:rsidR="003B3260">
        <w:t> čtvrtlet</w:t>
      </w:r>
      <w:r>
        <w:t>í poměrně vysoká hodnota.</w:t>
      </w:r>
      <w:r w:rsidR="00CA1B47">
        <w:t xml:space="preserve"> Nárůst výdajů dosáhl 7,0</w:t>
      </w:r>
      <w:r w:rsidR="003B3260">
        <w:t> mld.</w:t>
      </w:r>
      <w:r w:rsidR="00CA1B47">
        <w:t xml:space="preserve"> korun </w:t>
      </w:r>
      <w:r w:rsidR="00624989">
        <w:t>a </w:t>
      </w:r>
      <w:r w:rsidR="00C558B2">
        <w:t xml:space="preserve">hlavní podíl na tom měly náhrady zaměstnancům, které se zvýšily </w:t>
      </w:r>
      <w:r w:rsidR="00624989">
        <w:t>o </w:t>
      </w:r>
      <w:r w:rsidR="00C558B2">
        <w:t>8,6</w:t>
      </w:r>
      <w:r w:rsidR="003B3260">
        <w:t> mld.</w:t>
      </w:r>
      <w:r w:rsidR="00C558B2">
        <w:t xml:space="preserve"> Naopak investiční výdaje se propadly </w:t>
      </w:r>
      <w:r w:rsidR="00624989">
        <w:t>o </w:t>
      </w:r>
      <w:r w:rsidR="00C558B2">
        <w:t>2,</w:t>
      </w:r>
      <w:r w:rsidR="00624989">
        <w:t>2 </w:t>
      </w:r>
      <w:r w:rsidR="00C558B2">
        <w:t>ml</w:t>
      </w:r>
      <w:r w:rsidR="00337C71">
        <w:t>d</w:t>
      </w:r>
      <w:r w:rsidR="00C558B2">
        <w:t xml:space="preserve">. korun. </w:t>
      </w:r>
      <w:r w:rsidR="00624989">
        <w:t>U </w:t>
      </w:r>
      <w:r w:rsidR="00C558B2">
        <w:t xml:space="preserve">příjmů došlo k prudkému navýšení </w:t>
      </w:r>
      <w:r w:rsidR="00624989">
        <w:t>o </w:t>
      </w:r>
      <w:r w:rsidR="00C558B2">
        <w:t>22,4</w:t>
      </w:r>
      <w:r w:rsidR="003B3260">
        <w:t> mld.</w:t>
      </w:r>
      <w:r w:rsidR="00C558B2">
        <w:t xml:space="preserve"> korun, což také </w:t>
      </w:r>
      <w:r w:rsidR="00A431FA">
        <w:t>přispělo k výslednému přebytku. Většina z tohoto navýšení připadla na přijaté ostat</w:t>
      </w:r>
      <w:r w:rsidR="00E64DE8">
        <w:t xml:space="preserve">ní běžné </w:t>
      </w:r>
      <w:r w:rsidR="00E64DE8">
        <w:lastRenderedPageBreak/>
        <w:t>transfery (+20,4</w:t>
      </w:r>
      <w:r w:rsidR="003B3260">
        <w:t> mld.</w:t>
      </w:r>
      <w:r w:rsidR="00E64DE8">
        <w:t xml:space="preserve"> korun)</w:t>
      </w:r>
      <w:r w:rsidR="00F169B0">
        <w:rPr>
          <w:rStyle w:val="Znakapoznpodarou"/>
        </w:rPr>
        <w:footnoteReference w:id="8"/>
      </w:r>
      <w:r w:rsidR="00E64DE8">
        <w:t>. Fondy sociálního zabezpečení (zdravotní pojišťovny) ve 3.</w:t>
      </w:r>
      <w:r w:rsidR="003B3260">
        <w:t> čtvrtlet</w:t>
      </w:r>
      <w:r w:rsidR="00E64DE8">
        <w:t>í skončily v přebytku 7,1</w:t>
      </w:r>
      <w:r w:rsidR="003B3260">
        <w:t> mld.</w:t>
      </w:r>
      <w:r w:rsidR="00E64DE8">
        <w:t xml:space="preserve"> korun. Ten se meziročně zvýšil </w:t>
      </w:r>
      <w:r w:rsidR="00624989">
        <w:t>o </w:t>
      </w:r>
      <w:r w:rsidR="00E64DE8">
        <w:t>1,7</w:t>
      </w:r>
      <w:r w:rsidR="003B3260">
        <w:t> mld.</w:t>
      </w:r>
      <w:r w:rsidR="00E64DE8">
        <w:t xml:space="preserve"> Výdaje </w:t>
      </w:r>
      <w:proofErr w:type="spellStart"/>
      <w:r w:rsidR="00E64DE8">
        <w:t>subsektoru</w:t>
      </w:r>
      <w:proofErr w:type="spellEnd"/>
      <w:r w:rsidR="00E64DE8">
        <w:t xml:space="preserve"> se prudce zvýšily (9,1</w:t>
      </w:r>
      <w:r w:rsidR="003B3260">
        <w:t> mld.</w:t>
      </w:r>
      <w:r w:rsidR="00E64DE8">
        <w:t xml:space="preserve"> korun), nejvíce kvůli naturálním sociálním transferům (+4,7</w:t>
      </w:r>
      <w:r w:rsidR="003B3260">
        <w:t> mld.</w:t>
      </w:r>
      <w:r w:rsidR="00E64DE8">
        <w:t xml:space="preserve">) </w:t>
      </w:r>
      <w:r w:rsidR="00624989">
        <w:t>a </w:t>
      </w:r>
      <w:r w:rsidR="00E64DE8">
        <w:t>ostatním běžným transferům (+4,0</w:t>
      </w:r>
      <w:r w:rsidR="003B3260">
        <w:t> mld.</w:t>
      </w:r>
      <w:r w:rsidR="00E64DE8">
        <w:t>).</w:t>
      </w:r>
      <w:r w:rsidR="003B3260">
        <w:t xml:space="preserve"> </w:t>
      </w:r>
      <w:r w:rsidR="00E64DE8">
        <w:t xml:space="preserve">Příjmy zde narostly </w:t>
      </w:r>
      <w:r w:rsidR="00624989">
        <w:t>o </w:t>
      </w:r>
      <w:r w:rsidR="00E64DE8">
        <w:t>10,8</w:t>
      </w:r>
      <w:r w:rsidR="003B3260">
        <w:t> mld.</w:t>
      </w:r>
      <w:r w:rsidR="00E64DE8">
        <w:t xml:space="preserve"> korun, z většiny kvůli přijatým sociálním příspěvkům (+10,7</w:t>
      </w:r>
      <w:r w:rsidR="003B3260">
        <w:t> mld.</w:t>
      </w:r>
      <w:r w:rsidR="00E64DE8">
        <w:t>).</w:t>
      </w:r>
    </w:p>
    <w:p w14:paraId="6754F7DC" w14:textId="47590F4D" w:rsidR="00413AF7" w:rsidRPr="00361733" w:rsidRDefault="005F1E2F" w:rsidP="000302A6">
      <w:pPr>
        <w:spacing w:after="120"/>
      </w:pPr>
      <w:r>
        <w:t>Dluh sektoru vládních institucí ve 3.</w:t>
      </w:r>
      <w:r w:rsidR="003B3260">
        <w:t> čtvrtlet</w:t>
      </w:r>
      <w:r>
        <w:t>í dosáhl 2 170,9</w:t>
      </w:r>
      <w:r w:rsidR="003B3260">
        <w:t> mld.</w:t>
      </w:r>
      <w:r>
        <w:t xml:space="preserve"> korun</w:t>
      </w:r>
      <w:r w:rsidRPr="005F1E2F">
        <w:rPr>
          <w:rStyle w:val="Znakapoznpodarou"/>
        </w:rPr>
        <w:footnoteReference w:id="9"/>
      </w:r>
      <w:r>
        <w:t xml:space="preserve"> </w:t>
      </w:r>
      <w:r w:rsidR="00624989">
        <w:t>a </w:t>
      </w:r>
      <w:r>
        <w:t>meziročně byl o 386,3 mld. vyšší.</w:t>
      </w:r>
      <w:r w:rsidR="00E260AC">
        <w:t xml:space="preserve"> Hodnota dluhu tak nadále převyšuje úroveň předchozích krizí </w:t>
      </w:r>
      <w:r w:rsidR="00624989">
        <w:t>a </w:t>
      </w:r>
      <w:r w:rsidR="00E260AC">
        <w:t xml:space="preserve">meziroční přírůstek byl druhý nejvyšší zaznamenaný. </w:t>
      </w:r>
      <w:r>
        <w:t>Meziroční nárůst byl z naprosté většiny tvořen navýšením dluhových cenných papírů (+389,8</w:t>
      </w:r>
      <w:r w:rsidR="003B3260">
        <w:t> mld.</w:t>
      </w:r>
      <w:r>
        <w:t xml:space="preserve"> korun), přičemž ty dlouhodobé</w:t>
      </w:r>
      <w:r w:rsidR="00E64DE8">
        <w:t xml:space="preserve"> </w:t>
      </w:r>
      <w:r>
        <w:t xml:space="preserve">narostly </w:t>
      </w:r>
      <w:r w:rsidR="00624989">
        <w:t>o </w:t>
      </w:r>
      <w:r>
        <w:t>289,0</w:t>
      </w:r>
      <w:r w:rsidR="003B3260">
        <w:t> mld.</w:t>
      </w:r>
      <w:r>
        <w:t xml:space="preserve"> </w:t>
      </w:r>
      <w:r w:rsidR="00624989">
        <w:t>a </w:t>
      </w:r>
      <w:r>
        <w:t xml:space="preserve">krátkodobé </w:t>
      </w:r>
      <w:r w:rsidR="00624989">
        <w:t>o </w:t>
      </w:r>
      <w:r>
        <w:t xml:space="preserve">100,8 mld. </w:t>
      </w:r>
      <w:r w:rsidR="00E260AC">
        <w:t>Dluhové cenné papíry tvořily 93,4</w:t>
      </w:r>
      <w:r w:rsidR="003B3260">
        <w:t> %</w:t>
      </w:r>
      <w:r w:rsidR="00E260AC">
        <w:t xml:space="preserve"> celkového dluhu. Objem oběživa </w:t>
      </w:r>
      <w:r w:rsidR="00624989">
        <w:t>a </w:t>
      </w:r>
      <w:r w:rsidR="00E260AC">
        <w:t xml:space="preserve">vkladů v dluhovém portfoliu meziročně vzrostl </w:t>
      </w:r>
      <w:r w:rsidR="00624989">
        <w:t>o </w:t>
      </w:r>
      <w:r w:rsidR="00E260AC">
        <w:t>3,1</w:t>
      </w:r>
      <w:r w:rsidR="003B3260">
        <w:t> mld.</w:t>
      </w:r>
      <w:r w:rsidR="00E260AC">
        <w:t xml:space="preserve"> korun </w:t>
      </w:r>
      <w:r w:rsidR="00624989">
        <w:t>a </w:t>
      </w:r>
      <w:r w:rsidR="00E260AC">
        <w:t xml:space="preserve">půjčky klesly </w:t>
      </w:r>
      <w:r w:rsidR="00624989">
        <w:t>o </w:t>
      </w:r>
      <w:r w:rsidR="00E260AC">
        <w:t>6,6</w:t>
      </w:r>
      <w:r w:rsidR="003B3260">
        <w:t> mld.</w:t>
      </w:r>
    </w:p>
    <w:p w14:paraId="009C422D" w14:textId="1814AD76" w:rsidR="00C65FAA" w:rsidRPr="007146C8" w:rsidRDefault="00C65FAA" w:rsidP="000302A6">
      <w:pPr>
        <w:pStyle w:val="TabulkaGraf"/>
        <w:spacing w:after="120"/>
      </w:pPr>
      <w:r w:rsidRPr="007146C8">
        <w:t>G</w:t>
      </w:r>
      <w:r w:rsidR="002E6F00" w:rsidRPr="007146C8">
        <w:t>raf </w:t>
      </w:r>
      <w:r w:rsidRPr="007146C8">
        <w:t xml:space="preserve">4: Dluh sektoru vládních institucí </w:t>
      </w:r>
      <w:r w:rsidR="00F03815" w:rsidRPr="007146C8">
        <w:t>a </w:t>
      </w:r>
      <w:r w:rsidRPr="007146C8">
        <w:t>jeho struktura (meziroční změna v mld. korun)</w:t>
      </w:r>
    </w:p>
    <w:p w14:paraId="05A35859" w14:textId="25BD1392" w:rsidR="00656A12" w:rsidRPr="00066E38" w:rsidRDefault="007146C8" w:rsidP="000302A6">
      <w:pPr>
        <w:spacing w:after="120"/>
        <w:jc w:val="center"/>
        <w:rPr>
          <w:highlight w:val="yellow"/>
        </w:rPr>
      </w:pPr>
      <w:r>
        <w:rPr>
          <w:noProof/>
          <w:lang w:eastAsia="cs-CZ"/>
        </w:rPr>
        <w:drawing>
          <wp:inline distT="0" distB="0" distL="0" distR="0" wp14:anchorId="4B948D29" wp14:editId="1CF83809">
            <wp:extent cx="4737600" cy="2958400"/>
            <wp:effectExtent l="0" t="0" r="6350" b="0"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8107F2" w14:textId="77777777" w:rsidR="00941335" w:rsidRPr="007146C8" w:rsidRDefault="00941335" w:rsidP="000302A6">
      <w:pPr>
        <w:spacing w:after="120"/>
      </w:pPr>
      <w:r w:rsidRPr="007146C8">
        <w:t>Zdroj: ČSÚ, národní účty</w:t>
      </w:r>
    </w:p>
    <w:p w14:paraId="7A77035A" w14:textId="77777777" w:rsidR="00F81F79" w:rsidRPr="00066E38" w:rsidRDefault="00F81F79" w:rsidP="000302A6">
      <w:pPr>
        <w:spacing w:after="120" w:line="240" w:lineRule="auto"/>
        <w:jc w:val="left"/>
        <w:rPr>
          <w:rFonts w:eastAsia="Times New Roman"/>
          <w:b/>
          <w:bCs/>
          <w:szCs w:val="28"/>
          <w:highlight w:val="yellow"/>
        </w:rPr>
      </w:pPr>
      <w:r w:rsidRPr="00066E38">
        <w:rPr>
          <w:highlight w:val="yellow"/>
        </w:rPr>
        <w:br w:type="page"/>
      </w:r>
    </w:p>
    <w:p w14:paraId="7F1AAFC6" w14:textId="794A13CC" w:rsidR="00F50CEF" w:rsidRDefault="00F50CEF" w:rsidP="000302A6">
      <w:pPr>
        <w:pStyle w:val="Nadpis1"/>
        <w:spacing w:after="120"/>
      </w:pPr>
      <w:r w:rsidRPr="002636CE">
        <w:lastRenderedPageBreak/>
        <w:t>Domácnosti</w:t>
      </w:r>
    </w:p>
    <w:p w14:paraId="29E66A67" w14:textId="3EACD4A1" w:rsidR="002636CE" w:rsidRDefault="009F116F" w:rsidP="00557B94">
      <w:pPr>
        <w:spacing w:after="120"/>
      </w:pPr>
      <w:r>
        <w:t>Hrubý disponibilní důchod (HDD) domácností ve 3.</w:t>
      </w:r>
      <w:r w:rsidR="003B3260">
        <w:t> čtvrtlet</w:t>
      </w:r>
      <w:r>
        <w:t>í dosáhl 784,4</w:t>
      </w:r>
      <w:r w:rsidR="003B3260">
        <w:t> mld.</w:t>
      </w:r>
      <w:r>
        <w:t xml:space="preserve"> korun </w:t>
      </w:r>
      <w:r w:rsidR="00624989">
        <w:t>a </w:t>
      </w:r>
      <w:r>
        <w:t xml:space="preserve">meziročně se zvýšil </w:t>
      </w:r>
      <w:r w:rsidR="00624989">
        <w:t>o </w:t>
      </w:r>
      <w:r>
        <w:t>32,9</w:t>
      </w:r>
      <w:r w:rsidR="003B3260">
        <w:t> mld.</w:t>
      </w:r>
      <w:r>
        <w:t xml:space="preserve"> (4,4</w:t>
      </w:r>
      <w:r w:rsidR="003B3260">
        <w:t> %</w:t>
      </w:r>
      <w:r>
        <w:t>). Meziroční přírůstek byl silnější než ve 2.</w:t>
      </w:r>
      <w:r w:rsidR="003B3260">
        <w:t> čtvrtlet</w:t>
      </w:r>
      <w:r>
        <w:t>í</w:t>
      </w:r>
      <w:r w:rsidR="001E249C">
        <w:t xml:space="preserve">, ale zůstal </w:t>
      </w:r>
      <w:r w:rsidR="00321E61">
        <w:t xml:space="preserve">pod </w:t>
      </w:r>
      <w:r w:rsidR="001E249C">
        <w:t>úrovní let 2017–2019</w:t>
      </w:r>
      <w:r>
        <w:t xml:space="preserve">. </w:t>
      </w:r>
      <w:r w:rsidR="001E249C">
        <w:t>Reálný přírůstek HDD činil 1,9</w:t>
      </w:r>
      <w:r w:rsidR="003B3260">
        <w:t> %</w:t>
      </w:r>
      <w:r w:rsidR="001E249C" w:rsidRPr="001E249C">
        <w:rPr>
          <w:rStyle w:val="Znakapoznpodarou"/>
        </w:rPr>
        <w:footnoteReference w:id="10"/>
      </w:r>
      <w:r w:rsidR="001E249C">
        <w:t xml:space="preserve"> </w:t>
      </w:r>
      <w:r w:rsidR="00624989">
        <w:t>a </w:t>
      </w:r>
      <w:r w:rsidR="001E249C">
        <w:t xml:space="preserve">výrazně posílil oproti předchozímu čtvrtletí. Napomohlo tomu </w:t>
      </w:r>
      <w:r w:rsidR="00624989">
        <w:t>i </w:t>
      </w:r>
      <w:r w:rsidR="001E249C">
        <w:t xml:space="preserve">výrazné zpomalení cenového růstu. </w:t>
      </w:r>
      <w:r>
        <w:t xml:space="preserve">Podle sezónně očištěných údajů vzrostl HDD mezičtvrtletně </w:t>
      </w:r>
      <w:r w:rsidR="00624989">
        <w:t>o </w:t>
      </w:r>
      <w:r>
        <w:t>13,9</w:t>
      </w:r>
      <w:r w:rsidR="003B3260">
        <w:t> mld.</w:t>
      </w:r>
      <w:r>
        <w:t xml:space="preserve"> korun.</w:t>
      </w:r>
    </w:p>
    <w:p w14:paraId="0C449E2A" w14:textId="0B66E60D" w:rsidR="00391917" w:rsidRDefault="00B328D3" w:rsidP="00557B94">
      <w:pPr>
        <w:spacing w:after="120"/>
      </w:pPr>
      <w:r>
        <w:t>Také ve 3.</w:t>
      </w:r>
      <w:r w:rsidR="003B3260">
        <w:t> čtvrtlet</w:t>
      </w:r>
      <w:r>
        <w:t xml:space="preserve">í se struktura růstu HDD domácností lišila od předchozích let. Ačkoli se z pohledu na celkový růst HDD zdá, že domácnosti zatím neutrpěly velké ztráty, z jednotlivých položek je vidět, že poklesly zejména hlavní zdroje příjmů, které kompenzovala </w:t>
      </w:r>
      <w:r w:rsidR="009701AB">
        <w:t xml:space="preserve">především </w:t>
      </w:r>
      <w:r>
        <w:t>vládní pomoc. Obdržené náhrady zaměstnancům, které jsou v českých podmínkách hlavním příjmem domácností</w:t>
      </w:r>
      <w:r w:rsidR="00984499">
        <w:t>,</w:t>
      </w:r>
      <w:r>
        <w:t xml:space="preserve"> ve 3.</w:t>
      </w:r>
      <w:r w:rsidR="003B3260">
        <w:t> čtvrtlet</w:t>
      </w:r>
      <w:r>
        <w:t xml:space="preserve">í meziročně vzrostly </w:t>
      </w:r>
      <w:r w:rsidR="00624989">
        <w:t>o </w:t>
      </w:r>
      <w:r>
        <w:t>3,5</w:t>
      </w:r>
      <w:r w:rsidR="003B3260">
        <w:t> mld.</w:t>
      </w:r>
      <w:r>
        <w:t xml:space="preserve"> korun na 640,5</w:t>
      </w:r>
      <w:r w:rsidR="003B3260">
        <w:t> mld.</w:t>
      </w:r>
      <w:r w:rsidR="00984499">
        <w:t xml:space="preserve"> Z toho rostly mzdy </w:t>
      </w:r>
      <w:r w:rsidR="00624989">
        <w:t>a </w:t>
      </w:r>
      <w:r w:rsidR="00984499">
        <w:t>platy</w:t>
      </w:r>
      <w:r w:rsidR="009701AB">
        <w:t>, a to</w:t>
      </w:r>
      <w:r w:rsidR="00984499">
        <w:t xml:space="preserve"> </w:t>
      </w:r>
      <w:r w:rsidR="00624989">
        <w:t>o </w:t>
      </w:r>
      <w:r w:rsidR="00984499">
        <w:t>7,5</w:t>
      </w:r>
      <w:r w:rsidR="003B3260">
        <w:t> mld.</w:t>
      </w:r>
      <w:r w:rsidR="00984499">
        <w:t xml:space="preserve"> korun. Naopak klesly vyplacené sociální příspěvky zaměstnavatelů</w:t>
      </w:r>
      <w:r w:rsidR="00321E61">
        <w:br/>
      </w:r>
      <w:r w:rsidR="00984499">
        <w:t>(</w:t>
      </w:r>
      <w:r w:rsidR="003B3260">
        <w:t>–</w:t>
      </w:r>
      <w:r w:rsidR="00984499">
        <w:t>4,0</w:t>
      </w:r>
      <w:r w:rsidR="003B3260">
        <w:t> mld.</w:t>
      </w:r>
      <w:r w:rsidR="00984499">
        <w:t>). Situace tak byla opačná než ve 2.</w:t>
      </w:r>
      <w:r w:rsidR="003B3260">
        <w:t> kvartál</w:t>
      </w:r>
      <w:r w:rsidR="00984499">
        <w:t>u, kdy růst náhrad podpořily prostředky vyplacené zaměstnancům v rámci programu Antivirus, které byly zařazeny do položky sociálních příspěvků. Reálný meziroční pokles náhrad zaměstnancům činil 1,8</w:t>
      </w:r>
      <w:r w:rsidR="003B3260">
        <w:t> %</w:t>
      </w:r>
      <w:r w:rsidR="00984499">
        <w:t>.</w:t>
      </w:r>
      <w:r w:rsidR="001876AB">
        <w:t xml:space="preserve"> </w:t>
      </w:r>
      <w:r w:rsidR="00013757">
        <w:t xml:space="preserve">Podnikatelům zařazeným do sektoru domácností příjmy </w:t>
      </w:r>
      <w:r w:rsidR="00624989">
        <w:t>i </w:t>
      </w:r>
      <w:r w:rsidR="00013757">
        <w:t>ve 3.</w:t>
      </w:r>
      <w:r w:rsidR="003B3260">
        <w:t> čtvrtlet</w:t>
      </w:r>
      <w:r w:rsidR="00013757">
        <w:t xml:space="preserve">í klesaly, což dokládá </w:t>
      </w:r>
      <w:r w:rsidR="00624989">
        <w:t>i </w:t>
      </w:r>
      <w:r w:rsidR="00013757">
        <w:t>h</w:t>
      </w:r>
      <w:r w:rsidR="001876AB">
        <w:t>rubý smíšený důchod</w:t>
      </w:r>
      <w:r w:rsidR="001876AB" w:rsidRPr="001876AB">
        <w:rPr>
          <w:rStyle w:val="Znakapoznpodarou"/>
        </w:rPr>
        <w:footnoteReference w:id="11"/>
      </w:r>
      <w:r w:rsidR="00013757">
        <w:t xml:space="preserve">, který se </w:t>
      </w:r>
      <w:r w:rsidR="001876AB">
        <w:t>ve 3.</w:t>
      </w:r>
      <w:r w:rsidR="00013757">
        <w:t> </w:t>
      </w:r>
      <w:r w:rsidR="001876AB">
        <w:t xml:space="preserve">čtvrtletí </w:t>
      </w:r>
      <w:r w:rsidR="00013757">
        <w:t>meziročně snížil</w:t>
      </w:r>
      <w:r w:rsidR="001876AB">
        <w:t xml:space="preserve"> </w:t>
      </w:r>
      <w:r w:rsidR="00624989">
        <w:t>o </w:t>
      </w:r>
      <w:r w:rsidR="001876AB">
        <w:t>3,8</w:t>
      </w:r>
      <w:r w:rsidR="003B3260">
        <w:t> mld.</w:t>
      </w:r>
      <w:r w:rsidR="001876AB">
        <w:t xml:space="preserve"> korun na 137,6</w:t>
      </w:r>
      <w:r w:rsidR="003B3260">
        <w:t> mld.</w:t>
      </w:r>
      <w:r w:rsidR="001876AB">
        <w:t xml:space="preserve"> Naopak hrubý provozní přebytek</w:t>
      </w:r>
      <w:r w:rsidR="001876AB" w:rsidRPr="001876AB">
        <w:rPr>
          <w:rStyle w:val="Znakapoznpodarou"/>
        </w:rPr>
        <w:footnoteReference w:id="12"/>
      </w:r>
      <w:r w:rsidR="001876AB">
        <w:t xml:space="preserve"> si zatím kladné přírůstky držel (+3,7</w:t>
      </w:r>
      <w:r w:rsidR="003B3260">
        <w:t> mld.</w:t>
      </w:r>
      <w:r w:rsidR="001876AB">
        <w:t xml:space="preserve"> korun).</w:t>
      </w:r>
      <w:r w:rsidR="00013757">
        <w:t xml:space="preserve"> Saldo důchodů z vlastnictví domácností se jen drobně zvýšilo </w:t>
      </w:r>
      <w:r w:rsidR="00624989">
        <w:t>o </w:t>
      </w:r>
      <w:r w:rsidR="00013757">
        <w:t>0,6</w:t>
      </w:r>
      <w:r w:rsidR="003B3260">
        <w:t> mld.</w:t>
      </w:r>
      <w:r w:rsidR="00013757">
        <w:t xml:space="preserve"> korun na 41,3</w:t>
      </w:r>
      <w:r w:rsidR="003B3260">
        <w:t> mld.</w:t>
      </w:r>
    </w:p>
    <w:p w14:paraId="3905B214" w14:textId="75189F9D" w:rsidR="009B16D4" w:rsidRDefault="00391917" w:rsidP="00557B94">
      <w:pPr>
        <w:spacing w:after="120"/>
      </w:pPr>
      <w:r>
        <w:t>Saldo druhotného rozdělení skončilo v deficitu 112,6</w:t>
      </w:r>
      <w:r w:rsidR="003B3260">
        <w:t> mld.</w:t>
      </w:r>
      <w:r>
        <w:t xml:space="preserve"> korun. </w:t>
      </w:r>
      <w:r w:rsidR="007C1691">
        <w:t xml:space="preserve">Meziročně se deficit zmírnil </w:t>
      </w:r>
      <w:r w:rsidR="00624989">
        <w:t>o </w:t>
      </w:r>
      <w:r w:rsidR="007C1691">
        <w:t>29,0</w:t>
      </w:r>
      <w:r w:rsidR="003B3260">
        <w:t> mld.</w:t>
      </w:r>
      <w:r w:rsidR="007C1691">
        <w:t xml:space="preserve"> korun.</w:t>
      </w:r>
      <w:r w:rsidR="00633A27">
        <w:t xml:space="preserve"> To je třetí zmírnění v řadě </w:t>
      </w:r>
      <w:r w:rsidR="00624989">
        <w:t>a </w:t>
      </w:r>
      <w:r w:rsidR="00633A27">
        <w:t>jedno z největších zaznamenaných vůbec.</w:t>
      </w:r>
      <w:r w:rsidR="007C1691">
        <w:t xml:space="preserve"> Důvodem </w:t>
      </w:r>
      <w:r w:rsidR="008157C0">
        <w:t xml:space="preserve">tohoto </w:t>
      </w:r>
      <w:r w:rsidR="007C1691">
        <w:t>zmírnění je podobně jako ve 2.</w:t>
      </w:r>
      <w:r w:rsidR="003B3260">
        <w:t> kvartál</w:t>
      </w:r>
      <w:r w:rsidR="007C1691">
        <w:t>u výrazný nárůst prostředků na straně zdrojů</w:t>
      </w:r>
      <w:r w:rsidR="009B16D4">
        <w:t>, přičemž strana užití stagnovala</w:t>
      </w:r>
      <w:r w:rsidR="007C1691">
        <w:t xml:space="preserve">. Domácnosti meziročně obdržely </w:t>
      </w:r>
      <w:r w:rsidR="00624989">
        <w:t>o </w:t>
      </w:r>
      <w:r w:rsidR="007C1691">
        <w:t>30,6</w:t>
      </w:r>
      <w:r w:rsidR="003B3260">
        <w:t> mld.</w:t>
      </w:r>
      <w:r w:rsidR="007C1691">
        <w:t xml:space="preserve"> korun více ve formě sociálních dávek. Naopak</w:t>
      </w:r>
      <w:r w:rsidR="009B16D4">
        <w:t xml:space="preserve"> vyplacené</w:t>
      </w:r>
      <w:r w:rsidR="007C1691">
        <w:t xml:space="preserve"> ostatní běžné transfery klesly </w:t>
      </w:r>
      <w:r w:rsidR="00624989">
        <w:t>o </w:t>
      </w:r>
      <w:r w:rsidR="007C1691">
        <w:t>6,6</w:t>
      </w:r>
      <w:r w:rsidR="003B3260">
        <w:t> mld.</w:t>
      </w:r>
      <w:r w:rsidR="007C1691">
        <w:t xml:space="preserve"> korun. Běžné daně z</w:t>
      </w:r>
      <w:r w:rsidR="00973287">
        <w:t> </w:t>
      </w:r>
      <w:r w:rsidR="007C1691">
        <w:t>důchodů</w:t>
      </w:r>
      <w:r w:rsidR="00973287">
        <w:t xml:space="preserve"> </w:t>
      </w:r>
      <w:r w:rsidR="00624989">
        <w:t>a </w:t>
      </w:r>
      <w:r w:rsidR="007C1691">
        <w:t>jmění zaplacené domácnostmi se meziročně zvýšily jen mírně (+2,2</w:t>
      </w:r>
      <w:r w:rsidR="003B3260">
        <w:t> mld.</w:t>
      </w:r>
      <w:r w:rsidR="007C1691">
        <w:t xml:space="preserve"> korun)</w:t>
      </w:r>
      <w:r w:rsidR="00973287">
        <w:t xml:space="preserve"> </w:t>
      </w:r>
      <w:r w:rsidR="00624989">
        <w:t>a </w:t>
      </w:r>
      <w:r w:rsidR="00973287">
        <w:t xml:space="preserve">meziročně stagnoval objem </w:t>
      </w:r>
      <w:r w:rsidR="00633A27">
        <w:t>odvedených</w:t>
      </w:r>
      <w:r w:rsidR="00973287">
        <w:t xml:space="preserve"> sociálních příspěvků.</w:t>
      </w:r>
    </w:p>
    <w:p w14:paraId="2470473E" w14:textId="69E0819F" w:rsidR="0050484A" w:rsidRDefault="00B57649" w:rsidP="00557B94">
      <w:pPr>
        <w:spacing w:after="120"/>
      </w:pPr>
      <w:r>
        <w:t>Ve 2.</w:t>
      </w:r>
      <w:r w:rsidR="003B3260">
        <w:t> čtvrtlet</w:t>
      </w:r>
      <w:r>
        <w:t xml:space="preserve">í výdaje na konečnou spotřebu domácností prudce meziročně klesly, protože opatření proti šíření </w:t>
      </w:r>
      <w:proofErr w:type="spellStart"/>
      <w:r>
        <w:t>koronaviru</w:t>
      </w:r>
      <w:proofErr w:type="spellEnd"/>
      <w:r w:rsidR="0050484A">
        <w:t xml:space="preserve"> (uzavření části maloobchodních prodejen </w:t>
      </w:r>
      <w:r w:rsidR="00624989">
        <w:t>a </w:t>
      </w:r>
      <w:r w:rsidR="0050484A">
        <w:t>provozoven služeb)</w:t>
      </w:r>
      <w:r>
        <w:t xml:space="preserve"> limitovala možnosti spotřebitelů, kde utrácet. Uvolnění restrikcí vedlo k částečnému obnovení </w:t>
      </w:r>
      <w:r w:rsidR="00321E61">
        <w:t xml:space="preserve">standardního </w:t>
      </w:r>
      <w:r>
        <w:t>spotřebního chování. Výdaje na konečnou spotřebu domácností ve 3.</w:t>
      </w:r>
      <w:r w:rsidR="003B3260">
        <w:t> čtvrtlet</w:t>
      </w:r>
      <w:r>
        <w:t xml:space="preserve">í meziročně klesly </w:t>
      </w:r>
      <w:r w:rsidR="00624989">
        <w:t>o </w:t>
      </w:r>
      <w:r>
        <w:t>11,1</w:t>
      </w:r>
      <w:r w:rsidR="003B3260">
        <w:t> mld.</w:t>
      </w:r>
      <w:r>
        <w:t xml:space="preserve"> korun</w:t>
      </w:r>
      <w:r w:rsidR="00973287">
        <w:t xml:space="preserve"> </w:t>
      </w:r>
      <w:r>
        <w:t>na 668,4</w:t>
      </w:r>
      <w:r w:rsidR="003B3260">
        <w:t> mld.</w:t>
      </w:r>
      <w:r>
        <w:t xml:space="preserve"> </w:t>
      </w:r>
      <w:r w:rsidRPr="00B57649">
        <w:t xml:space="preserve">Hodnota statků a služeb spotřebovaných domácnostmi v podobě naturálních sociálních transferů ve </w:t>
      </w:r>
      <w:r>
        <w:t>3</w:t>
      </w:r>
      <w:r w:rsidRPr="00B57649">
        <w:t>. čtvrtletí stoupla o </w:t>
      </w:r>
      <w:r>
        <w:t>10,6</w:t>
      </w:r>
      <w:r w:rsidRPr="00B57649">
        <w:t> mld. korun na 17</w:t>
      </w:r>
      <w:r>
        <w:t>5</w:t>
      </w:r>
      <w:r w:rsidRPr="00B57649">
        <w:t>,</w:t>
      </w:r>
      <w:r>
        <w:t>8</w:t>
      </w:r>
      <w:r w:rsidRPr="00B57649">
        <w:t> mld</w:t>
      </w:r>
      <w:r>
        <w:t>.</w:t>
      </w:r>
    </w:p>
    <w:p w14:paraId="29452D44" w14:textId="01D7FEFB" w:rsidR="00D806A3" w:rsidRDefault="009B68A7" w:rsidP="00557B94">
      <w:pPr>
        <w:spacing w:after="120"/>
      </w:pPr>
      <w:r>
        <w:t>Nižší úroveň spotřeby při rostoucím hrubém disponibilním důchodu vedla p</w:t>
      </w:r>
      <w:r w:rsidR="0050484A">
        <w:t>odobně jako ve 2.</w:t>
      </w:r>
      <w:r>
        <w:t> </w:t>
      </w:r>
      <w:r w:rsidR="0050484A">
        <w:t xml:space="preserve">kvartálu </w:t>
      </w:r>
      <w:r w:rsidR="00624989">
        <w:t>k </w:t>
      </w:r>
      <w:r w:rsidR="0050484A">
        <w:t>výrazn</w:t>
      </w:r>
      <w:r>
        <w:t>ému</w:t>
      </w:r>
      <w:r w:rsidR="0050484A">
        <w:t xml:space="preserve"> n</w:t>
      </w:r>
      <w:r>
        <w:t>á</w:t>
      </w:r>
      <w:r w:rsidR="0050484A">
        <w:t>r</w:t>
      </w:r>
      <w:r>
        <w:t>ůstu</w:t>
      </w:r>
      <w:r w:rsidR="0050484A">
        <w:t xml:space="preserve"> hrub</w:t>
      </w:r>
      <w:r>
        <w:t>ých</w:t>
      </w:r>
      <w:r w:rsidR="0050484A">
        <w:t xml:space="preserve"> úspor</w:t>
      </w:r>
      <w:r>
        <w:t>. Ty ve 3.</w:t>
      </w:r>
      <w:r w:rsidR="003B3260">
        <w:t> čtvrtlet</w:t>
      </w:r>
      <w:r>
        <w:t>í dosáhly 124,1</w:t>
      </w:r>
      <w:r w:rsidR="003B3260">
        <w:t> mld.</w:t>
      </w:r>
      <w:r>
        <w:t xml:space="preserve"> korun (druhá nejvyšší zaznamenaná hodnota</w:t>
      </w:r>
      <w:r w:rsidRPr="009B68A7">
        <w:t xml:space="preserve"> </w:t>
      </w:r>
      <w:r>
        <w:t xml:space="preserve">po 2. čtvrtletí) </w:t>
      </w:r>
      <w:r w:rsidR="00624989">
        <w:t>a </w:t>
      </w:r>
      <w:r>
        <w:t xml:space="preserve">meziročně se navýšily </w:t>
      </w:r>
      <w:r w:rsidR="00624989">
        <w:t>o </w:t>
      </w:r>
      <w:r>
        <w:t>42,7</w:t>
      </w:r>
      <w:r w:rsidR="003B3260">
        <w:t> mld.</w:t>
      </w:r>
      <w:r>
        <w:t xml:space="preserve"> Míra úspor</w:t>
      </w:r>
      <w:r w:rsidRPr="009B68A7">
        <w:rPr>
          <w:rStyle w:val="Znakapoznpodarou"/>
        </w:rPr>
        <w:footnoteReference w:id="13"/>
      </w:r>
      <w:r>
        <w:t xml:space="preserve"> </w:t>
      </w:r>
      <w:r>
        <w:lastRenderedPageBreak/>
        <w:t xml:space="preserve">tak zůstala mimořádně vysoká </w:t>
      </w:r>
      <w:r w:rsidR="00624989">
        <w:t>i </w:t>
      </w:r>
      <w:r>
        <w:t>ve 3.</w:t>
      </w:r>
      <w:r w:rsidR="003B3260">
        <w:t> čtvrtlet</w:t>
      </w:r>
      <w:r>
        <w:t>í (17,2</w:t>
      </w:r>
      <w:r w:rsidR="003B3260">
        <w:t> %</w:t>
      </w:r>
      <w:r>
        <w:t xml:space="preserve">, sezónně očištěno), </w:t>
      </w:r>
      <w:r w:rsidR="00624989">
        <w:t>i </w:t>
      </w:r>
      <w:r>
        <w:t xml:space="preserve">když mezičtvrtletně poklesla </w:t>
      </w:r>
      <w:r w:rsidR="00624989">
        <w:t>o </w:t>
      </w:r>
      <w:r>
        <w:t>2,4</w:t>
      </w:r>
      <w:r w:rsidR="003B3260">
        <w:t> p. b.</w:t>
      </w:r>
      <w:r>
        <w:t xml:space="preserve"> Meziročně byla míra úspor (neočištěná) vyšší </w:t>
      </w:r>
      <w:r w:rsidR="00624989">
        <w:t>o </w:t>
      </w:r>
      <w:r>
        <w:t>5,0</w:t>
      </w:r>
      <w:r w:rsidR="003B3260">
        <w:t> p. b.</w:t>
      </w:r>
    </w:p>
    <w:p w14:paraId="4655C5B1" w14:textId="54397F6F" w:rsidR="00557B94" w:rsidRPr="002636CE" w:rsidRDefault="00C14FA3" w:rsidP="00557B94">
      <w:pPr>
        <w:spacing w:after="120"/>
      </w:pPr>
      <w:r>
        <w:t>Domácnosti (zejména drobní podnikatelé) obdržely ve 3.</w:t>
      </w:r>
      <w:r w:rsidR="003B3260">
        <w:t> čtvrtlet</w:t>
      </w:r>
      <w:r>
        <w:t>í 3,7</w:t>
      </w:r>
      <w:r w:rsidR="003B3260">
        <w:t> mld.</w:t>
      </w:r>
      <w:r>
        <w:t xml:space="preserve"> korun ve formě kapitálových transferů, což je meziročně </w:t>
      </w:r>
      <w:r w:rsidR="00624989">
        <w:t>o </w:t>
      </w:r>
      <w:r>
        <w:t>1,2</w:t>
      </w:r>
      <w:r w:rsidR="003B3260">
        <w:t> mld.</w:t>
      </w:r>
      <w:r>
        <w:t xml:space="preserve"> více. Po 2.</w:t>
      </w:r>
      <w:r w:rsidR="003B3260">
        <w:t> kvartál</w:t>
      </w:r>
      <w:r>
        <w:t>u, kdy položku kapitálových transferů výrazně ovlivnilo vyplácení kompenzačních bonusů, se situace přiblížila normálu pro 3. čtvrtletí. Investiční dotace činily 1,9</w:t>
      </w:r>
      <w:r w:rsidR="003B3260">
        <w:t> mld.</w:t>
      </w:r>
      <w:r>
        <w:t xml:space="preserve"> korun </w:t>
      </w:r>
      <w:r w:rsidR="00624989">
        <w:t>a </w:t>
      </w:r>
      <w:r>
        <w:t>ostatní kapitálové transfery 1,8</w:t>
      </w:r>
      <w:r w:rsidR="003B3260">
        <w:t> mld.</w:t>
      </w:r>
      <w:r w:rsidR="006303F0">
        <w:t xml:space="preserve"> Investiční aktivita domácností opět klesla. Výdaje na tvorbu hrubého fixního kapitálu dosáhly 69,4</w:t>
      </w:r>
      <w:r w:rsidR="003B3260">
        <w:t> mld.</w:t>
      </w:r>
      <w:r w:rsidR="006303F0">
        <w:t xml:space="preserve"> korun </w:t>
      </w:r>
      <w:r w:rsidR="00624989">
        <w:t>a </w:t>
      </w:r>
      <w:r w:rsidR="006303F0">
        <w:t xml:space="preserve">meziročně se snížily </w:t>
      </w:r>
      <w:r w:rsidR="00624989">
        <w:t>o </w:t>
      </w:r>
      <w:r w:rsidR="006303F0">
        <w:t>8,4</w:t>
      </w:r>
      <w:r w:rsidR="003B3260">
        <w:t> mld.</w:t>
      </w:r>
      <w:r w:rsidR="006303F0">
        <w:t xml:space="preserve"> Mezičtvrtletně investice domácností (sezónně očištěné) klesly </w:t>
      </w:r>
      <w:r w:rsidR="00624989">
        <w:t>o </w:t>
      </w:r>
      <w:r w:rsidR="006303F0">
        <w:t>2,2</w:t>
      </w:r>
      <w:r w:rsidR="003B3260">
        <w:t> mld.</w:t>
      </w:r>
      <w:r w:rsidR="006303F0">
        <w:t xml:space="preserve"> korun. Míra investic</w:t>
      </w:r>
      <w:r w:rsidR="006303F0" w:rsidRPr="006303F0">
        <w:rPr>
          <w:rStyle w:val="Znakapoznpodarou"/>
        </w:rPr>
        <w:footnoteReference w:id="14"/>
      </w:r>
      <w:r w:rsidR="006303F0">
        <w:t xml:space="preserve"> (sezónně </w:t>
      </w:r>
      <w:r w:rsidR="00026DC4">
        <w:t>o</w:t>
      </w:r>
      <w:r w:rsidR="006303F0">
        <w:t>čištěná) dosáhla ve 3.</w:t>
      </w:r>
      <w:r w:rsidR="003B3260">
        <w:t> čtvrtlet</w:t>
      </w:r>
      <w:r w:rsidR="006303F0">
        <w:t>í 8,4</w:t>
      </w:r>
      <w:r w:rsidR="003B3260">
        <w:t> %</w:t>
      </w:r>
      <w:r w:rsidR="006303F0">
        <w:t xml:space="preserve"> </w:t>
      </w:r>
      <w:r w:rsidR="00624989">
        <w:t>a </w:t>
      </w:r>
      <w:r w:rsidR="006303F0">
        <w:t xml:space="preserve">mezičtvrtletně se snížila </w:t>
      </w:r>
      <w:r w:rsidR="00624989">
        <w:t>o </w:t>
      </w:r>
      <w:r w:rsidR="006303F0">
        <w:t>0,5</w:t>
      </w:r>
      <w:r w:rsidR="003B3260">
        <w:t> p. b.</w:t>
      </w:r>
      <w:r w:rsidR="006303F0">
        <w:t xml:space="preserve"> Ukazatel tak klesá již čtyři čtvrtletí. Meziroční pokles míry investic (neočištěné) dosáhl 1,5</w:t>
      </w:r>
      <w:r w:rsidR="003B3260">
        <w:t> p. b.</w:t>
      </w:r>
    </w:p>
    <w:p w14:paraId="6C1E180C" w14:textId="615A5AD5" w:rsidR="004C52C6" w:rsidRPr="00A041BC" w:rsidRDefault="00F81F79" w:rsidP="000302A6">
      <w:pPr>
        <w:pStyle w:val="TabulkaGraf"/>
        <w:spacing w:after="120"/>
      </w:pPr>
      <w:r w:rsidRPr="00A041BC">
        <w:t>G</w:t>
      </w:r>
      <w:r w:rsidR="002E6F00" w:rsidRPr="00A041BC">
        <w:t>raf </w:t>
      </w:r>
      <w:r w:rsidR="004C52C6" w:rsidRPr="00A041BC">
        <w:t xml:space="preserve">5: Meziroční změna výdajů na tvorbu hrubého fixního kapitálu (mld. korun) </w:t>
      </w:r>
      <w:r w:rsidR="00F03815" w:rsidRPr="00A041BC">
        <w:t>a </w:t>
      </w:r>
      <w:r w:rsidR="004C52C6" w:rsidRPr="00A041BC">
        <w:t xml:space="preserve">míra úspor </w:t>
      </w:r>
      <w:r w:rsidR="00F03815" w:rsidRPr="00A041BC">
        <w:t>a </w:t>
      </w:r>
      <w:r w:rsidR="004C52C6" w:rsidRPr="00A041BC">
        <w:t>míra investic sektoru domácností (v</w:t>
      </w:r>
      <w:r w:rsidR="00840938" w:rsidRPr="00A041BC">
        <w:t> %</w:t>
      </w:r>
      <w:r w:rsidR="004C52C6" w:rsidRPr="00A041BC">
        <w:t>, sezónně očištěno)</w:t>
      </w:r>
    </w:p>
    <w:p w14:paraId="598D7247" w14:textId="6185FAC2" w:rsidR="004C52C6" w:rsidRPr="00066E38" w:rsidRDefault="00A041BC" w:rsidP="000302A6">
      <w:pPr>
        <w:spacing w:after="120"/>
        <w:jc w:val="center"/>
        <w:rPr>
          <w:highlight w:val="yellow"/>
        </w:rPr>
      </w:pPr>
      <w:r>
        <w:rPr>
          <w:noProof/>
          <w:lang w:eastAsia="cs-CZ"/>
        </w:rPr>
        <w:drawing>
          <wp:inline distT="0" distB="0" distL="0" distR="0" wp14:anchorId="4F89EAA4" wp14:editId="1E8A8D69">
            <wp:extent cx="4737600" cy="2958400"/>
            <wp:effectExtent l="0" t="0" r="6350" b="0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65F99E" w14:textId="17C3E82E" w:rsidR="00197A07" w:rsidRPr="00A041BC" w:rsidRDefault="00941335" w:rsidP="000302A6">
      <w:pPr>
        <w:spacing w:after="120"/>
      </w:pPr>
      <w:r w:rsidRPr="00A041BC">
        <w:t>Zdroj: ČSÚ, národní účty</w:t>
      </w:r>
    </w:p>
    <w:p w14:paraId="51AEDBD7" w14:textId="77777777" w:rsidR="00197A07" w:rsidRPr="00066E38" w:rsidRDefault="00197A07" w:rsidP="000302A6">
      <w:pPr>
        <w:spacing w:after="120" w:line="240" w:lineRule="auto"/>
        <w:jc w:val="left"/>
        <w:rPr>
          <w:highlight w:val="yellow"/>
        </w:rPr>
      </w:pPr>
      <w:r w:rsidRPr="00066E38">
        <w:rPr>
          <w:highlight w:val="yellow"/>
        </w:rPr>
        <w:br w:type="page"/>
      </w:r>
    </w:p>
    <w:p w14:paraId="71BB4AD3" w14:textId="77777777" w:rsidR="00F50CEF" w:rsidRPr="003757F0" w:rsidRDefault="00F50CEF" w:rsidP="000302A6">
      <w:pPr>
        <w:pStyle w:val="Nadpis1"/>
        <w:spacing w:after="120"/>
      </w:pPr>
      <w:r w:rsidRPr="003757F0">
        <w:lastRenderedPageBreak/>
        <w:t>Finanční vztahy s</w:t>
      </w:r>
      <w:r w:rsidR="00614585" w:rsidRPr="003757F0">
        <w:t> </w:t>
      </w:r>
      <w:r w:rsidRPr="003757F0">
        <w:t>nerezidenty</w:t>
      </w:r>
    </w:p>
    <w:p w14:paraId="48317646" w14:textId="3C43B6B3" w:rsidR="001C7FEF" w:rsidRDefault="0088129D" w:rsidP="000302A6">
      <w:pPr>
        <w:spacing w:after="120"/>
      </w:pPr>
      <w:r w:rsidRPr="0088129D">
        <w:t xml:space="preserve">Po útlumu, který </w:t>
      </w:r>
      <w:r>
        <w:t>ve 2.</w:t>
      </w:r>
      <w:r w:rsidR="003B3260">
        <w:t> čtvrtlet</w:t>
      </w:r>
      <w:r>
        <w:t xml:space="preserve">í </w:t>
      </w:r>
      <w:r w:rsidRPr="0088129D">
        <w:t>způsobila opatře</w:t>
      </w:r>
      <w:r>
        <w:t xml:space="preserve">ní proti šíření </w:t>
      </w:r>
      <w:proofErr w:type="spellStart"/>
      <w:r>
        <w:t>koronaviru</w:t>
      </w:r>
      <w:proofErr w:type="spellEnd"/>
      <w:r>
        <w:t>, se ve 3.</w:t>
      </w:r>
      <w:r w:rsidR="003B3260">
        <w:t> kvartál</w:t>
      </w:r>
      <w:r>
        <w:t xml:space="preserve">u opět rozjel zahraniční obchod. </w:t>
      </w:r>
      <w:r w:rsidR="00254D66">
        <w:t xml:space="preserve">Kladné saldo zahraničního obchodu se meziročně výrazně zlepšilo </w:t>
      </w:r>
      <w:r w:rsidR="00624989">
        <w:t>o </w:t>
      </w:r>
      <w:r w:rsidR="00254D66">
        <w:t>37,7</w:t>
      </w:r>
      <w:r w:rsidR="003B3260">
        <w:t> mld.</w:t>
      </w:r>
      <w:r w:rsidR="00254D66">
        <w:t xml:space="preserve"> korun na 109,5</w:t>
      </w:r>
      <w:r w:rsidR="003B3260">
        <w:t> mld.</w:t>
      </w:r>
      <w:r w:rsidR="00254D66">
        <w:t xml:space="preserve"> V rámci 3.</w:t>
      </w:r>
      <w:r w:rsidR="003B3260">
        <w:t> čtvrtlet</w:t>
      </w:r>
      <w:r w:rsidR="00254D66">
        <w:t xml:space="preserve">í jde </w:t>
      </w:r>
      <w:r w:rsidR="00624989">
        <w:t>o </w:t>
      </w:r>
      <w:r w:rsidR="00254D66">
        <w:t xml:space="preserve">nejlepší zaznamenaný výsledek. Hodnota vývozu zboží </w:t>
      </w:r>
      <w:r w:rsidR="00624989">
        <w:t>a </w:t>
      </w:r>
      <w:r w:rsidR="00254D66">
        <w:t>služeb přitom byla stále meziročně nižší</w:t>
      </w:r>
      <w:r w:rsidR="00E13EE8">
        <w:t> </w:t>
      </w:r>
      <w:r w:rsidR="00254D66">
        <w:t xml:space="preserve">– klesla </w:t>
      </w:r>
      <w:r w:rsidR="00624989">
        <w:t>o </w:t>
      </w:r>
      <w:r w:rsidR="00254D66">
        <w:t>39,8</w:t>
      </w:r>
      <w:r w:rsidR="003B3260">
        <w:t> mld.</w:t>
      </w:r>
      <w:r w:rsidR="00254D66">
        <w:t xml:space="preserve"> korun na 1 000,9 mld</w:t>
      </w:r>
      <w:r w:rsidR="00F82B3B">
        <w:t>.</w:t>
      </w:r>
      <w:r w:rsidR="00254D66">
        <w:t xml:space="preserve"> (pro srovnání</w:t>
      </w:r>
      <w:r w:rsidR="00E13EE8">
        <w:t> </w:t>
      </w:r>
      <w:r w:rsidR="00254D66">
        <w:t>– pokles vývozu ve 2.</w:t>
      </w:r>
      <w:r w:rsidR="003B3260">
        <w:t> čtvrtlet</w:t>
      </w:r>
      <w:r w:rsidR="00254D66">
        <w:t>í dosáhl 242,1</w:t>
      </w:r>
      <w:r w:rsidR="003B3260">
        <w:t> mld.</w:t>
      </w:r>
      <w:r w:rsidR="00254D66">
        <w:t xml:space="preserve"> korun). Za výrazným zlepšením bilance stálo pomalejší zotavování dovozu. Ten byl ve 3.</w:t>
      </w:r>
      <w:r w:rsidR="003B3260">
        <w:t> čtvrtlet</w:t>
      </w:r>
      <w:r w:rsidR="00254D66">
        <w:t xml:space="preserve">í meziročně nižší </w:t>
      </w:r>
      <w:r w:rsidR="00624989">
        <w:t>o </w:t>
      </w:r>
      <w:r w:rsidR="00254D66">
        <w:t>77,4</w:t>
      </w:r>
      <w:r w:rsidR="003B3260">
        <w:t> mld.</w:t>
      </w:r>
      <w:r w:rsidR="00254D66">
        <w:t xml:space="preserve"> korun </w:t>
      </w:r>
      <w:r w:rsidR="00624989">
        <w:t>a </w:t>
      </w:r>
      <w:r w:rsidR="00254D66">
        <w:t>dosáhl 891,5</w:t>
      </w:r>
      <w:r w:rsidR="003B3260">
        <w:t> mld.</w:t>
      </w:r>
      <w:r w:rsidR="00254D66">
        <w:t xml:space="preserve"> Lze za tím vidět různé důvody</w:t>
      </w:r>
      <w:r w:rsidR="00E13EE8">
        <w:t> </w:t>
      </w:r>
      <w:r w:rsidR="00254D66">
        <w:t>– kromě utlumené spotřební poptávky byla také nižší investiční aktivita, kterou často saturuje dovoz.</w:t>
      </w:r>
    </w:p>
    <w:p w14:paraId="3D13A560" w14:textId="141437C3" w:rsidR="00B07CA2" w:rsidRDefault="003F06AA" w:rsidP="000302A6">
      <w:pPr>
        <w:spacing w:after="120"/>
      </w:pPr>
      <w:r>
        <w:t>Důchody z vlastnictví, které připadly nerezidentům</w:t>
      </w:r>
      <w:r w:rsidRPr="003F06AA">
        <w:rPr>
          <w:rStyle w:val="Znakapoznpodarou"/>
        </w:rPr>
        <w:footnoteReference w:id="15"/>
      </w:r>
      <w:r>
        <w:t xml:space="preserve">, </w:t>
      </w:r>
      <w:r w:rsidR="00624989">
        <w:t>i </w:t>
      </w:r>
      <w:r>
        <w:t>ve 3.</w:t>
      </w:r>
      <w:r w:rsidR="003B3260">
        <w:t> čtvrtlet</w:t>
      </w:r>
      <w:r>
        <w:t>í meziročně klesaly. Jejich hodnota dosáhla 119,4</w:t>
      </w:r>
      <w:r w:rsidR="003B3260">
        <w:t> mld.</w:t>
      </w:r>
      <w:r>
        <w:t xml:space="preserve"> korun, propadla se </w:t>
      </w:r>
      <w:r w:rsidR="00624989">
        <w:t>o </w:t>
      </w:r>
      <w:r>
        <w:t>19,2</w:t>
      </w:r>
      <w:r w:rsidR="003B3260">
        <w:t> mld.</w:t>
      </w:r>
      <w:r>
        <w:t xml:space="preserve"> </w:t>
      </w:r>
      <w:r w:rsidR="00624989">
        <w:t>a </w:t>
      </w:r>
      <w:r>
        <w:t>v rámci 3.</w:t>
      </w:r>
      <w:r w:rsidR="003B3260">
        <w:t> čtvrtlet</w:t>
      </w:r>
      <w:r>
        <w:t xml:space="preserve">í šlo </w:t>
      </w:r>
      <w:r w:rsidR="00624989">
        <w:t>o </w:t>
      </w:r>
      <w:r>
        <w:t>nejnižší úroveň od roku 2013. Propad měl původ zejména v mimořádně silném poklesu rozdělovaných důchodů společností, které dosáhly 36,5</w:t>
      </w:r>
      <w:r w:rsidR="003B3260">
        <w:t> mld.</w:t>
      </w:r>
      <w:r>
        <w:t xml:space="preserve"> korun</w:t>
      </w:r>
      <w:r w:rsidR="00501608">
        <w:t xml:space="preserve"> (nejméně za 3.</w:t>
      </w:r>
      <w:r w:rsidR="003B3260">
        <w:t> čtvrtlet</w:t>
      </w:r>
      <w:r w:rsidR="00501608">
        <w:t>í od roku 2005). To</w:t>
      </w:r>
      <w:r>
        <w:t xml:space="preserve"> bylo</w:t>
      </w:r>
      <w:r w:rsidR="00501608">
        <w:t xml:space="preserve"> meziročně</w:t>
      </w:r>
      <w:r>
        <w:t xml:space="preserve"> </w:t>
      </w:r>
      <w:r w:rsidR="00624989">
        <w:t>o </w:t>
      </w:r>
      <w:r>
        <w:t>73,5</w:t>
      </w:r>
      <w:r w:rsidR="003B3260">
        <w:t> mld.</w:t>
      </w:r>
      <w:r>
        <w:t xml:space="preserve"> méně.</w:t>
      </w:r>
      <w:r w:rsidR="00501608">
        <w:t xml:space="preserve"> Situaci vyvažovaly reinvestované zisky z přímých zahraničních investic, které se ve 3.</w:t>
      </w:r>
      <w:r w:rsidR="003B3260">
        <w:t> čtvrtlet</w:t>
      </w:r>
      <w:r w:rsidR="00501608">
        <w:t xml:space="preserve">í zvýšily </w:t>
      </w:r>
      <w:r w:rsidR="00624989">
        <w:t>o </w:t>
      </w:r>
      <w:r w:rsidR="00501608">
        <w:t>54,0</w:t>
      </w:r>
      <w:r w:rsidR="003B3260">
        <w:t> mld.</w:t>
      </w:r>
      <w:r w:rsidR="00501608">
        <w:t xml:space="preserve"> korun na 64,9</w:t>
      </w:r>
      <w:r w:rsidR="003B3260">
        <w:t> mld.</w:t>
      </w:r>
      <w:r w:rsidR="00F220C4">
        <w:t xml:space="preserve"> Důchody z vlastnictví v zahraničí poklesly </w:t>
      </w:r>
      <w:r w:rsidR="00624989">
        <w:t>i </w:t>
      </w:r>
      <w:r w:rsidR="00F220C4">
        <w:t>domácím investorům (</w:t>
      </w:r>
      <w:r w:rsidR="003B3260">
        <w:t>–</w:t>
      </w:r>
      <w:r w:rsidR="00F220C4">
        <w:t>15,1</w:t>
      </w:r>
      <w:r w:rsidR="003B3260">
        <w:t> mld.</w:t>
      </w:r>
      <w:r w:rsidR="00F220C4">
        <w:t xml:space="preserve"> korun), </w:t>
      </w:r>
      <w:r w:rsidR="00624989">
        <w:t>a </w:t>
      </w:r>
      <w:r w:rsidR="00F220C4">
        <w:t xml:space="preserve">to ve všech formách. Úroky se snížily </w:t>
      </w:r>
      <w:r w:rsidR="00624989">
        <w:t>o </w:t>
      </w:r>
      <w:r w:rsidR="00F220C4">
        <w:t>2,4</w:t>
      </w:r>
      <w:r w:rsidR="003B3260">
        <w:t> mld.</w:t>
      </w:r>
      <w:r w:rsidR="00F220C4">
        <w:t xml:space="preserve"> korun, rozdělované důchody společností </w:t>
      </w:r>
      <w:r w:rsidR="00624989">
        <w:t>o </w:t>
      </w:r>
      <w:r w:rsidR="00F220C4">
        <w:t>2,5</w:t>
      </w:r>
      <w:r w:rsidR="003B3260">
        <w:t> mld.</w:t>
      </w:r>
      <w:r w:rsidR="00F220C4">
        <w:t xml:space="preserve"> </w:t>
      </w:r>
      <w:r w:rsidR="00624989">
        <w:t>a </w:t>
      </w:r>
      <w:r w:rsidR="00F220C4">
        <w:t xml:space="preserve">reinvestované zisky z přímých zahraničních investic </w:t>
      </w:r>
      <w:r w:rsidR="00624989">
        <w:t>o </w:t>
      </w:r>
      <w:r w:rsidR="00F220C4">
        <w:t>9,7</w:t>
      </w:r>
      <w:r w:rsidR="003B3260">
        <w:t> mld.</w:t>
      </w:r>
      <w:r w:rsidR="00F220C4">
        <w:t xml:space="preserve"> korun.</w:t>
      </w:r>
      <w:r w:rsidR="00AC72CC">
        <w:t xml:space="preserve"> Čistý odliv důchodů z vlastnictví ve 3.</w:t>
      </w:r>
      <w:r w:rsidR="003B3260">
        <w:t> čtvrtlet</w:t>
      </w:r>
      <w:r w:rsidR="00AC72CC">
        <w:t>í dosáhl 77,0</w:t>
      </w:r>
      <w:r w:rsidR="003B3260">
        <w:t> mld.</w:t>
      </w:r>
      <w:r w:rsidR="00AC72CC">
        <w:t xml:space="preserve"> korun </w:t>
      </w:r>
      <w:r w:rsidR="00624989">
        <w:t>a </w:t>
      </w:r>
      <w:r w:rsidR="00AC72CC">
        <w:t xml:space="preserve">meziročně se snížil </w:t>
      </w:r>
      <w:r w:rsidR="00624989">
        <w:t>o </w:t>
      </w:r>
      <w:r w:rsidR="00AC72CC">
        <w:t>19,2</w:t>
      </w:r>
      <w:r w:rsidR="003B3260">
        <w:t> mld.</w:t>
      </w:r>
    </w:p>
    <w:p w14:paraId="1852BC4D" w14:textId="4D7F71F8" w:rsidR="00D21345" w:rsidRDefault="00B07CA2" w:rsidP="000302A6">
      <w:pPr>
        <w:spacing w:after="120"/>
      </w:pPr>
      <w:r>
        <w:t xml:space="preserve">Ve formě náhrad zaměstnancům </w:t>
      </w:r>
      <w:r w:rsidR="00E13EE8">
        <w:t xml:space="preserve">přiteklo </w:t>
      </w:r>
      <w:r>
        <w:t>do domácí ekonomiky ze zahraničí 18,3</w:t>
      </w:r>
      <w:r w:rsidR="003B3260">
        <w:t> mld.</w:t>
      </w:r>
      <w:r>
        <w:t xml:space="preserve"> korun, což je meziročně </w:t>
      </w:r>
      <w:r w:rsidR="00624989">
        <w:t>o </w:t>
      </w:r>
      <w:r>
        <w:t>0,5</w:t>
      </w:r>
      <w:r w:rsidR="003B3260">
        <w:t> mld.</w:t>
      </w:r>
      <w:r>
        <w:t xml:space="preserve"> více. </w:t>
      </w:r>
      <w:r w:rsidR="004B13D2">
        <w:t>Naopak do zahraničí bylo jako náhrady vyplaceno 11,2</w:t>
      </w:r>
      <w:r w:rsidR="003B3260">
        <w:t> mld.</w:t>
      </w:r>
      <w:r w:rsidR="004B13D2">
        <w:t xml:space="preserve"> korun (meziročně </w:t>
      </w:r>
      <w:r w:rsidR="008157C0">
        <w:t xml:space="preserve">se jedná o pokles </w:t>
      </w:r>
      <w:r w:rsidR="003B3260">
        <w:t>–</w:t>
      </w:r>
      <w:r w:rsidR="004B13D2">
        <w:t>1,4</w:t>
      </w:r>
      <w:r w:rsidR="003B3260">
        <w:t> mld.</w:t>
      </w:r>
      <w:r w:rsidR="008157C0">
        <w:t xml:space="preserve"> korun</w:t>
      </w:r>
      <w:r w:rsidR="004B13D2">
        <w:t xml:space="preserve">). Daně z výroby </w:t>
      </w:r>
      <w:r w:rsidR="00624989">
        <w:t>a </w:t>
      </w:r>
      <w:r w:rsidR="004B13D2">
        <w:t>dovozu zaplacené rezidenty do zahraničí dosáhly 2,0</w:t>
      </w:r>
      <w:r w:rsidR="003B3260">
        <w:t> mld.</w:t>
      </w:r>
      <w:r w:rsidR="004B13D2">
        <w:t xml:space="preserve"> korun </w:t>
      </w:r>
      <w:r w:rsidR="00624989">
        <w:t>a </w:t>
      </w:r>
      <w:r w:rsidR="004B13D2">
        <w:t>dotace, které si naopak domácí ekonomika připsala, činily 2,1</w:t>
      </w:r>
      <w:r w:rsidR="003B3260">
        <w:t> mld.</w:t>
      </w:r>
      <w:r w:rsidR="004B13D2">
        <w:t xml:space="preserve"> Celkové saldo prvotních důchodů skončilo jako tradičně v deficitu, který dosáhl 69,7</w:t>
      </w:r>
      <w:r w:rsidR="003B3260">
        <w:t> mld.</w:t>
      </w:r>
      <w:r w:rsidR="004B13D2">
        <w:t xml:space="preserve"> korun </w:t>
      </w:r>
      <w:r w:rsidR="00624989">
        <w:t>a </w:t>
      </w:r>
      <w:r w:rsidR="004B13D2">
        <w:t xml:space="preserve">meziročně se zmírnil </w:t>
      </w:r>
      <w:r w:rsidR="00624989">
        <w:t>o </w:t>
      </w:r>
      <w:r w:rsidR="004B13D2">
        <w:t>5,9</w:t>
      </w:r>
      <w:r w:rsidR="003B3260">
        <w:t> mld.</w:t>
      </w:r>
    </w:p>
    <w:p w14:paraId="5983CB99" w14:textId="75C3A702" w:rsidR="003757F0" w:rsidRPr="0088129D" w:rsidRDefault="00C2278C" w:rsidP="000302A6">
      <w:pPr>
        <w:spacing w:after="120"/>
      </w:pPr>
      <w:r>
        <w:t>Saldo druhotného rozdělení bylo rovněž deficitní (</w:t>
      </w:r>
      <w:r w:rsidR="003B3260">
        <w:t>–</w:t>
      </w:r>
      <w:r>
        <w:t>10,9</w:t>
      </w:r>
      <w:r w:rsidR="003B3260">
        <w:t> mld.</w:t>
      </w:r>
      <w:r>
        <w:t xml:space="preserve"> korun). Meziročně se deficit zmírnil </w:t>
      </w:r>
      <w:r w:rsidR="00624989">
        <w:t>o </w:t>
      </w:r>
      <w:r>
        <w:t>1,8</w:t>
      </w:r>
      <w:r w:rsidR="003B3260">
        <w:t> mld.</w:t>
      </w:r>
      <w:r>
        <w:t xml:space="preserve"> korun. Vzhledem k velmi vysokému přebytku obchodu se zbožím </w:t>
      </w:r>
      <w:r w:rsidR="00624989">
        <w:t>a </w:t>
      </w:r>
      <w:r>
        <w:t>službami ale výsledné saldo běžných transakcí rezidentů s nerezidenty bylo ve 3.</w:t>
      </w:r>
      <w:r w:rsidR="003B3260">
        <w:t> čtvrtlet</w:t>
      </w:r>
      <w:r>
        <w:t>í kladné (28,8</w:t>
      </w:r>
      <w:r w:rsidR="003B3260">
        <w:t> mld.</w:t>
      </w:r>
      <w:r>
        <w:t xml:space="preserve"> korun) </w:t>
      </w:r>
      <w:r w:rsidR="00624989">
        <w:t>a </w:t>
      </w:r>
      <w:r>
        <w:t xml:space="preserve">meziročně se zlepšilo </w:t>
      </w:r>
      <w:r w:rsidR="00624989">
        <w:t>o </w:t>
      </w:r>
      <w:r>
        <w:t>45,4</w:t>
      </w:r>
      <w:r w:rsidR="003B3260">
        <w:t> mld.</w:t>
      </w:r>
      <w:r>
        <w:t xml:space="preserve"> (podle dostupných údajů je to poprvé, kdy ve 3.</w:t>
      </w:r>
      <w:r w:rsidR="003B3260">
        <w:t> čtvrtlet</w:t>
      </w:r>
      <w:r>
        <w:t xml:space="preserve">í nebylo saldo záporné). </w:t>
      </w:r>
      <w:r w:rsidR="00F0500E">
        <w:t>Kapitálové transfery, které si domácí ekonomika připsala, ve 3.</w:t>
      </w:r>
      <w:r w:rsidR="003B3260">
        <w:t> čtvrtlet</w:t>
      </w:r>
      <w:r w:rsidR="00F0500E">
        <w:t>í činily 19,4</w:t>
      </w:r>
      <w:r w:rsidR="003B3260">
        <w:t> mld.</w:t>
      </w:r>
      <w:r w:rsidR="00F0500E">
        <w:t xml:space="preserve"> korun </w:t>
      </w:r>
      <w:r w:rsidR="00624989">
        <w:t>a </w:t>
      </w:r>
      <w:r w:rsidR="00F0500E">
        <w:t xml:space="preserve">meziročně se zvýšily </w:t>
      </w:r>
      <w:r w:rsidR="00624989">
        <w:t>o </w:t>
      </w:r>
      <w:r w:rsidR="00F0500E">
        <w:t>2,9</w:t>
      </w:r>
      <w:r w:rsidR="003B3260">
        <w:t> mld.</w:t>
      </w:r>
      <w:r w:rsidR="00F0500E">
        <w:t xml:space="preserve"> Většinu z toho (18,6</w:t>
      </w:r>
      <w:r w:rsidR="003B3260">
        <w:t> mld.</w:t>
      </w:r>
      <w:r w:rsidR="00F0500E">
        <w:t xml:space="preserve"> korun) představovaly investiční dotace. Čisté půjčky dosáhly 46,8</w:t>
      </w:r>
      <w:r w:rsidR="003B3260">
        <w:t> mld.</w:t>
      </w:r>
      <w:r w:rsidR="00F0500E">
        <w:t xml:space="preserve"> korun, což bylo meziročně více </w:t>
      </w:r>
      <w:r w:rsidR="00624989">
        <w:t>o </w:t>
      </w:r>
      <w:r w:rsidR="00F0500E">
        <w:t>45,3</w:t>
      </w:r>
      <w:r w:rsidR="003B3260">
        <w:t> mld.</w:t>
      </w:r>
    </w:p>
    <w:p w14:paraId="40794951" w14:textId="77777777" w:rsidR="007B1333" w:rsidRDefault="007B1333" w:rsidP="00E42E00">
      <w:pPr>
        <w:rPr>
          <w:b/>
        </w:rPr>
      </w:pPr>
      <w:r>
        <w:rPr>
          <w:b/>
        </w:rPr>
        <w:t>Autor/Kontakt/Zpracoval</w:t>
      </w:r>
      <w:r w:rsidR="004C52C6">
        <w:rPr>
          <w:b/>
        </w:rPr>
        <w:t>a</w:t>
      </w:r>
    </w:p>
    <w:p w14:paraId="07FE70A9" w14:textId="77777777" w:rsidR="007B1333" w:rsidRDefault="00656A12" w:rsidP="00E42E00">
      <w:r>
        <w:t>Karolína Zábojníková</w:t>
      </w:r>
    </w:p>
    <w:p w14:paraId="4734BAC4" w14:textId="77777777" w:rsidR="007B1333" w:rsidRDefault="00656A12" w:rsidP="00E42E00">
      <w:r>
        <w:t>Odbor Kancelář předsedy</w:t>
      </w:r>
    </w:p>
    <w:p w14:paraId="4CEDD3F5" w14:textId="3D4E0FEB" w:rsidR="007B1333" w:rsidRDefault="007B1333" w:rsidP="00E42E00">
      <w:r>
        <w:t>Tel.:</w:t>
      </w:r>
      <w:r w:rsidR="00656A12">
        <w:t xml:space="preserve"> 542</w:t>
      </w:r>
      <w:r w:rsidR="0038007D">
        <w:t> </w:t>
      </w:r>
      <w:r w:rsidR="00656A12">
        <w:t>528</w:t>
      </w:r>
      <w:r w:rsidR="0038007D">
        <w:t> </w:t>
      </w:r>
      <w:r w:rsidR="00656A12">
        <w:t>112</w:t>
      </w:r>
    </w:p>
    <w:p w14:paraId="5AE94747" w14:textId="77777777" w:rsidR="004920AD" w:rsidRPr="004920AD" w:rsidRDefault="007B1333" w:rsidP="00E42E00">
      <w:r>
        <w:t>E-mail:</w:t>
      </w:r>
      <w:r w:rsidR="00346D76">
        <w:t xml:space="preserve"> karolina.zabojnikova@czso.cz</w:t>
      </w:r>
    </w:p>
    <w:sectPr w:rsidR="004920AD" w:rsidRPr="004920AD" w:rsidSect="00405244">
      <w:head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68338" w14:textId="77777777" w:rsidR="00E77C6D" w:rsidRDefault="00E77C6D" w:rsidP="00BA6370">
      <w:r>
        <w:separator/>
      </w:r>
    </w:p>
  </w:endnote>
  <w:endnote w:type="continuationSeparator" w:id="0">
    <w:p w14:paraId="6F591E98" w14:textId="77777777" w:rsidR="00E77C6D" w:rsidRDefault="00E77C6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63004" w14:textId="77777777" w:rsidR="00E77C6D" w:rsidRDefault="00E77C6D" w:rsidP="00BA6370">
      <w:r>
        <w:separator/>
      </w:r>
    </w:p>
  </w:footnote>
  <w:footnote w:type="continuationSeparator" w:id="0">
    <w:p w14:paraId="3986DADF" w14:textId="77777777" w:rsidR="00E77C6D" w:rsidRDefault="00E77C6D" w:rsidP="00BA6370">
      <w:r>
        <w:continuationSeparator/>
      </w:r>
    </w:p>
  </w:footnote>
  <w:footnote w:id="1">
    <w:p w14:paraId="23D9C6DF" w14:textId="77777777" w:rsidR="00E77C6D" w:rsidRPr="00F5750C" w:rsidRDefault="00E77C6D" w:rsidP="008C45BF">
      <w:pPr>
        <w:pStyle w:val="Textpoznpodarou"/>
        <w:rPr>
          <w:sz w:val="16"/>
          <w:szCs w:val="16"/>
        </w:rPr>
      </w:pPr>
      <w:r w:rsidRPr="00F5750C">
        <w:rPr>
          <w:rStyle w:val="Znakapoznpodarou"/>
          <w:sz w:val="16"/>
          <w:szCs w:val="16"/>
        </w:rPr>
        <w:footnoteRef/>
      </w:r>
      <w:r w:rsidRPr="00F5750C">
        <w:rPr>
          <w:sz w:val="16"/>
          <w:szCs w:val="16"/>
        </w:rPr>
        <w:t xml:space="preserve"> Není-li uvedeno jinak, jsou všechny údaje použité v textu bez sezónního očištění.</w:t>
      </w:r>
    </w:p>
  </w:footnote>
  <w:footnote w:id="2">
    <w:p w14:paraId="6FFFE16B" w14:textId="1396C566" w:rsidR="00E77C6D" w:rsidRPr="0006237B" w:rsidRDefault="00E77C6D" w:rsidP="008C45BF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 w:rsidR="00743982">
        <w:rPr>
          <w:sz w:val="16"/>
          <w:szCs w:val="16"/>
        </w:rPr>
        <w:t xml:space="preserve">Do reálného vyjádření převedeno s pomocí </w:t>
      </w:r>
      <w:r w:rsidRPr="0006237B">
        <w:rPr>
          <w:sz w:val="16"/>
          <w:szCs w:val="16"/>
        </w:rPr>
        <w:t>celkov</w:t>
      </w:r>
      <w:r w:rsidR="00743982">
        <w:rPr>
          <w:sz w:val="16"/>
          <w:szCs w:val="16"/>
        </w:rPr>
        <w:t>ého</w:t>
      </w:r>
      <w:r w:rsidRPr="0006237B">
        <w:rPr>
          <w:sz w:val="16"/>
          <w:szCs w:val="16"/>
        </w:rPr>
        <w:t xml:space="preserve"> deflátor</w:t>
      </w:r>
      <w:r w:rsidR="00743982">
        <w:rPr>
          <w:sz w:val="16"/>
          <w:szCs w:val="16"/>
        </w:rPr>
        <w:t>u</w:t>
      </w:r>
      <w:r w:rsidRPr="0006237B">
        <w:rPr>
          <w:sz w:val="16"/>
          <w:szCs w:val="16"/>
        </w:rPr>
        <w:t xml:space="preserve"> HPH.</w:t>
      </w:r>
      <w:r>
        <w:rPr>
          <w:sz w:val="16"/>
          <w:szCs w:val="16"/>
        </w:rPr>
        <w:t xml:space="preserve"> V 1. čtvrtletí 2020 dosahoval meziroční deflátor HPH 4,1 %.</w:t>
      </w:r>
    </w:p>
  </w:footnote>
  <w:footnote w:id="3">
    <w:p w14:paraId="203FB7B0" w14:textId="5D9F57FD" w:rsidR="00E77C6D" w:rsidRPr="000F11C8" w:rsidRDefault="00E77C6D" w:rsidP="008C45BF">
      <w:pPr>
        <w:pStyle w:val="Textpoznpodarou"/>
        <w:rPr>
          <w:sz w:val="16"/>
          <w:szCs w:val="16"/>
        </w:rPr>
      </w:pPr>
      <w:r w:rsidRPr="000F11C8">
        <w:rPr>
          <w:rStyle w:val="Znakapoznpodarou"/>
          <w:sz w:val="16"/>
          <w:szCs w:val="16"/>
        </w:rPr>
        <w:footnoteRef/>
      </w:r>
      <w:r w:rsidRPr="000F11C8">
        <w:rPr>
          <w:sz w:val="16"/>
          <w:szCs w:val="16"/>
        </w:rPr>
        <w:t xml:space="preserve"> V</w:t>
      </w:r>
      <w:r>
        <w:rPr>
          <w:sz w:val="16"/>
          <w:szCs w:val="16"/>
        </w:rPr>
        <w:t> </w:t>
      </w:r>
      <w:r w:rsidRPr="000F11C8">
        <w:rPr>
          <w:sz w:val="16"/>
          <w:szCs w:val="16"/>
        </w:rPr>
        <w:t>osobách</w:t>
      </w:r>
      <w:r>
        <w:rPr>
          <w:sz w:val="16"/>
          <w:szCs w:val="16"/>
        </w:rPr>
        <w:t>;</w:t>
      </w:r>
      <w:r w:rsidRPr="000F11C8">
        <w:rPr>
          <w:sz w:val="16"/>
          <w:szCs w:val="16"/>
        </w:rPr>
        <w:t xml:space="preserve"> úvazky přepočteny na plnou pracovní dobu.</w:t>
      </w:r>
    </w:p>
  </w:footnote>
  <w:footnote w:id="4">
    <w:p w14:paraId="0EA9F0AD" w14:textId="62129E2F" w:rsidR="00E77C6D" w:rsidRPr="006D6521" w:rsidRDefault="00E77C6D">
      <w:pPr>
        <w:pStyle w:val="Textpoznpodarou"/>
        <w:rPr>
          <w:sz w:val="16"/>
          <w:szCs w:val="16"/>
        </w:rPr>
      </w:pPr>
      <w:r w:rsidRPr="006D6521">
        <w:rPr>
          <w:rStyle w:val="Znakapoznpodarou"/>
          <w:sz w:val="16"/>
          <w:szCs w:val="16"/>
        </w:rPr>
        <w:footnoteRef/>
      </w:r>
      <w:r w:rsidRPr="006D6521">
        <w:rPr>
          <w:sz w:val="16"/>
          <w:szCs w:val="16"/>
        </w:rPr>
        <w:t xml:space="preserve"> Tyto prostředky se pak projevily v navýšení položky sociálních příspěvků zaměstnavatelů</w:t>
      </w:r>
      <w:r>
        <w:rPr>
          <w:sz w:val="16"/>
          <w:szCs w:val="16"/>
        </w:rPr>
        <w:t>.</w:t>
      </w:r>
    </w:p>
  </w:footnote>
  <w:footnote w:id="5">
    <w:p w14:paraId="496C1D67" w14:textId="7F4B4BCF" w:rsidR="00E77C6D" w:rsidRPr="00EE227D" w:rsidRDefault="00E77C6D" w:rsidP="006D6521">
      <w:pPr>
        <w:pStyle w:val="Textpoznpodarou"/>
        <w:rPr>
          <w:sz w:val="16"/>
          <w:szCs w:val="16"/>
        </w:rPr>
      </w:pPr>
      <w:r w:rsidRPr="00EE227D">
        <w:rPr>
          <w:rStyle w:val="Znakapoznpodarou"/>
          <w:sz w:val="16"/>
          <w:szCs w:val="16"/>
        </w:rPr>
        <w:footnoteRef/>
      </w:r>
      <w:r w:rsidRPr="00EE227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Položka dotací na výrobu </w:t>
      </w:r>
      <w:r w:rsidRPr="005D0714">
        <w:rPr>
          <w:sz w:val="16"/>
          <w:szCs w:val="16"/>
        </w:rPr>
        <w:t>zahrnovala prostředky vyplacené NP v</w:t>
      </w:r>
      <w:r>
        <w:rPr>
          <w:sz w:val="16"/>
          <w:szCs w:val="16"/>
        </w:rPr>
        <w:t> </w:t>
      </w:r>
      <w:r w:rsidRPr="005D0714">
        <w:rPr>
          <w:sz w:val="16"/>
          <w:szCs w:val="16"/>
        </w:rPr>
        <w:t>programu podpory zaměstnanosti Antivirus a</w:t>
      </w:r>
      <w:r>
        <w:rPr>
          <w:sz w:val="16"/>
          <w:szCs w:val="16"/>
        </w:rPr>
        <w:t> </w:t>
      </w:r>
      <w:r w:rsidRPr="005D0714">
        <w:rPr>
          <w:sz w:val="16"/>
          <w:szCs w:val="16"/>
        </w:rPr>
        <w:t>programu COVID</w:t>
      </w:r>
      <w:r>
        <w:rPr>
          <w:sz w:val="16"/>
          <w:szCs w:val="16"/>
        </w:rPr>
        <w:t> –</w:t>
      </w:r>
      <w:r w:rsidRPr="005D0714">
        <w:rPr>
          <w:sz w:val="16"/>
          <w:szCs w:val="16"/>
        </w:rPr>
        <w:t xml:space="preserve"> nájemné pro podnikatele</w:t>
      </w:r>
      <w:r>
        <w:rPr>
          <w:sz w:val="16"/>
          <w:szCs w:val="16"/>
        </w:rPr>
        <w:t>. Podrobnější informace o pohybech ve statistice výdajů a příjmů vládních institucí jsou obsaženy v metodické poznámce zveřejněné na internetových stránkách ČSÚ:</w:t>
      </w:r>
      <w:r w:rsidRPr="005D0714">
        <w:rPr>
          <w:sz w:val="16"/>
          <w:szCs w:val="16"/>
        </w:rPr>
        <w:t xml:space="preserve"> </w:t>
      </w:r>
      <w:hyperlink r:id="rId1" w:history="1">
        <w:r w:rsidRPr="005D0714">
          <w:rPr>
            <w:rStyle w:val="Hypertextovodkaz"/>
            <w:sz w:val="16"/>
            <w:szCs w:val="16"/>
          </w:rPr>
          <w:t>https://www.czso.cz/csu/czso/metodicka-poznamka-k-vladni-financni-statistice-2-ctvrtleti-2020-covid-19</w:t>
        </w:r>
      </w:hyperlink>
      <w:r w:rsidRPr="00E77C6D">
        <w:rPr>
          <w:rStyle w:val="Hypertextovodkaz"/>
          <w:color w:val="auto"/>
          <w:sz w:val="16"/>
          <w:szCs w:val="16"/>
          <w:u w:val="none"/>
        </w:rPr>
        <w:t>.</w:t>
      </w:r>
    </w:p>
  </w:footnote>
  <w:footnote w:id="6">
    <w:p w14:paraId="62B6953E" w14:textId="77777777" w:rsidR="00E77C6D" w:rsidRPr="0006237B" w:rsidRDefault="00E77C6D" w:rsidP="00852368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 w:rsidRPr="0006237B">
        <w:rPr>
          <w:rFonts w:eastAsiaTheme="minorHAnsi" w:cs="Arial"/>
          <w:bCs/>
          <w:iCs/>
          <w:sz w:val="16"/>
          <w:szCs w:val="16"/>
          <w:lang w:eastAsia="en-US"/>
        </w:rPr>
        <w:t xml:space="preserve">Míra zisku nefinančních podniků 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je definována jako podíl hrubého provozního přebytku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hrubé přidané hodnotě (B.2g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7">
    <w:p w14:paraId="50D5A6ED" w14:textId="77777777" w:rsidR="00E77C6D" w:rsidRPr="00AB3D8D" w:rsidRDefault="00E77C6D" w:rsidP="00BE210B">
      <w:pPr>
        <w:pStyle w:val="Textpoznpodarou"/>
        <w:rPr>
          <w:sz w:val="16"/>
          <w:szCs w:val="16"/>
        </w:rPr>
      </w:pPr>
      <w:r w:rsidRPr="00AB3D8D">
        <w:rPr>
          <w:rStyle w:val="Znakapoznpodarou"/>
          <w:sz w:val="16"/>
          <w:szCs w:val="16"/>
        </w:rPr>
        <w:footnoteRef/>
      </w:r>
      <w:r w:rsidRPr="00AB3D8D">
        <w:rPr>
          <w:sz w:val="16"/>
          <w:szCs w:val="16"/>
        </w:rPr>
        <w:t xml:space="preserve"> </w:t>
      </w:r>
      <w:r w:rsidRPr="00AB3D8D">
        <w:rPr>
          <w:rFonts w:eastAsiaTheme="minorHAnsi" w:cs="Arial"/>
          <w:bCs/>
          <w:iCs/>
          <w:sz w:val="16"/>
          <w:szCs w:val="16"/>
          <w:lang w:eastAsia="en-US"/>
        </w:rPr>
        <w:t xml:space="preserve">Míra investic nefinančních podniků 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je definována jako podíl hrubé tvorby fixního kapitálu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hrubé přidané hodnotě (P.51g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8">
    <w:p w14:paraId="3BEA5867" w14:textId="471B4156" w:rsidR="00F169B0" w:rsidRPr="00F169B0" w:rsidRDefault="00F169B0">
      <w:pPr>
        <w:pStyle w:val="Textpoznpodarou"/>
        <w:rPr>
          <w:sz w:val="16"/>
          <w:szCs w:val="16"/>
        </w:rPr>
      </w:pPr>
      <w:r w:rsidRPr="00F169B0">
        <w:rPr>
          <w:rStyle w:val="Znakapoznpodarou"/>
          <w:sz w:val="16"/>
          <w:szCs w:val="16"/>
        </w:rPr>
        <w:footnoteRef/>
      </w:r>
      <w:r w:rsidRPr="00F169B0">
        <w:rPr>
          <w:sz w:val="16"/>
          <w:szCs w:val="16"/>
        </w:rPr>
        <w:t xml:space="preserve"> Z velké části šlo o transfery od ústředních vládních institucí, jako kompenzace za propad způsobený kompenzačním bonusem.</w:t>
      </w:r>
    </w:p>
  </w:footnote>
  <w:footnote w:id="9">
    <w:p w14:paraId="26DB1D11" w14:textId="77288197" w:rsidR="00E77C6D" w:rsidRPr="00337C71" w:rsidRDefault="00E77C6D" w:rsidP="00EB3C89">
      <w:pPr>
        <w:autoSpaceDE w:val="0"/>
        <w:autoSpaceDN w:val="0"/>
        <w:adjustRightInd w:val="0"/>
        <w:spacing w:line="240" w:lineRule="auto"/>
        <w:jc w:val="left"/>
        <w:rPr>
          <w:rStyle w:val="Znakapoznpodarou"/>
          <w:sz w:val="16"/>
          <w:szCs w:val="16"/>
          <w:vertAlign w:val="baseline"/>
          <w:lang w:eastAsia="cs-CZ"/>
        </w:rPr>
      </w:pPr>
      <w:r w:rsidRPr="00EC1A9F">
        <w:rPr>
          <w:rStyle w:val="Znakapoznpodarou"/>
          <w:sz w:val="16"/>
          <w:szCs w:val="16"/>
        </w:rPr>
        <w:footnoteRef/>
      </w:r>
      <w:r w:rsidRPr="00EC1A9F">
        <w:rPr>
          <w:sz w:val="16"/>
          <w:szCs w:val="16"/>
        </w:rPr>
        <w:t xml:space="preserve"> Dluh v sektorových účtech se liší (číselně i</w:t>
      </w:r>
      <w:r>
        <w:rPr>
          <w:sz w:val="16"/>
          <w:szCs w:val="16"/>
        </w:rPr>
        <w:t> </w:t>
      </w:r>
      <w:r w:rsidRPr="00EC1A9F">
        <w:rPr>
          <w:sz w:val="16"/>
          <w:szCs w:val="16"/>
        </w:rPr>
        <w:t>metodicky) od Maastrichtského dluhu pro potřeby EDP statistiky.</w:t>
      </w:r>
      <w:r>
        <w:rPr>
          <w:sz w:val="16"/>
          <w:szCs w:val="16"/>
        </w:rPr>
        <w:t xml:space="preserve"> Liší se zejména zahrnuté závazky i způsob jejich ohodnocení. </w:t>
      </w:r>
      <w:r w:rsidRPr="00EB3C89">
        <w:rPr>
          <w:rFonts w:cs="Arial"/>
          <w:sz w:val="16"/>
          <w:szCs w:val="16"/>
          <w:lang w:eastAsia="cs-CZ"/>
        </w:rPr>
        <w:t>Celkové závazky v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sektorových účtech zahrnují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navíc měnové zlato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zvláštní práva čerpání, účasti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podíly v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investičních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fondech, pojistné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penzijní programy, finanční deriváty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zaměstnanecké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opce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ostatní závazky. Všechny závazky jsou oceněny tržní hodnotou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bez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vlivu souvisejících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derivátových obchodů.</w:t>
      </w:r>
      <w:r>
        <w:rPr>
          <w:rFonts w:cs="Arial"/>
          <w:sz w:val="16"/>
          <w:szCs w:val="16"/>
          <w:lang w:eastAsia="cs-CZ"/>
        </w:rPr>
        <w:t xml:space="preserve"> Zdroj: Rybáček,</w:t>
      </w:r>
      <w:r w:rsidR="00337C71">
        <w:rPr>
          <w:rFonts w:cs="Arial"/>
          <w:sz w:val="16"/>
          <w:szCs w:val="16"/>
          <w:lang w:eastAsia="cs-CZ"/>
        </w:rPr>
        <w:t> </w:t>
      </w:r>
      <w:r>
        <w:rPr>
          <w:rFonts w:cs="Arial"/>
          <w:sz w:val="16"/>
          <w:szCs w:val="16"/>
          <w:lang w:eastAsia="cs-CZ"/>
        </w:rPr>
        <w:t>V., Musil,</w:t>
      </w:r>
      <w:r w:rsidR="00337C71">
        <w:rPr>
          <w:rFonts w:cs="Arial"/>
          <w:sz w:val="16"/>
          <w:szCs w:val="16"/>
          <w:lang w:eastAsia="cs-CZ"/>
        </w:rPr>
        <w:t> </w:t>
      </w:r>
      <w:r>
        <w:rPr>
          <w:rFonts w:cs="Arial"/>
          <w:sz w:val="16"/>
          <w:szCs w:val="16"/>
          <w:lang w:eastAsia="cs-CZ"/>
        </w:rPr>
        <w:t xml:space="preserve">P. (2020). </w:t>
      </w:r>
      <w:r w:rsidRPr="00EB3C89">
        <w:rPr>
          <w:rFonts w:cs="Arial"/>
          <w:sz w:val="16"/>
          <w:szCs w:val="16"/>
          <w:lang w:eastAsia="cs-CZ"/>
        </w:rPr>
        <w:t>Vztah mezi saldem hospodaření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dluhem vládních institucí.</w:t>
      </w:r>
      <w:r w:rsidRPr="00EB3C89">
        <w:rPr>
          <w:sz w:val="16"/>
          <w:szCs w:val="16"/>
        </w:rPr>
        <w:t xml:space="preserve"> </w:t>
      </w:r>
      <w:r w:rsidRPr="00EB3C89">
        <w:rPr>
          <w:i/>
          <w:iCs/>
          <w:sz w:val="16"/>
          <w:szCs w:val="16"/>
        </w:rPr>
        <w:t>Politická ekonomie</w:t>
      </w:r>
      <w:r w:rsidRPr="00EB3C89">
        <w:rPr>
          <w:sz w:val="16"/>
          <w:szCs w:val="16"/>
        </w:rPr>
        <w:t>, 68(4), 462-482, https://doi.org/10.18267/j.polek.1290</w:t>
      </w:r>
      <w:r w:rsidR="00337C71">
        <w:rPr>
          <w:sz w:val="16"/>
          <w:szCs w:val="16"/>
        </w:rPr>
        <w:t>.</w:t>
      </w:r>
    </w:p>
  </w:footnote>
  <w:footnote w:id="10">
    <w:p w14:paraId="0F774DAB" w14:textId="31F2AE26" w:rsidR="00E77C6D" w:rsidRPr="009E0C2A" w:rsidRDefault="00E77C6D" w:rsidP="001E249C">
      <w:pPr>
        <w:pStyle w:val="Textpoznpodarou"/>
        <w:rPr>
          <w:sz w:val="16"/>
          <w:szCs w:val="16"/>
        </w:rPr>
      </w:pPr>
      <w:r w:rsidRPr="009E0C2A">
        <w:rPr>
          <w:rStyle w:val="Znakapoznpodarou"/>
          <w:sz w:val="16"/>
          <w:szCs w:val="16"/>
        </w:rPr>
        <w:footnoteRef/>
      </w:r>
      <w:r w:rsidRPr="009E0C2A">
        <w:rPr>
          <w:sz w:val="16"/>
          <w:szCs w:val="16"/>
        </w:rPr>
        <w:t xml:space="preserve"> </w:t>
      </w:r>
      <w:r>
        <w:rPr>
          <w:sz w:val="16"/>
          <w:szCs w:val="16"/>
        </w:rPr>
        <w:t>Pro očištění o vliv cen byl použit</w:t>
      </w:r>
      <w:r w:rsidRPr="009E0C2A">
        <w:rPr>
          <w:sz w:val="16"/>
          <w:szCs w:val="16"/>
        </w:rPr>
        <w:t xml:space="preserve"> deflátor výdajů na konečnou spotřebu domácností.</w:t>
      </w:r>
      <w:r>
        <w:rPr>
          <w:sz w:val="16"/>
          <w:szCs w:val="16"/>
        </w:rPr>
        <w:t xml:space="preserve"> Ve 3. čtvrtletí 2020 činil cenový nárůst 2,4 % (v 1. i 2. kvartálu přírůstek výrazně překročil 3 %).</w:t>
      </w:r>
    </w:p>
  </w:footnote>
  <w:footnote w:id="11">
    <w:p w14:paraId="44027DC6" w14:textId="77777777" w:rsidR="00E77C6D" w:rsidRPr="00EB5544" w:rsidRDefault="00E77C6D" w:rsidP="001876AB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příjmy z podnikání drobných podnikatelů zařazených do sektor</w:t>
      </w:r>
      <w:r>
        <w:rPr>
          <w:sz w:val="16"/>
          <w:szCs w:val="16"/>
        </w:rPr>
        <w:t>u</w:t>
      </w:r>
      <w:r w:rsidRPr="00EB5544">
        <w:rPr>
          <w:sz w:val="16"/>
          <w:szCs w:val="16"/>
        </w:rPr>
        <w:t xml:space="preserve"> domácností</w:t>
      </w:r>
      <w:r>
        <w:rPr>
          <w:sz w:val="16"/>
          <w:szCs w:val="16"/>
        </w:rPr>
        <w:t>.</w:t>
      </w:r>
    </w:p>
  </w:footnote>
  <w:footnote w:id="12">
    <w:p w14:paraId="1DFB3C19" w14:textId="77777777" w:rsidR="00E77C6D" w:rsidRPr="00EB5544" w:rsidRDefault="00E77C6D" w:rsidP="001876AB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hodnotu produkce domácností pro vlastní spotřebu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rovněž imputované nájemné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poskytování služeb bydlení</w:t>
      </w:r>
      <w:r>
        <w:rPr>
          <w:sz w:val="16"/>
          <w:szCs w:val="16"/>
        </w:rPr>
        <w:t>.</w:t>
      </w:r>
    </w:p>
  </w:footnote>
  <w:footnote w:id="13">
    <w:p w14:paraId="0BD937B7" w14:textId="77777777" w:rsidR="00E77C6D" w:rsidRPr="00E9501D" w:rsidRDefault="00E77C6D" w:rsidP="009B68A7">
      <w:pPr>
        <w:autoSpaceDE w:val="0"/>
        <w:autoSpaceDN w:val="0"/>
        <w:adjustRightInd w:val="0"/>
        <w:spacing w:line="240" w:lineRule="auto"/>
        <w:jc w:val="left"/>
        <w:rPr>
          <w:sz w:val="16"/>
          <w:szCs w:val="16"/>
        </w:rPr>
      </w:pPr>
      <w:r w:rsidRPr="00E9501D">
        <w:rPr>
          <w:rStyle w:val="Znakapoznpodarou"/>
          <w:sz w:val="16"/>
          <w:szCs w:val="16"/>
        </w:rPr>
        <w:footnoteRef/>
      </w:r>
      <w:r w:rsidRPr="00E9501D">
        <w:rPr>
          <w:sz w:val="16"/>
          <w:szCs w:val="16"/>
        </w:rPr>
        <w:t xml:space="preserve"> </w:t>
      </w:r>
      <w:r w:rsidRPr="00E9501D">
        <w:rPr>
          <w:rFonts w:cs="Arial"/>
          <w:bCs/>
          <w:iCs/>
          <w:sz w:val="16"/>
          <w:szCs w:val="16"/>
        </w:rPr>
        <w:t xml:space="preserve">Míra úspor domácností </w:t>
      </w:r>
      <w:r w:rsidRPr="00E9501D">
        <w:rPr>
          <w:rFonts w:cs="Arial"/>
          <w:iCs/>
          <w:sz w:val="16"/>
          <w:szCs w:val="16"/>
        </w:rPr>
        <w:t>je definována jako podíl hrubých úspor a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hrubého disponibilního důchodu se zahrnutím úpravy o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čistý podíl domácností na rezervách penzijních fondů (B.8g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(B.</w:t>
      </w:r>
      <w:proofErr w:type="gramStart"/>
      <w:r w:rsidRPr="00E9501D">
        <w:rPr>
          <w:rFonts w:cs="Arial"/>
          <w:iCs/>
          <w:sz w:val="16"/>
          <w:szCs w:val="16"/>
        </w:rPr>
        <w:t>6g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+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D.8)).</w:t>
      </w:r>
      <w:proofErr w:type="gramEnd"/>
      <w:r w:rsidRPr="00E9501D">
        <w:rPr>
          <w:rFonts w:cs="Arial"/>
          <w:iCs/>
          <w:sz w:val="16"/>
          <w:szCs w:val="16"/>
        </w:rPr>
        <w:t xml:space="preserve"> Hrubé úspory představují část hrubého disponibilního důchodu, který nebyl spotřebován ve formě výdajů na konečnou spotřebu.</w:t>
      </w:r>
    </w:p>
  </w:footnote>
  <w:footnote w:id="14">
    <w:p w14:paraId="74FFB463" w14:textId="77777777" w:rsidR="00E77C6D" w:rsidRPr="00D20875" w:rsidRDefault="00E77C6D" w:rsidP="006303F0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D20875">
        <w:rPr>
          <w:rStyle w:val="Znakapoznpodarou"/>
          <w:rFonts w:cs="Arial"/>
          <w:sz w:val="16"/>
          <w:szCs w:val="16"/>
        </w:rPr>
        <w:footnoteRef/>
      </w:r>
      <w:r w:rsidRPr="00D20875">
        <w:rPr>
          <w:rFonts w:cs="Arial"/>
          <w:sz w:val="16"/>
          <w:szCs w:val="16"/>
        </w:rPr>
        <w:t xml:space="preserve"> </w:t>
      </w:r>
      <w:r w:rsidRPr="00D20875">
        <w:rPr>
          <w:rFonts w:cs="Arial"/>
          <w:bCs/>
          <w:iCs/>
          <w:sz w:val="16"/>
          <w:szCs w:val="16"/>
        </w:rPr>
        <w:t xml:space="preserve">Míra investic domácností </w:t>
      </w:r>
      <w:r w:rsidRPr="00D20875">
        <w:rPr>
          <w:rFonts w:cs="Arial"/>
          <w:iCs/>
          <w:sz w:val="16"/>
          <w:szCs w:val="16"/>
        </w:rPr>
        <w:t>je definována jako podíl hrubé tvorby fixního kapitálu k hrubému disponibilnímu důchodu se zahrnutím úpravy o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čistý podíl domácností na rezervách penzijních fondů (P.51g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(</w:t>
      </w:r>
      <w:r w:rsidRPr="00D20875">
        <w:rPr>
          <w:rFonts w:cs="Arial"/>
          <w:iCs/>
          <w:sz w:val="16"/>
          <w:szCs w:val="16"/>
        </w:rPr>
        <w:t>B.</w:t>
      </w:r>
      <w:proofErr w:type="gramStart"/>
      <w:r w:rsidRPr="00D20875">
        <w:rPr>
          <w:rFonts w:cs="Arial"/>
          <w:iCs/>
          <w:sz w:val="16"/>
          <w:szCs w:val="16"/>
        </w:rPr>
        <w:t>6g</w:t>
      </w:r>
      <w:r>
        <w:rPr>
          <w:rFonts w:cs="Arial"/>
          <w:iCs/>
          <w:sz w:val="16"/>
          <w:szCs w:val="16"/>
        </w:rPr>
        <w:t> + </w:t>
      </w:r>
      <w:r w:rsidRPr="00D20875">
        <w:rPr>
          <w:rFonts w:cs="Arial"/>
          <w:iCs/>
          <w:sz w:val="16"/>
          <w:szCs w:val="16"/>
        </w:rPr>
        <w:t>D.8</w:t>
      </w:r>
      <w:r>
        <w:rPr>
          <w:rFonts w:cs="Arial"/>
          <w:iCs/>
          <w:sz w:val="16"/>
          <w:szCs w:val="16"/>
        </w:rPr>
        <w:t>)</w:t>
      </w:r>
      <w:r w:rsidRPr="00D20875">
        <w:rPr>
          <w:rFonts w:cs="Arial"/>
          <w:iCs/>
          <w:sz w:val="16"/>
          <w:szCs w:val="16"/>
        </w:rPr>
        <w:t>).</w:t>
      </w:r>
      <w:proofErr w:type="gramEnd"/>
    </w:p>
  </w:footnote>
  <w:footnote w:id="15">
    <w:p w14:paraId="481090ED" w14:textId="77777777" w:rsidR="00E77C6D" w:rsidRPr="00273CB1" w:rsidRDefault="00E77C6D" w:rsidP="003F06AA">
      <w:pPr>
        <w:pStyle w:val="Textpoznpodarou"/>
        <w:rPr>
          <w:sz w:val="16"/>
          <w:szCs w:val="16"/>
        </w:rPr>
      </w:pPr>
      <w:r w:rsidRPr="00273CB1">
        <w:rPr>
          <w:rStyle w:val="Znakapoznpodarou"/>
          <w:sz w:val="16"/>
          <w:szCs w:val="16"/>
        </w:rPr>
        <w:footnoteRef/>
      </w:r>
      <w:r w:rsidRPr="00273CB1">
        <w:rPr>
          <w:sz w:val="16"/>
          <w:szCs w:val="16"/>
        </w:rPr>
        <w:t xml:space="preserve"> </w:t>
      </w:r>
      <w:r w:rsidRPr="00273CB1">
        <w:rPr>
          <w:rStyle w:val="odkaz-style-wrapper"/>
          <w:rFonts w:cs="Arial"/>
          <w:bCs/>
          <w:sz w:val="16"/>
          <w:szCs w:val="16"/>
        </w:rPr>
        <w:t xml:space="preserve">Nerezidenti </w:t>
      </w:r>
      <w:r w:rsidRPr="00273CB1">
        <w:rPr>
          <w:rStyle w:val="odkaz-style-wrapper"/>
          <w:rFonts w:cs="Arial"/>
          <w:sz w:val="16"/>
          <w:szCs w:val="16"/>
        </w:rPr>
        <w:t xml:space="preserve">představují </w:t>
      </w:r>
      <w:r>
        <w:rPr>
          <w:rStyle w:val="odkaz-style-wrapper"/>
          <w:rFonts w:cs="Arial"/>
          <w:sz w:val="16"/>
          <w:szCs w:val="16"/>
        </w:rPr>
        <w:t xml:space="preserve">různorodé </w:t>
      </w:r>
      <w:r w:rsidRPr="00273CB1">
        <w:rPr>
          <w:rStyle w:val="odkaz-style-wrapper"/>
          <w:rFonts w:cs="Arial"/>
          <w:sz w:val="16"/>
          <w:szCs w:val="16"/>
        </w:rPr>
        <w:t>seskupení jednotek</w:t>
      </w:r>
      <w:r>
        <w:rPr>
          <w:rStyle w:val="odkaz-style-wrapper"/>
          <w:rFonts w:cs="Arial"/>
          <w:sz w:val="16"/>
          <w:szCs w:val="16"/>
        </w:rPr>
        <w:t>, jejichž společným znakem je, že nesídlí na ekonomickém území státu, ale mají s daným národním hospodářstvím ekonomické vztahy.</w:t>
      </w:r>
      <w:r w:rsidRPr="00273CB1">
        <w:rPr>
          <w:rStyle w:val="odkaz-style-wrapper"/>
          <w:rFonts w:cs="Arial"/>
          <w:sz w:val="16"/>
          <w:szCs w:val="16"/>
        </w:rPr>
        <w:t xml:space="preserve"> Jsou to např</w:t>
      </w:r>
      <w:r>
        <w:rPr>
          <w:rStyle w:val="odkaz-style-wrapper"/>
          <w:rFonts w:cs="Arial"/>
          <w:sz w:val="16"/>
          <w:szCs w:val="16"/>
        </w:rPr>
        <w:t xml:space="preserve">íklad </w:t>
      </w:r>
      <w:r w:rsidRPr="00273CB1">
        <w:rPr>
          <w:rStyle w:val="odkaz-style-wrapper"/>
          <w:rFonts w:cs="Arial"/>
          <w:sz w:val="16"/>
          <w:szCs w:val="16"/>
        </w:rPr>
        <w:t>části mateřských společností (např</w:t>
      </w:r>
      <w:r>
        <w:rPr>
          <w:rStyle w:val="odkaz-style-wrapper"/>
          <w:rFonts w:cs="Arial"/>
          <w:sz w:val="16"/>
          <w:szCs w:val="16"/>
        </w:rPr>
        <w:t>íklad</w:t>
      </w:r>
      <w:r w:rsidRPr="00273CB1">
        <w:rPr>
          <w:rStyle w:val="odkaz-style-wrapper"/>
          <w:rFonts w:cs="Arial"/>
          <w:sz w:val="16"/>
          <w:szCs w:val="16"/>
        </w:rPr>
        <w:t xml:space="preserve"> pobočky výrobních podniků, bank a</w:t>
      </w:r>
      <w:r>
        <w:rPr>
          <w:rStyle w:val="odkaz-style-wrapper"/>
          <w:rFonts w:cs="Arial"/>
          <w:sz w:val="16"/>
          <w:szCs w:val="16"/>
        </w:rPr>
        <w:t> </w:t>
      </w:r>
      <w:r w:rsidRPr="00273CB1">
        <w:rPr>
          <w:rStyle w:val="odkaz-style-wrapper"/>
          <w:rFonts w:cs="Arial"/>
          <w:sz w:val="16"/>
          <w:szCs w:val="16"/>
        </w:rPr>
        <w:t>pojišťovacích společností)</w:t>
      </w:r>
      <w:r>
        <w:rPr>
          <w:rStyle w:val="odkaz-style-wrapper"/>
          <w:rFonts w:cs="Arial"/>
          <w:sz w:val="16"/>
          <w:szCs w:val="16"/>
        </w:rPr>
        <w:t xml:space="preserve">, </w:t>
      </w:r>
      <w:r w:rsidRPr="00273CB1">
        <w:rPr>
          <w:rStyle w:val="odkaz-style-wrapper"/>
          <w:rFonts w:cs="Arial"/>
          <w:sz w:val="16"/>
          <w:szCs w:val="16"/>
        </w:rPr>
        <w:t>zastupitelské úřady cizích států nebo mezinárodní organizace, které byly založeny a</w:t>
      </w:r>
      <w:r>
        <w:rPr>
          <w:rStyle w:val="odkaz-style-wrapper"/>
          <w:rFonts w:cs="Arial"/>
          <w:sz w:val="16"/>
          <w:szCs w:val="16"/>
        </w:rPr>
        <w:t> </w:t>
      </w:r>
      <w:r w:rsidRPr="00273CB1">
        <w:rPr>
          <w:rStyle w:val="odkaz-style-wrapper"/>
          <w:rFonts w:cs="Arial"/>
          <w:sz w:val="16"/>
          <w:szCs w:val="16"/>
        </w:rPr>
        <w:t xml:space="preserve">fungují na základě mezinárodních dohod nebo </w:t>
      </w:r>
      <w:r>
        <w:rPr>
          <w:rStyle w:val="odkaz-style-wrapper"/>
          <w:rFonts w:cs="Arial"/>
          <w:sz w:val="16"/>
          <w:szCs w:val="16"/>
        </w:rPr>
        <w:t xml:space="preserve">jsou </w:t>
      </w:r>
      <w:r w:rsidRPr="00273CB1">
        <w:rPr>
          <w:rStyle w:val="odkaz-style-wrapper"/>
          <w:rFonts w:cs="Arial"/>
          <w:sz w:val="16"/>
          <w:szCs w:val="16"/>
        </w:rPr>
        <w:t>oddělené</w:t>
      </w:r>
      <w:r>
        <w:rPr>
          <w:rStyle w:val="odkaz-style-wrapper"/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7BF0C" w14:textId="77777777" w:rsidR="00E77C6D" w:rsidRDefault="00E77C6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D5D212" wp14:editId="5BE8D5ED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45D3155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xH0X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662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39"/>
    <w:rsid w:val="00002857"/>
    <w:rsid w:val="00012BC2"/>
    <w:rsid w:val="00013757"/>
    <w:rsid w:val="00016AA5"/>
    <w:rsid w:val="000171C5"/>
    <w:rsid w:val="000207B9"/>
    <w:rsid w:val="00026950"/>
    <w:rsid w:val="00026DC4"/>
    <w:rsid w:val="000302A6"/>
    <w:rsid w:val="00036709"/>
    <w:rsid w:val="000370D3"/>
    <w:rsid w:val="00040CEA"/>
    <w:rsid w:val="00043BF4"/>
    <w:rsid w:val="00066E38"/>
    <w:rsid w:val="0007050D"/>
    <w:rsid w:val="00073558"/>
    <w:rsid w:val="00073A99"/>
    <w:rsid w:val="00082045"/>
    <w:rsid w:val="00082547"/>
    <w:rsid w:val="000843A5"/>
    <w:rsid w:val="0008507E"/>
    <w:rsid w:val="00087487"/>
    <w:rsid w:val="00090B9E"/>
    <w:rsid w:val="00092C15"/>
    <w:rsid w:val="0009303F"/>
    <w:rsid w:val="00093BCB"/>
    <w:rsid w:val="000A5AAC"/>
    <w:rsid w:val="000B6F63"/>
    <w:rsid w:val="000B7488"/>
    <w:rsid w:val="000B7652"/>
    <w:rsid w:val="000D3E4F"/>
    <w:rsid w:val="000F11C8"/>
    <w:rsid w:val="000F5B28"/>
    <w:rsid w:val="000F7F50"/>
    <w:rsid w:val="00101622"/>
    <w:rsid w:val="00127216"/>
    <w:rsid w:val="00130931"/>
    <w:rsid w:val="001404AB"/>
    <w:rsid w:val="00145FEE"/>
    <w:rsid w:val="00146931"/>
    <w:rsid w:val="001578BA"/>
    <w:rsid w:val="001658A9"/>
    <w:rsid w:val="0017231D"/>
    <w:rsid w:val="00175ABA"/>
    <w:rsid w:val="001810DC"/>
    <w:rsid w:val="001876AB"/>
    <w:rsid w:val="00197A07"/>
    <w:rsid w:val="001A532E"/>
    <w:rsid w:val="001A59BF"/>
    <w:rsid w:val="001B579F"/>
    <w:rsid w:val="001B607F"/>
    <w:rsid w:val="001C21F4"/>
    <w:rsid w:val="001C7FEF"/>
    <w:rsid w:val="001D2496"/>
    <w:rsid w:val="001D369A"/>
    <w:rsid w:val="001D7686"/>
    <w:rsid w:val="001E249C"/>
    <w:rsid w:val="001F1D88"/>
    <w:rsid w:val="001F691A"/>
    <w:rsid w:val="001F6C45"/>
    <w:rsid w:val="00203B05"/>
    <w:rsid w:val="00203B48"/>
    <w:rsid w:val="002070FB"/>
    <w:rsid w:val="00213729"/>
    <w:rsid w:val="00222071"/>
    <w:rsid w:val="0022766F"/>
    <w:rsid w:val="00236EE0"/>
    <w:rsid w:val="002406FA"/>
    <w:rsid w:val="00246917"/>
    <w:rsid w:val="002472F5"/>
    <w:rsid w:val="00247354"/>
    <w:rsid w:val="00254D66"/>
    <w:rsid w:val="002636CE"/>
    <w:rsid w:val="00265A44"/>
    <w:rsid w:val="00274A90"/>
    <w:rsid w:val="002805A9"/>
    <w:rsid w:val="00293514"/>
    <w:rsid w:val="002956A8"/>
    <w:rsid w:val="002B2E47"/>
    <w:rsid w:val="002C363D"/>
    <w:rsid w:val="002D4DB4"/>
    <w:rsid w:val="002D6A6C"/>
    <w:rsid w:val="002D6AA2"/>
    <w:rsid w:val="002E4CA7"/>
    <w:rsid w:val="002E6F00"/>
    <w:rsid w:val="00321E61"/>
    <w:rsid w:val="00327644"/>
    <w:rsid w:val="003276BE"/>
    <w:rsid w:val="003301A3"/>
    <w:rsid w:val="00337C71"/>
    <w:rsid w:val="00346D76"/>
    <w:rsid w:val="00361733"/>
    <w:rsid w:val="0036370A"/>
    <w:rsid w:val="0036777B"/>
    <w:rsid w:val="003757F0"/>
    <w:rsid w:val="00377ED2"/>
    <w:rsid w:val="0038007D"/>
    <w:rsid w:val="0038282A"/>
    <w:rsid w:val="00391917"/>
    <w:rsid w:val="00393979"/>
    <w:rsid w:val="00397580"/>
    <w:rsid w:val="003A1794"/>
    <w:rsid w:val="003A34B3"/>
    <w:rsid w:val="003A45C8"/>
    <w:rsid w:val="003B3260"/>
    <w:rsid w:val="003C092E"/>
    <w:rsid w:val="003C2DCF"/>
    <w:rsid w:val="003C7FE7"/>
    <w:rsid w:val="003D0499"/>
    <w:rsid w:val="003F06AA"/>
    <w:rsid w:val="003F432E"/>
    <w:rsid w:val="003F526A"/>
    <w:rsid w:val="003F5D15"/>
    <w:rsid w:val="00405244"/>
    <w:rsid w:val="00412FFB"/>
    <w:rsid w:val="00413AF7"/>
    <w:rsid w:val="00417D45"/>
    <w:rsid w:val="0042770B"/>
    <w:rsid w:val="00437B90"/>
    <w:rsid w:val="004436EE"/>
    <w:rsid w:val="0045547F"/>
    <w:rsid w:val="00456CCF"/>
    <w:rsid w:val="00461AA0"/>
    <w:rsid w:val="004920AD"/>
    <w:rsid w:val="004942F4"/>
    <w:rsid w:val="00495108"/>
    <w:rsid w:val="00495989"/>
    <w:rsid w:val="004A1FAE"/>
    <w:rsid w:val="004B13D2"/>
    <w:rsid w:val="004C52C6"/>
    <w:rsid w:val="004D05B3"/>
    <w:rsid w:val="004E479E"/>
    <w:rsid w:val="004E75C9"/>
    <w:rsid w:val="004E7E1E"/>
    <w:rsid w:val="004F78E6"/>
    <w:rsid w:val="00501608"/>
    <w:rsid w:val="005019A7"/>
    <w:rsid w:val="005024A7"/>
    <w:rsid w:val="0050484A"/>
    <w:rsid w:val="0050641C"/>
    <w:rsid w:val="00511C14"/>
    <w:rsid w:val="00512D99"/>
    <w:rsid w:val="005237CD"/>
    <w:rsid w:val="00531DBB"/>
    <w:rsid w:val="005320B3"/>
    <w:rsid w:val="0053545A"/>
    <w:rsid w:val="00544B6D"/>
    <w:rsid w:val="00553DAA"/>
    <w:rsid w:val="00557B94"/>
    <w:rsid w:val="005646B3"/>
    <w:rsid w:val="005655D7"/>
    <w:rsid w:val="00570ABA"/>
    <w:rsid w:val="00576430"/>
    <w:rsid w:val="00576E3A"/>
    <w:rsid w:val="00593318"/>
    <w:rsid w:val="005A0668"/>
    <w:rsid w:val="005A0817"/>
    <w:rsid w:val="005A7AC3"/>
    <w:rsid w:val="005B0A5A"/>
    <w:rsid w:val="005C1BB9"/>
    <w:rsid w:val="005C4003"/>
    <w:rsid w:val="005D0714"/>
    <w:rsid w:val="005F1E2F"/>
    <w:rsid w:val="005F3DE2"/>
    <w:rsid w:val="005F699D"/>
    <w:rsid w:val="005F7379"/>
    <w:rsid w:val="005F79FB"/>
    <w:rsid w:val="00604406"/>
    <w:rsid w:val="006052D8"/>
    <w:rsid w:val="00605F4A"/>
    <w:rsid w:val="00607822"/>
    <w:rsid w:val="006103AA"/>
    <w:rsid w:val="00611583"/>
    <w:rsid w:val="006133FC"/>
    <w:rsid w:val="00613BBF"/>
    <w:rsid w:val="00614585"/>
    <w:rsid w:val="006171E2"/>
    <w:rsid w:val="00622B80"/>
    <w:rsid w:val="00624989"/>
    <w:rsid w:val="006303F0"/>
    <w:rsid w:val="00630CF8"/>
    <w:rsid w:val="00633A27"/>
    <w:rsid w:val="006370C9"/>
    <w:rsid w:val="0064139A"/>
    <w:rsid w:val="00656A12"/>
    <w:rsid w:val="006616AC"/>
    <w:rsid w:val="00666BE7"/>
    <w:rsid w:val="00667E3D"/>
    <w:rsid w:val="00674D43"/>
    <w:rsid w:val="00675702"/>
    <w:rsid w:val="006861E3"/>
    <w:rsid w:val="00696C16"/>
    <w:rsid w:val="006A50B6"/>
    <w:rsid w:val="006B610C"/>
    <w:rsid w:val="006C09DD"/>
    <w:rsid w:val="006D6521"/>
    <w:rsid w:val="006E024F"/>
    <w:rsid w:val="006E381E"/>
    <w:rsid w:val="006E4E81"/>
    <w:rsid w:val="00707F7D"/>
    <w:rsid w:val="007146C8"/>
    <w:rsid w:val="0071669A"/>
    <w:rsid w:val="00717EC5"/>
    <w:rsid w:val="007243C8"/>
    <w:rsid w:val="00732745"/>
    <w:rsid w:val="00737B80"/>
    <w:rsid w:val="00743982"/>
    <w:rsid w:val="00750C6C"/>
    <w:rsid w:val="00754742"/>
    <w:rsid w:val="007608AF"/>
    <w:rsid w:val="00777139"/>
    <w:rsid w:val="0078195F"/>
    <w:rsid w:val="00794B22"/>
    <w:rsid w:val="007A57F2"/>
    <w:rsid w:val="007B1333"/>
    <w:rsid w:val="007B45C5"/>
    <w:rsid w:val="007C1691"/>
    <w:rsid w:val="007D6250"/>
    <w:rsid w:val="007E23A3"/>
    <w:rsid w:val="007F1FEE"/>
    <w:rsid w:val="007F4AEB"/>
    <w:rsid w:val="007F6239"/>
    <w:rsid w:val="007F75B2"/>
    <w:rsid w:val="008043C4"/>
    <w:rsid w:val="00813976"/>
    <w:rsid w:val="00813DFB"/>
    <w:rsid w:val="00815588"/>
    <w:rsid w:val="008157C0"/>
    <w:rsid w:val="00825070"/>
    <w:rsid w:val="00830309"/>
    <w:rsid w:val="00831B1B"/>
    <w:rsid w:val="00840938"/>
    <w:rsid w:val="00846BC4"/>
    <w:rsid w:val="00847A8C"/>
    <w:rsid w:val="0085235F"/>
    <w:rsid w:val="00852368"/>
    <w:rsid w:val="00861D0E"/>
    <w:rsid w:val="00867569"/>
    <w:rsid w:val="0087060D"/>
    <w:rsid w:val="0088129D"/>
    <w:rsid w:val="00891D95"/>
    <w:rsid w:val="008A18A9"/>
    <w:rsid w:val="008A750A"/>
    <w:rsid w:val="008C384C"/>
    <w:rsid w:val="008C45BF"/>
    <w:rsid w:val="008D0F11"/>
    <w:rsid w:val="008D136D"/>
    <w:rsid w:val="008D2561"/>
    <w:rsid w:val="008D5298"/>
    <w:rsid w:val="008E15B5"/>
    <w:rsid w:val="008F0222"/>
    <w:rsid w:val="008F35E4"/>
    <w:rsid w:val="008F73B4"/>
    <w:rsid w:val="008F7E5F"/>
    <w:rsid w:val="009015C7"/>
    <w:rsid w:val="00906ECF"/>
    <w:rsid w:val="0090741A"/>
    <w:rsid w:val="009168C2"/>
    <w:rsid w:val="00917CA6"/>
    <w:rsid w:val="00927DD9"/>
    <w:rsid w:val="00931A52"/>
    <w:rsid w:val="00931B1D"/>
    <w:rsid w:val="009372DF"/>
    <w:rsid w:val="009405D2"/>
    <w:rsid w:val="00941335"/>
    <w:rsid w:val="00942BAF"/>
    <w:rsid w:val="00942D88"/>
    <w:rsid w:val="009544CC"/>
    <w:rsid w:val="00961ECD"/>
    <w:rsid w:val="009701AB"/>
    <w:rsid w:val="00973287"/>
    <w:rsid w:val="00982C53"/>
    <w:rsid w:val="00984499"/>
    <w:rsid w:val="00991E8D"/>
    <w:rsid w:val="009950AF"/>
    <w:rsid w:val="009A38F9"/>
    <w:rsid w:val="009A5942"/>
    <w:rsid w:val="009B16D4"/>
    <w:rsid w:val="009B4969"/>
    <w:rsid w:val="009B55B1"/>
    <w:rsid w:val="009B68A7"/>
    <w:rsid w:val="009C4150"/>
    <w:rsid w:val="009C6103"/>
    <w:rsid w:val="009D0BD5"/>
    <w:rsid w:val="009E0621"/>
    <w:rsid w:val="009E52CF"/>
    <w:rsid w:val="009F116F"/>
    <w:rsid w:val="009F5F23"/>
    <w:rsid w:val="00A041BC"/>
    <w:rsid w:val="00A0458C"/>
    <w:rsid w:val="00A05534"/>
    <w:rsid w:val="00A15C6C"/>
    <w:rsid w:val="00A2003A"/>
    <w:rsid w:val="00A233AA"/>
    <w:rsid w:val="00A40856"/>
    <w:rsid w:val="00A431FA"/>
    <w:rsid w:val="00A4343D"/>
    <w:rsid w:val="00A448C7"/>
    <w:rsid w:val="00A502F1"/>
    <w:rsid w:val="00A53140"/>
    <w:rsid w:val="00A56C80"/>
    <w:rsid w:val="00A63DD4"/>
    <w:rsid w:val="00A65A70"/>
    <w:rsid w:val="00A70A83"/>
    <w:rsid w:val="00A74120"/>
    <w:rsid w:val="00A80579"/>
    <w:rsid w:val="00A81EB3"/>
    <w:rsid w:val="00A826E6"/>
    <w:rsid w:val="00A961DA"/>
    <w:rsid w:val="00AA4ECF"/>
    <w:rsid w:val="00AB22E1"/>
    <w:rsid w:val="00AC6A14"/>
    <w:rsid w:val="00AC72CC"/>
    <w:rsid w:val="00AD6519"/>
    <w:rsid w:val="00AD6CA9"/>
    <w:rsid w:val="00AE59AB"/>
    <w:rsid w:val="00AF63B0"/>
    <w:rsid w:val="00AF66FA"/>
    <w:rsid w:val="00B00C1D"/>
    <w:rsid w:val="00B07CA2"/>
    <w:rsid w:val="00B15E58"/>
    <w:rsid w:val="00B16369"/>
    <w:rsid w:val="00B31464"/>
    <w:rsid w:val="00B328D3"/>
    <w:rsid w:val="00B33194"/>
    <w:rsid w:val="00B33880"/>
    <w:rsid w:val="00B365F7"/>
    <w:rsid w:val="00B403FC"/>
    <w:rsid w:val="00B435ED"/>
    <w:rsid w:val="00B54330"/>
    <w:rsid w:val="00B57649"/>
    <w:rsid w:val="00B70FF6"/>
    <w:rsid w:val="00BA439F"/>
    <w:rsid w:val="00BA5834"/>
    <w:rsid w:val="00BA6370"/>
    <w:rsid w:val="00BC748B"/>
    <w:rsid w:val="00BE0028"/>
    <w:rsid w:val="00BE210B"/>
    <w:rsid w:val="00BE7C44"/>
    <w:rsid w:val="00BF37CC"/>
    <w:rsid w:val="00C0500E"/>
    <w:rsid w:val="00C051D5"/>
    <w:rsid w:val="00C0711F"/>
    <w:rsid w:val="00C14FA3"/>
    <w:rsid w:val="00C2278C"/>
    <w:rsid w:val="00C24B18"/>
    <w:rsid w:val="00C26525"/>
    <w:rsid w:val="00C269D4"/>
    <w:rsid w:val="00C26D85"/>
    <w:rsid w:val="00C30A81"/>
    <w:rsid w:val="00C36AD6"/>
    <w:rsid w:val="00C4160D"/>
    <w:rsid w:val="00C42CB8"/>
    <w:rsid w:val="00C51B65"/>
    <w:rsid w:val="00C558B2"/>
    <w:rsid w:val="00C63561"/>
    <w:rsid w:val="00C63A88"/>
    <w:rsid w:val="00C65FAA"/>
    <w:rsid w:val="00C7577F"/>
    <w:rsid w:val="00C8406E"/>
    <w:rsid w:val="00C86BDB"/>
    <w:rsid w:val="00C874BC"/>
    <w:rsid w:val="00C96221"/>
    <w:rsid w:val="00C969E1"/>
    <w:rsid w:val="00CA1B47"/>
    <w:rsid w:val="00CA2A0A"/>
    <w:rsid w:val="00CB19EA"/>
    <w:rsid w:val="00CB1D8D"/>
    <w:rsid w:val="00CB2709"/>
    <w:rsid w:val="00CB6F89"/>
    <w:rsid w:val="00CC410E"/>
    <w:rsid w:val="00CD07B7"/>
    <w:rsid w:val="00CD64C4"/>
    <w:rsid w:val="00CE1C49"/>
    <w:rsid w:val="00CE228C"/>
    <w:rsid w:val="00CE3027"/>
    <w:rsid w:val="00CE75DD"/>
    <w:rsid w:val="00CF1CFF"/>
    <w:rsid w:val="00CF27B5"/>
    <w:rsid w:val="00CF545B"/>
    <w:rsid w:val="00CF707A"/>
    <w:rsid w:val="00D175AA"/>
    <w:rsid w:val="00D21345"/>
    <w:rsid w:val="00D26769"/>
    <w:rsid w:val="00D27D69"/>
    <w:rsid w:val="00D448C2"/>
    <w:rsid w:val="00D573FE"/>
    <w:rsid w:val="00D657AC"/>
    <w:rsid w:val="00D666C3"/>
    <w:rsid w:val="00D718B9"/>
    <w:rsid w:val="00D806A3"/>
    <w:rsid w:val="00D80F3C"/>
    <w:rsid w:val="00D86734"/>
    <w:rsid w:val="00D875B2"/>
    <w:rsid w:val="00DA0096"/>
    <w:rsid w:val="00DA56DA"/>
    <w:rsid w:val="00DA6EE0"/>
    <w:rsid w:val="00DA7A94"/>
    <w:rsid w:val="00DB4E76"/>
    <w:rsid w:val="00DC4DBF"/>
    <w:rsid w:val="00DD1EAE"/>
    <w:rsid w:val="00DE0ACA"/>
    <w:rsid w:val="00DF47FE"/>
    <w:rsid w:val="00E014D6"/>
    <w:rsid w:val="00E13EE8"/>
    <w:rsid w:val="00E20705"/>
    <w:rsid w:val="00E21F33"/>
    <w:rsid w:val="00E26081"/>
    <w:rsid w:val="00E260AC"/>
    <w:rsid w:val="00E26704"/>
    <w:rsid w:val="00E316C8"/>
    <w:rsid w:val="00E31980"/>
    <w:rsid w:val="00E41272"/>
    <w:rsid w:val="00E42E00"/>
    <w:rsid w:val="00E52B7F"/>
    <w:rsid w:val="00E63873"/>
    <w:rsid w:val="00E6423C"/>
    <w:rsid w:val="00E64DE8"/>
    <w:rsid w:val="00E77C6D"/>
    <w:rsid w:val="00E843B7"/>
    <w:rsid w:val="00E9349A"/>
    <w:rsid w:val="00E93830"/>
    <w:rsid w:val="00E93E0E"/>
    <w:rsid w:val="00EA1DBD"/>
    <w:rsid w:val="00EA7AF3"/>
    <w:rsid w:val="00EA7B94"/>
    <w:rsid w:val="00EB1ED3"/>
    <w:rsid w:val="00EB3C89"/>
    <w:rsid w:val="00EB4B5C"/>
    <w:rsid w:val="00EC2D51"/>
    <w:rsid w:val="00ED7B69"/>
    <w:rsid w:val="00EE227D"/>
    <w:rsid w:val="00EE3D9D"/>
    <w:rsid w:val="00EE484C"/>
    <w:rsid w:val="00EE4F33"/>
    <w:rsid w:val="00EF0152"/>
    <w:rsid w:val="00F03815"/>
    <w:rsid w:val="00F0500E"/>
    <w:rsid w:val="00F13564"/>
    <w:rsid w:val="00F169B0"/>
    <w:rsid w:val="00F220C4"/>
    <w:rsid w:val="00F23E34"/>
    <w:rsid w:val="00F26395"/>
    <w:rsid w:val="00F32DA4"/>
    <w:rsid w:val="00F46655"/>
    <w:rsid w:val="00F50CEF"/>
    <w:rsid w:val="00F515A6"/>
    <w:rsid w:val="00F61E35"/>
    <w:rsid w:val="00F73A45"/>
    <w:rsid w:val="00F74BE5"/>
    <w:rsid w:val="00F81F79"/>
    <w:rsid w:val="00F82B3B"/>
    <w:rsid w:val="00F91C80"/>
    <w:rsid w:val="00F92017"/>
    <w:rsid w:val="00F97CCA"/>
    <w:rsid w:val="00FA3ABC"/>
    <w:rsid w:val="00FA3D9D"/>
    <w:rsid w:val="00FB687C"/>
    <w:rsid w:val="00FB7E0F"/>
    <w:rsid w:val="00FD3187"/>
    <w:rsid w:val="00FE0C2F"/>
    <w:rsid w:val="00FE4662"/>
    <w:rsid w:val="00FF04D9"/>
    <w:rsid w:val="00FF3D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0071bc"/>
    </o:shapedefaults>
    <o:shapelayout v:ext="edit">
      <o:idmap v:ext="edit" data="1"/>
    </o:shapelayout>
  </w:shapeDefaults>
  <w:decimalSymbol w:val=","/>
  <w:listSeparator w:val=";"/>
  <w14:docId w14:val="37D29D45"/>
  <w15:docId w15:val="{9254F918-8816-4AC9-A73A-D5EE998E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qFormat/>
    <w:rsid w:val="007F6239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7F6239"/>
    <w:rPr>
      <w:rFonts w:ascii="Arial" w:hAnsi="Arial"/>
    </w:rPr>
  </w:style>
  <w:style w:type="character" w:styleId="Znakapoznpodarou">
    <w:name w:val="footnote reference"/>
    <w:rsid w:val="007F6239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C65FAA"/>
    <w:pPr>
      <w:spacing w:after="240" w:line="240" w:lineRule="auto"/>
    </w:pPr>
    <w:rPr>
      <w:rFonts w:eastAsia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5FAA"/>
    <w:rPr>
      <w:rFonts w:ascii="Arial" w:eastAsia="Times New Roman" w:hAnsi="Arial"/>
    </w:rPr>
  </w:style>
  <w:style w:type="character" w:customStyle="1" w:styleId="odkaz-style-wrapper">
    <w:name w:val="odkaz-style-wrapper"/>
    <w:basedOn w:val="Standardnpsmoodstavce"/>
    <w:rsid w:val="00614585"/>
  </w:style>
  <w:style w:type="character" w:styleId="Odkaznakoment">
    <w:name w:val="annotation reference"/>
    <w:basedOn w:val="Standardnpsmoodstavce"/>
    <w:uiPriority w:val="99"/>
    <w:semiHidden/>
    <w:unhideWhenUsed/>
    <w:rsid w:val="009015C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5C7"/>
    <w:pPr>
      <w:spacing w:after="0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5C7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metodicka-poznamka-k-vladni-financni-statistice-2-ctvrtleti-2020-covid-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Anal&#253;za%20C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0Q3\grafy_sektorove_uct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0Q3\grafy_sektorove_uct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0Q3\grafy_sektorove_uct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0Q3\grafy_sektorove_uct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0Q3\grafy_sektorove_uct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696006416751094E-2"/>
          <c:y val="3.9316672295395698E-2"/>
          <c:w val="0.84196935157041541"/>
          <c:h val="0.753162501407182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NP!$C$7</c:f>
              <c:strCache>
                <c:ptCount val="1"/>
                <c:pt idx="0">
                  <c:v>HPH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NP!$A$8:$B$34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NP!$C$8:$C$34</c:f>
              <c:numCache>
                <c:formatCode>0.0</c:formatCode>
                <c:ptCount val="27"/>
                <c:pt idx="0">
                  <c:v>30.13</c:v>
                </c:pt>
                <c:pt idx="1">
                  <c:v>48.292000000000002</c:v>
                </c:pt>
                <c:pt idx="2">
                  <c:v>59.404000000000003</c:v>
                </c:pt>
                <c:pt idx="3">
                  <c:v>52.280999999999999</c:v>
                </c:pt>
                <c:pt idx="4">
                  <c:v>46.219000000000001</c:v>
                </c:pt>
                <c:pt idx="5">
                  <c:v>41.719000000000001</c:v>
                </c:pt>
                <c:pt idx="6">
                  <c:v>43.966000000000001</c:v>
                </c:pt>
                <c:pt idx="7">
                  <c:v>44.445999999999998</c:v>
                </c:pt>
                <c:pt idx="8">
                  <c:v>35.908999999999999</c:v>
                </c:pt>
                <c:pt idx="9">
                  <c:v>38.994999999999997</c:v>
                </c:pt>
                <c:pt idx="10">
                  <c:v>17.914999999999999</c:v>
                </c:pt>
                <c:pt idx="11">
                  <c:v>15.045999999999999</c:v>
                </c:pt>
                <c:pt idx="12">
                  <c:v>30.613</c:v>
                </c:pt>
                <c:pt idx="13">
                  <c:v>40.911000000000001</c:v>
                </c:pt>
                <c:pt idx="14">
                  <c:v>61.198999999999998</c:v>
                </c:pt>
                <c:pt idx="15">
                  <c:v>49.415999999999997</c:v>
                </c:pt>
                <c:pt idx="16">
                  <c:v>37.04</c:v>
                </c:pt>
                <c:pt idx="17">
                  <c:v>30.673999999999999</c:v>
                </c:pt>
                <c:pt idx="18">
                  <c:v>28.23</c:v>
                </c:pt>
                <c:pt idx="19">
                  <c:v>35.655000000000001</c:v>
                </c:pt>
                <c:pt idx="20">
                  <c:v>41.704000000000001</c:v>
                </c:pt>
                <c:pt idx="21">
                  <c:v>43.481000000000002</c:v>
                </c:pt>
                <c:pt idx="22">
                  <c:v>58.25</c:v>
                </c:pt>
                <c:pt idx="23">
                  <c:v>41.908999999999999</c:v>
                </c:pt>
                <c:pt idx="24">
                  <c:v>12.693</c:v>
                </c:pt>
                <c:pt idx="25" formatCode="General">
                  <c:v>-77.462999999999994</c:v>
                </c:pt>
                <c:pt idx="26" formatCode="General">
                  <c:v>-21.530999999999999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49-467D-9E51-85ABA6E3FAA4}"/>
            </c:ext>
          </c:extLst>
        </c:ser>
        <c:ser>
          <c:idx val="1"/>
          <c:order val="1"/>
          <c:tx>
            <c:strRef>
              <c:f>NP!$D$7</c:f>
              <c:strCache>
                <c:ptCount val="1"/>
                <c:pt idx="0">
                  <c:v>Náhrady zaměstnancům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NP!$A$8:$B$34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NP!$D$8:$D$34</c:f>
              <c:numCache>
                <c:formatCode>0.0</c:formatCode>
                <c:ptCount val="27"/>
                <c:pt idx="0">
                  <c:v>13.022</c:v>
                </c:pt>
                <c:pt idx="1">
                  <c:v>11.852</c:v>
                </c:pt>
                <c:pt idx="2">
                  <c:v>11.016999999999999</c:v>
                </c:pt>
                <c:pt idx="3">
                  <c:v>11.824999999999999</c:v>
                </c:pt>
                <c:pt idx="4">
                  <c:v>16.056999999999999</c:v>
                </c:pt>
                <c:pt idx="5">
                  <c:v>18.773</c:v>
                </c:pt>
                <c:pt idx="6">
                  <c:v>17.21</c:v>
                </c:pt>
                <c:pt idx="7">
                  <c:v>22.323</c:v>
                </c:pt>
                <c:pt idx="8">
                  <c:v>21.411999999999999</c:v>
                </c:pt>
                <c:pt idx="9">
                  <c:v>19.292000000000002</c:v>
                </c:pt>
                <c:pt idx="10">
                  <c:v>22.242999999999999</c:v>
                </c:pt>
                <c:pt idx="11">
                  <c:v>19.733000000000001</c:v>
                </c:pt>
                <c:pt idx="12">
                  <c:v>27.047000000000001</c:v>
                </c:pt>
                <c:pt idx="13">
                  <c:v>37.268999999999998</c:v>
                </c:pt>
                <c:pt idx="14">
                  <c:v>35.341999999999999</c:v>
                </c:pt>
                <c:pt idx="15">
                  <c:v>32.363999999999997</c:v>
                </c:pt>
                <c:pt idx="16">
                  <c:v>35.039000000000001</c:v>
                </c:pt>
                <c:pt idx="17">
                  <c:v>36.268000000000001</c:v>
                </c:pt>
                <c:pt idx="18">
                  <c:v>33.268999999999998</c:v>
                </c:pt>
                <c:pt idx="19">
                  <c:v>40.823</c:v>
                </c:pt>
                <c:pt idx="20">
                  <c:v>28.347999999999999</c:v>
                </c:pt>
                <c:pt idx="21">
                  <c:v>27.206</c:v>
                </c:pt>
                <c:pt idx="22">
                  <c:v>23.123000000000001</c:v>
                </c:pt>
                <c:pt idx="23">
                  <c:v>22.181000000000001</c:v>
                </c:pt>
                <c:pt idx="24">
                  <c:v>12.117000000000001</c:v>
                </c:pt>
                <c:pt idx="25" formatCode="General">
                  <c:v>-22.091999999999999</c:v>
                </c:pt>
                <c:pt idx="26" formatCode="General">
                  <c:v>-11.547000000000001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49-467D-9E51-85ABA6E3FA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overlap val="-27"/>
        <c:axId val="779606304"/>
        <c:axId val="779603392"/>
      </c:barChart>
      <c:lineChart>
        <c:grouping val="standard"/>
        <c:varyColors val="0"/>
        <c:ser>
          <c:idx val="2"/>
          <c:order val="2"/>
          <c:tx>
            <c:strRef>
              <c:f>NP!$E$7</c:f>
              <c:strCache>
                <c:ptCount val="1"/>
                <c:pt idx="0">
                  <c:v>Míra zisku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NP!$A$8:$B$34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NP!$E$8:$E$34</c:f>
              <c:numCache>
                <c:formatCode>0.0</c:formatCode>
                <c:ptCount val="27"/>
                <c:pt idx="0">
                  <c:v>48.076220272351875</c:v>
                </c:pt>
                <c:pt idx="1">
                  <c:v>49.070235246083932</c:v>
                </c:pt>
                <c:pt idx="2">
                  <c:v>48.995691715380559</c:v>
                </c:pt>
                <c:pt idx="3">
                  <c:v>50.07260766142624</c:v>
                </c:pt>
                <c:pt idx="4">
                  <c:v>49.701846000542382</c:v>
                </c:pt>
                <c:pt idx="5">
                  <c:v>49.551221859212639</c:v>
                </c:pt>
                <c:pt idx="6">
                  <c:v>50.12463511680069</c:v>
                </c:pt>
                <c:pt idx="7">
                  <c:v>49.619980725506331</c:v>
                </c:pt>
                <c:pt idx="8">
                  <c:v>49.469037302241212</c:v>
                </c:pt>
                <c:pt idx="9">
                  <c:v>49.16814649314616</c:v>
                </c:pt>
                <c:pt idx="10">
                  <c:v>48.038283182956285</c:v>
                </c:pt>
                <c:pt idx="11">
                  <c:v>48.018199419732873</c:v>
                </c:pt>
                <c:pt idx="12">
                  <c:v>47.243920655650278</c:v>
                </c:pt>
                <c:pt idx="13">
                  <c:v>47.709875458519122</c:v>
                </c:pt>
                <c:pt idx="14">
                  <c:v>47.442758613197469</c:v>
                </c:pt>
                <c:pt idx="15">
                  <c:v>47.032190216274827</c:v>
                </c:pt>
                <c:pt idx="16">
                  <c:v>45.647091406038882</c:v>
                </c:pt>
                <c:pt idx="17">
                  <c:v>45.331662634854879</c:v>
                </c:pt>
                <c:pt idx="18">
                  <c:v>44.91509058449364</c:v>
                </c:pt>
                <c:pt idx="19">
                  <c:v>44.181793445556679</c:v>
                </c:pt>
                <c:pt idx="20">
                  <c:v>44.965681316514313</c:v>
                </c:pt>
                <c:pt idx="21">
                  <c:v>45.001446652837643</c:v>
                </c:pt>
                <c:pt idx="22">
                  <c:v>44.53203025570906</c:v>
                </c:pt>
                <c:pt idx="23">
                  <c:v>44.604989411319018</c:v>
                </c:pt>
                <c:pt idx="24">
                  <c:v>44.374933782686128</c:v>
                </c:pt>
                <c:pt idx="25" formatCode="General">
                  <c:v>43.680408785681799</c:v>
                </c:pt>
                <c:pt idx="26" formatCode="General">
                  <c:v>45.161586298297479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D49-467D-9E51-85ABA6E3FA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5184"/>
        <c:axId val="787196880"/>
      </c:lineChart>
      <c:catAx>
        <c:axId val="77960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3392"/>
        <c:crosses val="autoZero"/>
        <c:auto val="1"/>
        <c:lblAlgn val="ctr"/>
        <c:lblOffset val="100"/>
        <c:noMultiLvlLbl val="0"/>
      </c:catAx>
      <c:valAx>
        <c:axId val="779603392"/>
        <c:scaling>
          <c:orientation val="minMax"/>
          <c:max val="70"/>
          <c:min val="-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HPH, </a:t>
                </a:r>
                <a:r>
                  <a:rPr lang="cs-CZ"/>
                  <a:t>ná</a:t>
                </a:r>
                <a:r>
                  <a:rPr lang="en-US"/>
                  <a:t>hrady</a:t>
                </a:r>
                <a:r>
                  <a:rPr lang="cs-CZ"/>
                  <a:t> zaměstnancům (mld. korun)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6304"/>
        <c:crosses val="autoZero"/>
        <c:crossBetween val="between"/>
      </c:valAx>
      <c:valAx>
        <c:axId val="787196880"/>
        <c:scaling>
          <c:orientation val="minMax"/>
          <c:min val="42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/>
                  <a:t>Míra zisku (%)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5184"/>
        <c:crosses val="max"/>
        <c:crossBetween val="between"/>
      </c:valAx>
      <c:catAx>
        <c:axId val="787215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1968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322821681864235E-2"/>
          <c:y val="0.89978976697061808"/>
          <c:w val="0.84271572104018899"/>
          <c:h val="7.87647754137115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78765619723061E-2"/>
          <c:y val="3.9316672295395698E-2"/>
          <c:w val="0.83534806653157723"/>
          <c:h val="0.764568557919621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'NP2'!$C$6</c:f>
              <c:strCache>
                <c:ptCount val="1"/>
                <c:pt idx="0">
                  <c:v>Tvorba hrubého fixního kapitálu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'NP2'!$A$7:$B$33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'NP2'!$C$7:$C$33</c:f>
              <c:numCache>
                <c:formatCode>General</c:formatCode>
                <c:ptCount val="27"/>
                <c:pt idx="0">
                  <c:v>7.8310000000000004</c:v>
                </c:pt>
                <c:pt idx="1">
                  <c:v>4.7279999999999998</c:v>
                </c:pt>
                <c:pt idx="2">
                  <c:v>6.1459999999999999</c:v>
                </c:pt>
                <c:pt idx="3">
                  <c:v>-1.5089999999999999</c:v>
                </c:pt>
                <c:pt idx="4">
                  <c:v>14.896000000000001</c:v>
                </c:pt>
                <c:pt idx="5">
                  <c:v>19.86</c:v>
                </c:pt>
                <c:pt idx="6">
                  <c:v>15.653</c:v>
                </c:pt>
                <c:pt idx="7">
                  <c:v>5.8860000000000001</c:v>
                </c:pt>
                <c:pt idx="8">
                  <c:v>3.5840000000000001</c:v>
                </c:pt>
                <c:pt idx="9">
                  <c:v>4.2910000000000004</c:v>
                </c:pt>
                <c:pt idx="10">
                  <c:v>5.6639999999999997</c:v>
                </c:pt>
                <c:pt idx="11">
                  <c:v>13.547000000000001</c:v>
                </c:pt>
                <c:pt idx="12">
                  <c:v>8.5790000000000006</c:v>
                </c:pt>
                <c:pt idx="13">
                  <c:v>16.106000000000002</c:v>
                </c:pt>
                <c:pt idx="14">
                  <c:v>18.687000000000001</c:v>
                </c:pt>
                <c:pt idx="15">
                  <c:v>26.071999999999999</c:v>
                </c:pt>
                <c:pt idx="16">
                  <c:v>6.3949999999999996</c:v>
                </c:pt>
                <c:pt idx="17">
                  <c:v>8.6140000000000008</c:v>
                </c:pt>
                <c:pt idx="18">
                  <c:v>7.9569999999999999</c:v>
                </c:pt>
                <c:pt idx="19">
                  <c:v>16.013000000000002</c:v>
                </c:pt>
                <c:pt idx="20">
                  <c:v>10.096</c:v>
                </c:pt>
                <c:pt idx="21">
                  <c:v>5.2450000000000001</c:v>
                </c:pt>
                <c:pt idx="22">
                  <c:v>16.565000000000001</c:v>
                </c:pt>
                <c:pt idx="23">
                  <c:v>22.071000000000002</c:v>
                </c:pt>
                <c:pt idx="24">
                  <c:v>-12.916</c:v>
                </c:pt>
                <c:pt idx="25">
                  <c:v>-10.507</c:v>
                </c:pt>
                <c:pt idx="26">
                  <c:v>-27.882999999999999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80-4DC7-ACE4-BE597A3ACD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overlap val="-27"/>
        <c:axId val="787223504"/>
        <c:axId val="787224752"/>
      </c:barChart>
      <c:lineChart>
        <c:grouping val="standard"/>
        <c:varyColors val="0"/>
        <c:ser>
          <c:idx val="1"/>
          <c:order val="1"/>
          <c:tx>
            <c:strRef>
              <c:f>'NP2'!$D$6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'NP2'!$A$7:$B$33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'NP2'!$D$7:$D$33</c:f>
              <c:numCache>
                <c:formatCode>General</c:formatCode>
                <c:ptCount val="27"/>
                <c:pt idx="0">
                  <c:v>29.20558912231926</c:v>
                </c:pt>
                <c:pt idx="1">
                  <c:v>27.968293063443749</c:v>
                </c:pt>
                <c:pt idx="2">
                  <c:v>28.501035597961327</c:v>
                </c:pt>
                <c:pt idx="3">
                  <c:v>27.682289960972383</c:v>
                </c:pt>
                <c:pt idx="4">
                  <c:v>29.562497240774725</c:v>
                </c:pt>
                <c:pt idx="5">
                  <c:v>29.205888515532241</c:v>
                </c:pt>
                <c:pt idx="6">
                  <c:v>28.68191321375874</c:v>
                </c:pt>
                <c:pt idx="7">
                  <c:v>26.768614649514465</c:v>
                </c:pt>
                <c:pt idx="8">
                  <c:v>28.515794028559068</c:v>
                </c:pt>
                <c:pt idx="9">
                  <c:v>28.689977717013516</c:v>
                </c:pt>
                <c:pt idx="10">
                  <c:v>28.728684237817976</c:v>
                </c:pt>
                <c:pt idx="11">
                  <c:v>27.835883987460157</c:v>
                </c:pt>
                <c:pt idx="12">
                  <c:v>29.192751377287056</c:v>
                </c:pt>
                <c:pt idx="13">
                  <c:v>28.800080172205504</c:v>
                </c:pt>
                <c:pt idx="14">
                  <c:v>28.84862689927607</c:v>
                </c:pt>
                <c:pt idx="15">
                  <c:v>29.017858964922855</c:v>
                </c:pt>
                <c:pt idx="16">
                  <c:v>28.557177677722763</c:v>
                </c:pt>
                <c:pt idx="17">
                  <c:v>28.884637479511543</c:v>
                </c:pt>
                <c:pt idx="18">
                  <c:v>28.928185301810377</c:v>
                </c:pt>
                <c:pt idx="19">
                  <c:v>29.60331123402073</c:v>
                </c:pt>
                <c:pt idx="20">
                  <c:v>28.659503953486894</c:v>
                </c:pt>
                <c:pt idx="21">
                  <c:v>27.620770992403848</c:v>
                </c:pt>
                <c:pt idx="22">
                  <c:v>29.462580103658432</c:v>
                </c:pt>
                <c:pt idx="23">
                  <c:v>30.426093490911121</c:v>
                </c:pt>
                <c:pt idx="24">
                  <c:v>26.668424053155476</c:v>
                </c:pt>
                <c:pt idx="25">
                  <c:v>28.730035581476233</c:v>
                </c:pt>
                <c:pt idx="26">
                  <c:v>26.655749821592416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80-4DC7-ACE4-BE597A3ACD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2272"/>
        <c:axId val="787206864"/>
      </c:lineChart>
      <c:catAx>
        <c:axId val="78722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4752"/>
        <c:crosses val="autoZero"/>
        <c:auto val="1"/>
        <c:lblAlgn val="ctr"/>
        <c:lblOffset val="100"/>
        <c:noMultiLvlLbl val="0"/>
      </c:catAx>
      <c:valAx>
        <c:axId val="787224752"/>
        <c:scaling>
          <c:orientation val="minMax"/>
          <c:min val="-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Tvorba HFK (mld. korun)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3504"/>
        <c:crosses val="autoZero"/>
        <c:crossBetween val="between"/>
      </c:valAx>
      <c:valAx>
        <c:axId val="787206864"/>
        <c:scaling>
          <c:orientation val="minMax"/>
          <c:min val="2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investic (%)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2272"/>
        <c:crosses val="max"/>
        <c:crossBetween val="between"/>
        <c:majorUnit val="1"/>
      </c:valAx>
      <c:catAx>
        <c:axId val="787212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2068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4501013171225936E-2"/>
          <c:y val="0.92549279522683781"/>
          <c:w val="0.85512390239783864"/>
          <c:h val="5.30617471574918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800869638635598E-2"/>
          <c:y val="4.5653594771241833E-2"/>
          <c:w val="0.89171162613981758"/>
          <c:h val="0.67538431372549024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VI!$F$6</c:f>
              <c:strCache>
                <c:ptCount val="1"/>
                <c:pt idx="0">
                  <c:v>Fondy sociálního zabezpečení (zdravotní pojišťovny)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VI!$A$7:$B$33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VI!$F$7:$F$33</c:f>
              <c:numCache>
                <c:formatCode>General</c:formatCode>
                <c:ptCount val="27"/>
                <c:pt idx="0">
                  <c:v>4.6520000000000001</c:v>
                </c:pt>
                <c:pt idx="1">
                  <c:v>-1.306</c:v>
                </c:pt>
                <c:pt idx="2">
                  <c:v>2.88</c:v>
                </c:pt>
                <c:pt idx="3">
                  <c:v>-8.9190000000000005</c:v>
                </c:pt>
                <c:pt idx="4">
                  <c:v>2.39</c:v>
                </c:pt>
                <c:pt idx="5">
                  <c:v>0.93700000000000006</c:v>
                </c:pt>
                <c:pt idx="6">
                  <c:v>1.048</c:v>
                </c:pt>
                <c:pt idx="7">
                  <c:v>-2.4620000000000002</c:v>
                </c:pt>
                <c:pt idx="8">
                  <c:v>1.337</c:v>
                </c:pt>
                <c:pt idx="9">
                  <c:v>1.087</c:v>
                </c:pt>
                <c:pt idx="10">
                  <c:v>3.8919999999999999</c:v>
                </c:pt>
                <c:pt idx="11">
                  <c:v>-1.43</c:v>
                </c:pt>
                <c:pt idx="12">
                  <c:v>0.34899999999999998</c:v>
                </c:pt>
                <c:pt idx="13">
                  <c:v>4.6449999999999996</c:v>
                </c:pt>
                <c:pt idx="14">
                  <c:v>6.37</c:v>
                </c:pt>
                <c:pt idx="15">
                  <c:v>-3.1819999999999999</c:v>
                </c:pt>
                <c:pt idx="16">
                  <c:v>3.45</c:v>
                </c:pt>
                <c:pt idx="17">
                  <c:v>4.9660000000000002</c:v>
                </c:pt>
                <c:pt idx="18">
                  <c:v>6.6139999999999999</c:v>
                </c:pt>
                <c:pt idx="19">
                  <c:v>1.6160000000000001</c:v>
                </c:pt>
                <c:pt idx="20">
                  <c:v>3.335</c:v>
                </c:pt>
                <c:pt idx="21">
                  <c:v>4.9080000000000004</c:v>
                </c:pt>
                <c:pt idx="22">
                  <c:v>5.335</c:v>
                </c:pt>
                <c:pt idx="23">
                  <c:v>-2.1869999999999998</c:v>
                </c:pt>
                <c:pt idx="24">
                  <c:v>-1.671</c:v>
                </c:pt>
                <c:pt idx="25">
                  <c:v>0.93600000000000005</c:v>
                </c:pt>
                <c:pt idx="26">
                  <c:v>7.0549999999999997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D4-4724-8359-7C6EEFFCF1A3}"/>
            </c:ext>
          </c:extLst>
        </c:ser>
        <c:ser>
          <c:idx val="2"/>
          <c:order val="2"/>
          <c:tx>
            <c:strRef>
              <c:f>VI!$E$6</c:f>
              <c:strCache>
                <c:ptCount val="1"/>
                <c:pt idx="0">
                  <c:v>Místní vládní instituce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VI!$A$7:$B$33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VI!$E$7:$E$33</c:f>
              <c:numCache>
                <c:formatCode>General</c:formatCode>
                <c:ptCount val="27"/>
                <c:pt idx="0">
                  <c:v>10.228</c:v>
                </c:pt>
                <c:pt idx="1">
                  <c:v>11.028</c:v>
                </c:pt>
                <c:pt idx="2">
                  <c:v>1.0269999999999999</c:v>
                </c:pt>
                <c:pt idx="3">
                  <c:v>-14.608000000000001</c:v>
                </c:pt>
                <c:pt idx="4">
                  <c:v>12.942</c:v>
                </c:pt>
                <c:pt idx="5">
                  <c:v>19.292000000000002</c:v>
                </c:pt>
                <c:pt idx="6">
                  <c:v>-2.6890000000000001</c:v>
                </c:pt>
                <c:pt idx="7">
                  <c:v>-3.556</c:v>
                </c:pt>
                <c:pt idx="8">
                  <c:v>17.620999999999999</c:v>
                </c:pt>
                <c:pt idx="9">
                  <c:v>26.577999999999999</c:v>
                </c:pt>
                <c:pt idx="10">
                  <c:v>9.0079999999999991</c:v>
                </c:pt>
                <c:pt idx="11">
                  <c:v>-3.5289999999999999</c:v>
                </c:pt>
                <c:pt idx="12">
                  <c:v>16.695</c:v>
                </c:pt>
                <c:pt idx="13">
                  <c:v>26.521000000000001</c:v>
                </c:pt>
                <c:pt idx="14">
                  <c:v>5.6349999999999998</c:v>
                </c:pt>
                <c:pt idx="15">
                  <c:v>-6.9260000000000002</c:v>
                </c:pt>
                <c:pt idx="16">
                  <c:v>15.238</c:v>
                </c:pt>
                <c:pt idx="17">
                  <c:v>24.672999999999998</c:v>
                </c:pt>
                <c:pt idx="18">
                  <c:v>-5.1619999999999999</c:v>
                </c:pt>
                <c:pt idx="19">
                  <c:v>-11.194000000000001</c:v>
                </c:pt>
                <c:pt idx="20">
                  <c:v>20.919</c:v>
                </c:pt>
                <c:pt idx="21">
                  <c:v>27.920999999999999</c:v>
                </c:pt>
                <c:pt idx="22">
                  <c:v>-1.389</c:v>
                </c:pt>
                <c:pt idx="23">
                  <c:v>-10.294</c:v>
                </c:pt>
                <c:pt idx="24">
                  <c:v>16.29</c:v>
                </c:pt>
                <c:pt idx="25">
                  <c:v>15.877000000000001</c:v>
                </c:pt>
                <c:pt idx="26">
                  <c:v>14.015000000000001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D4-4724-8359-7C6EEFFCF1A3}"/>
            </c:ext>
          </c:extLst>
        </c:ser>
        <c:ser>
          <c:idx val="1"/>
          <c:order val="3"/>
          <c:tx>
            <c:strRef>
              <c:f>VI!$D$6</c:f>
              <c:strCache>
                <c:ptCount val="1"/>
                <c:pt idx="0">
                  <c:v>Ústřední vládní instituce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VI!$A$7:$B$33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VI!$D$7:$D$33</c:f>
              <c:numCache>
                <c:formatCode>General</c:formatCode>
                <c:ptCount val="27"/>
                <c:pt idx="0">
                  <c:v>-59.658000000000001</c:v>
                </c:pt>
                <c:pt idx="1">
                  <c:v>-15.667999999999999</c:v>
                </c:pt>
                <c:pt idx="2">
                  <c:v>-3.2749999999999999</c:v>
                </c:pt>
                <c:pt idx="3">
                  <c:v>-16.577000000000002</c:v>
                </c:pt>
                <c:pt idx="4">
                  <c:v>-32.365000000000002</c:v>
                </c:pt>
                <c:pt idx="5">
                  <c:v>-9.8119999999999994</c:v>
                </c:pt>
                <c:pt idx="6">
                  <c:v>10.430999999999999</c:v>
                </c:pt>
                <c:pt idx="7">
                  <c:v>-25.934999999999999</c:v>
                </c:pt>
                <c:pt idx="8">
                  <c:v>-21.896999999999998</c:v>
                </c:pt>
                <c:pt idx="9">
                  <c:v>2.395</c:v>
                </c:pt>
                <c:pt idx="10">
                  <c:v>13.132</c:v>
                </c:pt>
                <c:pt idx="11">
                  <c:v>-14.051</c:v>
                </c:pt>
                <c:pt idx="12">
                  <c:v>-15.212999999999999</c:v>
                </c:pt>
                <c:pt idx="13">
                  <c:v>10.332000000000001</c:v>
                </c:pt>
                <c:pt idx="14">
                  <c:v>20.634</c:v>
                </c:pt>
                <c:pt idx="15">
                  <c:v>10.872999999999999</c:v>
                </c:pt>
                <c:pt idx="16">
                  <c:v>-16.408000000000001</c:v>
                </c:pt>
                <c:pt idx="17">
                  <c:v>11.964</c:v>
                </c:pt>
                <c:pt idx="18">
                  <c:v>14.833</c:v>
                </c:pt>
                <c:pt idx="19">
                  <c:v>-1.208</c:v>
                </c:pt>
                <c:pt idx="20">
                  <c:v>-26.876999999999999</c:v>
                </c:pt>
                <c:pt idx="21">
                  <c:v>-7.0010000000000003</c:v>
                </c:pt>
                <c:pt idx="22">
                  <c:v>11.379</c:v>
                </c:pt>
                <c:pt idx="23">
                  <c:v>-10.782</c:v>
                </c:pt>
                <c:pt idx="24">
                  <c:v>-71.813000000000002</c:v>
                </c:pt>
                <c:pt idx="25">
                  <c:v>-112.849</c:v>
                </c:pt>
                <c:pt idx="26">
                  <c:v>-63.238999999999997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D4-4724-8359-7C6EEFFCF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836024223"/>
        <c:axId val="1836025471"/>
      </c:barChart>
      <c:lineChart>
        <c:grouping val="standard"/>
        <c:varyColors val="0"/>
        <c:ser>
          <c:idx val="0"/>
          <c:order val="1"/>
          <c:tx>
            <c:strRef>
              <c:f>VI!$C$6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VI!$A$7:$B$33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VI!$C$7:$C$33</c:f>
              <c:numCache>
                <c:formatCode>General</c:formatCode>
                <c:ptCount val="27"/>
                <c:pt idx="0">
                  <c:v>-44.777999999999999</c:v>
                </c:pt>
                <c:pt idx="1">
                  <c:v>-5.9459999999999997</c:v>
                </c:pt>
                <c:pt idx="2">
                  <c:v>0.63200000000000001</c:v>
                </c:pt>
                <c:pt idx="3">
                  <c:v>-40.103999999999999</c:v>
                </c:pt>
                <c:pt idx="4">
                  <c:v>-17.033000000000001</c:v>
                </c:pt>
                <c:pt idx="5">
                  <c:v>10.417</c:v>
                </c:pt>
                <c:pt idx="6">
                  <c:v>8.7899999999999991</c:v>
                </c:pt>
                <c:pt idx="7">
                  <c:v>-31.952999999999999</c:v>
                </c:pt>
                <c:pt idx="8">
                  <c:v>-2.9390000000000001</c:v>
                </c:pt>
                <c:pt idx="9">
                  <c:v>30.06</c:v>
                </c:pt>
                <c:pt idx="10">
                  <c:v>26.032</c:v>
                </c:pt>
                <c:pt idx="11">
                  <c:v>-19.010000000000002</c:v>
                </c:pt>
                <c:pt idx="12">
                  <c:v>1.831</c:v>
                </c:pt>
                <c:pt idx="13">
                  <c:v>41.497999999999998</c:v>
                </c:pt>
                <c:pt idx="14">
                  <c:v>32.639000000000003</c:v>
                </c:pt>
                <c:pt idx="15">
                  <c:v>0.76500000000000001</c:v>
                </c:pt>
                <c:pt idx="16">
                  <c:v>2.2799999999999998</c:v>
                </c:pt>
                <c:pt idx="17">
                  <c:v>41.603000000000002</c:v>
                </c:pt>
                <c:pt idx="18">
                  <c:v>16.285</c:v>
                </c:pt>
                <c:pt idx="19">
                  <c:v>-10.786</c:v>
                </c:pt>
                <c:pt idx="20">
                  <c:v>-2.6230000000000002</c:v>
                </c:pt>
                <c:pt idx="21">
                  <c:v>25.827999999999999</c:v>
                </c:pt>
                <c:pt idx="22">
                  <c:v>15.324999999999999</c:v>
                </c:pt>
                <c:pt idx="23">
                  <c:v>-23.263000000000002</c:v>
                </c:pt>
                <c:pt idx="24">
                  <c:v>-57.194000000000003</c:v>
                </c:pt>
                <c:pt idx="25">
                  <c:v>-96.036000000000001</c:v>
                </c:pt>
                <c:pt idx="26">
                  <c:v>-42.168999999999997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AD4-4724-8359-7C6EEFFCF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6024223"/>
        <c:axId val="1836025471"/>
      </c:lineChart>
      <c:catAx>
        <c:axId val="1836024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5471"/>
        <c:crosses val="autoZero"/>
        <c:auto val="1"/>
        <c:lblAlgn val="ctr"/>
        <c:lblOffset val="100"/>
        <c:noMultiLvlLbl val="0"/>
      </c:catAx>
      <c:valAx>
        <c:axId val="1836025471"/>
        <c:scaling>
          <c:orientation val="minMax"/>
          <c:min val="-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Saldo (mld. korun)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42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584979736575483E-2"/>
          <c:y val="0.84149411764705884"/>
          <c:w val="0.88776300236406624"/>
          <c:h val="0.14605490196078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204280648429587E-2"/>
          <c:y val="4.5653594771241833E-2"/>
          <c:w val="0.87830821513002355"/>
          <c:h val="0.67602516339869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'VI2'!$C$5</c:f>
              <c:strCache>
                <c:ptCount val="1"/>
                <c:pt idx="0">
                  <c:v>Dlouhodobé dluhové cenné papíry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'VI2'!$A$6:$B$32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'VI2'!$C$6:$C$32</c:f>
              <c:numCache>
                <c:formatCode>General</c:formatCode>
                <c:ptCount val="27"/>
                <c:pt idx="0">
                  <c:v>70.998999999999995</c:v>
                </c:pt>
                <c:pt idx="1">
                  <c:v>59.188000000000002</c:v>
                </c:pt>
                <c:pt idx="2">
                  <c:v>73.950999999999993</c:v>
                </c:pt>
                <c:pt idx="3">
                  <c:v>-2.1150000000000002</c:v>
                </c:pt>
                <c:pt idx="4">
                  <c:v>18.847999999999999</c:v>
                </c:pt>
                <c:pt idx="5">
                  <c:v>17.466999999999999</c:v>
                </c:pt>
                <c:pt idx="6">
                  <c:v>-6.7460000000000004</c:v>
                </c:pt>
                <c:pt idx="7">
                  <c:v>48.031999999999996</c:v>
                </c:pt>
                <c:pt idx="8">
                  <c:v>37.271000000000001</c:v>
                </c:pt>
                <c:pt idx="9">
                  <c:v>69.44</c:v>
                </c:pt>
                <c:pt idx="10">
                  <c:v>83.290999999999997</c:v>
                </c:pt>
                <c:pt idx="11">
                  <c:v>24.291</c:v>
                </c:pt>
                <c:pt idx="12">
                  <c:v>101.614</c:v>
                </c:pt>
                <c:pt idx="13">
                  <c:v>9.9260000000000002</c:v>
                </c:pt>
                <c:pt idx="14">
                  <c:v>-29.707000000000001</c:v>
                </c:pt>
                <c:pt idx="15">
                  <c:v>-30.15</c:v>
                </c:pt>
                <c:pt idx="16">
                  <c:v>-187.25800000000001</c:v>
                </c:pt>
                <c:pt idx="17">
                  <c:v>-61.563000000000002</c:v>
                </c:pt>
                <c:pt idx="18">
                  <c:v>-37.698</c:v>
                </c:pt>
                <c:pt idx="19">
                  <c:v>-8.4459999999999997</c:v>
                </c:pt>
                <c:pt idx="20">
                  <c:v>159.279</c:v>
                </c:pt>
                <c:pt idx="21">
                  <c:v>100.34099999999999</c:v>
                </c:pt>
                <c:pt idx="22">
                  <c:v>87.882999999999996</c:v>
                </c:pt>
                <c:pt idx="23">
                  <c:v>42.247999999999998</c:v>
                </c:pt>
                <c:pt idx="24">
                  <c:v>-24.602</c:v>
                </c:pt>
                <c:pt idx="25">
                  <c:v>303.28699999999998</c:v>
                </c:pt>
                <c:pt idx="26">
                  <c:v>288.988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9C-44CF-A22D-F84813440E62}"/>
            </c:ext>
          </c:extLst>
        </c:ser>
        <c:ser>
          <c:idx val="1"/>
          <c:order val="1"/>
          <c:tx>
            <c:strRef>
              <c:f>'VI2'!$D$5</c:f>
              <c:strCache>
                <c:ptCount val="1"/>
                <c:pt idx="0">
                  <c:v>Krátkodobé dluhové cenné papíry</c:v>
                </c:pt>
              </c:strCache>
            </c:strRef>
          </c:tx>
          <c:spPr>
            <a:solidFill>
              <a:srgbClr val="FE9090"/>
            </a:solidFill>
            <a:ln>
              <a:noFill/>
            </a:ln>
            <a:effectLst/>
          </c:spPr>
          <c:invertIfNegative val="0"/>
          <c:cat>
            <c:multiLvlStrRef>
              <c:f>'VI2'!$A$6:$B$32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'VI2'!$D$6:$D$32</c:f>
              <c:numCache>
                <c:formatCode>General</c:formatCode>
                <c:ptCount val="27"/>
                <c:pt idx="0">
                  <c:v>-82.847999999999999</c:v>
                </c:pt>
                <c:pt idx="1">
                  <c:v>-56.338999999999999</c:v>
                </c:pt>
                <c:pt idx="2">
                  <c:v>-43.029000000000003</c:v>
                </c:pt>
                <c:pt idx="3">
                  <c:v>-14.032</c:v>
                </c:pt>
                <c:pt idx="4">
                  <c:v>-16.446999999999999</c:v>
                </c:pt>
                <c:pt idx="5">
                  <c:v>-9.6340000000000003</c:v>
                </c:pt>
                <c:pt idx="6">
                  <c:v>13.411</c:v>
                </c:pt>
                <c:pt idx="7">
                  <c:v>-22.658000000000001</c:v>
                </c:pt>
                <c:pt idx="8">
                  <c:v>-2.016</c:v>
                </c:pt>
                <c:pt idx="9">
                  <c:v>-30.206</c:v>
                </c:pt>
                <c:pt idx="10">
                  <c:v>-86.369</c:v>
                </c:pt>
                <c:pt idx="11">
                  <c:v>-79.730999999999995</c:v>
                </c:pt>
                <c:pt idx="12">
                  <c:v>-8.9580000000000002</c:v>
                </c:pt>
                <c:pt idx="13">
                  <c:v>89.825000000000003</c:v>
                </c:pt>
                <c:pt idx="14">
                  <c:v>-17.864999999999998</c:v>
                </c:pt>
                <c:pt idx="15">
                  <c:v>39.607999999999997</c:v>
                </c:pt>
                <c:pt idx="16">
                  <c:v>110.06399999999999</c:v>
                </c:pt>
                <c:pt idx="17">
                  <c:v>-73.570999999999998</c:v>
                </c:pt>
                <c:pt idx="18">
                  <c:v>42.71</c:v>
                </c:pt>
                <c:pt idx="19">
                  <c:v>-40.204999999999998</c:v>
                </c:pt>
                <c:pt idx="20">
                  <c:v>-178.68899999999999</c:v>
                </c:pt>
                <c:pt idx="21">
                  <c:v>-72.613</c:v>
                </c:pt>
                <c:pt idx="22">
                  <c:v>-42.478000000000002</c:v>
                </c:pt>
                <c:pt idx="23">
                  <c:v>-0.41399999999999998</c:v>
                </c:pt>
                <c:pt idx="24">
                  <c:v>65.644000000000005</c:v>
                </c:pt>
                <c:pt idx="25">
                  <c:v>130.33199999999999</c:v>
                </c:pt>
                <c:pt idx="26">
                  <c:v>100.827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9C-44CF-A22D-F84813440E62}"/>
            </c:ext>
          </c:extLst>
        </c:ser>
        <c:ser>
          <c:idx val="2"/>
          <c:order val="2"/>
          <c:tx>
            <c:strRef>
              <c:f>'VI2'!$E$5</c:f>
              <c:strCache>
                <c:ptCount val="1"/>
                <c:pt idx="0">
                  <c:v>Dlouhodobé půjčky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'VI2'!$A$6:$B$32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'VI2'!$E$6:$E$32</c:f>
              <c:numCache>
                <c:formatCode>General</c:formatCode>
                <c:ptCount val="27"/>
                <c:pt idx="0">
                  <c:v>1.756</c:v>
                </c:pt>
                <c:pt idx="1">
                  <c:v>0.191</c:v>
                </c:pt>
                <c:pt idx="2">
                  <c:v>-3.0379999999999998</c:v>
                </c:pt>
                <c:pt idx="3">
                  <c:v>-13.023999999999999</c:v>
                </c:pt>
                <c:pt idx="4">
                  <c:v>-16.625</c:v>
                </c:pt>
                <c:pt idx="5">
                  <c:v>-18.791</c:v>
                </c:pt>
                <c:pt idx="6">
                  <c:v>-15.385999999999999</c:v>
                </c:pt>
                <c:pt idx="7">
                  <c:v>-3.4649999999999999</c:v>
                </c:pt>
                <c:pt idx="8">
                  <c:v>-6.1390000000000002</c:v>
                </c:pt>
                <c:pt idx="9">
                  <c:v>-4.306</c:v>
                </c:pt>
                <c:pt idx="10">
                  <c:v>-5.09</c:v>
                </c:pt>
                <c:pt idx="11">
                  <c:v>-22.616</c:v>
                </c:pt>
                <c:pt idx="12">
                  <c:v>-22.443000000000001</c:v>
                </c:pt>
                <c:pt idx="13">
                  <c:v>-21.582999999999998</c:v>
                </c:pt>
                <c:pt idx="14">
                  <c:v>-23.733000000000001</c:v>
                </c:pt>
                <c:pt idx="15">
                  <c:v>-12.262</c:v>
                </c:pt>
                <c:pt idx="16">
                  <c:v>-12.497999999999999</c:v>
                </c:pt>
                <c:pt idx="17">
                  <c:v>-10.695</c:v>
                </c:pt>
                <c:pt idx="18">
                  <c:v>-8.8230000000000004</c:v>
                </c:pt>
                <c:pt idx="19">
                  <c:v>-11.949</c:v>
                </c:pt>
                <c:pt idx="20">
                  <c:v>-9.83</c:v>
                </c:pt>
                <c:pt idx="21">
                  <c:v>-9.6769999999999996</c:v>
                </c:pt>
                <c:pt idx="22">
                  <c:v>-6.806</c:v>
                </c:pt>
                <c:pt idx="23">
                  <c:v>-4.1859999999999999</c:v>
                </c:pt>
                <c:pt idx="24">
                  <c:v>-0.53300000000000003</c:v>
                </c:pt>
                <c:pt idx="25">
                  <c:v>0.59799999999999998</c:v>
                </c:pt>
                <c:pt idx="26">
                  <c:v>6.5759999999999996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9C-44CF-A22D-F84813440E62}"/>
            </c:ext>
          </c:extLst>
        </c:ser>
        <c:ser>
          <c:idx val="3"/>
          <c:order val="3"/>
          <c:tx>
            <c:strRef>
              <c:f>'VI2'!$F$5</c:f>
              <c:strCache>
                <c:ptCount val="1"/>
                <c:pt idx="0">
                  <c:v>Krátkodobé půjčky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'VI2'!$A$6:$B$32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'VI2'!$F$6:$F$32</c:f>
              <c:numCache>
                <c:formatCode>General</c:formatCode>
                <c:ptCount val="27"/>
                <c:pt idx="0">
                  <c:v>-0.36199999999999999</c:v>
                </c:pt>
                <c:pt idx="1">
                  <c:v>0.17699999999999999</c:v>
                </c:pt>
                <c:pt idx="2">
                  <c:v>-0.67600000000000005</c:v>
                </c:pt>
                <c:pt idx="3">
                  <c:v>2.9089999999999998</c:v>
                </c:pt>
                <c:pt idx="4">
                  <c:v>5.234</c:v>
                </c:pt>
                <c:pt idx="5">
                  <c:v>12.789</c:v>
                </c:pt>
                <c:pt idx="6">
                  <c:v>11.449</c:v>
                </c:pt>
                <c:pt idx="7">
                  <c:v>1.895</c:v>
                </c:pt>
                <c:pt idx="8">
                  <c:v>-3.3530000000000002</c:v>
                </c:pt>
                <c:pt idx="9">
                  <c:v>-12.811</c:v>
                </c:pt>
                <c:pt idx="10">
                  <c:v>-10.784000000000001</c:v>
                </c:pt>
                <c:pt idx="11">
                  <c:v>-5.4210000000000003</c:v>
                </c:pt>
                <c:pt idx="12">
                  <c:v>-2.968</c:v>
                </c:pt>
                <c:pt idx="13">
                  <c:v>-1.4670000000000001</c:v>
                </c:pt>
                <c:pt idx="14">
                  <c:v>0.63</c:v>
                </c:pt>
                <c:pt idx="15">
                  <c:v>1.002</c:v>
                </c:pt>
                <c:pt idx="16">
                  <c:v>1.8140000000000001</c:v>
                </c:pt>
                <c:pt idx="17">
                  <c:v>53.356999999999999</c:v>
                </c:pt>
                <c:pt idx="18">
                  <c:v>50.372</c:v>
                </c:pt>
                <c:pt idx="19">
                  <c:v>42.76</c:v>
                </c:pt>
                <c:pt idx="20">
                  <c:v>34.055</c:v>
                </c:pt>
                <c:pt idx="21">
                  <c:v>-27.446000000000002</c:v>
                </c:pt>
                <c:pt idx="22">
                  <c:v>-33.340000000000003</c:v>
                </c:pt>
                <c:pt idx="23">
                  <c:v>-30.263000000000002</c:v>
                </c:pt>
                <c:pt idx="24">
                  <c:v>5</c:v>
                </c:pt>
                <c:pt idx="25">
                  <c:v>7.6870000000000003</c:v>
                </c:pt>
                <c:pt idx="26">
                  <c:v>-13.143000000000001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9C-44CF-A22D-F84813440E62}"/>
            </c:ext>
          </c:extLst>
        </c:ser>
        <c:ser>
          <c:idx val="4"/>
          <c:order val="4"/>
          <c:tx>
            <c:strRef>
              <c:f>'VI2'!$G$5</c:f>
              <c:strCache>
                <c:ptCount val="1"/>
                <c:pt idx="0">
                  <c:v>Oběživo a vklady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'VI2'!$A$6:$B$32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'VI2'!$G$6:$G$32</c:f>
              <c:numCache>
                <c:formatCode>General</c:formatCode>
                <c:ptCount val="27"/>
                <c:pt idx="0">
                  <c:v>1.9330000000000001</c:v>
                </c:pt>
                <c:pt idx="1">
                  <c:v>0.94599999999999995</c:v>
                </c:pt>
                <c:pt idx="2">
                  <c:v>5.6440000000000001</c:v>
                </c:pt>
                <c:pt idx="3">
                  <c:v>4.9029999999999996</c:v>
                </c:pt>
                <c:pt idx="4">
                  <c:v>5.4</c:v>
                </c:pt>
                <c:pt idx="5">
                  <c:v>8.2270000000000003</c:v>
                </c:pt>
                <c:pt idx="6">
                  <c:v>-1.0999999999999999E-2</c:v>
                </c:pt>
                <c:pt idx="7">
                  <c:v>-6.6449999999999996</c:v>
                </c:pt>
                <c:pt idx="8">
                  <c:v>-2.9249999999999998</c:v>
                </c:pt>
                <c:pt idx="9">
                  <c:v>0.24399999999999999</c:v>
                </c:pt>
                <c:pt idx="10">
                  <c:v>3.173</c:v>
                </c:pt>
                <c:pt idx="11">
                  <c:v>2.1669999999999998</c:v>
                </c:pt>
                <c:pt idx="12">
                  <c:v>-0.40899999999999997</c:v>
                </c:pt>
                <c:pt idx="13">
                  <c:v>-3.468</c:v>
                </c:pt>
                <c:pt idx="14">
                  <c:v>-1.865</c:v>
                </c:pt>
                <c:pt idx="15">
                  <c:v>-3.258</c:v>
                </c:pt>
                <c:pt idx="16">
                  <c:v>-2.6560000000000001</c:v>
                </c:pt>
                <c:pt idx="17">
                  <c:v>-1.3320000000000001</c:v>
                </c:pt>
                <c:pt idx="18">
                  <c:v>-7.0730000000000004</c:v>
                </c:pt>
                <c:pt idx="19">
                  <c:v>2.7650000000000001</c:v>
                </c:pt>
                <c:pt idx="20">
                  <c:v>-2.7530000000000001</c:v>
                </c:pt>
                <c:pt idx="21">
                  <c:v>-3.827</c:v>
                </c:pt>
                <c:pt idx="22">
                  <c:v>0.35099999999999998</c:v>
                </c:pt>
                <c:pt idx="23">
                  <c:v>-3.5339999999999998</c:v>
                </c:pt>
                <c:pt idx="24">
                  <c:v>6.2709999999999999</c:v>
                </c:pt>
                <c:pt idx="25">
                  <c:v>4.931</c:v>
                </c:pt>
                <c:pt idx="26">
                  <c:v>3.0760000000000001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9C-44CF-A22D-F84813440E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700462447"/>
        <c:axId val="1700462863"/>
      </c:barChart>
      <c:lineChart>
        <c:grouping val="standard"/>
        <c:varyColors val="0"/>
        <c:ser>
          <c:idx val="5"/>
          <c:order val="5"/>
          <c:tx>
            <c:strRef>
              <c:f>'VI2'!$H$5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'VI2'!$A$6:$B$32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'VI2'!$H$6:$H$32</c:f>
              <c:numCache>
                <c:formatCode>General</c:formatCode>
                <c:ptCount val="27"/>
                <c:pt idx="0">
                  <c:v>-8.5220000000000002</c:v>
                </c:pt>
                <c:pt idx="1">
                  <c:v>4.1630000000000003</c:v>
                </c:pt>
                <c:pt idx="2">
                  <c:v>32.851999999999997</c:v>
                </c:pt>
                <c:pt idx="3">
                  <c:v>-21.359000000000002</c:v>
                </c:pt>
                <c:pt idx="4">
                  <c:v>-3.59</c:v>
                </c:pt>
                <c:pt idx="5">
                  <c:v>10.058</c:v>
                </c:pt>
                <c:pt idx="6">
                  <c:v>2.7170000000000001</c:v>
                </c:pt>
                <c:pt idx="7">
                  <c:v>17.158999999999999</c:v>
                </c:pt>
                <c:pt idx="8">
                  <c:v>22.838000000000001</c:v>
                </c:pt>
                <c:pt idx="9">
                  <c:v>22.361000000000001</c:v>
                </c:pt>
                <c:pt idx="10">
                  <c:v>-15.779</c:v>
                </c:pt>
                <c:pt idx="11">
                  <c:v>-81.31</c:v>
                </c:pt>
                <c:pt idx="12">
                  <c:v>66.835999999999999</c:v>
                </c:pt>
                <c:pt idx="13">
                  <c:v>73.233000000000004</c:v>
                </c:pt>
                <c:pt idx="14">
                  <c:v>-72.540000000000006</c:v>
                </c:pt>
                <c:pt idx="15">
                  <c:v>-5.0599999999999996</c:v>
                </c:pt>
                <c:pt idx="16">
                  <c:v>-90.534000000000006</c:v>
                </c:pt>
                <c:pt idx="17">
                  <c:v>-93.804000000000002</c:v>
                </c:pt>
                <c:pt idx="18">
                  <c:v>39.488</c:v>
                </c:pt>
                <c:pt idx="19">
                  <c:v>-15.074999999999999</c:v>
                </c:pt>
                <c:pt idx="20">
                  <c:v>2.0619999999999998</c:v>
                </c:pt>
                <c:pt idx="21">
                  <c:v>-13.222</c:v>
                </c:pt>
                <c:pt idx="22">
                  <c:v>5.61</c:v>
                </c:pt>
                <c:pt idx="23">
                  <c:v>3.851</c:v>
                </c:pt>
                <c:pt idx="24">
                  <c:v>51.78</c:v>
                </c:pt>
                <c:pt idx="25">
                  <c:v>446.83499999999998</c:v>
                </c:pt>
                <c:pt idx="26">
                  <c:v>386.32400000000001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49C-44CF-A22D-F84813440E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462447"/>
        <c:axId val="1700462863"/>
      </c:lineChart>
      <c:catAx>
        <c:axId val="1700462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863"/>
        <c:crosses val="autoZero"/>
        <c:auto val="1"/>
        <c:lblAlgn val="ctr"/>
        <c:lblOffset val="100"/>
        <c:noMultiLvlLbl val="0"/>
      </c:catAx>
      <c:valAx>
        <c:axId val="1700462863"/>
        <c:scaling>
          <c:orientation val="minMax"/>
          <c:min val="-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dluhu (mld. korun)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447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426925025329276E-2"/>
          <c:y val="0.86288660130718953"/>
          <c:w val="0.89207911178655863"/>
          <c:h val="0.112211437908496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16957953394123"/>
          <c:y val="4.5653594771241833E-2"/>
          <c:w val="0.80265725261735887"/>
          <c:h val="0.72662254901960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Dom!$C$4</c:f>
              <c:strCache>
                <c:ptCount val="1"/>
                <c:pt idx="0">
                  <c:v>Výdaje na tvorbu hrubého fixního kapitálu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Dom!$A$5:$B$31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Dom!$C$5:$C$31</c:f>
              <c:numCache>
                <c:formatCode>General</c:formatCode>
                <c:ptCount val="27"/>
                <c:pt idx="0">
                  <c:v>0.70099999999999996</c:v>
                </c:pt>
                <c:pt idx="1">
                  <c:v>2.0310000000000001</c:v>
                </c:pt>
                <c:pt idx="2">
                  <c:v>3.786</c:v>
                </c:pt>
                <c:pt idx="3">
                  <c:v>2.0089999999999999</c:v>
                </c:pt>
                <c:pt idx="4">
                  <c:v>1.768</c:v>
                </c:pt>
                <c:pt idx="5">
                  <c:v>1.7310000000000001</c:v>
                </c:pt>
                <c:pt idx="6">
                  <c:v>1.1080000000000001</c:v>
                </c:pt>
                <c:pt idx="7">
                  <c:v>0.75900000000000001</c:v>
                </c:pt>
                <c:pt idx="8">
                  <c:v>0.42799999999999999</c:v>
                </c:pt>
                <c:pt idx="9">
                  <c:v>4.4530000000000003</c:v>
                </c:pt>
                <c:pt idx="10">
                  <c:v>2.6150000000000002</c:v>
                </c:pt>
                <c:pt idx="11">
                  <c:v>10.651999999999999</c:v>
                </c:pt>
                <c:pt idx="12">
                  <c:v>-3.9460000000000002</c:v>
                </c:pt>
                <c:pt idx="13">
                  <c:v>-5.0069999999999997</c:v>
                </c:pt>
                <c:pt idx="14">
                  <c:v>-2.9910000000000001</c:v>
                </c:pt>
                <c:pt idx="15">
                  <c:v>-9.234</c:v>
                </c:pt>
                <c:pt idx="16">
                  <c:v>9.016</c:v>
                </c:pt>
                <c:pt idx="17">
                  <c:v>10.769</c:v>
                </c:pt>
                <c:pt idx="18">
                  <c:v>14.337999999999999</c:v>
                </c:pt>
                <c:pt idx="19">
                  <c:v>14.686</c:v>
                </c:pt>
                <c:pt idx="20">
                  <c:v>6.0259999999999998</c:v>
                </c:pt>
                <c:pt idx="21">
                  <c:v>6.1470000000000002</c:v>
                </c:pt>
                <c:pt idx="22">
                  <c:v>6.8550000000000004</c:v>
                </c:pt>
                <c:pt idx="23">
                  <c:v>7.2809999999999997</c:v>
                </c:pt>
                <c:pt idx="24">
                  <c:v>4.7889999999999997</c:v>
                </c:pt>
                <c:pt idx="25">
                  <c:v>-2.2799999999999998</c:v>
                </c:pt>
                <c:pt idx="26">
                  <c:v>-8.4489999999999998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3F-444F-8607-38B6CAC6E2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2043804271"/>
        <c:axId val="2043808015"/>
      </c:barChart>
      <c:lineChart>
        <c:grouping val="standard"/>
        <c:varyColors val="0"/>
        <c:ser>
          <c:idx val="1"/>
          <c:order val="1"/>
          <c:tx>
            <c:strRef>
              <c:f>Dom!$D$4</c:f>
              <c:strCache>
                <c:ptCount val="1"/>
                <c:pt idx="0">
                  <c:v>Míra úspor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multiLvlStrRef>
              <c:f>Dom!$A$5:$B$31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Dom!$D$5:$D$31</c:f>
              <c:numCache>
                <c:formatCode>0.0</c:formatCode>
                <c:ptCount val="27"/>
                <c:pt idx="0">
                  <c:v>12.626613916208804</c:v>
                </c:pt>
                <c:pt idx="1">
                  <c:v>12.338235819630706</c:v>
                </c:pt>
                <c:pt idx="2">
                  <c:v>12.12833754532469</c:v>
                </c:pt>
                <c:pt idx="3">
                  <c:v>12.367627902011707</c:v>
                </c:pt>
                <c:pt idx="4">
                  <c:v>12.426141154297618</c:v>
                </c:pt>
                <c:pt idx="5">
                  <c:v>11.855291260619433</c:v>
                </c:pt>
                <c:pt idx="6">
                  <c:v>12.580893370590857</c:v>
                </c:pt>
                <c:pt idx="7">
                  <c:v>11.292414441580338</c:v>
                </c:pt>
                <c:pt idx="8">
                  <c:v>11.332113945821295</c:v>
                </c:pt>
                <c:pt idx="9">
                  <c:v>11.506692386363456</c:v>
                </c:pt>
                <c:pt idx="10">
                  <c:v>11.773240049858771</c:v>
                </c:pt>
                <c:pt idx="11">
                  <c:v>10.821882162662458</c:v>
                </c:pt>
                <c:pt idx="12">
                  <c:v>11.45820982193076</c:v>
                </c:pt>
                <c:pt idx="13">
                  <c:v>11.498978526625608</c:v>
                </c:pt>
                <c:pt idx="14">
                  <c:v>11.628991837161152</c:v>
                </c:pt>
                <c:pt idx="15">
                  <c:v>11.809219029574313</c:v>
                </c:pt>
                <c:pt idx="16">
                  <c:v>12.050991847382315</c:v>
                </c:pt>
                <c:pt idx="17">
                  <c:v>12.277901592461641</c:v>
                </c:pt>
                <c:pt idx="18">
                  <c:v>11.739458332409113</c:v>
                </c:pt>
                <c:pt idx="19">
                  <c:v>12.414140339099609</c:v>
                </c:pt>
                <c:pt idx="20">
                  <c:v>11.95148237836327</c:v>
                </c:pt>
                <c:pt idx="21">
                  <c:v>12.722971610006315</c:v>
                </c:pt>
                <c:pt idx="22">
                  <c:v>12.116175301305658</c:v>
                </c:pt>
                <c:pt idx="23">
                  <c:v>12.967770596286337</c:v>
                </c:pt>
                <c:pt idx="24">
                  <c:v>13.236203338147764</c:v>
                </c:pt>
                <c:pt idx="25">
                  <c:v>19.583322717892536</c:v>
                </c:pt>
                <c:pt idx="26" formatCode="General">
                  <c:v>17.219136355491848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3F-444F-8607-38B6CAC6E228}"/>
            </c:ext>
          </c:extLst>
        </c:ser>
        <c:ser>
          <c:idx val="2"/>
          <c:order val="2"/>
          <c:tx>
            <c:strRef>
              <c:f>Dom!$E$4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multiLvlStrRef>
              <c:f>Dom!$A$5:$B$31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</c:lvl>
              </c:multiLvlStrCache>
            </c:multiLvlStrRef>
          </c:cat>
          <c:val>
            <c:numRef>
              <c:f>Dom!$E$5:$E$31</c:f>
              <c:numCache>
                <c:formatCode>0.0</c:formatCode>
                <c:ptCount val="27"/>
                <c:pt idx="0">
                  <c:v>8.701603875962368</c:v>
                </c:pt>
                <c:pt idx="1">
                  <c:v>8.7790409777065346</c:v>
                </c:pt>
                <c:pt idx="2">
                  <c:v>8.8544792203730776</c:v>
                </c:pt>
                <c:pt idx="3">
                  <c:v>8.7798832773738589</c:v>
                </c:pt>
                <c:pt idx="4">
                  <c:v>8.7448542662059623</c:v>
                </c:pt>
                <c:pt idx="5">
                  <c:v>8.7002487664439876</c:v>
                </c:pt>
                <c:pt idx="6">
                  <c:v>8.6555704045680955</c:v>
                </c:pt>
                <c:pt idx="7">
                  <c:v>8.6976962858486129</c:v>
                </c:pt>
                <c:pt idx="8">
                  <c:v>9.1148948880470577</c:v>
                </c:pt>
                <c:pt idx="9">
                  <c:v>9.2847786303144595</c:v>
                </c:pt>
                <c:pt idx="10">
                  <c:v>9.1053557310078492</c:v>
                </c:pt>
                <c:pt idx="11">
                  <c:v>9.0622531291729445</c:v>
                </c:pt>
                <c:pt idx="12">
                  <c:v>7.9883374833164602</c:v>
                </c:pt>
                <c:pt idx="13">
                  <c:v>7.6825864962117238</c:v>
                </c:pt>
                <c:pt idx="14">
                  <c:v>7.6795728894271598</c:v>
                </c:pt>
                <c:pt idx="15">
                  <c:v>7.7633477216701632</c:v>
                </c:pt>
                <c:pt idx="16">
                  <c:v>8.5313501592607679</c:v>
                </c:pt>
                <c:pt idx="17">
                  <c:v>8.9097698164005124</c:v>
                </c:pt>
                <c:pt idx="18">
                  <c:v>9.2152252512033357</c:v>
                </c:pt>
                <c:pt idx="19">
                  <c:v>9.3218280705488734</c:v>
                </c:pt>
                <c:pt idx="20">
                  <c:v>9.2536101980535967</c:v>
                </c:pt>
                <c:pt idx="21">
                  <c:v>9.3043573937896724</c:v>
                </c:pt>
                <c:pt idx="22">
                  <c:v>9.4955745731503178</c:v>
                </c:pt>
                <c:pt idx="23">
                  <c:v>9.3057235374023879</c:v>
                </c:pt>
                <c:pt idx="24">
                  <c:v>9.1552392959626339</c:v>
                </c:pt>
                <c:pt idx="25">
                  <c:v>8.8522585411836641</c:v>
                </c:pt>
                <c:pt idx="26" formatCode="General">
                  <c:v>8.430200868831939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43F-444F-8607-38B6CAC6E2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22767"/>
        <c:axId val="161119023"/>
      </c:lineChart>
      <c:catAx>
        <c:axId val="204380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8015"/>
        <c:crosses val="autoZero"/>
        <c:auto val="1"/>
        <c:lblAlgn val="ctr"/>
        <c:lblOffset val="100"/>
        <c:noMultiLvlLbl val="0"/>
      </c:catAx>
      <c:valAx>
        <c:axId val="2043808015"/>
        <c:scaling>
          <c:orientation val="minMax"/>
          <c:max val="15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výdajů na tvorbu hrubého fixního kapitálu (mld. korun)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4271"/>
        <c:crosses val="autoZero"/>
        <c:crossBetween val="between"/>
      </c:valAx>
      <c:valAx>
        <c:axId val="161119023"/>
        <c:scaling>
          <c:orientation val="minMax"/>
          <c:max val="2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</a:t>
                </a:r>
                <a:r>
                  <a:rPr lang="cs-CZ"/>
                  <a:t>úspor</a:t>
                </a:r>
                <a:r>
                  <a:rPr lang="en-US"/>
                  <a:t>, míra </a:t>
                </a:r>
                <a:r>
                  <a:rPr lang="cs-CZ"/>
                  <a:t>investic</a:t>
                </a:r>
                <a:r>
                  <a:rPr lang="en-US"/>
                  <a:t> (%)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61122767"/>
        <c:crosses val="max"/>
        <c:crossBetween val="between"/>
      </c:valAx>
      <c:catAx>
        <c:axId val="16112276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11902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5DAD-2BA8-430B-866B-54060F2B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3</TotalTime>
  <Pages>8</Pages>
  <Words>2413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16619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Mgr. Karolína Zábojníková</cp:lastModifiedBy>
  <cp:revision>7</cp:revision>
  <dcterms:created xsi:type="dcterms:W3CDTF">2021-01-20T07:56:00Z</dcterms:created>
  <dcterms:modified xsi:type="dcterms:W3CDTF">2021-01-27T07:24:00Z</dcterms:modified>
</cp:coreProperties>
</file>