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3B9D0DC1" w:rsidR="00867569" w:rsidRDefault="007F6239" w:rsidP="00E42E00">
      <w:pPr>
        <w:pStyle w:val="Datum"/>
      </w:pPr>
      <w:r>
        <w:t>2</w:t>
      </w:r>
      <w:r w:rsidR="00E67A67">
        <w:t>2</w:t>
      </w:r>
      <w:bookmarkStart w:id="0" w:name="_GoBack"/>
      <w:bookmarkEnd w:id="0"/>
      <w:r w:rsidR="00F03815">
        <w:t>. </w:t>
      </w:r>
      <w:r>
        <w:t>července 2020</w:t>
      </w:r>
    </w:p>
    <w:p w14:paraId="0B263346" w14:textId="77777777" w:rsidR="00867569" w:rsidRPr="00A56C80" w:rsidRDefault="000B7652" w:rsidP="00A56C80">
      <w:pPr>
        <w:pStyle w:val="Nzev"/>
      </w:pPr>
      <w:r>
        <w:t>Analýza sektorových účtů</w:t>
      </w:r>
      <w:r w:rsidR="00FF04D9">
        <w:t> </w:t>
      </w:r>
      <w:r w:rsidR="00FB7E0F">
        <w:t>–</w:t>
      </w:r>
      <w:r w:rsidR="00FF04D9">
        <w:t xml:space="preserve"> </w:t>
      </w:r>
      <w:r>
        <w:t>1.</w:t>
      </w:r>
      <w:r w:rsidR="00F03815">
        <w:t> čtvrtlet</w:t>
      </w:r>
      <w:r>
        <w:t>í 2020</w:t>
      </w:r>
    </w:p>
    <w:p w14:paraId="5389C1A5" w14:textId="2EEE698C" w:rsidR="009F5F23" w:rsidRDefault="00941335" w:rsidP="009F5F23">
      <w:pPr>
        <w:pStyle w:val="Perex"/>
      </w:pPr>
      <w:r>
        <w:t xml:space="preserve">Březnová opatření proti šíření </w:t>
      </w:r>
      <w:proofErr w:type="spellStart"/>
      <w:r>
        <w:t>koronaviru</w:t>
      </w:r>
      <w:proofErr w:type="spellEnd"/>
      <w:r>
        <w:t xml:space="preserve"> se stačila projevit </w:t>
      </w:r>
      <w:r w:rsidR="00BE0028">
        <w:t xml:space="preserve">také </w:t>
      </w:r>
      <w:r>
        <w:t xml:space="preserve">ve výsledcích jednotlivých sektorů. Výrazně zpomalil růst hrubé přidané hodnoty nefinančních podniků. Současný pokles zejména daňových příjmů vládního sektoru </w:t>
      </w:r>
      <w:r w:rsidR="00F03815">
        <w:t>a </w:t>
      </w:r>
      <w:r>
        <w:t xml:space="preserve">nárůst </w:t>
      </w:r>
      <w:r w:rsidR="00FF04D9">
        <w:t xml:space="preserve">jeho </w:t>
      </w:r>
      <w:r>
        <w:t xml:space="preserve">výdajů vedl k silnému deficitu. </w:t>
      </w:r>
      <w:r w:rsidR="00FB7E0F">
        <w:t xml:space="preserve">Restrikce znamenaly také </w:t>
      </w:r>
      <w:r>
        <w:t>omez</w:t>
      </w:r>
      <w:r w:rsidR="00FB7E0F">
        <w:t>ení</w:t>
      </w:r>
      <w:r>
        <w:t xml:space="preserve"> spotřeb</w:t>
      </w:r>
      <w:r w:rsidR="00FB7E0F">
        <w:t>y domácností</w:t>
      </w:r>
      <w:r>
        <w:t xml:space="preserve">. Propadla se hodnota vývozu </w:t>
      </w:r>
      <w:r w:rsidR="00F03815">
        <w:t>i </w:t>
      </w:r>
      <w:r>
        <w:t xml:space="preserve">dovozu zboží </w:t>
      </w:r>
      <w:r w:rsidR="00F03815">
        <w:t>a </w:t>
      </w:r>
      <w:r>
        <w:t>služeb.</w:t>
      </w:r>
    </w:p>
    <w:p w14:paraId="66D6C024" w14:textId="77777777" w:rsidR="007F6239" w:rsidRPr="007F6239" w:rsidRDefault="007F6239" w:rsidP="007F6239">
      <w:pPr>
        <w:pStyle w:val="Nadpis1"/>
      </w:pPr>
      <w:r>
        <w:t>Nefinanční podniky</w:t>
      </w:r>
    </w:p>
    <w:p w14:paraId="5795FFD1" w14:textId="2B8BA8A5" w:rsidR="00D80F3C" w:rsidRDefault="00D80F3C" w:rsidP="00DB4E76">
      <w:pPr>
        <w:spacing w:after="240"/>
      </w:pPr>
      <w:r>
        <w:t xml:space="preserve">Neočekávané omezení provozu </w:t>
      </w:r>
      <w:r w:rsidR="00F03815">
        <w:t>v </w:t>
      </w:r>
      <w:r>
        <w:t xml:space="preserve">části ekonomiky v druhé půli března se projevilo </w:t>
      </w:r>
      <w:r w:rsidR="00F03815">
        <w:t>i </w:t>
      </w:r>
      <w:r>
        <w:t>na výsledcích nefinančních podniků (NP) za celé 1.</w:t>
      </w:r>
      <w:r w:rsidR="00F03815">
        <w:t> čtvrtlet</w:t>
      </w:r>
      <w:r>
        <w:t>í 2020.</w:t>
      </w:r>
      <w:r>
        <w:rPr>
          <w:rStyle w:val="Znakapoznpodarou"/>
        </w:rPr>
        <w:footnoteReference w:id="1"/>
      </w:r>
      <w:r>
        <w:t xml:space="preserve"> Celková </w:t>
      </w:r>
      <w:r w:rsidR="00FF04D9">
        <w:t>výše</w:t>
      </w:r>
      <w:r>
        <w:t xml:space="preserve"> hrubé přidané hodnoty (HPH) vytvořené NP dosáhla 758,7</w:t>
      </w:r>
      <w:r w:rsidR="00840938">
        <w:t> mld.</w:t>
      </w:r>
      <w:r>
        <w:t xml:space="preserve"> korun </w:t>
      </w:r>
      <w:r w:rsidR="00F03815">
        <w:t>a </w:t>
      </w:r>
      <w:r>
        <w:t xml:space="preserve">meziročně </w:t>
      </w:r>
      <w:r w:rsidR="00FF04D9">
        <w:t>vzrostla</w:t>
      </w:r>
      <w:r>
        <w:t xml:space="preserve"> </w:t>
      </w:r>
      <w:r w:rsidR="00F03815">
        <w:t>o </w:t>
      </w:r>
      <w:r>
        <w:t xml:space="preserve">14,2 mld. Navýšení HPH bylo výsledkem specifické situace podniků, z nichž velká část kvůli </w:t>
      </w:r>
      <w:proofErr w:type="spellStart"/>
      <w:r>
        <w:t>koronaviru</w:t>
      </w:r>
      <w:proofErr w:type="spellEnd"/>
      <w:r>
        <w:t xml:space="preserve"> musela nebo se samostatně rozhodla omezit svůj provoz</w:t>
      </w:r>
      <w:r w:rsidR="00FF04D9">
        <w:t> </w:t>
      </w:r>
      <w:r>
        <w:t xml:space="preserve">– hodnota produkce se totiž propadla, ale ještě více se meziročně snížila </w:t>
      </w:r>
      <w:proofErr w:type="spellStart"/>
      <w:r>
        <w:t>mezispotřeba</w:t>
      </w:r>
      <w:proofErr w:type="spellEnd"/>
      <w:r>
        <w:rPr>
          <w:rStyle w:val="Znakapoznpodarou"/>
        </w:rPr>
        <w:footnoteReference w:id="2"/>
      </w:r>
      <w:r>
        <w:t>. Nominální přírůstek HPH v 1.</w:t>
      </w:r>
      <w:r w:rsidR="00F03815">
        <w:t> čtvrtlet</w:t>
      </w:r>
      <w:r>
        <w:t>í tak byl nejnižší od 3.</w:t>
      </w:r>
      <w:r w:rsidR="00CB19EA">
        <w:t> </w:t>
      </w:r>
      <w:r>
        <w:t xml:space="preserve">čtvrtletí 2013. V kombinaci s relativně vysokým nárůstem cenové hladiny tak hrubá přidaná hodnota reálně meziročně klesla </w:t>
      </w:r>
      <w:r w:rsidR="00F03815">
        <w:t>o </w:t>
      </w:r>
      <w:r>
        <w:t>2,1</w:t>
      </w:r>
      <w:r w:rsidR="00840938">
        <w:t> %</w:t>
      </w:r>
      <w:r w:rsidRPr="00837B9D">
        <w:rPr>
          <w:rStyle w:val="Znakapoznpodarou"/>
          <w:spacing w:val="-2"/>
        </w:rPr>
        <w:footnoteReference w:id="3"/>
      </w:r>
      <w:r>
        <w:t xml:space="preserve">. Šlo </w:t>
      </w:r>
      <w:r w:rsidR="00F03815">
        <w:t>o </w:t>
      </w:r>
      <w:r>
        <w:t>první reálný pokles od 2</w:t>
      </w:r>
      <w:r w:rsidR="00F03815">
        <w:t>. kvart</w:t>
      </w:r>
      <w:r>
        <w:t>álu</w:t>
      </w:r>
      <w:r w:rsidR="00FF04D9">
        <w:t> </w:t>
      </w:r>
      <w:r>
        <w:t>2013.</w:t>
      </w:r>
    </w:p>
    <w:p w14:paraId="3083CD7E" w14:textId="77777777" w:rsidR="00D80F3C" w:rsidRDefault="00D80F3C" w:rsidP="009F5F23">
      <w:pPr>
        <w:spacing w:after="240"/>
      </w:pPr>
      <w:r>
        <w:t>Nominální růst objemu vyplacených náhrad zaměstnancům dále pokračoval. Meziroční přírůstek v 1.</w:t>
      </w:r>
      <w:r w:rsidR="00F03815">
        <w:t> čtvrtlet</w:t>
      </w:r>
      <w:r>
        <w:t xml:space="preserve">í oproti předchozím pěti letům výrazně zmírnil </w:t>
      </w:r>
      <w:r w:rsidR="00F03815">
        <w:t>a </w:t>
      </w:r>
      <w:r>
        <w:t>činil 11,1</w:t>
      </w:r>
      <w:r w:rsidR="00840938">
        <w:t> mld.</w:t>
      </w:r>
      <w:r>
        <w:t xml:space="preserve"> korun (2,6</w:t>
      </w:r>
      <w:r w:rsidR="00840938">
        <w:t> %</w:t>
      </w:r>
      <w:r>
        <w:t>). Náhrady tak dosahovaly 57,8</w:t>
      </w:r>
      <w:r w:rsidR="00840938">
        <w:t> %</w:t>
      </w:r>
      <w:r>
        <w:t xml:space="preserve"> HPH vytvořené nefinančními podniky, meziročně </w:t>
      </w:r>
      <w:r w:rsidR="00F03815">
        <w:t>o </w:t>
      </w:r>
      <w:r>
        <w:t>0,7</w:t>
      </w:r>
      <w:r w:rsidR="00840938">
        <w:t> p. b.</w:t>
      </w:r>
      <w:r>
        <w:t xml:space="preserve"> více. Již v průběhu loňského roku znatelně zpomalovala meziroční dynamika celkové zaměstnanosti v sektoru. V 1.</w:t>
      </w:r>
      <w:r w:rsidR="00F03815">
        <w:t> čtvrtlet</w:t>
      </w:r>
      <w:r>
        <w:t xml:space="preserve">í 2020 pak meziročně klesla celková zaměstnanost </w:t>
      </w:r>
      <w:r w:rsidR="00F03815">
        <w:t>o </w:t>
      </w:r>
      <w:r>
        <w:t>0,1</w:t>
      </w:r>
      <w:r w:rsidR="00840938">
        <w:t> %</w:t>
      </w:r>
      <w:r>
        <w:t>. K tomu došlo poprvé od 4</w:t>
      </w:r>
      <w:r w:rsidR="00F03815">
        <w:t>. kvart</w:t>
      </w:r>
      <w:r>
        <w:t>álu</w:t>
      </w:r>
      <w:r w:rsidR="00FF04D9">
        <w:t> </w:t>
      </w:r>
      <w:r>
        <w:t>2011.</w:t>
      </w:r>
    </w:p>
    <w:p w14:paraId="4B6F2913" w14:textId="77777777" w:rsidR="00D80F3C" w:rsidRPr="00837B9D" w:rsidRDefault="00D80F3C" w:rsidP="00D80F3C">
      <w:pPr>
        <w:spacing w:after="240"/>
      </w:pPr>
      <w:r>
        <w:t>Hrubý provozní přebytek (HPP) nefinančních podniků v 1.</w:t>
      </w:r>
      <w:r w:rsidR="00F03815">
        <w:t> čtvrtlet</w:t>
      </w:r>
      <w:r>
        <w:t>í dosáhl 328,6</w:t>
      </w:r>
      <w:r w:rsidR="00840938">
        <w:t> mld.</w:t>
      </w:r>
      <w:r>
        <w:t xml:space="preserve"> korun </w:t>
      </w:r>
      <w:r w:rsidR="00F03815">
        <w:t>a </w:t>
      </w:r>
      <w:r>
        <w:t xml:space="preserve">meziročně vzrostl </w:t>
      </w:r>
      <w:r w:rsidR="00F03815">
        <w:t>o </w:t>
      </w:r>
      <w:r>
        <w:t>4,0</w:t>
      </w:r>
      <w:r w:rsidR="00840938">
        <w:t> mld.</w:t>
      </w:r>
      <w:r>
        <w:t xml:space="preserve"> Přímá vazba provozního přebytku na dynamiku náhrad zaměstnancům znamenala pokračující zaostávání jeho dynamiky za HPH. To vedlo k dalšímu poklesu míry zisku nefinančních podniků</w:t>
      </w:r>
      <w:r w:rsidRPr="00837B9D">
        <w:rPr>
          <w:rStyle w:val="Znakapoznpodarou"/>
        </w:rPr>
        <w:footnoteReference w:id="4"/>
      </w:r>
      <w:r>
        <w:t>. Ta v 1.</w:t>
      </w:r>
      <w:r w:rsidR="00F03815">
        <w:t> čtvrtlet</w:t>
      </w:r>
      <w:r>
        <w:t>í dosáhla</w:t>
      </w:r>
      <w:r w:rsidR="00840938">
        <w:t xml:space="preserve"> </w:t>
      </w:r>
      <w:r>
        <w:t xml:space="preserve">44,3 % (sezónně očištěno) </w:t>
      </w:r>
      <w:r w:rsidR="00F03815">
        <w:t>a </w:t>
      </w:r>
      <w:proofErr w:type="spellStart"/>
      <w:r>
        <w:t>mezičtvrtletně</w:t>
      </w:r>
      <w:proofErr w:type="spellEnd"/>
      <w:r>
        <w:t xml:space="preserve"> se snížila </w:t>
      </w:r>
      <w:r w:rsidR="00F03815">
        <w:t>o </w:t>
      </w:r>
      <w:r>
        <w:t>0,2</w:t>
      </w:r>
      <w:r w:rsidR="00840938">
        <w:t> p. b.</w:t>
      </w:r>
      <w:r>
        <w:t xml:space="preserve"> Meziroční pokles míry zisku (sezónně neočištěné) činil 0,3 p. b. Míra zisku v předchozích několika letech měla poměrně jasný klesající trend (</w:t>
      </w:r>
      <w:r w:rsidR="00F03815">
        <w:t>v </w:t>
      </w:r>
      <w:r>
        <w:t>roce 2015 překračovala 50</w:t>
      </w:r>
      <w:r w:rsidR="00840938">
        <w:t> %</w:t>
      </w:r>
      <w:r>
        <w:t xml:space="preserve">). </w:t>
      </w:r>
      <w:r w:rsidR="00F03815">
        <w:t>V </w:t>
      </w:r>
      <w:r>
        <w:t>posledních čtvrtletích však došlo k jeho zmírnění.</w:t>
      </w:r>
    </w:p>
    <w:p w14:paraId="028790A1" w14:textId="77777777" w:rsidR="00DB4E76" w:rsidRDefault="00DB4E76" w:rsidP="009F5F23">
      <w:pPr>
        <w:spacing w:after="240"/>
      </w:pPr>
    </w:p>
    <w:p w14:paraId="25C411FC" w14:textId="77777777" w:rsidR="00BE0028" w:rsidRDefault="00BE0028" w:rsidP="009F5F23">
      <w:pPr>
        <w:spacing w:after="240"/>
      </w:pPr>
    </w:p>
    <w:p w14:paraId="6DF2AB71" w14:textId="77777777" w:rsidR="000B7652" w:rsidRDefault="007F6239" w:rsidP="000B7652">
      <w:pPr>
        <w:pStyle w:val="TabulkaGraf"/>
      </w:pPr>
      <w:r w:rsidRPr="00A244F9">
        <w:lastRenderedPageBreak/>
        <w:t>G</w:t>
      </w:r>
      <w:r w:rsidR="002E6F00">
        <w:t>raf </w:t>
      </w:r>
      <w:r w:rsidRPr="00A244F9">
        <w:t>1: Meziroční</w:t>
      </w:r>
      <w:r>
        <w:t xml:space="preserve"> </w:t>
      </w:r>
      <w:r w:rsidRPr="000B7652">
        <w:t>nominální</w:t>
      </w:r>
      <w:r w:rsidRPr="00A244F9">
        <w:t xml:space="preserve"> </w:t>
      </w:r>
      <w:r>
        <w:t>pří</w:t>
      </w:r>
      <w:r w:rsidRPr="00A244F9">
        <w:t>růst</w:t>
      </w:r>
      <w:r>
        <w:t>ek</w:t>
      </w:r>
      <w:r w:rsidRPr="00A244F9">
        <w:t xml:space="preserve"> HPH </w:t>
      </w:r>
      <w:r w:rsidR="00F03815" w:rsidRPr="00A244F9">
        <w:t>a</w:t>
      </w:r>
      <w:r w:rsidR="00F03815">
        <w:t> </w:t>
      </w:r>
      <w:r w:rsidRPr="00A244F9">
        <w:t>náhrad zaměstnancům (v</w:t>
      </w:r>
      <w:r w:rsidR="00840938">
        <w:t> mld.</w:t>
      </w:r>
      <w:r w:rsidRPr="00A244F9">
        <w:t xml:space="preserve"> korun), míra zisku (sezónně očištěno, v</w:t>
      </w:r>
      <w:r w:rsidR="00840938">
        <w:t> %</w:t>
      </w:r>
      <w:r w:rsidRPr="00A244F9">
        <w:t>)</w:t>
      </w:r>
    </w:p>
    <w:p w14:paraId="11A7F60E" w14:textId="77777777" w:rsidR="007F6239" w:rsidRDefault="007F6239" w:rsidP="000B7652">
      <w:pPr>
        <w:pStyle w:val="TabulkaGraf"/>
        <w:jc w:val="center"/>
        <w:rPr>
          <w:rFonts w:cs="Arial"/>
          <w:b w:val="0"/>
          <w:szCs w:val="20"/>
        </w:rPr>
      </w:pPr>
      <w:r w:rsidRPr="000B7652">
        <w:rPr>
          <w:noProof/>
          <w:lang w:eastAsia="cs-CZ"/>
        </w:rPr>
        <w:drawing>
          <wp:inline distT="0" distB="0" distL="0" distR="0" wp14:anchorId="06E34BCE" wp14:editId="58DFCE50">
            <wp:extent cx="4740910" cy="3060000"/>
            <wp:effectExtent l="0" t="0" r="2540" b="7620"/>
            <wp:docPr id="19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7777777" w:rsidR="00941335" w:rsidRPr="00941335" w:rsidRDefault="00941335" w:rsidP="00BE0028">
      <w:pPr>
        <w:spacing w:after="240"/>
      </w:pPr>
      <w:r>
        <w:t>Zdroj: ČSÚ, národní účty</w:t>
      </w:r>
    </w:p>
    <w:p w14:paraId="09F5203A" w14:textId="77777777" w:rsidR="00D80F3C" w:rsidRDefault="00D80F3C" w:rsidP="007F6239">
      <w:r>
        <w:t>Saldo důchodů z vlastnictví nefinančních podniků setrvalo v deficitu, který dosáhl v 1. čtvrtletí 102,1</w:t>
      </w:r>
      <w:r w:rsidR="00840938">
        <w:t> mld.</w:t>
      </w:r>
      <w:r>
        <w:t xml:space="preserve"> korun. Meziročně došlo k jeho zmírnění </w:t>
      </w:r>
      <w:r w:rsidR="00F03815">
        <w:t>o </w:t>
      </w:r>
      <w:r>
        <w:t>14,9</w:t>
      </w:r>
      <w:r w:rsidR="00840938">
        <w:t> mld.</w:t>
      </w:r>
      <w:r>
        <w:t xml:space="preserve"> Důvodem byl zejména výrazný meziroční pokles objemu prostředků na straně užití (</w:t>
      </w:r>
      <w:r w:rsidR="00F03815">
        <w:t>o </w:t>
      </w:r>
      <w:r>
        <w:t xml:space="preserve">více než 20 mld.). </w:t>
      </w:r>
      <w:r w:rsidR="00F03815">
        <w:t>Z </w:t>
      </w:r>
      <w:r>
        <w:t xml:space="preserve">toho objem rozdělovaných důchodů společností klesl meziročně </w:t>
      </w:r>
      <w:r w:rsidR="00F03815">
        <w:t>o </w:t>
      </w:r>
      <w:r>
        <w:t>34,9</w:t>
      </w:r>
      <w:r w:rsidR="00840938">
        <w:t> mld.</w:t>
      </w:r>
      <w:r>
        <w:t xml:space="preserve"> korun. Záporné saldo druhotných důchodů dosáhlo 34,7</w:t>
      </w:r>
      <w:r w:rsidR="00840938">
        <w:t> mld.</w:t>
      </w:r>
      <w:r>
        <w:t xml:space="preserve"> korun </w:t>
      </w:r>
      <w:r w:rsidR="00F03815">
        <w:t>a </w:t>
      </w:r>
      <w:r>
        <w:t>meziročně se drobně zmírnilo. Hrubý disponibilní důchod nefinančních podniků, který je identický s hrubými úsporami, v 1.</w:t>
      </w:r>
      <w:r w:rsidR="00F03815">
        <w:t> čtvrtlet</w:t>
      </w:r>
      <w:r>
        <w:t xml:space="preserve">í dosáhl 191,8 mld. korun </w:t>
      </w:r>
      <w:r w:rsidR="00F03815">
        <w:t>a </w:t>
      </w:r>
      <w:r>
        <w:t xml:space="preserve">meziročně se navýšil </w:t>
      </w:r>
      <w:r w:rsidR="00F03815">
        <w:t>o </w:t>
      </w:r>
      <w:r>
        <w:t>19,1 mld. Míra úspor</w:t>
      </w:r>
      <w:r w:rsidRPr="00837B9D">
        <w:rPr>
          <w:rStyle w:val="Znakapoznpodarou"/>
        </w:rPr>
        <w:footnoteReference w:id="5"/>
      </w:r>
      <w:r>
        <w:t xml:space="preserve"> dosáhla 25,3</w:t>
      </w:r>
      <w:r w:rsidR="00840938">
        <w:t> %</w:t>
      </w:r>
      <w:r>
        <w:t xml:space="preserve"> </w:t>
      </w:r>
      <w:r w:rsidR="00F03815">
        <w:t>a </w:t>
      </w:r>
      <w:r>
        <w:t xml:space="preserve">meziročně se zvýšila </w:t>
      </w:r>
      <w:r w:rsidR="00F03815">
        <w:t>o </w:t>
      </w:r>
      <w:r>
        <w:t>2,</w:t>
      </w:r>
      <w:r w:rsidR="00F03815">
        <w:t>1 </w:t>
      </w:r>
      <w:r>
        <w:t>p. b.</w:t>
      </w:r>
    </w:p>
    <w:p w14:paraId="1BE21987" w14:textId="77777777" w:rsidR="00DB4E76" w:rsidRDefault="00DB4E76" w:rsidP="007F6239"/>
    <w:p w14:paraId="4BFA1C52" w14:textId="77777777" w:rsidR="00D80F3C" w:rsidRPr="00837B9D" w:rsidRDefault="00D80F3C" w:rsidP="00F81F79">
      <w:pPr>
        <w:spacing w:after="240"/>
      </w:pPr>
      <w:r>
        <w:t>Hrubé úspory v 1.</w:t>
      </w:r>
      <w:r w:rsidR="00F03815">
        <w:t> čtvrtlet</w:t>
      </w:r>
      <w:r>
        <w:t>í překonaly objem výdajů na tvorbu hrubého kapitálu, takže míra samofinancování</w:t>
      </w:r>
      <w:r w:rsidRPr="00837B9D">
        <w:rPr>
          <w:rStyle w:val="Znakapoznpodarou"/>
        </w:rPr>
        <w:footnoteReference w:id="6"/>
      </w:r>
      <w:r>
        <w:t xml:space="preserve"> překonala 100</w:t>
      </w:r>
      <w:r w:rsidR="00840938">
        <w:t> %</w:t>
      </w:r>
      <w:r>
        <w:t>. Výdaje nefinančních podniků na tvorbu hrubého fixního kapitálu v 1.</w:t>
      </w:r>
      <w:r w:rsidR="00F03815">
        <w:t> čtvrtlet</w:t>
      </w:r>
      <w:r>
        <w:t>í dosáhly 185,0</w:t>
      </w:r>
      <w:r w:rsidR="00840938">
        <w:t> mld.</w:t>
      </w:r>
      <w:r>
        <w:t xml:space="preserve"> korun. Šlo </w:t>
      </w:r>
      <w:r w:rsidR="00F03815">
        <w:t>o </w:t>
      </w:r>
      <w:r>
        <w:t>nejhorší výsledek za 1.</w:t>
      </w:r>
      <w:r w:rsidR="00F03815">
        <w:t> čtvrtlet</w:t>
      </w:r>
      <w:r>
        <w:t xml:space="preserve">í od roku 2017. Meziročně se investiční aktivita propadla </w:t>
      </w:r>
      <w:r w:rsidR="00F03815">
        <w:t>o </w:t>
      </w:r>
      <w:r>
        <w:t>13,7</w:t>
      </w:r>
      <w:r w:rsidR="00840938">
        <w:t> mld.</w:t>
      </w:r>
      <w:r>
        <w:t xml:space="preserve"> korun, poprvé od 4.</w:t>
      </w:r>
      <w:r w:rsidR="00F03815">
        <w:t> čtvrtlet</w:t>
      </w:r>
      <w:r>
        <w:t xml:space="preserve">í 2014 </w:t>
      </w:r>
      <w:r w:rsidR="00F03815">
        <w:t>a </w:t>
      </w:r>
      <w:r>
        <w:t>nejvíce od konce roku 2009. Velmi hluboký byl také mezičtvrtletní propad. Nefinanční podniky tak velmi citlivě zareagovaly na nejistou situaci. Míra investic</w:t>
      </w:r>
      <w:r w:rsidRPr="00837B9D">
        <w:rPr>
          <w:rStyle w:val="Znakapoznpodarou"/>
        </w:rPr>
        <w:footnoteReference w:id="7"/>
      </w:r>
      <w:r>
        <w:t xml:space="preserve"> dosáhla 26,3</w:t>
      </w:r>
      <w:r w:rsidR="00840938">
        <w:t> %</w:t>
      </w:r>
      <w:r>
        <w:t xml:space="preserve"> (sezónně očištěno) </w:t>
      </w:r>
      <w:r w:rsidR="00F03815">
        <w:t>a </w:t>
      </w:r>
      <w:proofErr w:type="spellStart"/>
      <w:r>
        <w:t>mezičtvrtletně</w:t>
      </w:r>
      <w:proofErr w:type="spellEnd"/>
      <w:r>
        <w:t xml:space="preserve"> se propadla </w:t>
      </w:r>
      <w:r w:rsidR="00F03815">
        <w:t>o </w:t>
      </w:r>
      <w:r>
        <w:t>3,9</w:t>
      </w:r>
      <w:r w:rsidR="00840938">
        <w:t> </w:t>
      </w:r>
      <w:r>
        <w:t>p.</w:t>
      </w:r>
      <w:r w:rsidR="00840938">
        <w:t> </w:t>
      </w:r>
      <w:r>
        <w:t>b. Pod 27</w:t>
      </w:r>
      <w:r w:rsidR="00840938">
        <w:t> %</w:t>
      </w:r>
      <w:r>
        <w:t xml:space="preserve"> se přitom míra investic dostala v celé zaznamenané časové řadě (od roku 1999) teprve potřetí. Mezičtvrtletní propad prohloubilo </w:t>
      </w:r>
      <w:r w:rsidR="00F03815">
        <w:t>i </w:t>
      </w:r>
      <w:r>
        <w:t xml:space="preserve">to, </w:t>
      </w:r>
      <w:r>
        <w:lastRenderedPageBreak/>
        <w:t>že ve 4.</w:t>
      </w:r>
      <w:r w:rsidR="00F03815">
        <w:t> čtvrtlet</w:t>
      </w:r>
      <w:r>
        <w:t xml:space="preserve">í 2019 míra investic překročila 30 % </w:t>
      </w:r>
      <w:r w:rsidR="00F03815">
        <w:t>a </w:t>
      </w:r>
      <w:r>
        <w:t xml:space="preserve">byla nejvyšší za předchozích šest let. Meziročně se míra investic (neočištěná) snížila </w:t>
      </w:r>
      <w:r w:rsidR="00F03815">
        <w:t>o </w:t>
      </w:r>
      <w:r>
        <w:t>2,3</w:t>
      </w:r>
      <w:r w:rsidR="00840938">
        <w:t> p. b.</w:t>
      </w:r>
    </w:p>
    <w:p w14:paraId="551D4C2E" w14:textId="77777777" w:rsidR="0050641C" w:rsidRDefault="0050641C" w:rsidP="00C65FAA">
      <w:pPr>
        <w:pStyle w:val="TabulkaGraf"/>
      </w:pPr>
      <w:r w:rsidRPr="00A244F9">
        <w:t>G</w:t>
      </w:r>
      <w:r w:rsidR="002E6F00">
        <w:t>raf </w:t>
      </w:r>
      <w:r w:rsidRPr="00A244F9">
        <w:t xml:space="preserve">2: Meziroční </w:t>
      </w:r>
      <w:r>
        <w:t xml:space="preserve">nominální </w:t>
      </w:r>
      <w:r w:rsidRPr="00A244F9">
        <w:t>přírůstek tvorby hrubého fixního kapitálu (v</w:t>
      </w:r>
      <w:r w:rsidR="00840938">
        <w:t> mld.</w:t>
      </w:r>
      <w:r w:rsidRPr="00A244F9">
        <w:t xml:space="preserve"> korun) </w:t>
      </w:r>
      <w:r w:rsidR="00F03815" w:rsidRPr="00A244F9">
        <w:t>a</w:t>
      </w:r>
      <w:r w:rsidR="00F03815">
        <w:t> </w:t>
      </w:r>
      <w:r w:rsidRPr="00A244F9">
        <w:t>míra investic (sezónně očištěno, v</w:t>
      </w:r>
      <w:r w:rsidR="00840938">
        <w:t> %</w:t>
      </w:r>
      <w:r w:rsidRPr="00A244F9">
        <w:t>)</w:t>
      </w:r>
    </w:p>
    <w:p w14:paraId="60006B1C" w14:textId="77777777" w:rsidR="007F6239" w:rsidRDefault="0050641C" w:rsidP="00941335">
      <w:pPr>
        <w:jc w:val="center"/>
      </w:pPr>
      <w:r>
        <w:rPr>
          <w:noProof/>
          <w:lang w:eastAsia="cs-CZ"/>
        </w:rPr>
        <w:drawing>
          <wp:inline distT="0" distB="0" distL="0" distR="0" wp14:anchorId="1CFAC0E9" wp14:editId="5AC7690F">
            <wp:extent cx="4737600" cy="3060000"/>
            <wp:effectExtent l="0" t="0" r="6350" b="762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9E851" w14:textId="77777777" w:rsidR="00941335" w:rsidRPr="00941335" w:rsidRDefault="00941335" w:rsidP="00941335">
      <w:pPr>
        <w:spacing w:after="240"/>
      </w:pPr>
      <w:r>
        <w:t>Zdroj: ČSÚ, národní účty</w:t>
      </w:r>
    </w:p>
    <w:p w14:paraId="7BF2286A" w14:textId="77777777" w:rsidR="00F50CEF" w:rsidRDefault="00F50CEF" w:rsidP="006052D8">
      <w:pPr>
        <w:pStyle w:val="Nadpis1"/>
      </w:pPr>
      <w:r>
        <w:t>Vládní instituce</w:t>
      </w:r>
    </w:p>
    <w:p w14:paraId="1405652B" w14:textId="687CF485" w:rsidR="00D80F3C" w:rsidRPr="00837B9D" w:rsidRDefault="00D80F3C" w:rsidP="00D80F3C">
      <w:pPr>
        <w:spacing w:after="240"/>
      </w:pPr>
      <w:r>
        <w:t>Hospodaření vládních institucí v 1.</w:t>
      </w:r>
      <w:r w:rsidR="00F03815">
        <w:t> čtvrtlet</w:t>
      </w:r>
      <w:r>
        <w:t>í skončilo v deficitu 65,4</w:t>
      </w:r>
      <w:r w:rsidR="00840938">
        <w:t> mld.</w:t>
      </w:r>
      <w:r>
        <w:t xml:space="preserve"> korun. Deficitní hospodaření bývá v 1</w:t>
      </w:r>
      <w:r w:rsidR="00F03815">
        <w:t>. kvart</w:t>
      </w:r>
      <w:r>
        <w:t xml:space="preserve">álu obvyklé (výjimkou byly roky 2017 </w:t>
      </w:r>
      <w:r w:rsidR="00F03815">
        <w:t>a </w:t>
      </w:r>
      <w:r>
        <w:t xml:space="preserve">2018). Ve srovnání se stejným obdobím v předchozích letech </w:t>
      </w:r>
      <w:r w:rsidR="003276BE">
        <w:t xml:space="preserve">šlo </w:t>
      </w:r>
      <w:r>
        <w:t xml:space="preserve">ale tentokrát </w:t>
      </w:r>
      <w:r w:rsidR="00F03815">
        <w:t>o </w:t>
      </w:r>
      <w:r>
        <w:t xml:space="preserve">nejhlubší zaznamenaný deficit. Meziročně se záporné saldo prohloubilo </w:t>
      </w:r>
      <w:r w:rsidR="00F03815">
        <w:t>o </w:t>
      </w:r>
      <w:r>
        <w:t>62,5</w:t>
      </w:r>
      <w:r w:rsidR="00840938">
        <w:t> mld.</w:t>
      </w:r>
      <w:r>
        <w:t xml:space="preserve"> korun. Důvodem prohloubení deficitu byl značný meziroční nárůst výdajů sektoru (+54,2</w:t>
      </w:r>
      <w:r w:rsidR="00840938">
        <w:t> mld.</w:t>
      </w:r>
      <w:r>
        <w:t xml:space="preserve"> korun, 9,8 %) </w:t>
      </w:r>
      <w:r w:rsidR="00F03815">
        <w:t>a </w:t>
      </w:r>
      <w:r>
        <w:t xml:space="preserve">současný pokles příjmů </w:t>
      </w:r>
      <w:r w:rsidR="00F03815">
        <w:t>o </w:t>
      </w:r>
      <w:r>
        <w:t>8,3</w:t>
      </w:r>
      <w:r w:rsidR="00840938">
        <w:t> mld.</w:t>
      </w:r>
      <w:r>
        <w:t xml:space="preserve"> (</w:t>
      </w:r>
      <w:r w:rsidR="00F03815">
        <w:t>–</w:t>
      </w:r>
      <w:r>
        <w:t>1,5</w:t>
      </w:r>
      <w:r w:rsidR="00840938">
        <w:t> %</w:t>
      </w:r>
      <w:r>
        <w:t>).</w:t>
      </w:r>
    </w:p>
    <w:p w14:paraId="2E06E36F" w14:textId="1BF93454" w:rsidR="00D80F3C" w:rsidRDefault="00D80F3C" w:rsidP="00D80F3C">
      <w:pPr>
        <w:spacing w:after="240"/>
      </w:pPr>
      <w:r>
        <w:t>Příjmy sektoru vládních institucí dosáhly v 1.</w:t>
      </w:r>
      <w:r w:rsidR="00F03815">
        <w:t> čtvrtlet</w:t>
      </w:r>
      <w:r>
        <w:t>í 544,0</w:t>
      </w:r>
      <w:r w:rsidR="00840938">
        <w:t> mld.</w:t>
      </w:r>
      <w:r>
        <w:t xml:space="preserve"> korun. Propad nebo zpomalení se odehrál</w:t>
      </w:r>
      <w:r w:rsidR="003276BE">
        <w:t>y</w:t>
      </w:r>
      <w:r>
        <w:t xml:space="preserve"> zejména </w:t>
      </w:r>
      <w:r w:rsidR="00F03815">
        <w:t>u </w:t>
      </w:r>
      <w:r>
        <w:t xml:space="preserve">hlavních zdrojů příjmů, což lze přímo spojit s prudkým ekonomickým útlumem, ke kterému přispěla restriktivní opatření. Přijaté daně z výroby </w:t>
      </w:r>
      <w:r w:rsidR="00F03815">
        <w:t>a </w:t>
      </w:r>
      <w:r>
        <w:t xml:space="preserve">dovozu meziročně klesly </w:t>
      </w:r>
      <w:r w:rsidR="00F03815">
        <w:t>o </w:t>
      </w:r>
      <w:r>
        <w:t>6,7</w:t>
      </w:r>
      <w:r w:rsidR="00840938">
        <w:t> mld.</w:t>
      </w:r>
      <w:r>
        <w:t xml:space="preserve"> korun, poprvé od 4.</w:t>
      </w:r>
      <w:r w:rsidR="00F03815">
        <w:t> čtvrtlet</w:t>
      </w:r>
      <w:r>
        <w:t xml:space="preserve">í 2014. Propadly se zejména daně z produktů, přijaté ostatní daně z výroby stagnovaly. Meziročně klesly rovněž přijaté běžné daně z důchodů </w:t>
      </w:r>
      <w:r w:rsidR="00F03815">
        <w:t>a </w:t>
      </w:r>
      <w:r>
        <w:t xml:space="preserve">jmění </w:t>
      </w:r>
      <w:r w:rsidR="00F03815">
        <w:t>a </w:t>
      </w:r>
      <w:r>
        <w:t xml:space="preserve">jiné, </w:t>
      </w:r>
      <w:r w:rsidR="00F03815">
        <w:t>a </w:t>
      </w:r>
      <w:r>
        <w:t xml:space="preserve">to </w:t>
      </w:r>
      <w:r w:rsidR="00F03815">
        <w:t>o </w:t>
      </w:r>
      <w:r>
        <w:t>6,7</w:t>
      </w:r>
      <w:r w:rsidR="00840938">
        <w:t> mld.</w:t>
      </w:r>
      <w:r>
        <w:t xml:space="preserve"> korun. Šlo </w:t>
      </w:r>
      <w:r w:rsidR="00F03815">
        <w:t>o </w:t>
      </w:r>
      <w:r>
        <w:t>první pokles od 2.</w:t>
      </w:r>
      <w:r w:rsidR="00F03815">
        <w:t> čtvrtlet</w:t>
      </w:r>
      <w:r>
        <w:t xml:space="preserve">í 2012. Přijaté sociální příspěvky, které v minulosti výrazně narůstaly díky silné mzdové dynamice, se v 1. čtvrtletí navýšily </w:t>
      </w:r>
      <w:r w:rsidR="00F03815">
        <w:t>o </w:t>
      </w:r>
      <w:r>
        <w:t>3,1</w:t>
      </w:r>
      <w:r w:rsidR="00CB19EA">
        <w:t> </w:t>
      </w:r>
      <w:r>
        <w:t xml:space="preserve">mld. korun, nejméně od konce roku 2013. Objem přijatých kapitálových transferů se zvýšil </w:t>
      </w:r>
      <w:r w:rsidR="00F03815">
        <w:t>o </w:t>
      </w:r>
      <w:r>
        <w:t>1,4 mld. korun.</w:t>
      </w:r>
    </w:p>
    <w:p w14:paraId="594FF7BC" w14:textId="61EA2891" w:rsidR="00D80F3C" w:rsidRDefault="00D80F3C" w:rsidP="00961ECD">
      <w:pPr>
        <w:spacing w:after="240"/>
      </w:pPr>
      <w:r>
        <w:t>Celkové výdaje vládních institucí dosáhly 609,4</w:t>
      </w:r>
      <w:r w:rsidR="00840938">
        <w:t> mld.</w:t>
      </w:r>
      <w:r>
        <w:t xml:space="preserve"> korun. Jejich dynamika v průběhu minulého roku zpomalovala, ale v 1.</w:t>
      </w:r>
      <w:r w:rsidR="00F03815">
        <w:t> čtvrtlet</w:t>
      </w:r>
      <w:r>
        <w:t xml:space="preserve">í došlo k opětovnému zrychlení. Nejvíce k meziročnímu nárůstu výdajů přispěly sociální dávky jiné než sociální transfery, které se zvýšily </w:t>
      </w:r>
      <w:r w:rsidR="00F03815">
        <w:t>o </w:t>
      </w:r>
      <w:r>
        <w:t>17,5</w:t>
      </w:r>
      <w:r w:rsidR="00840938">
        <w:t> mld.</w:t>
      </w:r>
      <w:r>
        <w:t xml:space="preserve"> korun, </w:t>
      </w:r>
      <w:r>
        <w:lastRenderedPageBreak/>
        <w:t xml:space="preserve">zejména v souvislosti s navýšením starobních důchodů. Šlo </w:t>
      </w:r>
      <w:r w:rsidR="00F03815">
        <w:t>o </w:t>
      </w:r>
      <w:r>
        <w:t>největší nárůst v celé časové řadě. Poměrně výrazný byl též nárůst výdajů na tvorbu hrubého kapitálu (+12,2</w:t>
      </w:r>
      <w:r w:rsidR="00840938">
        <w:t> mld.</w:t>
      </w:r>
      <w:r>
        <w:t xml:space="preserve"> korun). Přitom samotná investiční aktivita (tvorba hrubého fixního kapitálu) rostla </w:t>
      </w:r>
      <w:r w:rsidR="00F03815">
        <w:t>o </w:t>
      </w:r>
      <w:r>
        <w:t>4,3</w:t>
      </w:r>
      <w:r w:rsidR="00840938">
        <w:t> mld.</w:t>
      </w:r>
      <w:r>
        <w:t xml:space="preserve"> korun </w:t>
      </w:r>
      <w:r w:rsidR="00F03815">
        <w:t>a </w:t>
      </w:r>
      <w:r>
        <w:t xml:space="preserve">zbytek připadl na změnu zásob </w:t>
      </w:r>
      <w:r w:rsidR="00F03815">
        <w:t>a </w:t>
      </w:r>
      <w:r>
        <w:t>čisté pořízení nefinančních aktiv (+7,9</w:t>
      </w:r>
      <w:r w:rsidR="00840938">
        <w:t> mld.</w:t>
      </w:r>
      <w:r>
        <w:t>). Dynamika náhrad zaměstnancům znatelně zmírnila, stále však přírůstek dosáhl 10,3</w:t>
      </w:r>
      <w:r w:rsidR="00840938">
        <w:t> mld.</w:t>
      </w:r>
      <w:r>
        <w:t xml:space="preserve"> korun. Navýšení </w:t>
      </w:r>
      <w:proofErr w:type="spellStart"/>
      <w:r>
        <w:t>mezispotřeby</w:t>
      </w:r>
      <w:proofErr w:type="spellEnd"/>
      <w:r>
        <w:t xml:space="preserve"> dosáhlo 7,1</w:t>
      </w:r>
      <w:r w:rsidR="00840938">
        <w:t> mld.</w:t>
      </w:r>
      <w:r>
        <w:t xml:space="preserve"> korun. V kontextu celé řady šlo </w:t>
      </w:r>
      <w:r w:rsidR="00F03815">
        <w:t>o </w:t>
      </w:r>
      <w:r>
        <w:t xml:space="preserve">silný, ale nikoliv výjimečný přírůstek. Pokud </w:t>
      </w:r>
      <w:r w:rsidR="003A34B3">
        <w:t xml:space="preserve">ho </w:t>
      </w:r>
      <w:r>
        <w:t>ale srovnáváme s 1</w:t>
      </w:r>
      <w:r w:rsidR="00F03815">
        <w:t>. kvart</w:t>
      </w:r>
      <w:r>
        <w:t xml:space="preserve">álem každého roku, jde </w:t>
      </w:r>
      <w:r w:rsidR="00F03815">
        <w:t>o </w:t>
      </w:r>
      <w:r>
        <w:t xml:space="preserve">nejsilnější nárůst. </w:t>
      </w:r>
      <w:proofErr w:type="spellStart"/>
      <w:r>
        <w:t>Mezispotřeba</w:t>
      </w:r>
      <w:proofErr w:type="spellEnd"/>
      <w:r>
        <w:t xml:space="preserve"> zahrnuje </w:t>
      </w:r>
      <w:r w:rsidR="00F03815">
        <w:t>i </w:t>
      </w:r>
      <w:r>
        <w:t xml:space="preserve">nákupy zdravotnických pomůcek. Významný nárůst měly vyplacené dotace, které se zvýšily </w:t>
      </w:r>
      <w:r w:rsidR="00F03815">
        <w:t>o </w:t>
      </w:r>
      <w:r>
        <w:t>3,4</w:t>
      </w:r>
      <w:r w:rsidR="00840938">
        <w:t> mld.</w:t>
      </w:r>
      <w:r>
        <w:t xml:space="preserve"> korun.</w:t>
      </w:r>
    </w:p>
    <w:p w14:paraId="6BDFBC0A" w14:textId="77777777" w:rsidR="00C65FAA" w:rsidRPr="00837B9D" w:rsidRDefault="00C65FAA" w:rsidP="00C65FAA">
      <w:pPr>
        <w:pStyle w:val="TabulkaGraf"/>
      </w:pPr>
      <w:r>
        <w:t>G</w:t>
      </w:r>
      <w:r w:rsidR="002E6F00">
        <w:t>raf </w:t>
      </w:r>
      <w:r>
        <w:t xml:space="preserve">3: Saldo hospodaření vládních institucí </w:t>
      </w:r>
      <w:r w:rsidRPr="00D842AF">
        <w:t>(v</w:t>
      </w:r>
      <w:r w:rsidR="00840938">
        <w:t> mld.</w:t>
      </w:r>
      <w:r w:rsidRPr="00D842AF">
        <w:t xml:space="preserve"> korun)</w:t>
      </w:r>
    </w:p>
    <w:p w14:paraId="013DB62F" w14:textId="77777777" w:rsidR="00E52B7F" w:rsidRDefault="00C65FAA" w:rsidP="00941335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2F164A0E" wp14:editId="0523BA41">
            <wp:extent cx="4737600" cy="3060000"/>
            <wp:effectExtent l="0" t="0" r="6350" b="762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82E7F1" w14:textId="77777777" w:rsidR="00941335" w:rsidRPr="00941335" w:rsidRDefault="00941335" w:rsidP="00941335">
      <w:pPr>
        <w:spacing w:after="240"/>
      </w:pPr>
      <w:r>
        <w:t>Zdroj: ČSÚ, národní účty</w:t>
      </w:r>
    </w:p>
    <w:p w14:paraId="3408CB3D" w14:textId="27D19B1C" w:rsidR="00CB19EA" w:rsidRDefault="00D80F3C" w:rsidP="00DB4E76">
      <w:pPr>
        <w:spacing w:after="240"/>
      </w:pPr>
      <w:r>
        <w:t>Výsledné záporné saldo hospodaření vládních institucí bylo způsobeno téměř výhradně masivním prohloubením deficitu ústředních vládních institucí. Jejich záporné saldo v 1.</w:t>
      </w:r>
      <w:r w:rsidR="00F03815">
        <w:t> čtvrtlet</w:t>
      </w:r>
      <w:r>
        <w:t>í dosáhlo 75,6</w:t>
      </w:r>
      <w:r w:rsidR="00840938">
        <w:t> mld.</w:t>
      </w:r>
      <w:r>
        <w:t xml:space="preserve"> korun </w:t>
      </w:r>
      <w:r w:rsidR="00F03815">
        <w:t>a </w:t>
      </w:r>
      <w:r>
        <w:t xml:space="preserve">meziročně se prohloubilo </w:t>
      </w:r>
      <w:r w:rsidR="00F03815">
        <w:t>o </w:t>
      </w:r>
      <w:r>
        <w:t>49,1</w:t>
      </w:r>
      <w:r w:rsidR="00840938">
        <w:t> mld.</w:t>
      </w:r>
      <w:r>
        <w:t xml:space="preserve"> První čtvrtletí roku je tradičně deficitní, letošní výsledek byl ale nejhorší zaznamenaný </w:t>
      </w:r>
      <w:r w:rsidR="00F03815">
        <w:t>a </w:t>
      </w:r>
      <w:r>
        <w:t>celkově jej překonalo jen 4.</w:t>
      </w:r>
      <w:r w:rsidR="00F03815">
        <w:t> čtvrtlet</w:t>
      </w:r>
      <w:r>
        <w:t>í 2012. Výrazně meziročně narostly výdaje (+45,6 mld. korun, 10,9</w:t>
      </w:r>
      <w:r w:rsidR="00840938">
        <w:t> %</w:t>
      </w:r>
      <w:r>
        <w:t xml:space="preserve">), na druhé straně ale nepříznivý ekonomický vývoj vedl k propadu příjmů </w:t>
      </w:r>
      <w:r w:rsidR="00F03815">
        <w:t>o </w:t>
      </w:r>
      <w:r>
        <w:t>3,5</w:t>
      </w:r>
      <w:r w:rsidR="00840938">
        <w:t> mld.</w:t>
      </w:r>
      <w:r>
        <w:t xml:space="preserve"> (</w:t>
      </w:r>
      <w:r w:rsidR="00F03815">
        <w:t>v </w:t>
      </w:r>
      <w:r>
        <w:t>posledních třech letech se nárůsty udržovaly v řádu nízkých desítek</w:t>
      </w:r>
      <w:r w:rsidR="00E26081">
        <w:t xml:space="preserve"> miliard</w:t>
      </w:r>
      <w:r>
        <w:t xml:space="preserve">). </w:t>
      </w:r>
      <w:r w:rsidR="00F03815">
        <w:t>K </w:t>
      </w:r>
      <w:r>
        <w:t>nárůstu výdajů přispělo zejména zvýšení objemu vyplacených sociálních dávek (+17,3</w:t>
      </w:r>
      <w:r w:rsidR="00F03815">
        <w:t> mld.</w:t>
      </w:r>
      <w:r>
        <w:t xml:space="preserve"> korun), tvorba hrubého kapitálu (+9,2</w:t>
      </w:r>
      <w:r w:rsidR="00F03815">
        <w:t> mld.</w:t>
      </w:r>
      <w:r>
        <w:t xml:space="preserve">), ostatní běžné transfery (+7,8 mld.) </w:t>
      </w:r>
      <w:r w:rsidR="00F03815">
        <w:t>a </w:t>
      </w:r>
      <w:r>
        <w:t xml:space="preserve">také </w:t>
      </w:r>
      <w:proofErr w:type="spellStart"/>
      <w:r>
        <w:t>mezispotřeba</w:t>
      </w:r>
      <w:proofErr w:type="spellEnd"/>
      <w:r>
        <w:t xml:space="preserve"> (+6,5</w:t>
      </w:r>
      <w:r w:rsidR="00F03815">
        <w:t> mld.</w:t>
      </w:r>
      <w:r>
        <w:t>).</w:t>
      </w:r>
    </w:p>
    <w:p w14:paraId="5069BB6D" w14:textId="77777777" w:rsidR="00D80F3C" w:rsidRDefault="00D80F3C" w:rsidP="00DB4E76">
      <w:pPr>
        <w:spacing w:after="240"/>
      </w:pPr>
      <w:r>
        <w:t>Místní vládní instituce dosáhly přebytku 11,7</w:t>
      </w:r>
      <w:r w:rsidR="00F03815">
        <w:t> mld.</w:t>
      </w:r>
      <w:r>
        <w:t xml:space="preserve"> korun. Jejich hospodaření se tak meziročně zhoršilo </w:t>
      </w:r>
      <w:r w:rsidR="00F03815">
        <w:t>o </w:t>
      </w:r>
      <w:r>
        <w:t>8,8</w:t>
      </w:r>
      <w:r w:rsidR="00F03815">
        <w:t> mld.</w:t>
      </w:r>
      <w:r>
        <w:t xml:space="preserve"> Výrazně narostly </w:t>
      </w:r>
      <w:r w:rsidR="00CB19EA">
        <w:t xml:space="preserve">jejich </w:t>
      </w:r>
      <w:r>
        <w:t xml:space="preserve">výdaje (náhrady zaměstnancům </w:t>
      </w:r>
      <w:r w:rsidR="00F03815">
        <w:t>o </w:t>
      </w:r>
      <w:r>
        <w:t>6,7</w:t>
      </w:r>
      <w:r w:rsidR="00F03815">
        <w:t> mld.</w:t>
      </w:r>
      <w:r>
        <w:t xml:space="preserve">, neobvykle vysoký byl nárůst dotací </w:t>
      </w:r>
      <w:r w:rsidR="00F03815">
        <w:t>o </w:t>
      </w:r>
      <w:r>
        <w:t>2,8</w:t>
      </w:r>
      <w:r w:rsidR="00F03815">
        <w:t> mld.</w:t>
      </w:r>
      <w:r>
        <w:t xml:space="preserve">). Příjmy </w:t>
      </w:r>
      <w:proofErr w:type="spellStart"/>
      <w:r>
        <w:t>subsektoru</w:t>
      </w:r>
      <w:proofErr w:type="spellEnd"/>
      <w:r>
        <w:t xml:space="preserve"> kvůli propadu přijatých daní rostly méně než v předchozích třech letech. Na kompenzaci nestačil ani mimořádně vysoký nárůst přijatých </w:t>
      </w:r>
      <w:r>
        <w:lastRenderedPageBreak/>
        <w:t>ostatních běžných transferů. Fondy sociálního zabezpečení (zdravotní pojišťovny) v 1.</w:t>
      </w:r>
      <w:r w:rsidR="00F03815">
        <w:t> čtvrtlet</w:t>
      </w:r>
      <w:r>
        <w:t>í skončily v deficitu 1,2</w:t>
      </w:r>
      <w:r w:rsidR="00CB19EA">
        <w:t> </w:t>
      </w:r>
      <w:r>
        <w:t>mld. korun. Vzhledem k nižšímu výběru sociálních příspěvků totiž výrazně zpomalil růst jejich příjmů.</w:t>
      </w:r>
    </w:p>
    <w:p w14:paraId="03481D64" w14:textId="1CBD760C" w:rsidR="00D80F3C" w:rsidRDefault="00D80F3C" w:rsidP="00D80F3C">
      <w:pPr>
        <w:spacing w:after="240"/>
      </w:pPr>
      <w:r>
        <w:t>Dluh sektoru vládních institucí v 1.</w:t>
      </w:r>
      <w:r w:rsidR="00F03815">
        <w:t> čtvrtlet</w:t>
      </w:r>
      <w:r>
        <w:t>í dosáhl 1 893,8</w:t>
      </w:r>
      <w:r w:rsidR="00F03815">
        <w:t> mld.</w:t>
      </w:r>
      <w:r>
        <w:t xml:space="preserve"> korun</w:t>
      </w:r>
      <w:r w:rsidR="00DA7A94">
        <w:rPr>
          <w:rStyle w:val="Znakapoznpodarou"/>
        </w:rPr>
        <w:footnoteReference w:id="8"/>
      </w:r>
      <w:r>
        <w:t xml:space="preserve"> </w:t>
      </w:r>
      <w:r w:rsidR="00F03815">
        <w:t>a </w:t>
      </w:r>
      <w:r>
        <w:t xml:space="preserve">meziročně se zvýšil </w:t>
      </w:r>
      <w:r w:rsidR="00F03815">
        <w:t>o </w:t>
      </w:r>
      <w:r>
        <w:t>58,2</w:t>
      </w:r>
      <w:r w:rsidR="00F03815">
        <w:t> mld.</w:t>
      </w:r>
      <w:r>
        <w:t xml:space="preserve"> Nárůst dluhu probíhal zejména prostřednictvím dluhových cenných papírů (+47,7</w:t>
      </w:r>
      <w:r w:rsidR="00F03815">
        <w:t> mld.</w:t>
      </w:r>
      <w:r>
        <w:t xml:space="preserve"> korun), </w:t>
      </w:r>
      <w:r w:rsidR="00F03815">
        <w:t>a </w:t>
      </w:r>
      <w:r>
        <w:t>to výhradně těch krátkodobých (+65,6</w:t>
      </w:r>
      <w:r w:rsidR="00F03815">
        <w:t> mld.</w:t>
      </w:r>
      <w:r>
        <w:t xml:space="preserve">). Méně v dluhovém portfoliu přibylo oběživa </w:t>
      </w:r>
      <w:r w:rsidR="00F03815">
        <w:t>a </w:t>
      </w:r>
      <w:r>
        <w:t>vkladů (+6,3</w:t>
      </w:r>
      <w:r w:rsidR="00F03815">
        <w:t> mld.</w:t>
      </w:r>
      <w:r>
        <w:t>), přesto byl nárůst ve srovnání s posledními čtyřmi lety mimořádný. Narostl také objem půjček (+4,2</w:t>
      </w:r>
      <w:r w:rsidR="00F03815">
        <w:t> mld.</w:t>
      </w:r>
      <w:r>
        <w:t xml:space="preserve"> korun), z toho krátkodobých přibylo za 5,1</w:t>
      </w:r>
      <w:r w:rsidR="00F03815">
        <w:t> mld.</w:t>
      </w:r>
    </w:p>
    <w:p w14:paraId="009C422D" w14:textId="77777777" w:rsidR="00C65FAA" w:rsidRDefault="00C65FAA" w:rsidP="00E52B7F">
      <w:pPr>
        <w:pStyle w:val="TabulkaGraf"/>
      </w:pPr>
      <w:r>
        <w:t>G</w:t>
      </w:r>
      <w:r w:rsidR="002E6F00">
        <w:t>raf </w:t>
      </w:r>
      <w:r>
        <w:t xml:space="preserve">4: Dluh sektoru vládních institucí </w:t>
      </w:r>
      <w:r w:rsidR="00F03815">
        <w:t>a </w:t>
      </w:r>
      <w:r>
        <w:t xml:space="preserve">jeho struktura </w:t>
      </w:r>
      <w:r w:rsidRPr="00D71231">
        <w:t>(meziroční změna v mld. korun)</w:t>
      </w:r>
    </w:p>
    <w:p w14:paraId="05A35859" w14:textId="77777777" w:rsidR="00656A12" w:rsidRDefault="00C65FAA" w:rsidP="00941335">
      <w:pPr>
        <w:jc w:val="center"/>
      </w:pPr>
      <w:r>
        <w:rPr>
          <w:noProof/>
          <w:lang w:eastAsia="cs-CZ"/>
        </w:rPr>
        <w:drawing>
          <wp:inline distT="0" distB="0" distL="0" distR="0" wp14:anchorId="46AD07CF" wp14:editId="771172E0">
            <wp:extent cx="4737600" cy="3060000"/>
            <wp:effectExtent l="0" t="0" r="6350" b="762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Default="00941335" w:rsidP="00941335">
      <w:pPr>
        <w:spacing w:after="240"/>
      </w:pPr>
      <w:r>
        <w:t>Zdroj: ČSÚ, národní účty</w:t>
      </w:r>
    </w:p>
    <w:p w14:paraId="7A77035A" w14:textId="77777777" w:rsidR="00F81F79" w:rsidRDefault="00F81F79">
      <w:pPr>
        <w:spacing w:line="240" w:lineRule="auto"/>
        <w:jc w:val="left"/>
        <w:rPr>
          <w:rFonts w:eastAsia="Times New Roman"/>
          <w:b/>
          <w:bCs/>
          <w:szCs w:val="28"/>
        </w:rPr>
      </w:pPr>
      <w:r>
        <w:br w:type="page"/>
      </w:r>
    </w:p>
    <w:p w14:paraId="7F1AAFC6" w14:textId="21E572EF" w:rsidR="00F50CEF" w:rsidRDefault="00F50CEF" w:rsidP="00656A12">
      <w:pPr>
        <w:pStyle w:val="Nadpis1"/>
      </w:pPr>
      <w:r>
        <w:lastRenderedPageBreak/>
        <w:t>Domácnosti</w:t>
      </w:r>
    </w:p>
    <w:p w14:paraId="3DD641AE" w14:textId="2F383A7E" w:rsidR="00CB19EA" w:rsidRPr="00837B9D" w:rsidRDefault="00F03815" w:rsidP="00CB19EA">
      <w:pPr>
        <w:spacing w:after="240"/>
      </w:pPr>
      <w:r>
        <w:t>V </w:t>
      </w:r>
      <w:r w:rsidR="00CB19EA">
        <w:t>1.</w:t>
      </w:r>
      <w:r>
        <w:t> čtvrtlet</w:t>
      </w:r>
      <w:r w:rsidR="00CB19EA">
        <w:t>í 2020 dosáhl hrubý disponibilní důchod (HDD) domácností 753,8</w:t>
      </w:r>
      <w:r>
        <w:t> mld.</w:t>
      </w:r>
      <w:r w:rsidR="00CB19EA">
        <w:t xml:space="preserve"> korun </w:t>
      </w:r>
      <w:r>
        <w:t>a </w:t>
      </w:r>
      <w:r w:rsidR="00CB19EA">
        <w:t xml:space="preserve">meziročně se zvýšil </w:t>
      </w:r>
      <w:r>
        <w:t>o </w:t>
      </w:r>
      <w:r w:rsidR="00CB19EA">
        <w:t>46,6</w:t>
      </w:r>
      <w:r>
        <w:t> mld.</w:t>
      </w:r>
      <w:r w:rsidR="00CB19EA">
        <w:t xml:space="preserve"> Oproti jiným sektorům tak celkové dopady opatření proti šíření </w:t>
      </w:r>
      <w:proofErr w:type="spellStart"/>
      <w:r w:rsidR="00CB19EA">
        <w:t>koronaviru</w:t>
      </w:r>
      <w:proofErr w:type="spellEnd"/>
      <w:r w:rsidR="00CB19EA">
        <w:t xml:space="preserve"> na příjmy </w:t>
      </w:r>
      <w:r w:rsidR="00F61E35">
        <w:t xml:space="preserve">domácností </w:t>
      </w:r>
      <w:r w:rsidR="00CB19EA">
        <w:t>v 1. čtvrtletí ještě nebyly tak patrné. Nominální dynamika navázala na 2</w:t>
      </w:r>
      <w:r>
        <w:t>. pololet</w:t>
      </w:r>
      <w:r w:rsidR="00CB19EA">
        <w:t xml:space="preserve">í loňského roku </w:t>
      </w:r>
      <w:r>
        <w:t>a </w:t>
      </w:r>
      <w:r w:rsidR="00CB19EA">
        <w:t>mírně zrychlila. Reálný meziroční přírůstek HDD</w:t>
      </w:r>
      <w:r w:rsidR="00CB19EA" w:rsidRPr="00837B9D">
        <w:rPr>
          <w:rStyle w:val="Znakapoznpodarou"/>
        </w:rPr>
        <w:footnoteReference w:id="9"/>
      </w:r>
      <w:r w:rsidR="00CB19EA">
        <w:t xml:space="preserve"> v 1. čtvrtletí činil 2,7</w:t>
      </w:r>
      <w:r w:rsidR="00840938">
        <w:t> %</w:t>
      </w:r>
      <w:r w:rsidR="00CB19EA">
        <w:t>. Stále poměrně vysoký nominální růst příjmů tak naráží na zrychlující se navyšování cenové hladiny, což více ovlivňuje reálnou kupní sílu.</w:t>
      </w:r>
    </w:p>
    <w:p w14:paraId="5FA288B3" w14:textId="77777777" w:rsidR="00CB19EA" w:rsidRPr="00837B9D" w:rsidRDefault="00CB19EA" w:rsidP="00CB19EA">
      <w:pPr>
        <w:spacing w:after="240"/>
      </w:pPr>
      <w:r>
        <w:t>Nejvíce k nárůstu HDD přispívaly náhrady zaměstnancům</w:t>
      </w:r>
      <w:r>
        <w:rPr>
          <w:rStyle w:val="Znakapoznpodarou"/>
        </w:rPr>
        <w:footnoteReference w:id="10"/>
      </w:r>
      <w:r>
        <w:t xml:space="preserve">, jejichž objem se meziročně zvýšil </w:t>
      </w:r>
      <w:r w:rsidR="00F03815">
        <w:t>o </w:t>
      </w:r>
      <w:r>
        <w:t>25,1</w:t>
      </w:r>
      <w:r w:rsidR="00F03815">
        <w:t> mld.</w:t>
      </w:r>
      <w:r>
        <w:t xml:space="preserve"> korun (</w:t>
      </w:r>
      <w:r w:rsidR="00F03815">
        <w:t>z </w:t>
      </w:r>
      <w:r>
        <w:t xml:space="preserve">toho samotné mzdy </w:t>
      </w:r>
      <w:r w:rsidR="00F03815">
        <w:t>a </w:t>
      </w:r>
      <w:r>
        <w:t xml:space="preserve">platy narostly </w:t>
      </w:r>
      <w:r w:rsidR="00F03815">
        <w:t>o </w:t>
      </w:r>
      <w:r>
        <w:t>21,0</w:t>
      </w:r>
      <w:r w:rsidR="00F03815">
        <w:t> mld.</w:t>
      </w:r>
      <w:r>
        <w:t xml:space="preserve">, sociální příspěvky zaměstnavatelů </w:t>
      </w:r>
      <w:r w:rsidR="00F03815">
        <w:t>o </w:t>
      </w:r>
      <w:r>
        <w:t>4,1</w:t>
      </w:r>
      <w:r w:rsidR="00F03815">
        <w:t> mld.</w:t>
      </w:r>
      <w:r>
        <w:t>). Zpomalení nominální dynamiky je citelné, ale je v souladu s postupným ochlazováním přepjatého trhu práce, které probíhalo již v minulém roce. Výrazně se propadl reálný růst. Náhrady reálně stagnovaly (0,2</w:t>
      </w:r>
      <w:r w:rsidR="00840938">
        <w:t> %</w:t>
      </w:r>
      <w:r>
        <w:t xml:space="preserve">), objem mezd </w:t>
      </w:r>
      <w:r w:rsidR="00F03815">
        <w:t>a </w:t>
      </w:r>
      <w:r>
        <w:t xml:space="preserve">platů se zvýšil </w:t>
      </w:r>
      <w:r w:rsidR="00F03815">
        <w:t>o </w:t>
      </w:r>
      <w:r>
        <w:t>0,6</w:t>
      </w:r>
      <w:r w:rsidR="00840938">
        <w:t> %</w:t>
      </w:r>
      <w:r>
        <w:t xml:space="preserve"> (přitom loni klesl přírůstek těsně pod 3</w:t>
      </w:r>
      <w:r w:rsidR="00840938">
        <w:t> %</w:t>
      </w:r>
      <w:r>
        <w:t xml:space="preserve"> až v závěru roku). K růstu HDD domácností přispěl také hrubý provozní přebytek (HPP)</w:t>
      </w:r>
      <w:r>
        <w:rPr>
          <w:rStyle w:val="Znakapoznpodarou"/>
        </w:rPr>
        <w:footnoteReference w:id="11"/>
      </w:r>
      <w:r>
        <w:t xml:space="preserve">, který se zvýšil </w:t>
      </w:r>
      <w:r w:rsidR="00F03815">
        <w:t>o </w:t>
      </w:r>
      <w:r>
        <w:t>6,7</w:t>
      </w:r>
      <w:r w:rsidR="00F03815">
        <w:t> mld.</w:t>
      </w:r>
      <w:r>
        <w:t xml:space="preserve"> korun. Hrubý smíšený důchod</w:t>
      </w:r>
      <w:r>
        <w:rPr>
          <w:rStyle w:val="Znakapoznpodarou"/>
        </w:rPr>
        <w:footnoteReference w:id="12"/>
      </w:r>
      <w:r>
        <w:t xml:space="preserve"> rostl jen nepatrně (+0,6</w:t>
      </w:r>
      <w:r w:rsidR="00F03815">
        <w:t> mld.</w:t>
      </w:r>
      <w:r>
        <w:t xml:space="preserve">). Zatímco HPP ještě odrážel růst cen nemovitostí </w:t>
      </w:r>
      <w:r w:rsidR="00F03815">
        <w:t>a </w:t>
      </w:r>
      <w:r>
        <w:t>růst cen nájemného z bytů, které ovlivňují imputované nájemné, vývoj hrubého smíšeného důchodu ukazuje na možné problémy drobných podnikatelů.</w:t>
      </w:r>
    </w:p>
    <w:p w14:paraId="796328B8" w14:textId="734870C7" w:rsidR="00CB19EA" w:rsidRDefault="00CB19EA" w:rsidP="00CB19EA">
      <w:pPr>
        <w:spacing w:after="240"/>
      </w:pPr>
      <w:r>
        <w:t>Saldo důchodů z vlastnictví v 1.</w:t>
      </w:r>
      <w:r w:rsidR="00F03815">
        <w:t> čtvrtlet</w:t>
      </w:r>
      <w:r>
        <w:t>í dosáhlo 27,0</w:t>
      </w:r>
      <w:r w:rsidR="00F03815">
        <w:t> mld.</w:t>
      </w:r>
      <w:r>
        <w:t xml:space="preserve"> korun </w:t>
      </w:r>
      <w:r w:rsidR="00F03815">
        <w:t>a </w:t>
      </w:r>
      <w:r>
        <w:t xml:space="preserve">meziročně se snížilo </w:t>
      </w:r>
      <w:r w:rsidR="00F03815">
        <w:t>o </w:t>
      </w:r>
      <w:r>
        <w:t>5,7 mld. Deficit salda druhotného rozdělení dosáhl 111,4</w:t>
      </w:r>
      <w:r w:rsidR="00F03815">
        <w:t> mld.</w:t>
      </w:r>
      <w:r>
        <w:t xml:space="preserve">, meziročně ale došlo k jeho zmírnění </w:t>
      </w:r>
      <w:r w:rsidR="00F03815">
        <w:t>o </w:t>
      </w:r>
      <w:r>
        <w:t>19,9 mld. korun. To je první redukce deficitu od 4</w:t>
      </w:r>
      <w:r w:rsidR="00F03815">
        <w:t>. kvart</w:t>
      </w:r>
      <w:r>
        <w:t xml:space="preserve">álu 2012 </w:t>
      </w:r>
      <w:r w:rsidR="00F03815">
        <w:t>a </w:t>
      </w:r>
      <w:r>
        <w:t>největší od 3</w:t>
      </w:r>
      <w:r w:rsidR="00F03815">
        <w:t>. kvart</w:t>
      </w:r>
      <w:r>
        <w:t>álu 2009. Tehdy se ale na saldu podepsala krize vyžadující velké výdaje na podporu v nezaměstnanost</w:t>
      </w:r>
      <w:r w:rsidR="00DA56DA">
        <w:t>i</w:t>
      </w:r>
      <w:r>
        <w:t xml:space="preserve"> </w:t>
      </w:r>
      <w:r w:rsidR="00F03815">
        <w:t>a </w:t>
      </w:r>
      <w:r>
        <w:t>další sociální dávky. V 1.</w:t>
      </w:r>
      <w:r w:rsidR="00F03815">
        <w:t> čtvrtlet</w:t>
      </w:r>
      <w:r>
        <w:t xml:space="preserve">í 2020 se objem sociálních dávek přijatých domácnostmi zvýšil </w:t>
      </w:r>
      <w:r w:rsidR="00F03815">
        <w:t>o </w:t>
      </w:r>
      <w:r>
        <w:t>17,0</w:t>
      </w:r>
      <w:r w:rsidR="00F03815">
        <w:t> mld.</w:t>
      </w:r>
      <w:r>
        <w:t xml:space="preserve">, zejména kvůli navýšení starobních důchodů. Podobný vývoj </w:t>
      </w:r>
      <w:r w:rsidR="00DA56DA">
        <w:t>bylo možné</w:t>
      </w:r>
      <w:r>
        <w:t xml:space="preserve"> sledovat již v minulém roce, letos se přírůstek dále zvyšoval. Naopak objem sociálních příspěvků odvedených domácnostmi se meziročně změnil jen minimálně (+1,3</w:t>
      </w:r>
      <w:r w:rsidR="00F03815">
        <w:t> mld.</w:t>
      </w:r>
      <w:r>
        <w:t xml:space="preserve">) </w:t>
      </w:r>
      <w:r w:rsidR="00F03815">
        <w:t>a </w:t>
      </w:r>
      <w:r>
        <w:t xml:space="preserve">odvedené daně z důchodů </w:t>
      </w:r>
      <w:r w:rsidR="00F03815">
        <w:t>a </w:t>
      </w:r>
      <w:r>
        <w:t xml:space="preserve">jmění klesly </w:t>
      </w:r>
      <w:r w:rsidR="00F03815">
        <w:t>o </w:t>
      </w:r>
      <w:r>
        <w:t>4,1</w:t>
      </w:r>
      <w:r w:rsidR="00F03815">
        <w:t> mld.</w:t>
      </w:r>
    </w:p>
    <w:p w14:paraId="606D7648" w14:textId="77777777" w:rsidR="00F81F79" w:rsidRDefault="00F81F79" w:rsidP="00F81F79">
      <w:pPr>
        <w:spacing w:after="240"/>
      </w:pPr>
      <w:r>
        <w:t xml:space="preserve">Výdaje na konečnou spotřebu domácností se ve sledovaném období meziročně zvýšily o 25,2 mld. korun na 653,1 mld. V předchozích třech letech se přitom růst výdajů udržoval výrazně nad 30 mld. Zde se nejspíš projevila redukce spotřeby v souvislosti s březnovými omezeními. Reálně se spotřeba domácností meziročně zvýšila jen o 0,2 %. Domácnosti také spotřebovaly statky a služby v podobě naturálních sociálních transferů v hodnotě 167,7 mld. korun. To je meziročně o 13,6 mld. více. Naturální sociální transfery tak (mimo jiné v souvislosti s navyšováním platů) dvouciferně rostou již dva a půl roku. I kvůli omezení spotřeby dosáhly hrubé úspory domácností v 1. čtvrtletí 108,5 mld. korun a meziročně se zvýšily o 19,5 mld. Jde </w:t>
      </w:r>
      <w:r>
        <w:lastRenderedPageBreak/>
        <w:t>o největší přírůstek od roku 2009. Toto vedlo i ke skokovému nárůstu míry úspor</w:t>
      </w:r>
      <w:r>
        <w:rPr>
          <w:rStyle w:val="Znakapoznpodarou"/>
        </w:rPr>
        <w:footnoteReference w:id="13"/>
      </w:r>
      <w:r>
        <w:t xml:space="preserve"> na 13,5 % (sezónně očištěno). </w:t>
      </w:r>
      <w:proofErr w:type="spellStart"/>
      <w:r>
        <w:t>Mezičtvrtletně</w:t>
      </w:r>
      <w:proofErr w:type="spellEnd"/>
      <w:r>
        <w:t xml:space="preserve"> se očištěná míra úspor zvýšila o 0,7 p. b. Meziroční přírůstek (neočištěný) dosáhl 1,8 p. b. Mírně meziročně klesly výdaje domácností na tvorbu hrubého fixního kapitálu (–2,2 mld. korun) a dosáhly 56,2 mld. Míra investic</w:t>
      </w:r>
      <w:r>
        <w:rPr>
          <w:rStyle w:val="Znakapoznpodarou"/>
        </w:rPr>
        <w:footnoteReference w:id="14"/>
      </w:r>
      <w:r>
        <w:t xml:space="preserve"> (sezónně očištěná) </w:t>
      </w:r>
      <w:proofErr w:type="spellStart"/>
      <w:r>
        <w:t>mezičtvrtletně</w:t>
      </w:r>
      <w:proofErr w:type="spellEnd"/>
      <w:r>
        <w:t xml:space="preserve"> mírně poklesla o 0,3 p. b. na 9,0 %. Meziroční posun (neočištěný) dolů dosáhl 0,7 p. b.</w:t>
      </w:r>
    </w:p>
    <w:p w14:paraId="6C1E180C" w14:textId="615A5AD5" w:rsidR="004C52C6" w:rsidRDefault="00F81F79" w:rsidP="004C52C6">
      <w:pPr>
        <w:pStyle w:val="TabulkaGraf"/>
      </w:pPr>
      <w:r>
        <w:t>G</w:t>
      </w:r>
      <w:r w:rsidR="002E6F00">
        <w:t>raf </w:t>
      </w:r>
      <w:r w:rsidR="004C52C6">
        <w:t xml:space="preserve">5: Meziroční změna výdajů na tvorbu hrubého fixního kapitálu </w:t>
      </w:r>
      <w:r w:rsidR="004C52C6" w:rsidRPr="00C46C9B">
        <w:t>(mld. korun)</w:t>
      </w:r>
      <w:r w:rsidR="004C52C6">
        <w:t xml:space="preserve"> </w:t>
      </w:r>
      <w:r w:rsidR="00F03815">
        <w:t>a </w:t>
      </w:r>
      <w:r w:rsidR="004C52C6">
        <w:t xml:space="preserve">míra úspor </w:t>
      </w:r>
      <w:r w:rsidR="00F03815">
        <w:t>a </w:t>
      </w:r>
      <w:r w:rsidR="004C52C6">
        <w:t xml:space="preserve">míra investic sektoru domácností </w:t>
      </w:r>
      <w:r w:rsidR="004C52C6" w:rsidRPr="00BB176A">
        <w:t>(v</w:t>
      </w:r>
      <w:r w:rsidR="00840938">
        <w:t> %</w:t>
      </w:r>
      <w:r w:rsidR="004C52C6">
        <w:t>, sezónně očištěno</w:t>
      </w:r>
      <w:r w:rsidR="004C52C6" w:rsidRPr="00BB176A">
        <w:t>)</w:t>
      </w:r>
    </w:p>
    <w:p w14:paraId="598D7247" w14:textId="77777777" w:rsidR="004C52C6" w:rsidRDefault="004C52C6" w:rsidP="004C52C6">
      <w:pPr>
        <w:jc w:val="center"/>
      </w:pPr>
      <w:r>
        <w:rPr>
          <w:noProof/>
          <w:lang w:eastAsia="cs-CZ"/>
        </w:rPr>
        <w:drawing>
          <wp:inline distT="0" distB="0" distL="0" distR="0" wp14:anchorId="7371040B" wp14:editId="51B4FFD3">
            <wp:extent cx="4737600" cy="3060000"/>
            <wp:effectExtent l="0" t="0" r="6350" b="762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65F99E" w14:textId="17C3E82E" w:rsidR="00197A07" w:rsidRDefault="00941335" w:rsidP="00941335">
      <w:pPr>
        <w:spacing w:after="240"/>
      </w:pPr>
      <w:r>
        <w:t>Zdroj: ČSÚ, národní účty</w:t>
      </w:r>
    </w:p>
    <w:p w14:paraId="51AEDBD7" w14:textId="77777777" w:rsidR="00197A07" w:rsidRDefault="00197A07">
      <w:pPr>
        <w:spacing w:line="240" w:lineRule="auto"/>
        <w:jc w:val="left"/>
      </w:pPr>
      <w:r>
        <w:br w:type="page"/>
      </w:r>
    </w:p>
    <w:p w14:paraId="71BB4AD3" w14:textId="77777777" w:rsidR="00F50CEF" w:rsidRDefault="00F50CEF" w:rsidP="00F50CEF">
      <w:pPr>
        <w:pStyle w:val="Nadpis1"/>
      </w:pPr>
      <w:r>
        <w:lastRenderedPageBreak/>
        <w:t>Finanční vztahy s</w:t>
      </w:r>
      <w:r w:rsidR="00614585">
        <w:t> </w:t>
      </w:r>
      <w:r>
        <w:t>nerezidenty</w:t>
      </w:r>
    </w:p>
    <w:p w14:paraId="3932826E" w14:textId="0E3A96EF" w:rsidR="00CB19EA" w:rsidRDefault="00CB19EA" w:rsidP="00C63561">
      <w:pPr>
        <w:spacing w:after="240"/>
      </w:pPr>
      <w:r>
        <w:t xml:space="preserve">Přebytek zahraničního obchodu se zbožím </w:t>
      </w:r>
      <w:r w:rsidR="00F03815">
        <w:t>a </w:t>
      </w:r>
      <w:r>
        <w:t>službami v 1.</w:t>
      </w:r>
      <w:r w:rsidR="00F03815">
        <w:t> čtvrtlet</w:t>
      </w:r>
      <w:r>
        <w:t>í dosáhl 105,7</w:t>
      </w:r>
      <w:r w:rsidR="00F03815">
        <w:t> mld.</w:t>
      </w:r>
      <w:r>
        <w:t xml:space="preserve"> korun. Meziročně došlo k mírnému zhoršení </w:t>
      </w:r>
      <w:r w:rsidR="00F03815">
        <w:t>o </w:t>
      </w:r>
      <w:r>
        <w:t>2,5</w:t>
      </w:r>
      <w:r w:rsidR="00F03815">
        <w:t> mld.</w:t>
      </w:r>
      <w:r>
        <w:t xml:space="preserve"> korun. Ve srovnání s 1. kvartálem předchozích let je letošní výsledek nejhorší od roku 2015. K meziročnímu propadu přebytku ale došlo již ve 4.</w:t>
      </w:r>
      <w:r w:rsidR="00F03815">
        <w:t> čtvrtlet</w:t>
      </w:r>
      <w:r>
        <w:t xml:space="preserve">í roku 2019, protože některá exportní odvětví již pociťovala snížení zahraniční poptávky. </w:t>
      </w:r>
      <w:r w:rsidR="00F03815">
        <w:t>V </w:t>
      </w:r>
      <w:r>
        <w:t xml:space="preserve">souvislosti se současnou krizí se hodnota vývozu propadla </w:t>
      </w:r>
      <w:r w:rsidR="00F03815">
        <w:t>o </w:t>
      </w:r>
      <w:r>
        <w:t>28,7</w:t>
      </w:r>
      <w:r w:rsidR="00F03815">
        <w:t> mld.</w:t>
      </w:r>
      <w:r>
        <w:t xml:space="preserve"> korun </w:t>
      </w:r>
      <w:r w:rsidR="00F03815">
        <w:t>a </w:t>
      </w:r>
      <w:r>
        <w:t xml:space="preserve">dovozu </w:t>
      </w:r>
      <w:r w:rsidR="00F03815">
        <w:t>o </w:t>
      </w:r>
      <w:r>
        <w:t>26,2 mld.</w:t>
      </w:r>
    </w:p>
    <w:p w14:paraId="61C28083" w14:textId="0C4436CD" w:rsidR="00CB19EA" w:rsidRPr="00837B9D" w:rsidRDefault="00CB19EA" w:rsidP="00CB19EA">
      <w:pPr>
        <w:spacing w:after="240"/>
      </w:pPr>
      <w:r>
        <w:t>Získané důchody z vlastnictví, které jsou hlavním příjmem nerezidentů</w:t>
      </w:r>
      <w:r>
        <w:rPr>
          <w:rStyle w:val="Znakapoznpodarou"/>
        </w:rPr>
        <w:footnoteReference w:id="15"/>
      </w:r>
      <w:r>
        <w:t xml:space="preserve"> ve vztahu k domácí ekonomice, dosáhly v 1.</w:t>
      </w:r>
      <w:r w:rsidR="00F03815">
        <w:t> čtvrtlet</w:t>
      </w:r>
      <w:r>
        <w:t>í 111,9</w:t>
      </w:r>
      <w:r w:rsidR="00F03815">
        <w:t> mld.</w:t>
      </w:r>
      <w:r>
        <w:t xml:space="preserve"> korun </w:t>
      </w:r>
      <w:r w:rsidR="00F03815">
        <w:t>a </w:t>
      </w:r>
      <w:r>
        <w:t xml:space="preserve">meziročně se zvýšily </w:t>
      </w:r>
      <w:r w:rsidR="00F03815">
        <w:t>o </w:t>
      </w:r>
      <w:r>
        <w:t>29,0</w:t>
      </w:r>
      <w:r w:rsidR="00F03815">
        <w:t> mld.</w:t>
      </w:r>
      <w:r>
        <w:t xml:space="preserve"> Rozdělované důchody společností ale klesly </w:t>
      </w:r>
      <w:r w:rsidR="00F03815">
        <w:t>o </w:t>
      </w:r>
      <w:r>
        <w:t>20,6</w:t>
      </w:r>
      <w:r w:rsidR="00F03815">
        <w:t> mld.</w:t>
      </w:r>
      <w:r>
        <w:t xml:space="preserve"> </w:t>
      </w:r>
      <w:r w:rsidR="00F03815">
        <w:t>a </w:t>
      </w:r>
      <w:r>
        <w:t>mohutný přírůstek se týkal zejména reinvestovaných zisků (+48,7</w:t>
      </w:r>
      <w:r w:rsidR="00F03815">
        <w:t> mld.</w:t>
      </w:r>
      <w:r>
        <w:t>). Meziroční přírůstek získaných úroků značně oslabil na 1,0</w:t>
      </w:r>
      <w:r w:rsidR="00274A90">
        <w:t> </w:t>
      </w:r>
      <w:r>
        <w:t>mld. Domácí investoři si připsali ve formě důchodů z vlastnictví v zahraničí 45,5</w:t>
      </w:r>
      <w:r w:rsidR="00F03815">
        <w:t> mld.</w:t>
      </w:r>
      <w:r>
        <w:t xml:space="preserve"> korun, meziročně </w:t>
      </w:r>
      <w:r w:rsidR="00F03815">
        <w:t>o </w:t>
      </w:r>
      <w:r>
        <w:t>2,2</w:t>
      </w:r>
      <w:r w:rsidR="00F03815">
        <w:t> mld.</w:t>
      </w:r>
      <w:r>
        <w:t xml:space="preserve"> více. Výsledný čistý odliv důchodů z vlastnictví </w:t>
      </w:r>
      <w:r w:rsidR="00090B9E">
        <w:t xml:space="preserve">tak </w:t>
      </w:r>
      <w:r>
        <w:t>v 1.</w:t>
      </w:r>
      <w:r w:rsidR="00F03815">
        <w:t> čtvrtlet</w:t>
      </w:r>
      <w:r>
        <w:t>í činil 66,5</w:t>
      </w:r>
      <w:r w:rsidR="00274A90">
        <w:t> </w:t>
      </w:r>
      <w:r>
        <w:t xml:space="preserve">mld. korun </w:t>
      </w:r>
      <w:r w:rsidR="00F03815">
        <w:t>a </w:t>
      </w:r>
      <w:r>
        <w:t xml:space="preserve">meziročně se zvýšil </w:t>
      </w:r>
      <w:r w:rsidR="00F03815">
        <w:t>o </w:t>
      </w:r>
      <w:r>
        <w:t>26,8 mld. korun.</w:t>
      </w:r>
    </w:p>
    <w:p w14:paraId="7DC91786" w14:textId="04EF9359" w:rsidR="00CB19EA" w:rsidRDefault="00CB19EA" w:rsidP="00C63561">
      <w:pPr>
        <w:spacing w:after="240"/>
      </w:pPr>
      <w:r>
        <w:t>Do domácí ekonomiky ze zahraničí přiteklo 19,3</w:t>
      </w:r>
      <w:r w:rsidR="00F03815">
        <w:t> mld.</w:t>
      </w:r>
      <w:r>
        <w:t xml:space="preserve"> korun ve formě náhrad zaměstnancům (meziročně </w:t>
      </w:r>
      <w:r w:rsidR="00F03815">
        <w:t>o </w:t>
      </w:r>
      <w:r>
        <w:t>3,8</w:t>
      </w:r>
      <w:r w:rsidR="00F03815">
        <w:t> mld.</w:t>
      </w:r>
      <w:r>
        <w:t xml:space="preserve"> korun více). Rostl rovněž objem náhrad do zahraničí ze strany domácích zaměstnavatelů (</w:t>
      </w:r>
      <w:r w:rsidR="00F03815">
        <w:t>o </w:t>
      </w:r>
      <w:r>
        <w:t>2,3</w:t>
      </w:r>
      <w:r w:rsidR="00F03815">
        <w:t> mld.</w:t>
      </w:r>
      <w:r>
        <w:t xml:space="preserve"> korun na 14,6</w:t>
      </w:r>
      <w:r w:rsidR="00F03815">
        <w:t> mld.</w:t>
      </w:r>
      <w:r>
        <w:t xml:space="preserve">). Na 2,1 mld. mírně poklesl objem daní z výroby </w:t>
      </w:r>
      <w:r w:rsidR="00F03815">
        <w:t>a </w:t>
      </w:r>
      <w:r>
        <w:t xml:space="preserve">dovozu vyplacených do zahraničí. Dotace, které domácí ekonomika obdržela (zejména zemědělské dotace </w:t>
      </w:r>
      <w:r w:rsidR="00F03815">
        <w:t>z </w:t>
      </w:r>
      <w:r>
        <w:t>EU)</w:t>
      </w:r>
      <w:r w:rsidR="00090B9E">
        <w:t>,</w:t>
      </w:r>
      <w:r>
        <w:t xml:space="preserve"> se</w:t>
      </w:r>
      <w:r w:rsidR="00840938">
        <w:t xml:space="preserve"> </w:t>
      </w:r>
      <w:r>
        <w:t>meziročně mírně navýšily na 13,7</w:t>
      </w:r>
      <w:r w:rsidR="00F03815">
        <w:t> mld.</w:t>
      </w:r>
      <w:r>
        <w:t xml:space="preserve"> korun. Celkové saldo prvotních důchodů skončilo v deficitu 50,2</w:t>
      </w:r>
      <w:r w:rsidR="00F03815">
        <w:t> mld.</w:t>
      </w:r>
      <w:r>
        <w:t xml:space="preserve"> korun. Deficit se meziročně prohloubil </w:t>
      </w:r>
      <w:r w:rsidR="00F03815">
        <w:t>o </w:t>
      </w:r>
      <w:r>
        <w:t>25,0</w:t>
      </w:r>
      <w:r w:rsidR="00F03815">
        <w:t> mld.</w:t>
      </w:r>
      <w:r>
        <w:t xml:space="preserve"> korun. Ve srovnání s výsledky posledních let ale patřil k těm nejmírnějším.</w:t>
      </w:r>
    </w:p>
    <w:p w14:paraId="15A79882" w14:textId="3C34AA9C" w:rsidR="00F81F79" w:rsidRDefault="00CB19EA" w:rsidP="00CB19EA">
      <w:pPr>
        <w:spacing w:after="240"/>
      </w:pPr>
      <w:r>
        <w:t>Saldo druhotného rozdělení bylo také záporné (</w:t>
      </w:r>
      <w:r w:rsidR="00F03815">
        <w:t>–</w:t>
      </w:r>
      <w:r>
        <w:t>20,0</w:t>
      </w:r>
      <w:r w:rsidR="00F03815">
        <w:t> mld.</w:t>
      </w:r>
      <w:r>
        <w:t xml:space="preserve"> korun), meziročně se zmírnilo </w:t>
      </w:r>
      <w:r w:rsidR="00F03815">
        <w:t>o </w:t>
      </w:r>
      <w:r>
        <w:t xml:space="preserve">0,9 mld. Výsledné saldo běžných transakcí rezidentů s nerezidenty bylo díky relativně vysokému přebytku zahraničního obchodu kladné </w:t>
      </w:r>
      <w:r w:rsidR="00F03815">
        <w:t>a </w:t>
      </w:r>
      <w:r>
        <w:t>činilo 35,5</w:t>
      </w:r>
      <w:r w:rsidR="00F03815">
        <w:t> mld.</w:t>
      </w:r>
      <w:r>
        <w:t xml:space="preserve"> korun. Meziročně došlo k poklesu přebytku </w:t>
      </w:r>
      <w:r w:rsidR="00F03815">
        <w:t>o </w:t>
      </w:r>
      <w:r>
        <w:t>26,6</w:t>
      </w:r>
      <w:r w:rsidR="00F03815">
        <w:t> mld</w:t>
      </w:r>
      <w:r>
        <w:t>. Příliv kapitálových transferů ze zahraničí v 1.</w:t>
      </w:r>
      <w:r w:rsidR="00F03815">
        <w:t> čtvrtlet</w:t>
      </w:r>
      <w:r>
        <w:t>í dosáhl 13,8</w:t>
      </w:r>
      <w:r w:rsidR="00F03815">
        <w:t> mld.</w:t>
      </w:r>
      <w:r>
        <w:t xml:space="preserve"> korun </w:t>
      </w:r>
      <w:r w:rsidR="00F03815">
        <w:t>a </w:t>
      </w:r>
      <w:r>
        <w:t xml:space="preserve">meziročně se zvýšil </w:t>
      </w:r>
      <w:r w:rsidR="00F03815">
        <w:t>o </w:t>
      </w:r>
      <w:r>
        <w:t xml:space="preserve">2,0 mld. Čisté půjčky tak byly kladné </w:t>
      </w:r>
      <w:r w:rsidR="00F03815">
        <w:t>a </w:t>
      </w:r>
      <w:r>
        <w:t>dosáhly 55,6</w:t>
      </w:r>
      <w:r w:rsidR="00F03815">
        <w:t> mld.</w:t>
      </w:r>
      <w:r>
        <w:t xml:space="preserve"> korun.</w:t>
      </w:r>
    </w:p>
    <w:p w14:paraId="60D3F50D" w14:textId="3E6CE6D0" w:rsidR="00F81F79" w:rsidRDefault="00F81F79" w:rsidP="00CB19EA">
      <w:pPr>
        <w:spacing w:after="240"/>
      </w:pPr>
    </w:p>
    <w:p w14:paraId="72DF9366" w14:textId="77777777" w:rsidR="00F81F79" w:rsidRDefault="00F81F79" w:rsidP="00CB19EA">
      <w:pPr>
        <w:spacing w:after="240"/>
      </w:pPr>
    </w:p>
    <w:p w14:paraId="40794951" w14:textId="77777777" w:rsidR="007B1333" w:rsidRDefault="007B1333" w:rsidP="00E42E00">
      <w:pPr>
        <w:rPr>
          <w:b/>
        </w:rPr>
      </w:pPr>
      <w:r>
        <w:rPr>
          <w:b/>
        </w:rPr>
        <w:t>Autor/Kontakt/Zpracoval</w:t>
      </w:r>
      <w:r w:rsidR="004C52C6">
        <w:rPr>
          <w:b/>
        </w:rPr>
        <w:t>a</w:t>
      </w:r>
    </w:p>
    <w:p w14:paraId="07FE70A9" w14:textId="77777777" w:rsidR="007B1333" w:rsidRDefault="00656A12" w:rsidP="00E42E00">
      <w:r>
        <w:t>Karolína Zábojníková</w:t>
      </w:r>
    </w:p>
    <w:p w14:paraId="4734BAC4" w14:textId="77777777" w:rsidR="007B1333" w:rsidRDefault="00656A12" w:rsidP="00E42E00">
      <w:r>
        <w:t>Odbor Kancelář předsedy</w:t>
      </w:r>
    </w:p>
    <w:p w14:paraId="4CEDD3F5" w14:textId="77777777" w:rsidR="007B1333" w:rsidRDefault="007B1333" w:rsidP="00E42E00">
      <w:r>
        <w:t>Tel.:</w:t>
      </w:r>
      <w:r w:rsidR="00656A12">
        <w:t xml:space="preserve"> 542528112</w:t>
      </w:r>
    </w:p>
    <w:p w14:paraId="5AE94747" w14:textId="77777777" w:rsidR="004920AD" w:rsidRPr="004920AD" w:rsidRDefault="007B1333" w:rsidP="00E42E00">
      <w:r>
        <w:t>E-mail:</w:t>
      </w:r>
      <w:r w:rsidR="00346D76">
        <w:t xml:space="preserve"> karolina.zabojnikova@czso.cz</w:t>
      </w:r>
    </w:p>
    <w:sectPr w:rsidR="004920AD" w:rsidRPr="004920AD" w:rsidSect="00405244">
      <w:head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F1399" w16cid:durableId="22B4108A"/>
  <w16cid:commentId w16cid:paraId="4BCDE984" w16cid:durableId="22B40C91"/>
  <w16cid:commentId w16cid:paraId="79072D01" w16cid:durableId="22B41902"/>
  <w16cid:commentId w16cid:paraId="7220DCA0" w16cid:durableId="22B3FA3D"/>
  <w16cid:commentId w16cid:paraId="7E893F3A" w16cid:durableId="22B3FC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52C8" w14:textId="77777777" w:rsidR="00B1255B" w:rsidRDefault="00B1255B" w:rsidP="00BA6370">
      <w:r>
        <w:separator/>
      </w:r>
    </w:p>
  </w:endnote>
  <w:endnote w:type="continuationSeparator" w:id="0">
    <w:p w14:paraId="2AF9C2E9" w14:textId="77777777" w:rsidR="00B1255B" w:rsidRDefault="00B125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2AAD" w14:textId="77777777" w:rsidR="00B1255B" w:rsidRDefault="00B1255B" w:rsidP="00BA6370">
      <w:r>
        <w:separator/>
      </w:r>
    </w:p>
  </w:footnote>
  <w:footnote w:type="continuationSeparator" w:id="0">
    <w:p w14:paraId="3295BC54" w14:textId="77777777" w:rsidR="00B1255B" w:rsidRDefault="00B1255B" w:rsidP="00BA6370">
      <w:r>
        <w:continuationSeparator/>
      </w:r>
    </w:p>
  </w:footnote>
  <w:footnote w:id="1">
    <w:p w14:paraId="0E63D9B0" w14:textId="77777777" w:rsidR="00FF04D9" w:rsidRPr="00F5750C" w:rsidRDefault="00FF04D9" w:rsidP="00D80F3C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Není-li uvedeno jinak, jsou všechny údaje použité v textu bez sezónního očištění.</w:t>
      </w:r>
    </w:p>
  </w:footnote>
  <w:footnote w:id="2">
    <w:p w14:paraId="27A300B1" w14:textId="77777777" w:rsidR="00FF04D9" w:rsidRPr="00210507" w:rsidRDefault="00FF04D9" w:rsidP="00D80F3C">
      <w:pPr>
        <w:pStyle w:val="Textpoznpodarou"/>
        <w:rPr>
          <w:sz w:val="16"/>
          <w:szCs w:val="16"/>
        </w:rPr>
      </w:pPr>
      <w:r w:rsidRPr="00210507">
        <w:rPr>
          <w:rStyle w:val="Znakapoznpodarou"/>
          <w:sz w:val="16"/>
          <w:szCs w:val="16"/>
        </w:rPr>
        <w:footnoteRef/>
      </w:r>
      <w:r w:rsidRPr="00210507">
        <w:rPr>
          <w:sz w:val="16"/>
          <w:szCs w:val="16"/>
        </w:rPr>
        <w:t xml:space="preserve"> Hodnota produkce se meziročně snížila o</w:t>
      </w:r>
      <w:r>
        <w:rPr>
          <w:sz w:val="16"/>
          <w:szCs w:val="16"/>
        </w:rPr>
        <w:t> </w:t>
      </w:r>
      <w:r w:rsidRPr="00210507">
        <w:rPr>
          <w:sz w:val="16"/>
          <w:szCs w:val="16"/>
        </w:rPr>
        <w:t>58,3</w:t>
      </w:r>
      <w:r>
        <w:rPr>
          <w:sz w:val="16"/>
          <w:szCs w:val="16"/>
        </w:rPr>
        <w:t> mld.</w:t>
      </w:r>
      <w:r w:rsidRPr="00210507">
        <w:rPr>
          <w:sz w:val="16"/>
          <w:szCs w:val="16"/>
        </w:rPr>
        <w:t xml:space="preserve"> korun, poprvé od 3.</w:t>
      </w:r>
      <w:r>
        <w:rPr>
          <w:sz w:val="16"/>
          <w:szCs w:val="16"/>
        </w:rPr>
        <w:t> čtvrtlet</w:t>
      </w:r>
      <w:r w:rsidRPr="00210507">
        <w:rPr>
          <w:sz w:val="16"/>
          <w:szCs w:val="16"/>
        </w:rPr>
        <w:t>í 2016 a</w:t>
      </w:r>
      <w:r>
        <w:rPr>
          <w:sz w:val="16"/>
          <w:szCs w:val="16"/>
        </w:rPr>
        <w:t> </w:t>
      </w:r>
      <w:r w:rsidRPr="00210507">
        <w:rPr>
          <w:sz w:val="16"/>
          <w:szCs w:val="16"/>
        </w:rPr>
        <w:t xml:space="preserve">nejvíce od konce roku 2012. </w:t>
      </w:r>
      <w:proofErr w:type="spellStart"/>
      <w:r w:rsidRPr="00210507">
        <w:rPr>
          <w:sz w:val="16"/>
          <w:szCs w:val="16"/>
        </w:rPr>
        <w:t>Mezispotřeba</w:t>
      </w:r>
      <w:proofErr w:type="spellEnd"/>
      <w:r w:rsidRPr="00210507">
        <w:rPr>
          <w:sz w:val="16"/>
          <w:szCs w:val="16"/>
        </w:rPr>
        <w:t xml:space="preserve"> se propadla o</w:t>
      </w:r>
      <w:r>
        <w:rPr>
          <w:sz w:val="16"/>
          <w:szCs w:val="16"/>
        </w:rPr>
        <w:t> </w:t>
      </w:r>
      <w:r w:rsidRPr="00210507">
        <w:rPr>
          <w:sz w:val="16"/>
          <w:szCs w:val="16"/>
        </w:rPr>
        <w:t>72,5</w:t>
      </w:r>
      <w:r>
        <w:rPr>
          <w:sz w:val="16"/>
          <w:szCs w:val="16"/>
        </w:rPr>
        <w:t> mld.</w:t>
      </w:r>
    </w:p>
  </w:footnote>
  <w:footnote w:id="3">
    <w:p w14:paraId="335E5247" w14:textId="77777777" w:rsidR="00FF04D9" w:rsidRPr="0006237B" w:rsidRDefault="00FF04D9" w:rsidP="00D80F3C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proofErr w:type="spellStart"/>
      <w:r w:rsidRPr="0006237B">
        <w:rPr>
          <w:sz w:val="16"/>
          <w:szCs w:val="16"/>
        </w:rPr>
        <w:t>Deflováno</w:t>
      </w:r>
      <w:proofErr w:type="spellEnd"/>
      <w:r w:rsidRPr="0006237B">
        <w:rPr>
          <w:sz w:val="16"/>
          <w:szCs w:val="16"/>
        </w:rPr>
        <w:t xml:space="preserve"> celkovým deflátorem HPH.</w:t>
      </w:r>
      <w:r>
        <w:rPr>
          <w:sz w:val="16"/>
          <w:szCs w:val="16"/>
        </w:rPr>
        <w:t xml:space="preserve"> V 1. čtvrtletí 2020 dosahoval meziroční deflátor HPH 4,1 %.</w:t>
      </w:r>
    </w:p>
  </w:footnote>
  <w:footnote w:id="4">
    <w:p w14:paraId="44874EAD" w14:textId="029C935C" w:rsidR="00FF04D9" w:rsidRPr="0006237B" w:rsidRDefault="00FF04D9" w:rsidP="00D80F3C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 w:rsidR="005A0817"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 w:rsidR="005A0817"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5">
    <w:p w14:paraId="15E2175F" w14:textId="7DF7403A" w:rsidR="00FF04D9" w:rsidRDefault="00FF04D9" w:rsidP="00D80F3C">
      <w:pPr>
        <w:pStyle w:val="Textpoznpodarou"/>
      </w:pPr>
      <w:r w:rsidRPr="000C5DA6">
        <w:rPr>
          <w:rStyle w:val="Znakapoznpodarou"/>
          <w:sz w:val="16"/>
          <w:szCs w:val="16"/>
        </w:rPr>
        <w:footnoteRef/>
      </w:r>
      <w:r w:rsidRPr="000C5DA6">
        <w:rPr>
          <w:sz w:val="16"/>
          <w:szCs w:val="16"/>
        </w:rPr>
        <w:t xml:space="preserve"> Míra úspor nefinančních podniků je definována jako podíl hrubých úspor k hrubé přidané hodnotě (B.8g</w:t>
      </w:r>
      <w:r w:rsidR="005A0817">
        <w:rPr>
          <w:sz w:val="16"/>
          <w:szCs w:val="16"/>
        </w:rPr>
        <w:t> </w:t>
      </w:r>
      <w:r w:rsidRPr="000C5DA6">
        <w:rPr>
          <w:sz w:val="16"/>
          <w:szCs w:val="16"/>
        </w:rPr>
        <w:t>/</w:t>
      </w:r>
      <w:r w:rsidR="005A0817">
        <w:rPr>
          <w:sz w:val="16"/>
          <w:szCs w:val="16"/>
        </w:rPr>
        <w:t> </w:t>
      </w:r>
      <w:r w:rsidRPr="000C5DA6">
        <w:rPr>
          <w:sz w:val="16"/>
          <w:szCs w:val="16"/>
        </w:rPr>
        <w:t>B.1g)</w:t>
      </w:r>
      <w:r w:rsidR="009015C7">
        <w:rPr>
          <w:sz w:val="16"/>
          <w:szCs w:val="16"/>
        </w:rPr>
        <w:t>.</w:t>
      </w:r>
    </w:p>
  </w:footnote>
  <w:footnote w:id="6">
    <w:p w14:paraId="1DA746CB" w14:textId="5C1896BE" w:rsidR="00FF04D9" w:rsidRPr="009405D2" w:rsidRDefault="00FF04D9" w:rsidP="00D80F3C">
      <w:pPr>
        <w:pStyle w:val="Textpoznpodarou"/>
        <w:rPr>
          <w:sz w:val="16"/>
          <w:szCs w:val="16"/>
        </w:rPr>
      </w:pPr>
      <w:r w:rsidRPr="00CB3240">
        <w:rPr>
          <w:rStyle w:val="Znakapoznpodarou"/>
          <w:sz w:val="16"/>
          <w:szCs w:val="16"/>
        </w:rPr>
        <w:footnoteRef/>
      </w:r>
      <w:r w:rsidRPr="00CB3240">
        <w:rPr>
          <w:sz w:val="16"/>
          <w:szCs w:val="16"/>
        </w:rPr>
        <w:t xml:space="preserve"> Míra samofinancování nefinančních podniků je definována jako podíl hrubých úspor k hrubé tvorbě fixního kapitálu (B.8g</w:t>
      </w:r>
      <w:r w:rsidR="005A0817">
        <w:rPr>
          <w:sz w:val="16"/>
          <w:szCs w:val="16"/>
        </w:rPr>
        <w:t> </w:t>
      </w:r>
      <w:r w:rsidRPr="00CB3240">
        <w:rPr>
          <w:sz w:val="16"/>
          <w:szCs w:val="16"/>
        </w:rPr>
        <w:t>/</w:t>
      </w:r>
      <w:r w:rsidR="005A0817">
        <w:rPr>
          <w:sz w:val="16"/>
          <w:szCs w:val="16"/>
        </w:rPr>
        <w:t> </w:t>
      </w:r>
      <w:r w:rsidRPr="00CB3240">
        <w:rPr>
          <w:sz w:val="16"/>
          <w:szCs w:val="16"/>
        </w:rPr>
        <w:t>P.51g)</w:t>
      </w:r>
      <w:r>
        <w:rPr>
          <w:sz w:val="16"/>
          <w:szCs w:val="16"/>
        </w:rPr>
        <w:t>.</w:t>
      </w:r>
    </w:p>
  </w:footnote>
  <w:footnote w:id="7">
    <w:p w14:paraId="3553A4D3" w14:textId="7F31345F" w:rsidR="00FF04D9" w:rsidRPr="00AB3D8D" w:rsidRDefault="00FF04D9" w:rsidP="00D80F3C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 w:rsidR="005A0817"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 w:rsidR="005A0817"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8">
    <w:p w14:paraId="2B667B22" w14:textId="77777777" w:rsidR="00DA7A94" w:rsidRDefault="00DA7A94" w:rsidP="00DA7A94">
      <w:pPr>
        <w:pStyle w:val="Textkomente"/>
        <w:spacing w:after="0"/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</w:p>
  </w:footnote>
  <w:footnote w:id="9">
    <w:p w14:paraId="0EDCCF31" w14:textId="77777777" w:rsidR="00FF04D9" w:rsidRPr="009E0C2A" w:rsidRDefault="00FF04D9" w:rsidP="00CB19EA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 1. čtvrtletí 2020 činil cenový nárůst 3,8 %.</w:t>
      </w:r>
    </w:p>
  </w:footnote>
  <w:footnote w:id="10">
    <w:p w14:paraId="48053596" w14:textId="597A62A8" w:rsidR="00FF04D9" w:rsidRPr="00BF147C" w:rsidRDefault="00FF04D9" w:rsidP="00CB19EA">
      <w:pPr>
        <w:pStyle w:val="Textpoznpodarou"/>
        <w:rPr>
          <w:sz w:val="16"/>
          <w:szCs w:val="16"/>
        </w:rPr>
      </w:pPr>
      <w:r w:rsidRPr="00BF147C">
        <w:rPr>
          <w:rStyle w:val="Znakapoznpodarou"/>
          <w:sz w:val="16"/>
          <w:szCs w:val="16"/>
        </w:rPr>
        <w:footnoteRef/>
      </w:r>
      <w:r w:rsidRPr="00BF147C">
        <w:rPr>
          <w:sz w:val="16"/>
          <w:szCs w:val="16"/>
        </w:rPr>
        <w:t xml:space="preserve"> </w:t>
      </w:r>
      <w:r>
        <w:rPr>
          <w:sz w:val="16"/>
          <w:szCs w:val="16"/>
        </w:rPr>
        <w:t>Součástí náhrad zaměstnanců</w:t>
      </w:r>
      <w:r w:rsidR="00F61E35">
        <w:rPr>
          <w:sz w:val="16"/>
          <w:szCs w:val="16"/>
        </w:rPr>
        <w:t>m</w:t>
      </w:r>
      <w:r>
        <w:rPr>
          <w:sz w:val="16"/>
          <w:szCs w:val="16"/>
        </w:rPr>
        <w:t xml:space="preserve"> jsou i sociální příspěvky zaměstnavatelů. </w:t>
      </w:r>
      <w:r w:rsidRPr="00BF147C">
        <w:rPr>
          <w:sz w:val="16"/>
          <w:szCs w:val="16"/>
        </w:rPr>
        <w:t>Pokud bychom uvažovali pouze nárůst mezd a</w:t>
      </w:r>
      <w:r>
        <w:rPr>
          <w:sz w:val="16"/>
          <w:szCs w:val="16"/>
        </w:rPr>
        <w:t> </w:t>
      </w:r>
      <w:r w:rsidRPr="00BF147C">
        <w:rPr>
          <w:sz w:val="16"/>
          <w:szCs w:val="16"/>
        </w:rPr>
        <w:t>platů a</w:t>
      </w:r>
      <w:r>
        <w:rPr>
          <w:sz w:val="16"/>
          <w:szCs w:val="16"/>
        </w:rPr>
        <w:t> </w:t>
      </w:r>
      <w:r w:rsidRPr="00BF147C">
        <w:rPr>
          <w:sz w:val="16"/>
          <w:szCs w:val="16"/>
        </w:rPr>
        <w:t>sociální příspěvky zaměstnavatelů připočetli k saldu druhotného rozdělení, byl by příspěvek</w:t>
      </w:r>
      <w:r>
        <w:rPr>
          <w:sz w:val="16"/>
          <w:szCs w:val="16"/>
        </w:rPr>
        <w:t xml:space="preserve"> mezd a platů</w:t>
      </w:r>
      <w:r w:rsidRPr="00BF147C">
        <w:rPr>
          <w:sz w:val="16"/>
          <w:szCs w:val="16"/>
        </w:rPr>
        <w:t xml:space="preserve"> (21,0</w:t>
      </w:r>
      <w:r>
        <w:rPr>
          <w:sz w:val="16"/>
          <w:szCs w:val="16"/>
        </w:rPr>
        <w:t> mld.</w:t>
      </w:r>
      <w:r w:rsidRPr="00BF147C">
        <w:rPr>
          <w:sz w:val="16"/>
          <w:szCs w:val="16"/>
        </w:rPr>
        <w:t>) až na druhém místě (sa</w:t>
      </w:r>
      <w:r>
        <w:rPr>
          <w:sz w:val="16"/>
          <w:szCs w:val="16"/>
        </w:rPr>
        <w:t>l</w:t>
      </w:r>
      <w:r w:rsidRPr="00BF147C">
        <w:rPr>
          <w:sz w:val="16"/>
          <w:szCs w:val="16"/>
        </w:rPr>
        <w:t xml:space="preserve">do druhotných </w:t>
      </w:r>
      <w:r w:rsidR="00F61E35" w:rsidRPr="00BF147C">
        <w:rPr>
          <w:sz w:val="16"/>
          <w:szCs w:val="16"/>
        </w:rPr>
        <w:t>důchod</w:t>
      </w:r>
      <w:r w:rsidR="00F61E35">
        <w:rPr>
          <w:sz w:val="16"/>
          <w:szCs w:val="16"/>
        </w:rPr>
        <w:t>ů</w:t>
      </w:r>
      <w:r w:rsidR="00F61E35" w:rsidRPr="00BF147C">
        <w:rPr>
          <w:sz w:val="16"/>
          <w:szCs w:val="16"/>
        </w:rPr>
        <w:t xml:space="preserve"> </w:t>
      </w:r>
      <w:r w:rsidRPr="00BF147C">
        <w:rPr>
          <w:sz w:val="16"/>
          <w:szCs w:val="16"/>
        </w:rPr>
        <w:t>v tomto pojetí by se zlepšilo o</w:t>
      </w:r>
      <w:r>
        <w:rPr>
          <w:sz w:val="16"/>
          <w:szCs w:val="16"/>
        </w:rPr>
        <w:t> </w:t>
      </w:r>
      <w:r w:rsidRPr="00BF147C">
        <w:rPr>
          <w:sz w:val="16"/>
          <w:szCs w:val="16"/>
        </w:rPr>
        <w:t>24,0</w:t>
      </w:r>
      <w:r>
        <w:rPr>
          <w:sz w:val="16"/>
          <w:szCs w:val="16"/>
        </w:rPr>
        <w:t> mld.</w:t>
      </w:r>
      <w:r w:rsidRPr="00BF147C">
        <w:rPr>
          <w:sz w:val="16"/>
          <w:szCs w:val="16"/>
        </w:rPr>
        <w:t>).</w:t>
      </w:r>
    </w:p>
  </w:footnote>
  <w:footnote w:id="11">
    <w:p w14:paraId="0AE58A78" w14:textId="77777777" w:rsidR="00FF04D9" w:rsidRPr="00EB5544" w:rsidRDefault="00FF04D9" w:rsidP="00CB19EA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2">
    <w:p w14:paraId="22FDE24E" w14:textId="4727B301" w:rsidR="00FF04D9" w:rsidRPr="00EB5544" w:rsidRDefault="00FF04D9" w:rsidP="00CB19EA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</w:t>
      </w:r>
      <w:r w:rsidR="00F61E35" w:rsidRPr="00EB5544">
        <w:rPr>
          <w:sz w:val="16"/>
          <w:szCs w:val="16"/>
        </w:rPr>
        <w:t>sektor</w:t>
      </w:r>
      <w:r w:rsidR="00F61E35">
        <w:rPr>
          <w:sz w:val="16"/>
          <w:szCs w:val="16"/>
        </w:rPr>
        <w:t>u</w:t>
      </w:r>
      <w:r w:rsidR="00F61E35" w:rsidRPr="00EB5544">
        <w:rPr>
          <w:sz w:val="16"/>
          <w:szCs w:val="16"/>
        </w:rPr>
        <w:t xml:space="preserve"> </w:t>
      </w:r>
      <w:r w:rsidRPr="00EB5544">
        <w:rPr>
          <w:sz w:val="16"/>
          <w:szCs w:val="16"/>
        </w:rPr>
        <w:t>domácností</w:t>
      </w:r>
      <w:r>
        <w:rPr>
          <w:sz w:val="16"/>
          <w:szCs w:val="16"/>
        </w:rPr>
        <w:t>.</w:t>
      </w:r>
    </w:p>
  </w:footnote>
  <w:footnote w:id="13">
    <w:p w14:paraId="625F9E8B" w14:textId="77777777" w:rsidR="00F81F79" w:rsidRPr="00E9501D" w:rsidRDefault="00F81F79" w:rsidP="00F81F79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 Hrubé úspory představují část hrubého disponibilního důchodu, který nebyl spotřebován ve formě výdajů na konečnou spotřebu.</w:t>
      </w:r>
    </w:p>
  </w:footnote>
  <w:footnote w:id="14">
    <w:p w14:paraId="0952140A" w14:textId="77777777" w:rsidR="00F81F79" w:rsidRPr="00D20875" w:rsidRDefault="00F81F79" w:rsidP="00F81F79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</w:p>
  </w:footnote>
  <w:footnote w:id="15">
    <w:p w14:paraId="70DE6F96" w14:textId="03ECBA96" w:rsidR="00FF04D9" w:rsidRPr="00273CB1" w:rsidRDefault="00FF04D9" w:rsidP="00CB19EA">
      <w:pPr>
        <w:pStyle w:val="Textpoznpodarou"/>
        <w:rPr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  <w:r w:rsidRPr="00273CB1">
        <w:rPr>
          <w:rStyle w:val="odkaz-style-wrapper"/>
          <w:rFonts w:cs="Arial"/>
          <w:sz w:val="16"/>
          <w:szCs w:val="16"/>
        </w:rPr>
        <w:t xml:space="preserve"> Jsou to např</w:t>
      </w:r>
      <w:r w:rsidR="00090B9E">
        <w:rPr>
          <w:rStyle w:val="odkaz-style-wrapper"/>
          <w:rFonts w:cs="Arial"/>
          <w:sz w:val="16"/>
          <w:szCs w:val="16"/>
        </w:rPr>
        <w:t>íklad</w:t>
      </w:r>
      <w:r>
        <w:rPr>
          <w:rStyle w:val="odkaz-style-wrapper"/>
          <w:rFonts w:cs="Arial"/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sz w:val="16"/>
          <w:szCs w:val="16"/>
        </w:rPr>
        <w:t>části mateřských společností (např</w:t>
      </w:r>
      <w:r w:rsidR="00090B9E">
        <w:rPr>
          <w:rStyle w:val="odkaz-style-wrapper"/>
          <w:rFonts w:cs="Arial"/>
          <w:sz w:val="16"/>
          <w:szCs w:val="16"/>
        </w:rPr>
        <w:t>íklad</w:t>
      </w:r>
      <w:r w:rsidRPr="00273CB1">
        <w:rPr>
          <w:rStyle w:val="odkaz-style-wrapper"/>
          <w:rFonts w:cs="Arial"/>
          <w:sz w:val="16"/>
          <w:szCs w:val="16"/>
        </w:rPr>
        <w:t xml:space="preserve"> pobočky výrobních podniků, bank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>pojišťovacích společností)</w:t>
      </w:r>
      <w:r>
        <w:rPr>
          <w:rStyle w:val="odkaz-style-wrapper"/>
          <w:rFonts w:cs="Arial"/>
          <w:sz w:val="16"/>
          <w:szCs w:val="16"/>
        </w:rPr>
        <w:t xml:space="preserve">, </w:t>
      </w:r>
      <w:r w:rsidRPr="00273CB1">
        <w:rPr>
          <w:rStyle w:val="odkaz-style-wrapper"/>
          <w:rFonts w:cs="Arial"/>
          <w:sz w:val="16"/>
          <w:szCs w:val="16"/>
        </w:rPr>
        <w:t>zastupitelské úřady cizích států nebo mezinárodní organizace, které byly založeny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 xml:space="preserve">fungují na základě mezinárodních dohod nebo </w:t>
      </w:r>
      <w:r w:rsidR="00090B9E">
        <w:rPr>
          <w:rStyle w:val="odkaz-style-wrapper"/>
          <w:rFonts w:cs="Arial"/>
          <w:sz w:val="16"/>
          <w:szCs w:val="16"/>
        </w:rPr>
        <w:t xml:space="preserve">jsou </w:t>
      </w:r>
      <w:r w:rsidRPr="00273CB1">
        <w:rPr>
          <w:rStyle w:val="odkaz-style-wrapper"/>
          <w:rFonts w:cs="Arial"/>
          <w:sz w:val="16"/>
          <w:szCs w:val="16"/>
        </w:rPr>
        <w:t>oddělené</w:t>
      </w:r>
      <w:r>
        <w:rPr>
          <w:rStyle w:val="odkaz-style-wrapper"/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FF04D9" w:rsidRDefault="00FF04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43BF4"/>
    <w:rsid w:val="000843A5"/>
    <w:rsid w:val="00090B9E"/>
    <w:rsid w:val="000B6F63"/>
    <w:rsid w:val="000B7652"/>
    <w:rsid w:val="000F5B28"/>
    <w:rsid w:val="00127216"/>
    <w:rsid w:val="001404AB"/>
    <w:rsid w:val="00146931"/>
    <w:rsid w:val="001658A9"/>
    <w:rsid w:val="0017231D"/>
    <w:rsid w:val="00175ABA"/>
    <w:rsid w:val="001810DC"/>
    <w:rsid w:val="00197A07"/>
    <w:rsid w:val="001A59BF"/>
    <w:rsid w:val="001B607F"/>
    <w:rsid w:val="001D2496"/>
    <w:rsid w:val="001D369A"/>
    <w:rsid w:val="001F6C45"/>
    <w:rsid w:val="00203B48"/>
    <w:rsid w:val="002070FB"/>
    <w:rsid w:val="00213729"/>
    <w:rsid w:val="002406FA"/>
    <w:rsid w:val="00246917"/>
    <w:rsid w:val="00274A90"/>
    <w:rsid w:val="002B2E47"/>
    <w:rsid w:val="002C363D"/>
    <w:rsid w:val="002D6A6C"/>
    <w:rsid w:val="002D6AA2"/>
    <w:rsid w:val="002E6F00"/>
    <w:rsid w:val="003276BE"/>
    <w:rsid w:val="003301A3"/>
    <w:rsid w:val="00346D76"/>
    <w:rsid w:val="0036370A"/>
    <w:rsid w:val="0036777B"/>
    <w:rsid w:val="0038282A"/>
    <w:rsid w:val="00397580"/>
    <w:rsid w:val="003A1794"/>
    <w:rsid w:val="003A34B3"/>
    <w:rsid w:val="003A45C8"/>
    <w:rsid w:val="003C2DCF"/>
    <w:rsid w:val="003C7FE7"/>
    <w:rsid w:val="003D0499"/>
    <w:rsid w:val="003F432E"/>
    <w:rsid w:val="003F526A"/>
    <w:rsid w:val="003F5D15"/>
    <w:rsid w:val="00405244"/>
    <w:rsid w:val="00417D45"/>
    <w:rsid w:val="0042770B"/>
    <w:rsid w:val="004436EE"/>
    <w:rsid w:val="0045547F"/>
    <w:rsid w:val="00456CCF"/>
    <w:rsid w:val="00461AA0"/>
    <w:rsid w:val="004920AD"/>
    <w:rsid w:val="004C52C6"/>
    <w:rsid w:val="004D05B3"/>
    <w:rsid w:val="004E479E"/>
    <w:rsid w:val="004F78E6"/>
    <w:rsid w:val="0050641C"/>
    <w:rsid w:val="00512D99"/>
    <w:rsid w:val="00531DBB"/>
    <w:rsid w:val="005320B3"/>
    <w:rsid w:val="00544B6D"/>
    <w:rsid w:val="00553DAA"/>
    <w:rsid w:val="005646B3"/>
    <w:rsid w:val="00576430"/>
    <w:rsid w:val="005A0817"/>
    <w:rsid w:val="005C4003"/>
    <w:rsid w:val="005F3DE2"/>
    <w:rsid w:val="005F699D"/>
    <w:rsid w:val="005F79FB"/>
    <w:rsid w:val="00604406"/>
    <w:rsid w:val="006052D8"/>
    <w:rsid w:val="00605F4A"/>
    <w:rsid w:val="00607822"/>
    <w:rsid w:val="006103AA"/>
    <w:rsid w:val="00613BBF"/>
    <w:rsid w:val="00614585"/>
    <w:rsid w:val="00622B80"/>
    <w:rsid w:val="0064139A"/>
    <w:rsid w:val="00656A12"/>
    <w:rsid w:val="00696C16"/>
    <w:rsid w:val="006C09DD"/>
    <w:rsid w:val="006E024F"/>
    <w:rsid w:val="006E381E"/>
    <w:rsid w:val="006E4E81"/>
    <w:rsid w:val="00707F7D"/>
    <w:rsid w:val="00717EC5"/>
    <w:rsid w:val="00732745"/>
    <w:rsid w:val="00737B80"/>
    <w:rsid w:val="00750C6C"/>
    <w:rsid w:val="007A57F2"/>
    <w:rsid w:val="007B1333"/>
    <w:rsid w:val="007E23A3"/>
    <w:rsid w:val="007F4AEB"/>
    <w:rsid w:val="007F6239"/>
    <w:rsid w:val="007F75B2"/>
    <w:rsid w:val="008043C4"/>
    <w:rsid w:val="00815588"/>
    <w:rsid w:val="00830309"/>
    <w:rsid w:val="00831B1B"/>
    <w:rsid w:val="00840938"/>
    <w:rsid w:val="00861D0E"/>
    <w:rsid w:val="00867569"/>
    <w:rsid w:val="008A18A9"/>
    <w:rsid w:val="008A750A"/>
    <w:rsid w:val="008C384C"/>
    <w:rsid w:val="008D0F11"/>
    <w:rsid w:val="008D136D"/>
    <w:rsid w:val="008F73B4"/>
    <w:rsid w:val="009015C7"/>
    <w:rsid w:val="0090741A"/>
    <w:rsid w:val="00927DD9"/>
    <w:rsid w:val="00931A52"/>
    <w:rsid w:val="009405D2"/>
    <w:rsid w:val="00941335"/>
    <w:rsid w:val="00942BAF"/>
    <w:rsid w:val="00942D88"/>
    <w:rsid w:val="00961ECD"/>
    <w:rsid w:val="009B55B1"/>
    <w:rsid w:val="009F5F23"/>
    <w:rsid w:val="00A4343D"/>
    <w:rsid w:val="00A448C7"/>
    <w:rsid w:val="00A502F1"/>
    <w:rsid w:val="00A56C80"/>
    <w:rsid w:val="00A70A83"/>
    <w:rsid w:val="00A81EB3"/>
    <w:rsid w:val="00B00C1D"/>
    <w:rsid w:val="00B1255B"/>
    <w:rsid w:val="00B33194"/>
    <w:rsid w:val="00B70FF6"/>
    <w:rsid w:val="00BA439F"/>
    <w:rsid w:val="00BA6370"/>
    <w:rsid w:val="00BC748B"/>
    <w:rsid w:val="00BE0028"/>
    <w:rsid w:val="00C269D4"/>
    <w:rsid w:val="00C4160D"/>
    <w:rsid w:val="00C63561"/>
    <w:rsid w:val="00C65FAA"/>
    <w:rsid w:val="00C8406E"/>
    <w:rsid w:val="00C86BDB"/>
    <w:rsid w:val="00CB19EA"/>
    <w:rsid w:val="00CB2709"/>
    <w:rsid w:val="00CB6F89"/>
    <w:rsid w:val="00CE228C"/>
    <w:rsid w:val="00CF545B"/>
    <w:rsid w:val="00D27D69"/>
    <w:rsid w:val="00D448C2"/>
    <w:rsid w:val="00D666C3"/>
    <w:rsid w:val="00D80F3C"/>
    <w:rsid w:val="00DA0096"/>
    <w:rsid w:val="00DA56DA"/>
    <w:rsid w:val="00DA7A94"/>
    <w:rsid w:val="00DB4E76"/>
    <w:rsid w:val="00DD1EAE"/>
    <w:rsid w:val="00DF47FE"/>
    <w:rsid w:val="00E26081"/>
    <w:rsid w:val="00E26704"/>
    <w:rsid w:val="00E31980"/>
    <w:rsid w:val="00E42E00"/>
    <w:rsid w:val="00E52B7F"/>
    <w:rsid w:val="00E6423C"/>
    <w:rsid w:val="00E67A67"/>
    <w:rsid w:val="00E93830"/>
    <w:rsid w:val="00E93E0E"/>
    <w:rsid w:val="00EA7B94"/>
    <w:rsid w:val="00EB1ED3"/>
    <w:rsid w:val="00EB4B5C"/>
    <w:rsid w:val="00EC2D51"/>
    <w:rsid w:val="00ED7B69"/>
    <w:rsid w:val="00EE3D9D"/>
    <w:rsid w:val="00EE484C"/>
    <w:rsid w:val="00F03815"/>
    <w:rsid w:val="00F13564"/>
    <w:rsid w:val="00F26395"/>
    <w:rsid w:val="00F32DA4"/>
    <w:rsid w:val="00F46655"/>
    <w:rsid w:val="00F50CEF"/>
    <w:rsid w:val="00F61E35"/>
    <w:rsid w:val="00F81F79"/>
    <w:rsid w:val="00FB687C"/>
    <w:rsid w:val="00FB7E0F"/>
    <w:rsid w:val="00FF04D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zabojnikova31519\Documents\Anal&#253;za\Sektorov&#233;%20&#250;&#269;ty\2020Q1\grafy_sektorove_uct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1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1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1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0Q1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NP!$A$8:$B$32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NP!$C$8:$C$32</c:f>
              <c:numCache>
                <c:formatCode>0.0</c:formatCode>
                <c:ptCount val="25"/>
                <c:pt idx="0">
                  <c:v>30.13</c:v>
                </c:pt>
                <c:pt idx="1">
                  <c:v>48.292000000000002</c:v>
                </c:pt>
                <c:pt idx="2">
                  <c:v>59.404000000000003</c:v>
                </c:pt>
                <c:pt idx="3">
                  <c:v>52.280999999999999</c:v>
                </c:pt>
                <c:pt idx="4">
                  <c:v>46.219000000000001</c:v>
                </c:pt>
                <c:pt idx="5">
                  <c:v>41.719000000000001</c:v>
                </c:pt>
                <c:pt idx="6">
                  <c:v>43.966000000000001</c:v>
                </c:pt>
                <c:pt idx="7">
                  <c:v>44.445999999999998</c:v>
                </c:pt>
                <c:pt idx="8">
                  <c:v>35.908999999999999</c:v>
                </c:pt>
                <c:pt idx="9">
                  <c:v>38.994999999999997</c:v>
                </c:pt>
                <c:pt idx="10">
                  <c:v>17.914999999999999</c:v>
                </c:pt>
                <c:pt idx="11">
                  <c:v>15.045999999999999</c:v>
                </c:pt>
                <c:pt idx="12">
                  <c:v>30.613</c:v>
                </c:pt>
                <c:pt idx="13">
                  <c:v>40.911000000000001</c:v>
                </c:pt>
                <c:pt idx="14">
                  <c:v>61.198999999999998</c:v>
                </c:pt>
                <c:pt idx="15">
                  <c:v>49.415999999999997</c:v>
                </c:pt>
                <c:pt idx="16">
                  <c:v>37.378999999999998</c:v>
                </c:pt>
                <c:pt idx="17">
                  <c:v>30.167000000000002</c:v>
                </c:pt>
                <c:pt idx="18">
                  <c:v>28.417000000000002</c:v>
                </c:pt>
                <c:pt idx="19">
                  <c:v>36.893000000000001</c:v>
                </c:pt>
                <c:pt idx="20">
                  <c:v>40.802</c:v>
                </c:pt>
                <c:pt idx="21">
                  <c:v>43.515000000000001</c:v>
                </c:pt>
                <c:pt idx="22">
                  <c:v>57.607999999999997</c:v>
                </c:pt>
                <c:pt idx="23">
                  <c:v>40.149000000000001</c:v>
                </c:pt>
                <c:pt idx="24">
                  <c:v>14.222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3-4B65-97AD-2AB98808C8C8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NP!$A$8:$B$32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NP!$D$8:$D$32</c:f>
              <c:numCache>
                <c:formatCode>0.0</c:formatCode>
                <c:ptCount val="25"/>
                <c:pt idx="0">
                  <c:v>13.022</c:v>
                </c:pt>
                <c:pt idx="1">
                  <c:v>11.852</c:v>
                </c:pt>
                <c:pt idx="2">
                  <c:v>11.016999999999999</c:v>
                </c:pt>
                <c:pt idx="3">
                  <c:v>11.824999999999999</c:v>
                </c:pt>
                <c:pt idx="4">
                  <c:v>16.056999999999999</c:v>
                </c:pt>
                <c:pt idx="5">
                  <c:v>18.773</c:v>
                </c:pt>
                <c:pt idx="6">
                  <c:v>17.21</c:v>
                </c:pt>
                <c:pt idx="7">
                  <c:v>22.323</c:v>
                </c:pt>
                <c:pt idx="8">
                  <c:v>21.411999999999999</c:v>
                </c:pt>
                <c:pt idx="9">
                  <c:v>19.292000000000002</c:v>
                </c:pt>
                <c:pt idx="10">
                  <c:v>22.242999999999999</c:v>
                </c:pt>
                <c:pt idx="11">
                  <c:v>19.733000000000001</c:v>
                </c:pt>
                <c:pt idx="12">
                  <c:v>27.047000000000001</c:v>
                </c:pt>
                <c:pt idx="13">
                  <c:v>37.268999999999998</c:v>
                </c:pt>
                <c:pt idx="14">
                  <c:v>35.341999999999999</c:v>
                </c:pt>
                <c:pt idx="15">
                  <c:v>32.363999999999997</c:v>
                </c:pt>
                <c:pt idx="16">
                  <c:v>35.039000000000001</c:v>
                </c:pt>
                <c:pt idx="17">
                  <c:v>36.265999999999998</c:v>
                </c:pt>
                <c:pt idx="18">
                  <c:v>33.270000000000003</c:v>
                </c:pt>
                <c:pt idx="19">
                  <c:v>40.823999999999998</c:v>
                </c:pt>
                <c:pt idx="20">
                  <c:v>28.381</c:v>
                </c:pt>
                <c:pt idx="21">
                  <c:v>27.248000000000001</c:v>
                </c:pt>
                <c:pt idx="22">
                  <c:v>23.164000000000001</c:v>
                </c:pt>
                <c:pt idx="23">
                  <c:v>22.311</c:v>
                </c:pt>
                <c:pt idx="24">
                  <c:v>11.144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B3-4B65-97AD-2AB98808C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NP!$A$8:$B$32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NP!$E$8:$E$32</c:f>
              <c:numCache>
                <c:formatCode>0.0</c:formatCode>
                <c:ptCount val="25"/>
                <c:pt idx="0">
                  <c:v>48.075021982431124</c:v>
                </c:pt>
                <c:pt idx="1">
                  <c:v>49.058195575130121</c:v>
                </c:pt>
                <c:pt idx="2">
                  <c:v>49.005043347166541</c:v>
                </c:pt>
                <c:pt idx="3">
                  <c:v>50.076183479205262</c:v>
                </c:pt>
                <c:pt idx="4">
                  <c:v>49.700086365040441</c:v>
                </c:pt>
                <c:pt idx="5">
                  <c:v>49.526028052923245</c:v>
                </c:pt>
                <c:pt idx="6">
                  <c:v>50.143168335822217</c:v>
                </c:pt>
                <c:pt idx="7">
                  <c:v>49.627431358684582</c:v>
                </c:pt>
                <c:pt idx="8">
                  <c:v>49.466765964818251</c:v>
                </c:pt>
                <c:pt idx="9">
                  <c:v>49.115083865576317</c:v>
                </c:pt>
                <c:pt idx="10">
                  <c:v>48.076216930120168</c:v>
                </c:pt>
                <c:pt idx="11">
                  <c:v>48.03650277082054</c:v>
                </c:pt>
                <c:pt idx="12">
                  <c:v>47.245221243750194</c:v>
                </c:pt>
                <c:pt idx="13">
                  <c:v>47.590427939114981</c:v>
                </c:pt>
                <c:pt idx="14">
                  <c:v>47.519584015971013</c:v>
                </c:pt>
                <c:pt idx="15">
                  <c:v>47.074070503638147</c:v>
                </c:pt>
                <c:pt idx="16">
                  <c:v>45.705368690804221</c:v>
                </c:pt>
                <c:pt idx="17">
                  <c:v>45.042838189926634</c:v>
                </c:pt>
                <c:pt idx="18">
                  <c:v>45.087632877329689</c:v>
                </c:pt>
                <c:pt idx="19">
                  <c:v>44.340598232229617</c:v>
                </c:pt>
                <c:pt idx="20">
                  <c:v>44.940636071881357</c:v>
                </c:pt>
                <c:pt idx="21">
                  <c:v>44.651670249172014</c:v>
                </c:pt>
                <c:pt idx="22">
                  <c:v>44.799030048175261</c:v>
                </c:pt>
                <c:pt idx="23">
                  <c:v>44.534022912321383</c:v>
                </c:pt>
                <c:pt idx="24">
                  <c:v>44.326605568508988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B3-4B65-97AD-2AB98808C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</c:valAx>
      <c:valAx>
        <c:axId val="7871968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93196146728307738"/>
          <c:w val="0.84271572104018899"/>
          <c:h val="4.6593063266555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'NP2'!$A$7:$B$31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'NP2'!$C$7:$C$31</c:f>
              <c:numCache>
                <c:formatCode>General</c:formatCode>
                <c:ptCount val="25"/>
                <c:pt idx="0">
                  <c:v>7.8310000000000004</c:v>
                </c:pt>
                <c:pt idx="1">
                  <c:v>4.7279999999999998</c:v>
                </c:pt>
                <c:pt idx="2">
                  <c:v>6.1459999999999999</c:v>
                </c:pt>
                <c:pt idx="3">
                  <c:v>-1.5089999999999999</c:v>
                </c:pt>
                <c:pt idx="4">
                  <c:v>14.896000000000001</c:v>
                </c:pt>
                <c:pt idx="5">
                  <c:v>19.86</c:v>
                </c:pt>
                <c:pt idx="6">
                  <c:v>15.653</c:v>
                </c:pt>
                <c:pt idx="7">
                  <c:v>5.8860000000000001</c:v>
                </c:pt>
                <c:pt idx="8">
                  <c:v>3.5840000000000001</c:v>
                </c:pt>
                <c:pt idx="9">
                  <c:v>4.2910000000000004</c:v>
                </c:pt>
                <c:pt idx="10">
                  <c:v>5.6639999999999997</c:v>
                </c:pt>
                <c:pt idx="11">
                  <c:v>13.547000000000001</c:v>
                </c:pt>
                <c:pt idx="12">
                  <c:v>8.5790000000000006</c:v>
                </c:pt>
                <c:pt idx="13">
                  <c:v>16.106000000000002</c:v>
                </c:pt>
                <c:pt idx="14">
                  <c:v>18.687000000000001</c:v>
                </c:pt>
                <c:pt idx="15">
                  <c:v>26.071999999999999</c:v>
                </c:pt>
                <c:pt idx="16">
                  <c:v>6.3010000000000002</c:v>
                </c:pt>
                <c:pt idx="17">
                  <c:v>8.5619999999999994</c:v>
                </c:pt>
                <c:pt idx="18">
                  <c:v>7.992</c:v>
                </c:pt>
                <c:pt idx="19">
                  <c:v>16.081</c:v>
                </c:pt>
                <c:pt idx="20">
                  <c:v>10.446</c:v>
                </c:pt>
                <c:pt idx="21">
                  <c:v>5.5739999999999998</c:v>
                </c:pt>
                <c:pt idx="22">
                  <c:v>16.870999999999999</c:v>
                </c:pt>
                <c:pt idx="23">
                  <c:v>22.356999999999999</c:v>
                </c:pt>
                <c:pt idx="24">
                  <c:v>-13.672000000000001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F2-4754-8A6F-5121F7D5A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'NP2'!$A$7:$B$31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'NP2'!$D$7:$D$31</c:f>
              <c:numCache>
                <c:formatCode>General</c:formatCode>
                <c:ptCount val="25"/>
                <c:pt idx="0">
                  <c:v>29.202400566847931</c:v>
                </c:pt>
                <c:pt idx="1">
                  <c:v>28.009007842004046</c:v>
                </c:pt>
                <c:pt idx="2">
                  <c:v>28.479556461347205</c:v>
                </c:pt>
                <c:pt idx="3">
                  <c:v>27.666741199770012</c:v>
                </c:pt>
                <c:pt idx="4">
                  <c:v>29.553391876642987</c:v>
                </c:pt>
                <c:pt idx="5">
                  <c:v>29.274993861674787</c:v>
                </c:pt>
                <c:pt idx="6">
                  <c:v>28.649498644429528</c:v>
                </c:pt>
                <c:pt idx="7">
                  <c:v>26.74374707877422</c:v>
                </c:pt>
                <c:pt idx="8">
                  <c:v>28.49570703294458</c:v>
                </c:pt>
                <c:pt idx="9">
                  <c:v>28.80588551304244</c:v>
                </c:pt>
                <c:pt idx="10">
                  <c:v>28.679366527092576</c:v>
                </c:pt>
                <c:pt idx="11">
                  <c:v>27.791935373291306</c:v>
                </c:pt>
                <c:pt idx="12">
                  <c:v>29.147622713652403</c:v>
                </c:pt>
                <c:pt idx="13">
                  <c:v>29.004547611951832</c:v>
                </c:pt>
                <c:pt idx="14">
                  <c:v>28.769516204281359</c:v>
                </c:pt>
                <c:pt idx="15">
                  <c:v>28.937503139846381</c:v>
                </c:pt>
                <c:pt idx="16">
                  <c:v>28.435263212859795</c:v>
                </c:pt>
                <c:pt idx="17">
                  <c:v>29.275693589723094</c:v>
                </c:pt>
                <c:pt idx="18">
                  <c:v>28.797402849214855</c:v>
                </c:pt>
                <c:pt idx="19">
                  <c:v>29.414190292221942</c:v>
                </c:pt>
                <c:pt idx="20">
                  <c:v>28.524263180713326</c:v>
                </c:pt>
                <c:pt idx="21">
                  <c:v>28.363797155039812</c:v>
                </c:pt>
                <c:pt idx="22">
                  <c:v>29.294677414156041</c:v>
                </c:pt>
                <c:pt idx="23">
                  <c:v>30.176308329524471</c:v>
                </c:pt>
                <c:pt idx="24">
                  <c:v>26.253213127726337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F2-4754-8A6F-5121F7D5A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VI!$A$7:$B$31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VI!$F$7:$F$31</c:f>
              <c:numCache>
                <c:formatCode>General</c:formatCode>
                <c:ptCount val="25"/>
                <c:pt idx="0">
                  <c:v>4.6520000000000001</c:v>
                </c:pt>
                <c:pt idx="1">
                  <c:v>-1.306</c:v>
                </c:pt>
                <c:pt idx="2">
                  <c:v>2.88</c:v>
                </c:pt>
                <c:pt idx="3">
                  <c:v>-8.9190000000000005</c:v>
                </c:pt>
                <c:pt idx="4">
                  <c:v>2.39</c:v>
                </c:pt>
                <c:pt idx="5">
                  <c:v>0.93700000000000006</c:v>
                </c:pt>
                <c:pt idx="6">
                  <c:v>1.048</c:v>
                </c:pt>
                <c:pt idx="7">
                  <c:v>-2.4620000000000002</c:v>
                </c:pt>
                <c:pt idx="8">
                  <c:v>1.337</c:v>
                </c:pt>
                <c:pt idx="9">
                  <c:v>1.087</c:v>
                </c:pt>
                <c:pt idx="10">
                  <c:v>3.8919999999999999</c:v>
                </c:pt>
                <c:pt idx="11">
                  <c:v>-1.43</c:v>
                </c:pt>
                <c:pt idx="12">
                  <c:v>0.34899999999999998</c:v>
                </c:pt>
                <c:pt idx="13">
                  <c:v>4.6449999999999996</c:v>
                </c:pt>
                <c:pt idx="14">
                  <c:v>6.37</c:v>
                </c:pt>
                <c:pt idx="15">
                  <c:v>-3.1819999999999999</c:v>
                </c:pt>
                <c:pt idx="16">
                  <c:v>3.45</c:v>
                </c:pt>
                <c:pt idx="17">
                  <c:v>4.9660000000000002</c:v>
                </c:pt>
                <c:pt idx="18">
                  <c:v>6.6139999999999999</c:v>
                </c:pt>
                <c:pt idx="19">
                  <c:v>1.6160000000000001</c:v>
                </c:pt>
                <c:pt idx="20">
                  <c:v>3.2610000000000001</c:v>
                </c:pt>
                <c:pt idx="21">
                  <c:v>4.8209999999999997</c:v>
                </c:pt>
                <c:pt idx="22">
                  <c:v>5.2519999999999998</c:v>
                </c:pt>
                <c:pt idx="23">
                  <c:v>-2.2440000000000002</c:v>
                </c:pt>
                <c:pt idx="24">
                  <c:v>-1.21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3-42AD-9E23-4C07E8445F33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VI!$A$7:$B$31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VI!$E$7:$E$31</c:f>
              <c:numCache>
                <c:formatCode>General</c:formatCode>
                <c:ptCount val="25"/>
                <c:pt idx="0">
                  <c:v>10.228</c:v>
                </c:pt>
                <c:pt idx="1">
                  <c:v>11.028</c:v>
                </c:pt>
                <c:pt idx="2">
                  <c:v>1.0269999999999999</c:v>
                </c:pt>
                <c:pt idx="3">
                  <c:v>-14.608000000000001</c:v>
                </c:pt>
                <c:pt idx="4">
                  <c:v>12.942</c:v>
                </c:pt>
                <c:pt idx="5">
                  <c:v>19.292000000000002</c:v>
                </c:pt>
                <c:pt idx="6">
                  <c:v>-2.6890000000000001</c:v>
                </c:pt>
                <c:pt idx="7">
                  <c:v>-3.556</c:v>
                </c:pt>
                <c:pt idx="8">
                  <c:v>17.620999999999999</c:v>
                </c:pt>
                <c:pt idx="9">
                  <c:v>26.577999999999999</c:v>
                </c:pt>
                <c:pt idx="10">
                  <c:v>9.0079999999999991</c:v>
                </c:pt>
                <c:pt idx="11">
                  <c:v>-3.5289999999999999</c:v>
                </c:pt>
                <c:pt idx="12">
                  <c:v>16.695</c:v>
                </c:pt>
                <c:pt idx="13">
                  <c:v>26.521000000000001</c:v>
                </c:pt>
                <c:pt idx="14">
                  <c:v>5.6349999999999998</c:v>
                </c:pt>
                <c:pt idx="15">
                  <c:v>-6.9260000000000002</c:v>
                </c:pt>
                <c:pt idx="16">
                  <c:v>15.243</c:v>
                </c:pt>
                <c:pt idx="17">
                  <c:v>24.673999999999999</c:v>
                </c:pt>
                <c:pt idx="18">
                  <c:v>-5.1619999999999999</c:v>
                </c:pt>
                <c:pt idx="19">
                  <c:v>-11.19</c:v>
                </c:pt>
                <c:pt idx="20">
                  <c:v>20.564</c:v>
                </c:pt>
                <c:pt idx="21">
                  <c:v>27.393999999999998</c:v>
                </c:pt>
                <c:pt idx="22">
                  <c:v>-1.9139999999999999</c:v>
                </c:pt>
                <c:pt idx="23">
                  <c:v>-10.093999999999999</c:v>
                </c:pt>
                <c:pt idx="24">
                  <c:v>11.717000000000001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53-42AD-9E23-4C07E8445F33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VI!$A$7:$B$31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VI!$D$7:$D$31</c:f>
              <c:numCache>
                <c:formatCode>General</c:formatCode>
                <c:ptCount val="25"/>
                <c:pt idx="0">
                  <c:v>-59.658000000000001</c:v>
                </c:pt>
                <c:pt idx="1">
                  <c:v>-15.667999999999999</c:v>
                </c:pt>
                <c:pt idx="2">
                  <c:v>-3.2749999999999999</c:v>
                </c:pt>
                <c:pt idx="3">
                  <c:v>-16.577000000000002</c:v>
                </c:pt>
                <c:pt idx="4">
                  <c:v>-32.365000000000002</c:v>
                </c:pt>
                <c:pt idx="5">
                  <c:v>-9.8119999999999994</c:v>
                </c:pt>
                <c:pt idx="6">
                  <c:v>10.430999999999999</c:v>
                </c:pt>
                <c:pt idx="7">
                  <c:v>-25.934999999999999</c:v>
                </c:pt>
                <c:pt idx="8">
                  <c:v>-21.896999999999998</c:v>
                </c:pt>
                <c:pt idx="9">
                  <c:v>2.395</c:v>
                </c:pt>
                <c:pt idx="10">
                  <c:v>13.132</c:v>
                </c:pt>
                <c:pt idx="11">
                  <c:v>-14.051</c:v>
                </c:pt>
                <c:pt idx="12">
                  <c:v>-15.212999999999999</c:v>
                </c:pt>
                <c:pt idx="13">
                  <c:v>10.332000000000001</c:v>
                </c:pt>
                <c:pt idx="14">
                  <c:v>20.634</c:v>
                </c:pt>
                <c:pt idx="15">
                  <c:v>10.872999999999999</c:v>
                </c:pt>
                <c:pt idx="16">
                  <c:v>-16.228999999999999</c:v>
                </c:pt>
                <c:pt idx="17">
                  <c:v>12.125</c:v>
                </c:pt>
                <c:pt idx="18">
                  <c:v>14.295</c:v>
                </c:pt>
                <c:pt idx="19">
                  <c:v>-1.147</c:v>
                </c:pt>
                <c:pt idx="20">
                  <c:v>-26.744</c:v>
                </c:pt>
                <c:pt idx="21">
                  <c:v>-7.0510000000000002</c:v>
                </c:pt>
                <c:pt idx="22">
                  <c:v>10.936</c:v>
                </c:pt>
                <c:pt idx="23">
                  <c:v>-8.8160000000000007</c:v>
                </c:pt>
                <c:pt idx="24">
                  <c:v>-75.882999999999996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53-42AD-9E23-4C07E8445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VI!$A$7:$B$31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VI!$C$7:$C$31</c:f>
              <c:numCache>
                <c:formatCode>General</c:formatCode>
                <c:ptCount val="25"/>
                <c:pt idx="0">
                  <c:v>-44.777999999999999</c:v>
                </c:pt>
                <c:pt idx="1">
                  <c:v>-5.9459999999999997</c:v>
                </c:pt>
                <c:pt idx="2">
                  <c:v>0.63200000000000001</c:v>
                </c:pt>
                <c:pt idx="3">
                  <c:v>-40.103999999999999</c:v>
                </c:pt>
                <c:pt idx="4">
                  <c:v>-17.033000000000001</c:v>
                </c:pt>
                <c:pt idx="5">
                  <c:v>10.417</c:v>
                </c:pt>
                <c:pt idx="6">
                  <c:v>8.7899999999999991</c:v>
                </c:pt>
                <c:pt idx="7">
                  <c:v>-31.952999999999999</c:v>
                </c:pt>
                <c:pt idx="8">
                  <c:v>-2.9390000000000001</c:v>
                </c:pt>
                <c:pt idx="9">
                  <c:v>30.06</c:v>
                </c:pt>
                <c:pt idx="10">
                  <c:v>26.032</c:v>
                </c:pt>
                <c:pt idx="11">
                  <c:v>-19.010000000000002</c:v>
                </c:pt>
                <c:pt idx="12">
                  <c:v>1.831</c:v>
                </c:pt>
                <c:pt idx="13">
                  <c:v>41.497999999999998</c:v>
                </c:pt>
                <c:pt idx="14">
                  <c:v>32.639000000000003</c:v>
                </c:pt>
                <c:pt idx="15">
                  <c:v>0.76500000000000001</c:v>
                </c:pt>
                <c:pt idx="16">
                  <c:v>2.464</c:v>
                </c:pt>
                <c:pt idx="17">
                  <c:v>41.765000000000001</c:v>
                </c:pt>
                <c:pt idx="18">
                  <c:v>15.747</c:v>
                </c:pt>
                <c:pt idx="19">
                  <c:v>-10.721</c:v>
                </c:pt>
                <c:pt idx="20">
                  <c:v>-2.919</c:v>
                </c:pt>
                <c:pt idx="21">
                  <c:v>25.164000000000001</c:v>
                </c:pt>
                <c:pt idx="22">
                  <c:v>14.273999999999999</c:v>
                </c:pt>
                <c:pt idx="23">
                  <c:v>-21.154</c:v>
                </c:pt>
                <c:pt idx="24">
                  <c:v>-65.376000000000005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B53-42AD-9E23-4C07E8445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in val="-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43849612632196E-2"/>
          <c:y val="4.5653594771241833E-2"/>
          <c:w val="0.88366870025965261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'VI2'!$A$6:$B$30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'VI2'!$C$6:$C$30</c:f>
              <c:numCache>
                <c:formatCode>General</c:formatCode>
                <c:ptCount val="25"/>
                <c:pt idx="0">
                  <c:v>70.998999999999995</c:v>
                </c:pt>
                <c:pt idx="1">
                  <c:v>59.188000000000002</c:v>
                </c:pt>
                <c:pt idx="2">
                  <c:v>73.950999999999993</c:v>
                </c:pt>
                <c:pt idx="3">
                  <c:v>-2.1150000000000002</c:v>
                </c:pt>
                <c:pt idx="4">
                  <c:v>18.847999999999999</c:v>
                </c:pt>
                <c:pt idx="5">
                  <c:v>17.466999999999999</c:v>
                </c:pt>
                <c:pt idx="6">
                  <c:v>-6.7460000000000004</c:v>
                </c:pt>
                <c:pt idx="7">
                  <c:v>48.031999999999996</c:v>
                </c:pt>
                <c:pt idx="8">
                  <c:v>37.271000000000001</c:v>
                </c:pt>
                <c:pt idx="9">
                  <c:v>69.44</c:v>
                </c:pt>
                <c:pt idx="10">
                  <c:v>83.290999999999997</c:v>
                </c:pt>
                <c:pt idx="11">
                  <c:v>24.291</c:v>
                </c:pt>
                <c:pt idx="12">
                  <c:v>101.614</c:v>
                </c:pt>
                <c:pt idx="13">
                  <c:v>9.9260000000000002</c:v>
                </c:pt>
                <c:pt idx="14">
                  <c:v>-29.707000000000001</c:v>
                </c:pt>
                <c:pt idx="15">
                  <c:v>-30.15</c:v>
                </c:pt>
                <c:pt idx="16">
                  <c:v>-187.25800000000001</c:v>
                </c:pt>
                <c:pt idx="17">
                  <c:v>-61.563000000000002</c:v>
                </c:pt>
                <c:pt idx="18">
                  <c:v>-37.698</c:v>
                </c:pt>
                <c:pt idx="19">
                  <c:v>-8.4459999999999997</c:v>
                </c:pt>
                <c:pt idx="20">
                  <c:v>159.279</c:v>
                </c:pt>
                <c:pt idx="21">
                  <c:v>100.387</c:v>
                </c:pt>
                <c:pt idx="22">
                  <c:v>87.882999999999996</c:v>
                </c:pt>
                <c:pt idx="23">
                  <c:v>42.247</c:v>
                </c:pt>
                <c:pt idx="24">
                  <c:v>-17.954000000000001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58-4895-86EA-A99F05CE0564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'VI2'!$A$6:$B$30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'VI2'!$D$6:$D$30</c:f>
              <c:numCache>
                <c:formatCode>General</c:formatCode>
                <c:ptCount val="25"/>
                <c:pt idx="0">
                  <c:v>-82.847999999999999</c:v>
                </c:pt>
                <c:pt idx="1">
                  <c:v>-56.338999999999999</c:v>
                </c:pt>
                <c:pt idx="2">
                  <c:v>-43.029000000000003</c:v>
                </c:pt>
                <c:pt idx="3">
                  <c:v>-14.032</c:v>
                </c:pt>
                <c:pt idx="4">
                  <c:v>-16.446999999999999</c:v>
                </c:pt>
                <c:pt idx="5">
                  <c:v>-9.6340000000000003</c:v>
                </c:pt>
                <c:pt idx="6">
                  <c:v>13.411</c:v>
                </c:pt>
                <c:pt idx="7">
                  <c:v>-22.658000000000001</c:v>
                </c:pt>
                <c:pt idx="8">
                  <c:v>-2.016</c:v>
                </c:pt>
                <c:pt idx="9">
                  <c:v>-30.206</c:v>
                </c:pt>
                <c:pt idx="10">
                  <c:v>-86.369</c:v>
                </c:pt>
                <c:pt idx="11">
                  <c:v>-79.730999999999995</c:v>
                </c:pt>
                <c:pt idx="12">
                  <c:v>-8.9580000000000002</c:v>
                </c:pt>
                <c:pt idx="13">
                  <c:v>89.825000000000003</c:v>
                </c:pt>
                <c:pt idx="14">
                  <c:v>-17.864999999999998</c:v>
                </c:pt>
                <c:pt idx="15">
                  <c:v>39.607999999999997</c:v>
                </c:pt>
                <c:pt idx="16">
                  <c:v>110.06399999999999</c:v>
                </c:pt>
                <c:pt idx="17">
                  <c:v>-73.570999999999998</c:v>
                </c:pt>
                <c:pt idx="18">
                  <c:v>42.71</c:v>
                </c:pt>
                <c:pt idx="19">
                  <c:v>-40.204999999999998</c:v>
                </c:pt>
                <c:pt idx="20">
                  <c:v>-178.68899999999999</c:v>
                </c:pt>
                <c:pt idx="21">
                  <c:v>-72.613</c:v>
                </c:pt>
                <c:pt idx="22">
                  <c:v>-42.478000000000002</c:v>
                </c:pt>
                <c:pt idx="23">
                  <c:v>-0.41399999999999998</c:v>
                </c:pt>
                <c:pt idx="24">
                  <c:v>65.644000000000005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58-4895-86EA-A99F05CE0564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'VI2'!$A$6:$B$30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'VI2'!$E$6:$E$30</c:f>
              <c:numCache>
                <c:formatCode>General</c:formatCode>
                <c:ptCount val="25"/>
                <c:pt idx="0">
                  <c:v>1.756</c:v>
                </c:pt>
                <c:pt idx="1">
                  <c:v>0.191</c:v>
                </c:pt>
                <c:pt idx="2">
                  <c:v>-3.0379999999999998</c:v>
                </c:pt>
                <c:pt idx="3">
                  <c:v>-13.023999999999999</c:v>
                </c:pt>
                <c:pt idx="4">
                  <c:v>-16.625</c:v>
                </c:pt>
                <c:pt idx="5">
                  <c:v>-18.791</c:v>
                </c:pt>
                <c:pt idx="6">
                  <c:v>-15.385999999999999</c:v>
                </c:pt>
                <c:pt idx="7">
                  <c:v>-3.4689999999999999</c:v>
                </c:pt>
                <c:pt idx="8">
                  <c:v>-6.1390000000000002</c:v>
                </c:pt>
                <c:pt idx="9">
                  <c:v>-4.306</c:v>
                </c:pt>
                <c:pt idx="10">
                  <c:v>-5.09</c:v>
                </c:pt>
                <c:pt idx="11">
                  <c:v>-22.611999999999998</c:v>
                </c:pt>
                <c:pt idx="12">
                  <c:v>-22.443000000000001</c:v>
                </c:pt>
                <c:pt idx="13">
                  <c:v>-21.582999999999998</c:v>
                </c:pt>
                <c:pt idx="14">
                  <c:v>-23.733000000000001</c:v>
                </c:pt>
                <c:pt idx="15">
                  <c:v>-12.262</c:v>
                </c:pt>
                <c:pt idx="16">
                  <c:v>-12.497999999999999</c:v>
                </c:pt>
                <c:pt idx="17">
                  <c:v>-10.695</c:v>
                </c:pt>
                <c:pt idx="18">
                  <c:v>-8.8230000000000004</c:v>
                </c:pt>
                <c:pt idx="19">
                  <c:v>-11.949</c:v>
                </c:pt>
                <c:pt idx="20">
                  <c:v>-9.83</c:v>
                </c:pt>
                <c:pt idx="21">
                  <c:v>-9.8719999999999999</c:v>
                </c:pt>
                <c:pt idx="22">
                  <c:v>-8.3970000000000002</c:v>
                </c:pt>
                <c:pt idx="23">
                  <c:v>-3.7269999999999999</c:v>
                </c:pt>
                <c:pt idx="24">
                  <c:v>-0.873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58-4895-86EA-A99F05CE0564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'VI2'!$A$6:$B$30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'VI2'!$F$6:$F$30</c:f>
              <c:numCache>
                <c:formatCode>General</c:formatCode>
                <c:ptCount val="25"/>
                <c:pt idx="0">
                  <c:v>-0.36199999999999999</c:v>
                </c:pt>
                <c:pt idx="1">
                  <c:v>0.17699999999999999</c:v>
                </c:pt>
                <c:pt idx="2">
                  <c:v>-0.67600000000000005</c:v>
                </c:pt>
                <c:pt idx="3">
                  <c:v>2.9089999999999998</c:v>
                </c:pt>
                <c:pt idx="4">
                  <c:v>5.234</c:v>
                </c:pt>
                <c:pt idx="5">
                  <c:v>12.789</c:v>
                </c:pt>
                <c:pt idx="6">
                  <c:v>11.449</c:v>
                </c:pt>
                <c:pt idx="7">
                  <c:v>1.899</c:v>
                </c:pt>
                <c:pt idx="8">
                  <c:v>-3.3530000000000002</c:v>
                </c:pt>
                <c:pt idx="9">
                  <c:v>-12.811</c:v>
                </c:pt>
                <c:pt idx="10">
                  <c:v>-10.784000000000001</c:v>
                </c:pt>
                <c:pt idx="11">
                  <c:v>-5.4249999999999998</c:v>
                </c:pt>
                <c:pt idx="12">
                  <c:v>-2.968</c:v>
                </c:pt>
                <c:pt idx="13">
                  <c:v>-1.4670000000000001</c:v>
                </c:pt>
                <c:pt idx="14">
                  <c:v>0.63</c:v>
                </c:pt>
                <c:pt idx="15">
                  <c:v>1.002</c:v>
                </c:pt>
                <c:pt idx="16">
                  <c:v>1.8140000000000001</c:v>
                </c:pt>
                <c:pt idx="17">
                  <c:v>53.356999999999999</c:v>
                </c:pt>
                <c:pt idx="18">
                  <c:v>50.372</c:v>
                </c:pt>
                <c:pt idx="19">
                  <c:v>42.76</c:v>
                </c:pt>
                <c:pt idx="20">
                  <c:v>34.055</c:v>
                </c:pt>
                <c:pt idx="21">
                  <c:v>-27.446000000000002</c:v>
                </c:pt>
                <c:pt idx="22">
                  <c:v>-33.340000000000003</c:v>
                </c:pt>
                <c:pt idx="23">
                  <c:v>-30.451000000000001</c:v>
                </c:pt>
                <c:pt idx="24">
                  <c:v>5.0750000000000002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58-4895-86EA-A99F05CE0564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'VI2'!$A$6:$B$30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'VI2'!$G$6:$G$30</c:f>
              <c:numCache>
                <c:formatCode>General</c:formatCode>
                <c:ptCount val="25"/>
                <c:pt idx="0">
                  <c:v>1.9330000000000001</c:v>
                </c:pt>
                <c:pt idx="1">
                  <c:v>0.94599999999999995</c:v>
                </c:pt>
                <c:pt idx="2">
                  <c:v>5.6440000000000001</c:v>
                </c:pt>
                <c:pt idx="3">
                  <c:v>4.9029999999999996</c:v>
                </c:pt>
                <c:pt idx="4">
                  <c:v>5.4</c:v>
                </c:pt>
                <c:pt idx="5">
                  <c:v>8.2270000000000003</c:v>
                </c:pt>
                <c:pt idx="6">
                  <c:v>-1.0999999999999999E-2</c:v>
                </c:pt>
                <c:pt idx="7">
                  <c:v>-6.6449999999999996</c:v>
                </c:pt>
                <c:pt idx="8">
                  <c:v>-2.9249999999999998</c:v>
                </c:pt>
                <c:pt idx="9">
                  <c:v>0.24399999999999999</c:v>
                </c:pt>
                <c:pt idx="10">
                  <c:v>3.173</c:v>
                </c:pt>
                <c:pt idx="11">
                  <c:v>2.1669999999999998</c:v>
                </c:pt>
                <c:pt idx="12">
                  <c:v>-0.40899999999999997</c:v>
                </c:pt>
                <c:pt idx="13">
                  <c:v>-3.468</c:v>
                </c:pt>
                <c:pt idx="14">
                  <c:v>-1.865</c:v>
                </c:pt>
                <c:pt idx="15">
                  <c:v>-3.258</c:v>
                </c:pt>
                <c:pt idx="16">
                  <c:v>-2.6560000000000001</c:v>
                </c:pt>
                <c:pt idx="17">
                  <c:v>-1.3320000000000001</c:v>
                </c:pt>
                <c:pt idx="18">
                  <c:v>-7.0730000000000004</c:v>
                </c:pt>
                <c:pt idx="19">
                  <c:v>2.7650000000000001</c:v>
                </c:pt>
                <c:pt idx="20">
                  <c:v>-2.7530000000000001</c:v>
                </c:pt>
                <c:pt idx="21">
                  <c:v>-3.827</c:v>
                </c:pt>
                <c:pt idx="22">
                  <c:v>0.35099999999999998</c:v>
                </c:pt>
                <c:pt idx="23">
                  <c:v>-3.5339999999999998</c:v>
                </c:pt>
                <c:pt idx="24">
                  <c:v>6.2720000000000002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58-4895-86EA-A99F05CE0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'VI2'!$A$6:$B$30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'VI2'!$H$6:$H$30</c:f>
              <c:numCache>
                <c:formatCode>General</c:formatCode>
                <c:ptCount val="25"/>
                <c:pt idx="0">
                  <c:v>-8.5220000000000002</c:v>
                </c:pt>
                <c:pt idx="1">
                  <c:v>4.1630000000000003</c:v>
                </c:pt>
                <c:pt idx="2">
                  <c:v>32.851999999999997</c:v>
                </c:pt>
                <c:pt idx="3">
                  <c:v>-21.359000000000002</c:v>
                </c:pt>
                <c:pt idx="4">
                  <c:v>-3.59</c:v>
                </c:pt>
                <c:pt idx="5">
                  <c:v>10.058</c:v>
                </c:pt>
                <c:pt idx="6">
                  <c:v>2.7170000000000001</c:v>
                </c:pt>
                <c:pt idx="7">
                  <c:v>17.158999999999999</c:v>
                </c:pt>
                <c:pt idx="8">
                  <c:v>22.838000000000001</c:v>
                </c:pt>
                <c:pt idx="9">
                  <c:v>22.361000000000001</c:v>
                </c:pt>
                <c:pt idx="10">
                  <c:v>-15.779</c:v>
                </c:pt>
                <c:pt idx="11">
                  <c:v>-81.31</c:v>
                </c:pt>
                <c:pt idx="12">
                  <c:v>66.835999999999999</c:v>
                </c:pt>
                <c:pt idx="13">
                  <c:v>73.233000000000004</c:v>
                </c:pt>
                <c:pt idx="14">
                  <c:v>-72.540000000000006</c:v>
                </c:pt>
                <c:pt idx="15">
                  <c:v>-5.0599999999999996</c:v>
                </c:pt>
                <c:pt idx="16">
                  <c:v>-90.534000000000006</c:v>
                </c:pt>
                <c:pt idx="17">
                  <c:v>-93.804000000000002</c:v>
                </c:pt>
                <c:pt idx="18">
                  <c:v>39.488</c:v>
                </c:pt>
                <c:pt idx="19">
                  <c:v>-15.074999999999999</c:v>
                </c:pt>
                <c:pt idx="20">
                  <c:v>2.0619999999999998</c:v>
                </c:pt>
                <c:pt idx="21">
                  <c:v>-13.371</c:v>
                </c:pt>
                <c:pt idx="22">
                  <c:v>4.0190000000000001</c:v>
                </c:pt>
                <c:pt idx="23">
                  <c:v>4.1210000000000004</c:v>
                </c:pt>
                <c:pt idx="24">
                  <c:v>58.164000000000001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58-4895-86EA-A99F05CE0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801861702127653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Dom!$A$5:$B$29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Dom!$C$5:$C$29</c:f>
              <c:numCache>
                <c:formatCode>General</c:formatCode>
                <c:ptCount val="25"/>
                <c:pt idx="0">
                  <c:v>0.70099999999999996</c:v>
                </c:pt>
                <c:pt idx="1">
                  <c:v>2.0310000000000001</c:v>
                </c:pt>
                <c:pt idx="2">
                  <c:v>3.786</c:v>
                </c:pt>
                <c:pt idx="3">
                  <c:v>2.0089999999999999</c:v>
                </c:pt>
                <c:pt idx="4">
                  <c:v>1.768</c:v>
                </c:pt>
                <c:pt idx="5">
                  <c:v>1.7310000000000001</c:v>
                </c:pt>
                <c:pt idx="6">
                  <c:v>1.1080000000000001</c:v>
                </c:pt>
                <c:pt idx="7">
                  <c:v>0.75900000000000001</c:v>
                </c:pt>
                <c:pt idx="8">
                  <c:v>0.42799999999999999</c:v>
                </c:pt>
                <c:pt idx="9">
                  <c:v>4.4530000000000003</c:v>
                </c:pt>
                <c:pt idx="10">
                  <c:v>2.6150000000000002</c:v>
                </c:pt>
                <c:pt idx="11">
                  <c:v>10.651999999999999</c:v>
                </c:pt>
                <c:pt idx="12">
                  <c:v>-3.9460000000000002</c:v>
                </c:pt>
                <c:pt idx="13">
                  <c:v>-5.0069999999999997</c:v>
                </c:pt>
                <c:pt idx="14">
                  <c:v>-2.9910000000000001</c:v>
                </c:pt>
                <c:pt idx="15">
                  <c:v>-9.234</c:v>
                </c:pt>
                <c:pt idx="16">
                  <c:v>9.02</c:v>
                </c:pt>
                <c:pt idx="17">
                  <c:v>10.773</c:v>
                </c:pt>
                <c:pt idx="18">
                  <c:v>14.347</c:v>
                </c:pt>
                <c:pt idx="19">
                  <c:v>14.706</c:v>
                </c:pt>
                <c:pt idx="20">
                  <c:v>6.1509999999999998</c:v>
                </c:pt>
                <c:pt idx="21">
                  <c:v>6.2539999999999996</c:v>
                </c:pt>
                <c:pt idx="22">
                  <c:v>6.9790000000000001</c:v>
                </c:pt>
                <c:pt idx="23">
                  <c:v>7.4009999999999998</c:v>
                </c:pt>
                <c:pt idx="24">
                  <c:v>-2.1869999999999998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D-4F9B-A9D2-43390EA2F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Dom!$A$5:$B$29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Dom!$D$5:$D$29</c:f>
              <c:numCache>
                <c:formatCode>General</c:formatCode>
                <c:ptCount val="25"/>
                <c:pt idx="0">
                  <c:v>12.610250379466423</c:v>
                </c:pt>
                <c:pt idx="1">
                  <c:v>12.351041602863813</c:v>
                </c:pt>
                <c:pt idx="2">
                  <c:v>12.12082790240043</c:v>
                </c:pt>
                <c:pt idx="3">
                  <c:v>12.378484122258856</c:v>
                </c:pt>
                <c:pt idx="4">
                  <c:v>12.320323103916312</c:v>
                </c:pt>
                <c:pt idx="5">
                  <c:v>11.958503171219581</c:v>
                </c:pt>
                <c:pt idx="6">
                  <c:v>12.532436063878583</c:v>
                </c:pt>
                <c:pt idx="7">
                  <c:v>11.344012936069827</c:v>
                </c:pt>
                <c:pt idx="8">
                  <c:v>11.251448603313344</c:v>
                </c:pt>
                <c:pt idx="9">
                  <c:v>11.60823424603611</c:v>
                </c:pt>
                <c:pt idx="10">
                  <c:v>11.758676417876659</c:v>
                </c:pt>
                <c:pt idx="11">
                  <c:v>10.815072911829512</c:v>
                </c:pt>
                <c:pt idx="12">
                  <c:v>11.405147237770748</c:v>
                </c:pt>
                <c:pt idx="13">
                  <c:v>11.536817116341371</c:v>
                </c:pt>
                <c:pt idx="14">
                  <c:v>11.637313918190955</c:v>
                </c:pt>
                <c:pt idx="15">
                  <c:v>11.814966866569531</c:v>
                </c:pt>
                <c:pt idx="16">
                  <c:v>11.8379481250614</c:v>
                </c:pt>
                <c:pt idx="17">
                  <c:v>11.942763567434792</c:v>
                </c:pt>
                <c:pt idx="18">
                  <c:v>11.686821223483829</c:v>
                </c:pt>
                <c:pt idx="19">
                  <c:v>12.666660315758103</c:v>
                </c:pt>
                <c:pt idx="20">
                  <c:v>12.068868312039067</c:v>
                </c:pt>
                <c:pt idx="21">
                  <c:v>12.041938043551452</c:v>
                </c:pt>
                <c:pt idx="22">
                  <c:v>12.373746595853463</c:v>
                </c:pt>
                <c:pt idx="23">
                  <c:v>12.814951011906292</c:v>
                </c:pt>
                <c:pt idx="24">
                  <c:v>13.514695813151423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2D-4F9B-A9D2-43390EA2F4CD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Dom!$A$5:$B$29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Dom!$E$5:$E$29</c:f>
              <c:numCache>
                <c:formatCode>General</c:formatCode>
                <c:ptCount val="25"/>
                <c:pt idx="0">
                  <c:v>8.7031136758331176</c:v>
                </c:pt>
                <c:pt idx="1">
                  <c:v>8.7775713400981381</c:v>
                </c:pt>
                <c:pt idx="2">
                  <c:v>8.8553368530850225</c:v>
                </c:pt>
                <c:pt idx="3">
                  <c:v>8.7789957856150558</c:v>
                </c:pt>
                <c:pt idx="4">
                  <c:v>8.7557519780183402</c:v>
                </c:pt>
                <c:pt idx="5">
                  <c:v>8.6902255490923181</c:v>
                </c:pt>
                <c:pt idx="6">
                  <c:v>8.6603682759492564</c:v>
                </c:pt>
                <c:pt idx="7">
                  <c:v>8.6921510266709223</c:v>
                </c:pt>
                <c:pt idx="8">
                  <c:v>9.1225442055063812</c:v>
                </c:pt>
                <c:pt idx="9">
                  <c:v>9.273487315072904</c:v>
                </c:pt>
                <c:pt idx="10">
                  <c:v>9.1068587562805376</c:v>
                </c:pt>
                <c:pt idx="11">
                  <c:v>9.0641917055976471</c:v>
                </c:pt>
                <c:pt idx="12">
                  <c:v>7.9955585300559751</c:v>
                </c:pt>
                <c:pt idx="13">
                  <c:v>7.6815442020665898</c:v>
                </c:pt>
                <c:pt idx="14">
                  <c:v>7.678996831992607</c:v>
                </c:pt>
                <c:pt idx="15">
                  <c:v>7.7582335383384615</c:v>
                </c:pt>
                <c:pt idx="16">
                  <c:v>8.5402716336604758</c:v>
                </c:pt>
                <c:pt idx="17">
                  <c:v>8.9355515301744681</c:v>
                </c:pt>
                <c:pt idx="18">
                  <c:v>9.2098507073291902</c:v>
                </c:pt>
                <c:pt idx="19">
                  <c:v>9.3396461364474561</c:v>
                </c:pt>
                <c:pt idx="20">
                  <c:v>9.4512710783695191</c:v>
                </c:pt>
                <c:pt idx="21">
                  <c:v>9.3802110633308811</c:v>
                </c:pt>
                <c:pt idx="22">
                  <c:v>9.3805757572595709</c:v>
                </c:pt>
                <c:pt idx="23">
                  <c:v>9.2727646771414616</c:v>
                </c:pt>
                <c:pt idx="24">
                  <c:v>9.0090786904369438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2D-4F9B-A9D2-43390EA2F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7EB2-301D-4A94-920C-95024C5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0</TotalTime>
  <Pages>8</Pages>
  <Words>2093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14419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kogan4041</cp:lastModifiedBy>
  <cp:revision>3</cp:revision>
  <dcterms:created xsi:type="dcterms:W3CDTF">2020-07-20T06:37:00Z</dcterms:created>
  <dcterms:modified xsi:type="dcterms:W3CDTF">2020-07-21T06:17:00Z</dcterms:modified>
</cp:coreProperties>
</file>