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20A4" w14:textId="77777777"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14:paraId="61C4E45B"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 xml:space="preserve">příjmech a životních podmínkách domácností EU-SILC (European Union – Statistics on Income and Living Conditions). </w:t>
      </w:r>
    </w:p>
    <w:p w14:paraId="59795A6A" w14:textId="0018C3E0"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souladu s výše uvedeným nařízením, se zákonem č. 89/1995 Sb. o státní statistické službě, ve</w:t>
      </w:r>
      <w:r w:rsidR="008E4554">
        <w:rPr>
          <w:rFonts w:ascii="Arial" w:hAnsi="Arial" w:cs="Arial"/>
          <w:sz w:val="20"/>
          <w:szCs w:val="20"/>
        </w:rPr>
        <w:t> </w:t>
      </w:r>
      <w:r w:rsidRPr="00DF48FF">
        <w:rPr>
          <w:rFonts w:ascii="Arial" w:hAnsi="Arial" w:cs="Arial"/>
          <w:sz w:val="20"/>
          <w:szCs w:val="20"/>
        </w:rPr>
        <w:t xml:space="preserve">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w:t>
      </w:r>
      <w:r w:rsidR="00556FF7">
        <w:rPr>
          <w:rFonts w:ascii="Arial" w:hAnsi="Arial" w:cs="Arial"/>
          <w:i/>
          <w:iCs/>
          <w:sz w:val="20"/>
          <w:szCs w:val="20"/>
        </w:rPr>
        <w:t>20</w:t>
      </w:r>
      <w:r w:rsidRPr="00DF48FF">
        <w:rPr>
          <w:rFonts w:ascii="Arial" w:hAnsi="Arial" w:cs="Arial"/>
          <w:sz w:val="20"/>
          <w:szCs w:val="20"/>
        </w:rPr>
        <w:t>.</w:t>
      </w:r>
    </w:p>
    <w:p w14:paraId="1F8E68CE" w14:textId="5D527A9B" w:rsidR="008550D4" w:rsidRPr="00E86518" w:rsidRDefault="00DF48FF" w:rsidP="007751C4">
      <w:pPr>
        <w:pStyle w:val="Zkladntext"/>
        <w:spacing w:after="120"/>
        <w:ind w:firstLine="709"/>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w:t>
      </w:r>
      <w:r w:rsidR="00556FF7">
        <w:rPr>
          <w:rFonts w:ascii="Arial" w:hAnsi="Arial" w:cs="Arial"/>
          <w:i/>
          <w:iCs/>
          <w:sz w:val="20"/>
          <w:szCs w:val="20"/>
        </w:rPr>
        <w:t>20</w:t>
      </w:r>
      <w:r w:rsidRPr="00DF48FF">
        <w:rPr>
          <w:rFonts w:ascii="Arial" w:hAnsi="Arial" w:cs="Arial"/>
          <w:sz w:val="20"/>
          <w:szCs w:val="20"/>
        </w:rPr>
        <w:t xml:space="preserve"> obsahovalo samostatný modul</w:t>
      </w:r>
      <w:r w:rsidR="00FE20AA">
        <w:rPr>
          <w:rFonts w:ascii="Arial" w:hAnsi="Arial" w:cs="Arial"/>
          <w:sz w:val="20"/>
          <w:szCs w:val="20"/>
        </w:rPr>
        <w:t>,</w:t>
      </w:r>
      <w:r w:rsidR="009D6018">
        <w:rPr>
          <w:rFonts w:ascii="Arial" w:hAnsi="Arial" w:cs="Arial"/>
          <w:sz w:val="20"/>
          <w:szCs w:val="20"/>
        </w:rPr>
        <w:t xml:space="preserve"> který byl zaměřen</w:t>
      </w:r>
      <w:r w:rsidR="008E4554">
        <w:rPr>
          <w:rFonts w:ascii="Arial" w:hAnsi="Arial" w:cs="Arial"/>
          <w:sz w:val="20"/>
          <w:szCs w:val="20"/>
        </w:rPr>
        <w:t> </w:t>
      </w:r>
      <w:r w:rsidR="007751C4">
        <w:rPr>
          <w:rFonts w:ascii="Arial" w:hAnsi="Arial" w:cs="Arial"/>
          <w:sz w:val="20"/>
          <w:szCs w:val="20"/>
        </w:rPr>
        <w:t>na </w:t>
      </w:r>
      <w:r w:rsidR="00C41688">
        <w:rPr>
          <w:rFonts w:ascii="Arial" w:hAnsi="Arial" w:cs="Arial"/>
          <w:sz w:val="20"/>
          <w:szCs w:val="20"/>
        </w:rPr>
        <w:t>finanční situaci domácností.</w:t>
      </w:r>
    </w:p>
    <w:p w14:paraId="35576793" w14:textId="77777777" w:rsidR="001B2640" w:rsidRDefault="002D2D58" w:rsidP="007751C4">
      <w:pPr>
        <w:pStyle w:val="Zkladntext"/>
        <w:rPr>
          <w:rFonts w:ascii="Arial" w:hAnsi="Arial" w:cs="Arial"/>
          <w:sz w:val="20"/>
          <w:szCs w:val="20"/>
        </w:rPr>
      </w:pPr>
      <w:r>
        <w:rPr>
          <w:rFonts w:ascii="Arial" w:hAnsi="Arial" w:cs="Arial"/>
          <w:sz w:val="20"/>
          <w:szCs w:val="20"/>
        </w:rPr>
        <w:t xml:space="preserve"> </w:t>
      </w:r>
    </w:p>
    <w:p w14:paraId="752D49D7" w14:textId="77777777"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14:paraId="6576BC55" w14:textId="77777777"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14:paraId="1723F334" w14:textId="08AC0F9F" w:rsidR="002A4577" w:rsidRPr="007B6DAB"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w:t>
      </w:r>
      <w:r w:rsidRPr="007B6DAB">
        <w:rPr>
          <w:rFonts w:ascii="Arial" w:hAnsi="Arial" w:cs="Arial"/>
          <w:sz w:val="20"/>
          <w:szCs w:val="20"/>
        </w:rPr>
        <w:t xml:space="preserve">tazatelé </w:t>
      </w:r>
      <w:r w:rsidR="00334840" w:rsidRPr="007B6DAB">
        <w:rPr>
          <w:rFonts w:ascii="Arial" w:hAnsi="Arial" w:cs="Arial"/>
          <w:sz w:val="20"/>
          <w:szCs w:val="20"/>
        </w:rPr>
        <w:t>6</w:t>
      </w:r>
      <w:r w:rsidR="00E269F7" w:rsidRPr="007B6DAB">
        <w:rPr>
          <w:rFonts w:ascii="Arial" w:hAnsi="Arial" w:cs="Arial"/>
          <w:sz w:val="20"/>
          <w:szCs w:val="20"/>
        </w:rPr>
        <w:t> </w:t>
      </w:r>
      <w:r w:rsidR="003569EE">
        <w:rPr>
          <w:rFonts w:ascii="Arial" w:hAnsi="Arial" w:cs="Arial"/>
          <w:sz w:val="20"/>
          <w:szCs w:val="20"/>
        </w:rPr>
        <w:t>622</w:t>
      </w:r>
      <w:r w:rsidRPr="007B6DAB">
        <w:rPr>
          <w:rFonts w:ascii="Arial" w:hAnsi="Arial" w:cs="Arial"/>
          <w:sz w:val="20"/>
          <w:szCs w:val="20"/>
        </w:rPr>
        <w:t xml:space="preserve"> byt</w:t>
      </w:r>
      <w:r w:rsidR="00334840" w:rsidRPr="007B6DAB">
        <w:rPr>
          <w:rFonts w:ascii="Arial" w:hAnsi="Arial" w:cs="Arial"/>
          <w:sz w:val="20"/>
          <w:szCs w:val="20"/>
        </w:rPr>
        <w:t>ů</w:t>
      </w:r>
      <w:r w:rsidRPr="007B6DAB">
        <w:rPr>
          <w:rFonts w:ascii="Arial" w:hAnsi="Arial" w:cs="Arial"/>
          <w:sz w:val="20"/>
          <w:szCs w:val="20"/>
        </w:rPr>
        <w:t xml:space="preserve"> vyšetřených v předchozím roce, dále </w:t>
      </w:r>
      <w:r w:rsidR="003569EE">
        <w:rPr>
          <w:rFonts w:ascii="Arial" w:hAnsi="Arial" w:cs="Arial"/>
          <w:sz w:val="20"/>
          <w:szCs w:val="20"/>
        </w:rPr>
        <w:t>65</w:t>
      </w:r>
      <w:r w:rsidRPr="007B6DAB">
        <w:rPr>
          <w:rFonts w:ascii="Arial" w:hAnsi="Arial" w:cs="Arial"/>
          <w:sz w:val="20"/>
          <w:szCs w:val="20"/>
        </w:rPr>
        <w:t xml:space="preserve"> bytů, do kterých se od předchozího roku přestěhovaly některé panelové osoby, a 4 </w:t>
      </w:r>
      <w:r w:rsidR="007342BC" w:rsidRPr="007B6DAB">
        <w:rPr>
          <w:rFonts w:ascii="Arial" w:hAnsi="Arial" w:cs="Arial"/>
          <w:sz w:val="20"/>
          <w:szCs w:val="20"/>
        </w:rPr>
        <w:t>750</w:t>
      </w:r>
      <w:r w:rsidRPr="007B6DAB">
        <w:rPr>
          <w:rFonts w:ascii="Arial" w:hAnsi="Arial" w:cs="Arial"/>
          <w:sz w:val="20"/>
          <w:szCs w:val="20"/>
        </w:rPr>
        <w:t xml:space="preserve"> nově náhodně vybraných bytů.</w:t>
      </w:r>
    </w:p>
    <w:p w14:paraId="5935E210" w14:textId="77777777" w:rsidR="002A4577" w:rsidRPr="00F83D7E" w:rsidRDefault="00DF48FF">
      <w:pPr>
        <w:pStyle w:val="Zkladntext"/>
        <w:ind w:firstLine="709"/>
        <w:rPr>
          <w:rFonts w:ascii="Arial" w:hAnsi="Arial" w:cs="Arial"/>
          <w:sz w:val="20"/>
          <w:szCs w:val="20"/>
        </w:rPr>
      </w:pPr>
      <w:r w:rsidRPr="007B6DAB">
        <w:rPr>
          <w:rFonts w:ascii="Arial" w:hAnsi="Arial" w:cs="Arial"/>
          <w:sz w:val="20"/>
          <w:szCs w:val="20"/>
        </w:rPr>
        <w:t>Výběrový plán byl založen na náhodném dvoustupňovém výběru pro každý kraj nezávisle ta</w:t>
      </w:r>
      <w:r w:rsidRPr="00B72771">
        <w:rPr>
          <w:rFonts w:ascii="Arial" w:hAnsi="Arial" w:cs="Arial"/>
          <w:sz w:val="20"/>
          <w:szCs w:val="20"/>
        </w:rPr>
        <w:t>k, aby</w:t>
      </w:r>
      <w:r w:rsidRPr="00DF48FF">
        <w:rPr>
          <w:rFonts w:ascii="Arial" w:hAnsi="Arial" w:cs="Arial"/>
          <w:sz w:val="20"/>
          <w:szCs w:val="20"/>
        </w:rPr>
        <w:t xml:space="preserve">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14:paraId="032E674B" w14:textId="77777777"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14:paraId="263D55CE" w14:textId="77777777"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14:paraId="1A11841A" w14:textId="77777777" w:rsidR="002A4577" w:rsidRPr="00F83D7E" w:rsidRDefault="002A4577">
      <w:pPr>
        <w:pStyle w:val="Zkladntext"/>
        <w:rPr>
          <w:rFonts w:ascii="Arial" w:hAnsi="Arial" w:cs="Arial"/>
          <w:b/>
          <w:bCs/>
          <w:sz w:val="20"/>
          <w:szCs w:val="20"/>
        </w:rPr>
      </w:pPr>
    </w:p>
    <w:p w14:paraId="2D058FC5" w14:textId="77777777"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14:paraId="4969467E" w14:textId="657C2823"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w:t>
      </w:r>
      <w:r w:rsidR="00AB0138">
        <w:rPr>
          <w:rFonts w:ascii="Arial" w:hAnsi="Arial" w:cs="Arial"/>
          <w:sz w:val="20"/>
          <w:szCs w:val="20"/>
        </w:rPr>
        <w:t xml:space="preserve"> V případě odstěhování </w:t>
      </w:r>
      <w:r w:rsidR="00504021" w:rsidRPr="008E4554">
        <w:rPr>
          <w:rFonts w:ascii="Arial" w:hAnsi="Arial" w:cs="Arial"/>
          <w:sz w:val="20"/>
          <w:szCs w:val="20"/>
        </w:rPr>
        <w:t>celé domácnosti z</w:t>
      </w:r>
      <w:r w:rsidR="00AB0138">
        <w:rPr>
          <w:rFonts w:ascii="Arial" w:hAnsi="Arial" w:cs="Arial"/>
          <w:sz w:val="20"/>
          <w:szCs w:val="20"/>
        </w:rPr>
        <w:t xml:space="preserve"> </w:t>
      </w:r>
      <w:r w:rsidR="00504021" w:rsidRPr="008E4554">
        <w:rPr>
          <w:rFonts w:ascii="Arial" w:hAnsi="Arial" w:cs="Arial"/>
          <w:sz w:val="20"/>
          <w:szCs w:val="20"/>
        </w:rPr>
        <w:t>původní adresy ve výběru</w:t>
      </w:r>
      <w:r w:rsidR="00AB0138">
        <w:rPr>
          <w:rFonts w:ascii="Arial" w:hAnsi="Arial" w:cs="Arial"/>
          <w:sz w:val="25"/>
          <w:szCs w:val="25"/>
        </w:rPr>
        <w:t xml:space="preserve"> </w:t>
      </w:r>
      <w:r w:rsidRPr="00DF48FF">
        <w:rPr>
          <w:rFonts w:ascii="Arial" w:hAnsi="Arial" w:cs="Arial"/>
          <w:sz w:val="20"/>
          <w:szCs w:val="20"/>
        </w:rPr>
        <w:t>se</w:t>
      </w:r>
      <w:r w:rsidR="00AB0138">
        <w:rPr>
          <w:rFonts w:ascii="Arial" w:hAnsi="Arial" w:cs="Arial"/>
          <w:sz w:val="20"/>
          <w:szCs w:val="20"/>
        </w:rPr>
        <w:t xml:space="preserve"> domácnosti</w:t>
      </w:r>
      <w:r w:rsidRPr="00DF48FF">
        <w:rPr>
          <w:rFonts w:ascii="Arial" w:hAnsi="Arial" w:cs="Arial"/>
          <w:sz w:val="20"/>
          <w:szCs w:val="20"/>
        </w:rPr>
        <w:t xml:space="preserve"> dohledávají na jejich nové adrese. Do šetření se poté zahrnou všechny osoby, které s dohledanými osobami tvoří hospodařící domácnost.</w:t>
      </w:r>
    </w:p>
    <w:p w14:paraId="66C2260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14:paraId="413943EA" w14:textId="32E2776A"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ve vybraných bytech</w:t>
      </w:r>
      <w:r w:rsidR="002512DD">
        <w:rPr>
          <w:rFonts w:ascii="Arial" w:hAnsi="Arial" w:cs="Arial"/>
          <w:sz w:val="20"/>
          <w:szCs w:val="20"/>
        </w:rPr>
        <w:t xml:space="preserve"> mělo původně</w:t>
      </w:r>
      <w:r w:rsidRPr="00DF48FF">
        <w:rPr>
          <w:rFonts w:ascii="Arial" w:hAnsi="Arial" w:cs="Arial"/>
          <w:sz w:val="20"/>
          <w:szCs w:val="20"/>
        </w:rPr>
        <w:t xml:space="preserve"> prob</w:t>
      </w:r>
      <w:r w:rsidR="002512DD">
        <w:rPr>
          <w:rFonts w:ascii="Arial" w:hAnsi="Arial" w:cs="Arial"/>
          <w:sz w:val="20"/>
          <w:szCs w:val="20"/>
        </w:rPr>
        <w:t>íhat</w:t>
      </w:r>
      <w:r w:rsidRPr="00DF48FF">
        <w:rPr>
          <w:rFonts w:ascii="Arial" w:hAnsi="Arial" w:cs="Arial"/>
          <w:sz w:val="20"/>
          <w:szCs w:val="20"/>
        </w:rPr>
        <w:t xml:space="preserve"> v období od </w:t>
      </w:r>
      <w:r w:rsidR="00AB0138">
        <w:rPr>
          <w:rFonts w:ascii="Arial" w:hAnsi="Arial" w:cs="Arial"/>
          <w:sz w:val="20"/>
          <w:szCs w:val="20"/>
        </w:rPr>
        <w:t>1</w:t>
      </w:r>
      <w:r w:rsidRPr="007967E1">
        <w:rPr>
          <w:rFonts w:ascii="Arial" w:hAnsi="Arial" w:cs="Arial"/>
          <w:sz w:val="20"/>
          <w:szCs w:val="20"/>
        </w:rPr>
        <w:t xml:space="preserve">. února do </w:t>
      </w:r>
      <w:r w:rsidR="00A3763C" w:rsidRPr="007967E1">
        <w:rPr>
          <w:rFonts w:ascii="Arial" w:hAnsi="Arial" w:cs="Arial"/>
          <w:sz w:val="20"/>
          <w:szCs w:val="20"/>
        </w:rPr>
        <w:t>2</w:t>
      </w:r>
      <w:r w:rsidR="002512DD">
        <w:rPr>
          <w:rFonts w:ascii="Arial" w:hAnsi="Arial" w:cs="Arial"/>
          <w:sz w:val="20"/>
          <w:szCs w:val="20"/>
        </w:rPr>
        <w:t>4</w:t>
      </w:r>
      <w:r w:rsidRPr="007967E1">
        <w:rPr>
          <w:rFonts w:ascii="Arial" w:hAnsi="Arial" w:cs="Arial"/>
          <w:sz w:val="20"/>
          <w:szCs w:val="20"/>
        </w:rPr>
        <w:t xml:space="preserve">. </w:t>
      </w:r>
      <w:r w:rsidR="00A3763C" w:rsidRPr="007967E1">
        <w:rPr>
          <w:rFonts w:ascii="Arial" w:hAnsi="Arial" w:cs="Arial"/>
          <w:sz w:val="20"/>
          <w:szCs w:val="20"/>
        </w:rPr>
        <w:t>k</w:t>
      </w:r>
      <w:r w:rsidR="007F5D1C" w:rsidRPr="007967E1">
        <w:rPr>
          <w:rFonts w:ascii="Arial" w:hAnsi="Arial" w:cs="Arial"/>
          <w:sz w:val="20"/>
          <w:szCs w:val="20"/>
        </w:rPr>
        <w:t>větna</w:t>
      </w:r>
      <w:r w:rsidRPr="007967E1">
        <w:rPr>
          <w:rFonts w:ascii="Arial" w:hAnsi="Arial" w:cs="Arial"/>
          <w:sz w:val="20"/>
          <w:szCs w:val="20"/>
        </w:rPr>
        <w:t>,</w:t>
      </w:r>
      <w:r w:rsidR="002512DD">
        <w:rPr>
          <w:rFonts w:ascii="Arial" w:hAnsi="Arial" w:cs="Arial"/>
          <w:sz w:val="20"/>
          <w:szCs w:val="20"/>
        </w:rPr>
        <w:t xml:space="preserve"> ale z důvodu pandemie COVID-19 byl konečný termín šetření </w:t>
      </w:r>
      <w:r w:rsidR="002512DD" w:rsidRPr="00083F9A">
        <w:rPr>
          <w:rFonts w:ascii="Arial" w:hAnsi="Arial" w:cs="Arial"/>
          <w:sz w:val="20"/>
          <w:szCs w:val="20"/>
        </w:rPr>
        <w:t>posunut až na</w:t>
      </w:r>
      <w:r w:rsidR="00083F9A">
        <w:rPr>
          <w:rFonts w:ascii="Arial" w:hAnsi="Arial" w:cs="Arial"/>
          <w:sz w:val="20"/>
          <w:szCs w:val="20"/>
        </w:rPr>
        <w:t xml:space="preserve"> </w:t>
      </w:r>
      <w:r w:rsidR="00410046">
        <w:rPr>
          <w:rFonts w:ascii="Arial" w:hAnsi="Arial" w:cs="Arial"/>
          <w:sz w:val="20"/>
          <w:szCs w:val="20"/>
        </w:rPr>
        <w:t>26</w:t>
      </w:r>
      <w:r w:rsidR="00083F9A">
        <w:rPr>
          <w:rFonts w:ascii="Arial" w:hAnsi="Arial" w:cs="Arial"/>
          <w:sz w:val="20"/>
          <w:szCs w:val="20"/>
        </w:rPr>
        <w:t>. července 2020.</w:t>
      </w:r>
      <w:r w:rsidR="002512DD">
        <w:rPr>
          <w:rFonts w:ascii="Arial" w:hAnsi="Arial" w:cs="Arial"/>
          <w:sz w:val="20"/>
          <w:szCs w:val="20"/>
        </w:rPr>
        <w:t xml:space="preserve"> Šetření </w:t>
      </w:r>
      <w:r w:rsidRPr="007967E1">
        <w:rPr>
          <w:rFonts w:ascii="Arial" w:hAnsi="Arial" w:cs="Arial"/>
          <w:sz w:val="20"/>
          <w:szCs w:val="20"/>
        </w:rPr>
        <w:t>bylo</w:t>
      </w:r>
      <w:r w:rsidRPr="00DF48FF">
        <w:rPr>
          <w:rFonts w:ascii="Arial" w:hAnsi="Arial" w:cs="Arial"/>
          <w:sz w:val="20"/>
          <w:szCs w:val="20"/>
        </w:rPr>
        <w:t xml:space="preserve"> koordinováno pracovníky oddělení terénních zjišťování v jednotlivých krajích, kteří zároveň zajistili metodické školení tazatelů. </w:t>
      </w:r>
    </w:p>
    <w:p w14:paraId="4CEF4764"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14:paraId="1292A9F0" w14:textId="2A18798F" w:rsidR="00AF3C30" w:rsidRDefault="00DF48FF" w:rsidP="008E4554">
      <w:pPr>
        <w:pStyle w:val="Zkladntext"/>
        <w:numPr>
          <w:ilvl w:val="0"/>
          <w:numId w:val="24"/>
        </w:numPr>
        <w:spacing w:after="240"/>
        <w:ind w:left="357" w:hanging="357"/>
        <w:rPr>
          <w:rFonts w:ascii="Arial" w:hAnsi="Arial" w:cs="Arial"/>
          <w:sz w:val="20"/>
          <w:szCs w:val="20"/>
        </w:rPr>
      </w:pPr>
      <w:r w:rsidRPr="0031137B">
        <w:rPr>
          <w:rFonts w:ascii="Arial" w:hAnsi="Arial" w:cs="Arial"/>
          <w:sz w:val="20"/>
          <w:szCs w:val="20"/>
        </w:rPr>
        <w:lastRenderedPageBreak/>
        <w:tab/>
      </w:r>
      <w:r w:rsidRPr="0031137B">
        <w:rPr>
          <w:rFonts w:ascii="Arial" w:hAnsi="Arial" w:cs="Arial"/>
          <w:sz w:val="20"/>
          <w:szCs w:val="20"/>
          <w:u w:val="single"/>
        </w:rPr>
        <w:t>Dotazník A</w:t>
      </w:r>
      <w:r w:rsidRPr="0031137B">
        <w:rPr>
          <w:rFonts w:ascii="Arial" w:hAnsi="Arial" w:cs="Arial"/>
          <w:sz w:val="20"/>
          <w:szCs w:val="20"/>
        </w:rPr>
        <w:t xml:space="preserve"> se vztahoval k celému bytu, obsahoval seznam obvykle bydlících osob v daném bytě a přehled jejich základních demografických charakteristik</w:t>
      </w:r>
      <w:r w:rsidR="0031137B">
        <w:rPr>
          <w:rFonts w:ascii="Arial" w:hAnsi="Arial" w:cs="Arial"/>
          <w:sz w:val="20"/>
          <w:szCs w:val="20"/>
        </w:rPr>
        <w:t xml:space="preserve"> a biografických informací</w:t>
      </w:r>
      <w:r w:rsidRPr="0031137B">
        <w:rPr>
          <w:rFonts w:ascii="Arial" w:hAnsi="Arial" w:cs="Arial"/>
          <w:sz w:val="20"/>
          <w:szCs w:val="20"/>
        </w:rPr>
        <w:t>:</w:t>
      </w:r>
      <w:r w:rsidR="0031137B">
        <w:rPr>
          <w:rFonts w:ascii="Arial" w:hAnsi="Arial" w:cs="Arial"/>
          <w:sz w:val="20"/>
          <w:szCs w:val="20"/>
        </w:rPr>
        <w:t xml:space="preserve"> </w:t>
      </w:r>
      <w:r w:rsidR="0031137B" w:rsidRPr="002C3A2A">
        <w:rPr>
          <w:rFonts w:ascii="Arial" w:hAnsi="Arial" w:cs="Arial"/>
          <w:sz w:val="20"/>
          <w:szCs w:val="20"/>
        </w:rPr>
        <w:t xml:space="preserve">pohlaví, rodinný stav, </w:t>
      </w:r>
      <w:r w:rsidRPr="0031137B">
        <w:rPr>
          <w:rFonts w:ascii="Arial" w:hAnsi="Arial" w:cs="Arial"/>
          <w:sz w:val="20"/>
          <w:szCs w:val="20"/>
        </w:rPr>
        <w:t>měsíc a rok narození,</w:t>
      </w:r>
      <w:r w:rsidR="0031137B" w:rsidRPr="0031137B">
        <w:rPr>
          <w:rFonts w:ascii="Arial" w:hAnsi="Arial" w:cs="Arial"/>
          <w:sz w:val="20"/>
          <w:szCs w:val="20"/>
        </w:rPr>
        <w:t xml:space="preserve"> země narození, státní příslušnost, </w:t>
      </w:r>
      <w:r w:rsidRPr="0031137B">
        <w:rPr>
          <w:rFonts w:ascii="Arial" w:hAnsi="Arial" w:cs="Arial"/>
          <w:sz w:val="20"/>
          <w:szCs w:val="20"/>
        </w:rPr>
        <w:t xml:space="preserve">rodinné vztahy, nejvyšší dokončené vzdělání a současné studium. Dále se zjišťovaly údaje o společném hospodaření osob bydlících v bytě, jejich vztah k uživateli bytu a k osobě v čele hospodařící domácnosti. </w:t>
      </w:r>
    </w:p>
    <w:p w14:paraId="1F8E112A" w14:textId="77777777"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14:paraId="28353BD8" w14:textId="77777777"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14:paraId="1D45A12B"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14:paraId="13449DFB" w14:textId="77777777" w:rsidR="00F323F6" w:rsidRDefault="00F323F6">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příjmy z pronájmu, daně z</w:t>
      </w:r>
      <w:r>
        <w:rPr>
          <w:rFonts w:ascii="Arial" w:hAnsi="Arial" w:cs="Arial"/>
          <w:sz w:val="20"/>
          <w:szCs w:val="20"/>
        </w:rPr>
        <w:t> </w:t>
      </w:r>
      <w:r w:rsidRPr="00DF48FF">
        <w:rPr>
          <w:rFonts w:ascii="Arial" w:hAnsi="Arial" w:cs="Arial"/>
          <w:sz w:val="20"/>
          <w:szCs w:val="20"/>
        </w:rPr>
        <w:t>nemovitostí</w:t>
      </w:r>
      <w:r>
        <w:rPr>
          <w:rFonts w:ascii="Arial" w:hAnsi="Arial" w:cs="Arial"/>
          <w:sz w:val="20"/>
          <w:szCs w:val="20"/>
        </w:rPr>
        <w:t>,</w:t>
      </w:r>
    </w:p>
    <w:p w14:paraId="4A6D51DE"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14:paraId="5EEA8784"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14:paraId="665DB2EF" w14:textId="77777777"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14:paraId="12F6024C" w14:textId="6F22B704" w:rsidR="00E56669" w:rsidRPr="00F323F6"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14:paraId="02C2E432" w14:textId="77777777" w:rsidR="001B2640" w:rsidRDefault="00E56669">
      <w:pPr>
        <w:pStyle w:val="Zkladntext"/>
        <w:numPr>
          <w:ilvl w:val="0"/>
          <w:numId w:val="23"/>
        </w:numPr>
        <w:spacing w:after="240"/>
        <w:ind w:left="357" w:hanging="357"/>
        <w:rPr>
          <w:rFonts w:ascii="Arial" w:hAnsi="Arial" w:cs="Arial"/>
          <w:sz w:val="20"/>
          <w:szCs w:val="20"/>
        </w:rPr>
      </w:pPr>
      <w:r>
        <w:rPr>
          <w:rFonts w:ascii="Arial" w:hAnsi="Arial" w:cs="Arial"/>
          <w:sz w:val="20"/>
          <w:szCs w:val="20"/>
        </w:rPr>
        <w:t>péče o děti do 12 let – počet hodin strávených v různých zařízeních či v péči dalších osob.</w:t>
      </w:r>
    </w:p>
    <w:p w14:paraId="09B909B1" w14:textId="0E5A4AE8" w:rsidR="00AF3C30" w:rsidRDefault="00413743" w:rsidP="008E4554">
      <w:pPr>
        <w:pStyle w:val="Zkladntext"/>
        <w:spacing w:after="240"/>
        <w:ind w:left="357"/>
        <w:rPr>
          <w:rFonts w:ascii="Arial" w:hAnsi="Arial" w:cs="Arial"/>
          <w:sz w:val="20"/>
          <w:szCs w:val="20"/>
        </w:rPr>
      </w:pPr>
      <w:r>
        <w:rPr>
          <w:rFonts w:ascii="Arial" w:hAnsi="Arial" w:cs="Arial"/>
          <w:sz w:val="20"/>
          <w:szCs w:val="20"/>
        </w:rPr>
        <w:t xml:space="preserve">Součástí bloku o finanční situaci domácnosti byly i </w:t>
      </w:r>
      <w:r w:rsidR="00504021" w:rsidRPr="008E4554">
        <w:rPr>
          <w:rStyle w:val="highlight"/>
          <w:rFonts w:ascii="Arial" w:hAnsi="Arial" w:cs="Arial"/>
          <w:sz w:val="20"/>
          <w:szCs w:val="20"/>
          <w:u w:val="single"/>
        </w:rPr>
        <w:t>modul</w:t>
      </w:r>
      <w:r w:rsidR="00504021" w:rsidRPr="008E4554">
        <w:rPr>
          <w:rFonts w:ascii="Arial" w:hAnsi="Arial" w:cs="Arial"/>
          <w:sz w:val="20"/>
          <w:szCs w:val="20"/>
          <w:u w:val="single"/>
        </w:rPr>
        <w:t>ové otázky</w:t>
      </w:r>
      <w:r>
        <w:rPr>
          <w:rFonts w:ascii="Arial" w:hAnsi="Arial" w:cs="Arial"/>
          <w:sz w:val="25"/>
          <w:szCs w:val="25"/>
        </w:rPr>
        <w:t xml:space="preserve">. </w:t>
      </w:r>
      <w:r w:rsidR="00504021" w:rsidRPr="008E4554">
        <w:rPr>
          <w:rFonts w:ascii="Arial" w:hAnsi="Arial" w:cs="Arial"/>
          <w:sz w:val="20"/>
          <w:szCs w:val="20"/>
        </w:rPr>
        <w:t>Týka</w:t>
      </w:r>
      <w:r>
        <w:rPr>
          <w:rFonts w:ascii="Arial" w:hAnsi="Arial" w:cs="Arial"/>
          <w:sz w:val="20"/>
          <w:szCs w:val="20"/>
        </w:rPr>
        <w:t>ly</w:t>
      </w:r>
      <w:r w:rsidR="00504021" w:rsidRPr="008E4554">
        <w:rPr>
          <w:rFonts w:ascii="Arial" w:hAnsi="Arial" w:cs="Arial"/>
          <w:sz w:val="20"/>
          <w:szCs w:val="20"/>
        </w:rPr>
        <w:t xml:space="preserve"> se úvěrů a půjček, prodlení plateb a naopak i úspor domácnosti.</w:t>
      </w:r>
    </w:p>
    <w:p w14:paraId="1AB56F45" w14:textId="38F85004" w:rsidR="001B2640" w:rsidRDefault="00D309DB" w:rsidP="00292418">
      <w:pPr>
        <w:pStyle w:val="Zkladntext"/>
        <w:spacing w:after="240"/>
        <w:rPr>
          <w:rFonts w:ascii="Arial" w:hAnsi="Arial" w:cs="Arial"/>
          <w:sz w:val="20"/>
          <w:szCs w:val="20"/>
        </w:rPr>
      </w:pPr>
      <w:r w:rsidRPr="00DF48FF">
        <w:rPr>
          <w:rFonts w:ascii="Arial" w:hAnsi="Arial" w:cs="Arial"/>
          <w:sz w:val="20"/>
          <w:szCs w:val="20"/>
        </w:rPr>
        <w:tab/>
      </w:r>
      <w:r w:rsidR="00DF48FF" w:rsidRPr="00DF48FF">
        <w:rPr>
          <w:rFonts w:ascii="Arial" w:hAnsi="Arial" w:cs="Arial"/>
          <w:sz w:val="20"/>
          <w:szCs w:val="20"/>
          <w:u w:val="single"/>
        </w:rPr>
        <w:t>Dotazník C</w:t>
      </w:r>
      <w:r w:rsidR="00DF48FF" w:rsidRPr="00DF48FF">
        <w:rPr>
          <w:rFonts w:ascii="Arial" w:hAnsi="Arial" w:cs="Arial"/>
          <w:sz w:val="20"/>
          <w:szCs w:val="20"/>
        </w:rPr>
        <w:t xml:space="preserve"> se týkal osob, které ke konci roku 201</w:t>
      </w:r>
      <w:r w:rsidR="0093689F">
        <w:rPr>
          <w:rFonts w:ascii="Arial" w:hAnsi="Arial" w:cs="Arial"/>
          <w:sz w:val="20"/>
          <w:szCs w:val="20"/>
        </w:rPr>
        <w:t>9</w:t>
      </w:r>
      <w:r w:rsidR="00DF48FF" w:rsidRPr="00DF48FF">
        <w:rPr>
          <w:rFonts w:ascii="Arial" w:hAnsi="Arial" w:cs="Arial"/>
          <w:sz w:val="20"/>
          <w:szCs w:val="20"/>
        </w:rPr>
        <w:t xml:space="preserve"> dovršily věk 16 a více let. Zjišťovaly se údaje v následujících oblastech:</w:t>
      </w:r>
    </w:p>
    <w:p w14:paraId="3D7A7BBB" w14:textId="5F4BD207" w:rsidR="002A4577" w:rsidRPr="00F83D7E" w:rsidRDefault="00DF48FF">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sebezařazení respondenta z hlediska jeho hlavní pracovní činnosti (zaměstnanec, samostatně činný, osoba na placené mateřské dovolené, osoba </w:t>
      </w:r>
      <w:r w:rsidR="00CF5182">
        <w:rPr>
          <w:rFonts w:ascii="Arial" w:hAnsi="Arial" w:cs="Arial"/>
          <w:sz w:val="20"/>
          <w:szCs w:val="20"/>
        </w:rPr>
        <w:t>na rodičovské dovolené</w:t>
      </w:r>
      <w:r w:rsidRPr="00DF48FF">
        <w:rPr>
          <w:rFonts w:ascii="Arial" w:hAnsi="Arial" w:cs="Arial"/>
          <w:sz w:val="20"/>
          <w:szCs w:val="20"/>
        </w:rPr>
        <w:t xml:space="preserve">, nezaměstnaný, student nebo učeň, osoba ve starobním důchodu, osoba v invalidním důchodu, osoba v domácnosti, ostatní ekonomicky neaktivní); u nezaměstnaných osob se zjišťovala evidence na úřadu práce a </w:t>
      </w:r>
      <w:r w:rsidR="00E55FB8">
        <w:rPr>
          <w:rFonts w:ascii="Arial" w:hAnsi="Arial" w:cs="Arial"/>
          <w:sz w:val="20"/>
          <w:szCs w:val="20"/>
        </w:rPr>
        <w:t>zda pobírá podporu v nezaměstnanos</w:t>
      </w:r>
      <w:r w:rsidR="00E55FB8" w:rsidRPr="00C82EE6">
        <w:rPr>
          <w:rFonts w:ascii="Arial" w:hAnsi="Arial" w:cs="Arial"/>
          <w:sz w:val="20"/>
          <w:szCs w:val="20"/>
        </w:rPr>
        <w:t>ti</w:t>
      </w:r>
      <w:r w:rsidRPr="00C82EE6">
        <w:rPr>
          <w:rFonts w:ascii="Arial" w:hAnsi="Arial" w:cs="Arial"/>
          <w:sz w:val="20"/>
          <w:szCs w:val="20"/>
        </w:rPr>
        <w:t>;</w:t>
      </w:r>
      <w:r w:rsidRPr="00DF48FF">
        <w:rPr>
          <w:rFonts w:ascii="Arial" w:hAnsi="Arial" w:cs="Arial"/>
          <w:sz w:val="20"/>
          <w:szCs w:val="20"/>
        </w:rPr>
        <w:t xml:space="preserve"> dále byly zjišťovány údaje o bývalém či současném hlavním zaměstnání osob a o jejich případné vedlejší činnosti,</w:t>
      </w:r>
    </w:p>
    <w:p w14:paraId="1EE97F14"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14:paraId="7EBCDEA8" w14:textId="77777777"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14:paraId="3362DE1E" w14:textId="77777777"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14:paraId="72F0004F" w14:textId="77777777" w:rsidR="002D3639" w:rsidRDefault="00DF48FF" w:rsidP="00292418">
      <w:pPr>
        <w:pStyle w:val="Zkladntext"/>
        <w:numPr>
          <w:ilvl w:val="0"/>
          <w:numId w:val="24"/>
        </w:numPr>
        <w:spacing w:after="240"/>
        <w:ind w:left="357" w:hanging="357"/>
        <w:rPr>
          <w:rFonts w:ascii="Arial" w:hAnsi="Arial" w:cs="Arial"/>
          <w:sz w:val="20"/>
          <w:szCs w:val="20"/>
        </w:rPr>
      </w:pPr>
      <w:r w:rsidRPr="00DF48FF">
        <w:rPr>
          <w:rFonts w:ascii="Arial" w:hAnsi="Arial" w:cs="Arial"/>
          <w:sz w:val="20"/>
          <w:szCs w:val="20"/>
        </w:rPr>
        <w:t>sebehodnocení zdravotního stavu a návštěvy lékařů.</w:t>
      </w:r>
    </w:p>
    <w:p w14:paraId="0F1EC80D" w14:textId="77777777" w:rsidR="00092BF4" w:rsidRPr="00F83D7E" w:rsidRDefault="00092BF4" w:rsidP="00292418">
      <w:pPr>
        <w:pStyle w:val="Zkladntext"/>
        <w:ind w:left="357"/>
        <w:rPr>
          <w:rFonts w:ascii="Arial" w:hAnsi="Arial" w:cs="Arial"/>
          <w:sz w:val="20"/>
          <w:szCs w:val="20"/>
        </w:rPr>
      </w:pPr>
    </w:p>
    <w:p w14:paraId="2AED517F" w14:textId="77777777"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14:paraId="6D5C4682" w14:textId="77777777"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14:paraId="0809CD1C" w14:textId="77777777" w:rsidR="004B7A64" w:rsidRDefault="006E1121" w:rsidP="004B7A64">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r w:rsidR="00DF48FF" w:rsidRPr="00A4215F">
        <w:rPr>
          <w:rFonts w:ascii="Arial" w:hAnsi="Arial" w:cs="Arial"/>
          <w:sz w:val="20"/>
          <w:szCs w:val="20"/>
        </w:rPr>
        <w:t>superkontroly a centrální zpracování.</w:t>
      </w:r>
    </w:p>
    <w:p w14:paraId="7B0E6397" w14:textId="77777777" w:rsidR="00F7242D" w:rsidRDefault="00F7242D">
      <w:pPr>
        <w:pStyle w:val="Zkladntext"/>
        <w:spacing w:after="120"/>
        <w:ind w:firstLine="709"/>
        <w:rPr>
          <w:rFonts w:ascii="Arial" w:hAnsi="Arial" w:cs="Arial"/>
          <w:sz w:val="20"/>
          <w:szCs w:val="20"/>
        </w:rPr>
      </w:pPr>
    </w:p>
    <w:p w14:paraId="59FEB7FE" w14:textId="77777777" w:rsidR="001B2640" w:rsidRDefault="00DF48FF" w:rsidP="001B2640">
      <w:pPr>
        <w:pStyle w:val="Zkladntext"/>
        <w:spacing w:after="240"/>
        <w:rPr>
          <w:rFonts w:ascii="Arial" w:hAnsi="Arial" w:cs="Arial"/>
          <w:b/>
          <w:bCs/>
        </w:rPr>
      </w:pPr>
      <w:r w:rsidRPr="00DF48FF">
        <w:rPr>
          <w:rFonts w:ascii="Arial" w:hAnsi="Arial" w:cs="Arial"/>
          <w:b/>
          <w:bCs/>
        </w:rPr>
        <w:lastRenderedPageBreak/>
        <w:t>1.4 Počet vyšetřených a nevyšetřených domácností</w:t>
      </w:r>
    </w:p>
    <w:p w14:paraId="1BE5724D" w14:textId="2EA62D60" w:rsidR="001B2640" w:rsidRDefault="00DF48FF" w:rsidP="008E3115">
      <w:pPr>
        <w:pStyle w:val="Zkladntext"/>
        <w:rPr>
          <w:rFonts w:ascii="Arial" w:hAnsi="Arial" w:cs="Arial"/>
          <w:sz w:val="20"/>
          <w:szCs w:val="20"/>
        </w:rPr>
      </w:pPr>
      <w:r w:rsidRPr="00DF48FF">
        <w:rPr>
          <w:rFonts w:ascii="Arial" w:hAnsi="Arial" w:cs="Arial"/>
          <w:sz w:val="20"/>
          <w:szCs w:val="20"/>
        </w:rPr>
        <w:tab/>
      </w:r>
      <w:r w:rsidRPr="001451AD">
        <w:rPr>
          <w:rFonts w:ascii="Arial" w:hAnsi="Arial" w:cs="Arial"/>
          <w:sz w:val="20"/>
          <w:szCs w:val="20"/>
        </w:rPr>
        <w:t xml:space="preserve">V průběhu šetření se ukázalo, že mezi celkovými </w:t>
      </w:r>
      <w:r w:rsidR="00E269F7" w:rsidRPr="001451AD">
        <w:rPr>
          <w:rFonts w:ascii="Arial" w:hAnsi="Arial" w:cs="Arial"/>
          <w:sz w:val="20"/>
          <w:szCs w:val="20"/>
        </w:rPr>
        <w:t xml:space="preserve">11 </w:t>
      </w:r>
      <w:r w:rsidR="00455318">
        <w:rPr>
          <w:rFonts w:ascii="Arial" w:hAnsi="Arial" w:cs="Arial"/>
          <w:sz w:val="20"/>
          <w:szCs w:val="20"/>
        </w:rPr>
        <w:t>437</w:t>
      </w:r>
      <w:r w:rsidRPr="001451AD">
        <w:rPr>
          <w:rFonts w:ascii="Arial" w:hAnsi="Arial" w:cs="Arial"/>
          <w:sz w:val="20"/>
          <w:szCs w:val="20"/>
        </w:rPr>
        <w:t xml:space="preserve"> byty v šetřeném vzorku bylo </w:t>
      </w:r>
      <w:r w:rsidR="00455318">
        <w:rPr>
          <w:rFonts w:ascii="Arial" w:hAnsi="Arial" w:cs="Arial"/>
          <w:sz w:val="20"/>
          <w:szCs w:val="20"/>
        </w:rPr>
        <w:t>701</w:t>
      </w:r>
      <w:r w:rsidRPr="001451AD">
        <w:rPr>
          <w:rFonts w:ascii="Arial" w:hAnsi="Arial" w:cs="Arial"/>
          <w:sz w:val="20"/>
          <w:szCs w:val="20"/>
        </w:rPr>
        <w:t xml:space="preserve"> případů (</w:t>
      </w:r>
      <w:r w:rsidR="00E269F7" w:rsidRPr="001451AD">
        <w:rPr>
          <w:rFonts w:ascii="Arial" w:hAnsi="Arial" w:cs="Arial"/>
          <w:sz w:val="20"/>
          <w:szCs w:val="20"/>
        </w:rPr>
        <w:t>6</w:t>
      </w:r>
      <w:r w:rsidR="00455318">
        <w:rPr>
          <w:rFonts w:ascii="Arial" w:hAnsi="Arial" w:cs="Arial"/>
          <w:sz w:val="20"/>
          <w:szCs w:val="20"/>
        </w:rPr>
        <w:t>,1</w:t>
      </w:r>
      <w:r w:rsidRPr="001451AD">
        <w:rPr>
          <w:rFonts w:ascii="Arial" w:hAnsi="Arial" w:cs="Arial"/>
          <w:sz w:val="20"/>
          <w:szCs w:val="20"/>
        </w:rPr>
        <w:t> %), kdy byt byl neobydlený, adresa nebyla nalezena nebo šetření nepřicházelo v úvahu, protože se domácnost odstěhovala apod. Náhradní výběr bytů povolen není, takže vlastní zjišťování proběhlo v </w:t>
      </w:r>
      <w:r w:rsidR="00E269F7" w:rsidRPr="001451AD">
        <w:rPr>
          <w:rFonts w:ascii="Arial" w:hAnsi="Arial" w:cs="Arial"/>
          <w:sz w:val="20"/>
          <w:szCs w:val="20"/>
        </w:rPr>
        <w:t>10 </w:t>
      </w:r>
      <w:r w:rsidR="00455318">
        <w:rPr>
          <w:rFonts w:ascii="Arial" w:hAnsi="Arial" w:cs="Arial"/>
          <w:sz w:val="20"/>
          <w:szCs w:val="20"/>
        </w:rPr>
        <w:t>736</w:t>
      </w:r>
      <w:r w:rsidRPr="001451AD">
        <w:rPr>
          <w:rFonts w:ascii="Arial" w:hAnsi="Arial" w:cs="Arial"/>
          <w:sz w:val="20"/>
          <w:szCs w:val="20"/>
        </w:rPr>
        <w:t xml:space="preserve"> bytech a </w:t>
      </w:r>
      <w:r w:rsidR="00E269F7" w:rsidRPr="001451AD">
        <w:rPr>
          <w:rFonts w:ascii="Arial" w:hAnsi="Arial" w:cs="Arial"/>
          <w:sz w:val="20"/>
          <w:szCs w:val="20"/>
        </w:rPr>
        <w:t>10 </w:t>
      </w:r>
      <w:r w:rsidR="00455318">
        <w:rPr>
          <w:rFonts w:ascii="Arial" w:hAnsi="Arial" w:cs="Arial"/>
          <w:sz w:val="20"/>
          <w:szCs w:val="20"/>
        </w:rPr>
        <w:t>769</w:t>
      </w:r>
      <w:r w:rsidRPr="001451AD">
        <w:rPr>
          <w:rFonts w:ascii="Arial" w:hAnsi="Arial" w:cs="Arial"/>
          <w:sz w:val="20"/>
          <w:szCs w:val="20"/>
        </w:rPr>
        <w:t xml:space="preserve"> hospodařících domácnostech, neboť v některých bytech žije více hospodařících domácností. Stručný přehled vyšetřených a nevyšetřených HD celkem</w:t>
      </w:r>
      <w:r w:rsidRPr="008E3115">
        <w:rPr>
          <w:rFonts w:ascii="Arial" w:hAnsi="Arial" w:cs="Arial"/>
          <w:sz w:val="20"/>
          <w:szCs w:val="20"/>
        </w:rPr>
        <w:t xml:space="preserve"> a v rozdělení na 1. a 2. až 4. vlnu</w:t>
      </w:r>
      <w:r w:rsidRPr="00DF48FF">
        <w:rPr>
          <w:rFonts w:ascii="Arial" w:hAnsi="Arial" w:cs="Arial"/>
          <w:sz w:val="20"/>
          <w:szCs w:val="20"/>
        </w:rPr>
        <w:t xml:space="preserve"> je uveden v následující tabulce:</w:t>
      </w:r>
    </w:p>
    <w:p w14:paraId="4C5EC472" w14:textId="77777777" w:rsidR="008E3115" w:rsidRDefault="008E3115" w:rsidP="008E3115">
      <w:pPr>
        <w:pStyle w:val="Zkladntext"/>
        <w:rPr>
          <w:rFonts w:ascii="Arial" w:hAnsi="Arial" w:cs="Arial"/>
          <w:sz w:val="20"/>
          <w:szCs w:val="20"/>
        </w:rPr>
      </w:pPr>
    </w:p>
    <w:p w14:paraId="6AA32666" w14:textId="77777777" w:rsidR="00811140" w:rsidRDefault="00DF48FF">
      <w:pPr>
        <w:pStyle w:val="Zkladntext"/>
        <w:rPr>
          <w:rFonts w:ascii="Arial" w:hAnsi="Arial" w:cs="Arial"/>
          <w:b/>
          <w:sz w:val="20"/>
          <w:szCs w:val="20"/>
        </w:rPr>
      </w:pPr>
      <w:r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bottom w:w="57" w:type="dxa"/>
          <w:right w:w="113" w:type="dxa"/>
        </w:tblCellMar>
        <w:tblLook w:val="0000" w:firstRow="0" w:lastRow="0" w:firstColumn="0" w:lastColumn="0" w:noHBand="0" w:noVBand="0"/>
      </w:tblPr>
      <w:tblGrid>
        <w:gridCol w:w="3290"/>
        <w:gridCol w:w="910"/>
        <w:gridCol w:w="960"/>
        <w:gridCol w:w="960"/>
        <w:gridCol w:w="960"/>
        <w:gridCol w:w="960"/>
        <w:gridCol w:w="960"/>
      </w:tblGrid>
      <w:tr w:rsidR="002A4577" w:rsidRPr="00F83D7E" w14:paraId="09B69344" w14:textId="77777777" w:rsidTr="00767C79">
        <w:trPr>
          <w:cantSplit/>
          <w:trHeight w:val="283"/>
        </w:trPr>
        <w:tc>
          <w:tcPr>
            <w:tcW w:w="3290" w:type="dxa"/>
            <w:vMerge w:val="restart"/>
            <w:tcBorders>
              <w:top w:val="single" w:sz="12" w:space="0" w:color="auto"/>
              <w:right w:val="single" w:sz="12" w:space="0" w:color="auto"/>
            </w:tcBorders>
            <w:shd w:val="clear" w:color="auto" w:fill="D9D9D9"/>
            <w:vAlign w:val="center"/>
          </w:tcPr>
          <w:p w14:paraId="100500DB" w14:textId="77777777" w:rsidR="002A4577" w:rsidRPr="00F83D7E" w:rsidRDefault="002A4577">
            <w:pPr>
              <w:pStyle w:val="Zkladntext"/>
              <w:rPr>
                <w:rFonts w:ascii="Arial" w:hAnsi="Arial" w:cs="Arial"/>
                <w:sz w:val="20"/>
                <w:szCs w:val="20"/>
              </w:rPr>
            </w:pPr>
          </w:p>
        </w:tc>
        <w:tc>
          <w:tcPr>
            <w:tcW w:w="2830" w:type="dxa"/>
            <w:gridSpan w:val="3"/>
            <w:tcBorders>
              <w:top w:val="single" w:sz="12" w:space="0" w:color="auto"/>
              <w:left w:val="single" w:sz="12" w:space="0" w:color="auto"/>
              <w:right w:val="single" w:sz="12" w:space="0" w:color="auto"/>
            </w:tcBorders>
            <w:shd w:val="clear" w:color="auto" w:fill="D9D9D9"/>
            <w:vAlign w:val="center"/>
          </w:tcPr>
          <w:p w14:paraId="2AFE9752"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tcBorders>
              <w:top w:val="single" w:sz="12" w:space="0" w:color="auto"/>
            </w:tcBorders>
            <w:shd w:val="clear" w:color="auto" w:fill="D9D9D9"/>
            <w:vAlign w:val="center"/>
          </w:tcPr>
          <w:p w14:paraId="03FFDC64"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14:paraId="6DDCCAA2" w14:textId="77777777" w:rsidTr="00767C79">
        <w:trPr>
          <w:cantSplit/>
          <w:trHeight w:val="447"/>
        </w:trPr>
        <w:tc>
          <w:tcPr>
            <w:tcW w:w="3290" w:type="dxa"/>
            <w:vMerge/>
            <w:tcBorders>
              <w:bottom w:val="single" w:sz="12" w:space="0" w:color="auto"/>
              <w:right w:val="single" w:sz="12" w:space="0" w:color="auto"/>
            </w:tcBorders>
            <w:shd w:val="clear" w:color="auto" w:fill="D9D9D9"/>
            <w:vAlign w:val="bottom"/>
          </w:tcPr>
          <w:p w14:paraId="3C3C4E40" w14:textId="77777777" w:rsidR="002A4577" w:rsidRPr="00F83D7E" w:rsidRDefault="002A4577">
            <w:pPr>
              <w:pStyle w:val="Zkladntext"/>
              <w:rPr>
                <w:rFonts w:ascii="Arial" w:hAnsi="Arial" w:cs="Arial"/>
                <w:sz w:val="20"/>
                <w:szCs w:val="20"/>
              </w:rPr>
            </w:pPr>
          </w:p>
        </w:tc>
        <w:tc>
          <w:tcPr>
            <w:tcW w:w="910" w:type="dxa"/>
            <w:tcBorders>
              <w:left w:val="single" w:sz="12" w:space="0" w:color="auto"/>
              <w:bottom w:val="single" w:sz="12" w:space="0" w:color="auto"/>
            </w:tcBorders>
            <w:shd w:val="clear" w:color="auto" w:fill="D9D9D9"/>
            <w:vAlign w:val="center"/>
          </w:tcPr>
          <w:p w14:paraId="7092D01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14:paraId="4B457F8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14:paraId="44397BF6"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14:paraId="6C556F1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14:paraId="2494E18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14:paraId="7E9D26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767C79" w:rsidRPr="005E1507" w14:paraId="2E100023" w14:textId="77777777" w:rsidTr="008E4554">
        <w:trPr>
          <w:trHeight w:val="269"/>
        </w:trPr>
        <w:tc>
          <w:tcPr>
            <w:tcW w:w="3290" w:type="dxa"/>
            <w:tcBorders>
              <w:top w:val="single" w:sz="12" w:space="0" w:color="auto"/>
              <w:bottom w:val="single" w:sz="4" w:space="0" w:color="auto"/>
              <w:right w:val="single" w:sz="12" w:space="0" w:color="auto"/>
            </w:tcBorders>
            <w:vAlign w:val="center"/>
          </w:tcPr>
          <w:p w14:paraId="4A5699C5" w14:textId="77777777" w:rsidR="00767C79" w:rsidRPr="00CF3C06" w:rsidRDefault="00767C79" w:rsidP="00767C79">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nil"/>
              <w:left w:val="single" w:sz="12" w:space="0" w:color="auto"/>
              <w:bottom w:val="single" w:sz="4" w:space="0" w:color="auto"/>
              <w:right w:val="single" w:sz="4" w:space="0" w:color="auto"/>
            </w:tcBorders>
            <w:shd w:val="clear" w:color="auto" w:fill="auto"/>
            <w:vAlign w:val="bottom"/>
          </w:tcPr>
          <w:p w14:paraId="7755EA36" w14:textId="38278648"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8 618</w:t>
            </w:r>
          </w:p>
        </w:tc>
        <w:tc>
          <w:tcPr>
            <w:tcW w:w="960" w:type="dxa"/>
            <w:tcBorders>
              <w:top w:val="nil"/>
              <w:left w:val="nil"/>
              <w:bottom w:val="single" w:sz="4" w:space="0" w:color="auto"/>
              <w:right w:val="single" w:sz="4" w:space="0" w:color="auto"/>
            </w:tcBorders>
            <w:shd w:val="clear" w:color="auto" w:fill="auto"/>
            <w:vAlign w:val="bottom"/>
          </w:tcPr>
          <w:p w14:paraId="36071D0B" w14:textId="5F5739CB"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2 370</w:t>
            </w:r>
          </w:p>
        </w:tc>
        <w:tc>
          <w:tcPr>
            <w:tcW w:w="960" w:type="dxa"/>
            <w:tcBorders>
              <w:top w:val="nil"/>
              <w:left w:val="nil"/>
              <w:bottom w:val="single" w:sz="4" w:space="0" w:color="auto"/>
              <w:right w:val="single" w:sz="12" w:space="0" w:color="auto"/>
            </w:tcBorders>
            <w:shd w:val="clear" w:color="auto" w:fill="auto"/>
            <w:vAlign w:val="bottom"/>
          </w:tcPr>
          <w:p w14:paraId="49F1F98D" w14:textId="3050FF15"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6 248</w:t>
            </w:r>
          </w:p>
        </w:tc>
        <w:tc>
          <w:tcPr>
            <w:tcW w:w="960" w:type="dxa"/>
            <w:tcBorders>
              <w:top w:val="nil"/>
              <w:left w:val="single" w:sz="12" w:space="0" w:color="auto"/>
              <w:bottom w:val="single" w:sz="4" w:space="0" w:color="auto"/>
              <w:right w:val="single" w:sz="4" w:space="0" w:color="auto"/>
            </w:tcBorders>
            <w:shd w:val="clear" w:color="auto" w:fill="auto"/>
            <w:vAlign w:val="bottom"/>
          </w:tcPr>
          <w:p w14:paraId="62FF65CB" w14:textId="2E569668"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80,0</w:t>
            </w:r>
          </w:p>
        </w:tc>
        <w:tc>
          <w:tcPr>
            <w:tcW w:w="960" w:type="dxa"/>
            <w:tcBorders>
              <w:top w:val="nil"/>
              <w:left w:val="nil"/>
              <w:bottom w:val="single" w:sz="4" w:space="0" w:color="auto"/>
              <w:right w:val="single" w:sz="4" w:space="0" w:color="auto"/>
            </w:tcBorders>
            <w:shd w:val="clear" w:color="auto" w:fill="auto"/>
            <w:vAlign w:val="bottom"/>
          </w:tcPr>
          <w:p w14:paraId="7AF11933" w14:textId="4AD4DC16"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55,7</w:t>
            </w:r>
          </w:p>
        </w:tc>
        <w:tc>
          <w:tcPr>
            <w:tcW w:w="960" w:type="dxa"/>
            <w:tcBorders>
              <w:top w:val="nil"/>
              <w:left w:val="nil"/>
              <w:bottom w:val="single" w:sz="4" w:space="0" w:color="auto"/>
              <w:right w:val="single" w:sz="12" w:space="0" w:color="auto"/>
            </w:tcBorders>
            <w:shd w:val="clear" w:color="auto" w:fill="auto"/>
            <w:vAlign w:val="bottom"/>
          </w:tcPr>
          <w:p w14:paraId="0E60AE6B" w14:textId="630C1CB2"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95,9</w:t>
            </w:r>
          </w:p>
        </w:tc>
      </w:tr>
      <w:tr w:rsidR="00767C79" w:rsidRPr="005E1507" w14:paraId="688FC179" w14:textId="77777777" w:rsidTr="008E4554">
        <w:trPr>
          <w:trHeight w:val="210"/>
        </w:trPr>
        <w:tc>
          <w:tcPr>
            <w:tcW w:w="3290" w:type="dxa"/>
            <w:tcBorders>
              <w:top w:val="single" w:sz="4" w:space="0" w:color="auto"/>
              <w:right w:val="single" w:sz="12" w:space="0" w:color="auto"/>
            </w:tcBorders>
            <w:vAlign w:val="center"/>
          </w:tcPr>
          <w:p w14:paraId="36E1FA35" w14:textId="77777777" w:rsidR="00767C79" w:rsidRPr="00CF3C06" w:rsidRDefault="00767C79" w:rsidP="00767C79">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single" w:sz="4" w:space="0" w:color="auto"/>
              <w:left w:val="single" w:sz="12" w:space="0" w:color="auto"/>
              <w:bottom w:val="single" w:sz="4" w:space="0" w:color="auto"/>
              <w:right w:val="single" w:sz="4" w:space="0" w:color="auto"/>
            </w:tcBorders>
            <w:shd w:val="clear" w:color="auto" w:fill="auto"/>
            <w:vAlign w:val="bottom"/>
          </w:tcPr>
          <w:p w14:paraId="1648A5A3" w14:textId="62B5B74C"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2 151</w:t>
            </w:r>
          </w:p>
        </w:tc>
        <w:tc>
          <w:tcPr>
            <w:tcW w:w="960" w:type="dxa"/>
            <w:tcBorders>
              <w:top w:val="single" w:sz="4" w:space="0" w:color="auto"/>
              <w:left w:val="nil"/>
              <w:bottom w:val="single" w:sz="4" w:space="0" w:color="auto"/>
              <w:right w:val="single" w:sz="4" w:space="0" w:color="auto"/>
            </w:tcBorders>
            <w:shd w:val="clear" w:color="auto" w:fill="auto"/>
            <w:vAlign w:val="bottom"/>
          </w:tcPr>
          <w:p w14:paraId="7C0724A5" w14:textId="7045C841"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1 885</w:t>
            </w:r>
          </w:p>
        </w:tc>
        <w:tc>
          <w:tcPr>
            <w:tcW w:w="960" w:type="dxa"/>
            <w:tcBorders>
              <w:top w:val="single" w:sz="4" w:space="0" w:color="auto"/>
              <w:left w:val="nil"/>
              <w:bottom w:val="single" w:sz="4" w:space="0" w:color="auto"/>
              <w:right w:val="single" w:sz="12" w:space="0" w:color="auto"/>
            </w:tcBorders>
            <w:shd w:val="clear" w:color="auto" w:fill="auto"/>
            <w:vAlign w:val="bottom"/>
          </w:tcPr>
          <w:p w14:paraId="3915C441" w14:textId="40206A29"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266</w:t>
            </w:r>
          </w:p>
        </w:tc>
        <w:tc>
          <w:tcPr>
            <w:tcW w:w="960" w:type="dxa"/>
            <w:tcBorders>
              <w:top w:val="nil"/>
              <w:left w:val="single" w:sz="12" w:space="0" w:color="auto"/>
              <w:bottom w:val="single" w:sz="4" w:space="0" w:color="auto"/>
              <w:right w:val="single" w:sz="4" w:space="0" w:color="auto"/>
            </w:tcBorders>
            <w:shd w:val="clear" w:color="auto" w:fill="auto"/>
            <w:vAlign w:val="bottom"/>
          </w:tcPr>
          <w:p w14:paraId="1316C443" w14:textId="36958D2C"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20,0</w:t>
            </w:r>
          </w:p>
        </w:tc>
        <w:tc>
          <w:tcPr>
            <w:tcW w:w="960" w:type="dxa"/>
            <w:tcBorders>
              <w:top w:val="nil"/>
              <w:left w:val="nil"/>
              <w:bottom w:val="single" w:sz="4" w:space="0" w:color="auto"/>
              <w:right w:val="single" w:sz="4" w:space="0" w:color="auto"/>
            </w:tcBorders>
            <w:shd w:val="clear" w:color="auto" w:fill="auto"/>
            <w:vAlign w:val="bottom"/>
          </w:tcPr>
          <w:p w14:paraId="6B73FF3A" w14:textId="2255A881"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44,3</w:t>
            </w:r>
          </w:p>
        </w:tc>
        <w:tc>
          <w:tcPr>
            <w:tcW w:w="960" w:type="dxa"/>
            <w:tcBorders>
              <w:top w:val="nil"/>
              <w:left w:val="nil"/>
              <w:bottom w:val="single" w:sz="4" w:space="0" w:color="auto"/>
              <w:right w:val="single" w:sz="12" w:space="0" w:color="auto"/>
            </w:tcBorders>
            <w:shd w:val="clear" w:color="auto" w:fill="auto"/>
            <w:vAlign w:val="bottom"/>
          </w:tcPr>
          <w:p w14:paraId="5C133972" w14:textId="4B2E1655"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4,1</w:t>
            </w:r>
          </w:p>
        </w:tc>
      </w:tr>
      <w:tr w:rsidR="00767C79" w:rsidRPr="005E1507" w14:paraId="5A4161FA" w14:textId="77777777" w:rsidTr="008E4554">
        <w:trPr>
          <w:trHeight w:val="369"/>
        </w:trPr>
        <w:tc>
          <w:tcPr>
            <w:tcW w:w="3290" w:type="dxa"/>
            <w:tcBorders>
              <w:right w:val="single" w:sz="12" w:space="0" w:color="auto"/>
            </w:tcBorders>
            <w:vAlign w:val="bottom"/>
          </w:tcPr>
          <w:p w14:paraId="6DFE30D8" w14:textId="77777777" w:rsidR="00767C79" w:rsidRPr="00CF3C06" w:rsidRDefault="00767C79" w:rsidP="00767C79">
            <w:pPr>
              <w:pStyle w:val="Zkladntext"/>
              <w:ind w:left="112"/>
              <w:rPr>
                <w:rFonts w:ascii="Arial" w:hAnsi="Arial" w:cs="Arial"/>
                <w:sz w:val="16"/>
                <w:szCs w:val="16"/>
              </w:rPr>
            </w:pPr>
            <w:r w:rsidRPr="00DF48FF">
              <w:rPr>
                <w:rFonts w:ascii="Arial" w:hAnsi="Arial" w:cs="Arial"/>
                <w:sz w:val="16"/>
                <w:szCs w:val="16"/>
              </w:rPr>
              <w:t>odmítnutí šetření</w:t>
            </w:r>
          </w:p>
          <w:p w14:paraId="4BA4D244" w14:textId="77777777" w:rsidR="00767C79" w:rsidRPr="00CF3C06" w:rsidRDefault="00767C79" w:rsidP="00767C79">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tcBorders>
              <w:top w:val="nil"/>
              <w:left w:val="single" w:sz="12" w:space="0" w:color="auto"/>
              <w:bottom w:val="single" w:sz="4" w:space="0" w:color="auto"/>
              <w:right w:val="single" w:sz="4" w:space="0" w:color="auto"/>
            </w:tcBorders>
            <w:shd w:val="clear" w:color="auto" w:fill="auto"/>
            <w:vAlign w:val="bottom"/>
          </w:tcPr>
          <w:p w14:paraId="0D236807" w14:textId="421BA0EE"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1 599</w:t>
            </w:r>
          </w:p>
        </w:tc>
        <w:tc>
          <w:tcPr>
            <w:tcW w:w="960" w:type="dxa"/>
            <w:tcBorders>
              <w:top w:val="nil"/>
              <w:left w:val="single" w:sz="4" w:space="0" w:color="auto"/>
              <w:bottom w:val="single" w:sz="4" w:space="0" w:color="auto"/>
              <w:right w:val="single" w:sz="4" w:space="0" w:color="auto"/>
            </w:tcBorders>
            <w:shd w:val="clear" w:color="auto" w:fill="auto"/>
            <w:vAlign w:val="bottom"/>
          </w:tcPr>
          <w:p w14:paraId="225A888C" w14:textId="38F9B37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1 413</w:t>
            </w:r>
          </w:p>
        </w:tc>
        <w:tc>
          <w:tcPr>
            <w:tcW w:w="960" w:type="dxa"/>
            <w:tcBorders>
              <w:top w:val="nil"/>
              <w:left w:val="single" w:sz="4" w:space="0" w:color="auto"/>
              <w:bottom w:val="single" w:sz="4" w:space="0" w:color="auto"/>
              <w:right w:val="single" w:sz="12" w:space="0" w:color="auto"/>
            </w:tcBorders>
            <w:shd w:val="clear" w:color="auto" w:fill="auto"/>
            <w:vAlign w:val="bottom"/>
          </w:tcPr>
          <w:p w14:paraId="06351896" w14:textId="5E659585"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186</w:t>
            </w:r>
          </w:p>
        </w:tc>
        <w:tc>
          <w:tcPr>
            <w:tcW w:w="960" w:type="dxa"/>
            <w:tcBorders>
              <w:top w:val="nil"/>
              <w:left w:val="single" w:sz="12" w:space="0" w:color="auto"/>
              <w:bottom w:val="single" w:sz="4" w:space="0" w:color="auto"/>
              <w:right w:val="single" w:sz="4" w:space="0" w:color="auto"/>
            </w:tcBorders>
            <w:shd w:val="clear" w:color="auto" w:fill="auto"/>
            <w:vAlign w:val="bottom"/>
          </w:tcPr>
          <w:p w14:paraId="3DFCEF09" w14:textId="7A25F43E"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74,3</w:t>
            </w:r>
          </w:p>
        </w:tc>
        <w:tc>
          <w:tcPr>
            <w:tcW w:w="960" w:type="dxa"/>
            <w:tcBorders>
              <w:top w:val="nil"/>
              <w:left w:val="single" w:sz="4" w:space="0" w:color="auto"/>
              <w:bottom w:val="single" w:sz="4" w:space="0" w:color="auto"/>
              <w:right w:val="single" w:sz="4" w:space="0" w:color="auto"/>
            </w:tcBorders>
            <w:shd w:val="clear" w:color="auto" w:fill="auto"/>
            <w:vAlign w:val="bottom"/>
          </w:tcPr>
          <w:p w14:paraId="2B6AFD1E" w14:textId="1D17E211"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75,0</w:t>
            </w:r>
          </w:p>
        </w:tc>
        <w:tc>
          <w:tcPr>
            <w:tcW w:w="960" w:type="dxa"/>
            <w:tcBorders>
              <w:top w:val="nil"/>
              <w:left w:val="single" w:sz="4" w:space="0" w:color="auto"/>
              <w:bottom w:val="single" w:sz="4" w:space="0" w:color="auto"/>
              <w:right w:val="single" w:sz="12" w:space="0" w:color="auto"/>
            </w:tcBorders>
            <w:shd w:val="clear" w:color="auto" w:fill="auto"/>
            <w:vAlign w:val="bottom"/>
          </w:tcPr>
          <w:p w14:paraId="427D415D" w14:textId="38485D4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69,9</w:t>
            </w:r>
          </w:p>
        </w:tc>
      </w:tr>
      <w:tr w:rsidR="00767C79" w:rsidRPr="005E1507" w14:paraId="7E112860" w14:textId="77777777" w:rsidTr="008E4554">
        <w:trPr>
          <w:trHeight w:val="361"/>
        </w:trPr>
        <w:tc>
          <w:tcPr>
            <w:tcW w:w="3290" w:type="dxa"/>
            <w:tcBorders>
              <w:right w:val="single" w:sz="12" w:space="0" w:color="auto"/>
            </w:tcBorders>
            <w:vAlign w:val="bottom"/>
          </w:tcPr>
          <w:p w14:paraId="1958A1D1" w14:textId="77777777" w:rsidR="00767C79" w:rsidRPr="00CF3C06" w:rsidRDefault="00767C79" w:rsidP="00767C79">
            <w:pPr>
              <w:pStyle w:val="Zkladntext"/>
              <w:ind w:left="112"/>
              <w:rPr>
                <w:rFonts w:ascii="Arial" w:hAnsi="Arial" w:cs="Arial"/>
                <w:sz w:val="16"/>
                <w:szCs w:val="16"/>
              </w:rPr>
            </w:pPr>
            <w:r w:rsidRPr="00DF48FF">
              <w:rPr>
                <w:rFonts w:ascii="Arial" w:hAnsi="Arial" w:cs="Arial"/>
                <w:sz w:val="16"/>
                <w:szCs w:val="16"/>
              </w:rPr>
              <w:t>domácnost nezastižena,</w:t>
            </w:r>
          </w:p>
          <w:p w14:paraId="78449B46" w14:textId="77777777" w:rsidR="00767C79" w:rsidRPr="00CF3C06" w:rsidRDefault="00767C79" w:rsidP="00767C79">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tcBorders>
              <w:top w:val="single" w:sz="4" w:space="0" w:color="auto"/>
              <w:left w:val="single" w:sz="12" w:space="0" w:color="auto"/>
              <w:bottom w:val="single" w:sz="4" w:space="0" w:color="auto"/>
              <w:right w:val="single" w:sz="4" w:space="0" w:color="auto"/>
            </w:tcBorders>
            <w:shd w:val="clear" w:color="auto" w:fill="auto"/>
            <w:vAlign w:val="bottom"/>
          </w:tcPr>
          <w:p w14:paraId="7B05D026" w14:textId="4B2E2722"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327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90F4E99" w14:textId="44A016BF"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291</w:t>
            </w:r>
          </w:p>
        </w:tc>
        <w:tc>
          <w:tcPr>
            <w:tcW w:w="960" w:type="dxa"/>
            <w:tcBorders>
              <w:top w:val="single" w:sz="4" w:space="0" w:color="auto"/>
              <w:left w:val="single" w:sz="4" w:space="0" w:color="auto"/>
              <w:bottom w:val="single" w:sz="4" w:space="0" w:color="auto"/>
              <w:right w:val="single" w:sz="12" w:space="0" w:color="auto"/>
            </w:tcBorders>
            <w:shd w:val="clear" w:color="auto" w:fill="auto"/>
            <w:vAlign w:val="bottom"/>
          </w:tcPr>
          <w:p w14:paraId="4B4702BF" w14:textId="4C957D98"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36</w:t>
            </w:r>
          </w:p>
        </w:tc>
        <w:tc>
          <w:tcPr>
            <w:tcW w:w="960" w:type="dxa"/>
            <w:tcBorders>
              <w:top w:val="single" w:sz="4" w:space="0" w:color="auto"/>
              <w:left w:val="single" w:sz="12" w:space="0" w:color="auto"/>
              <w:bottom w:val="single" w:sz="4" w:space="0" w:color="auto"/>
              <w:right w:val="single" w:sz="4" w:space="0" w:color="auto"/>
            </w:tcBorders>
            <w:shd w:val="clear" w:color="auto" w:fill="auto"/>
            <w:vAlign w:val="bottom"/>
          </w:tcPr>
          <w:p w14:paraId="7E4137F1" w14:textId="1E0012C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15,2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270C2199" w14:textId="03DC242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15,4</w:t>
            </w:r>
          </w:p>
        </w:tc>
        <w:tc>
          <w:tcPr>
            <w:tcW w:w="960" w:type="dxa"/>
            <w:tcBorders>
              <w:top w:val="single" w:sz="4" w:space="0" w:color="auto"/>
              <w:left w:val="single" w:sz="4" w:space="0" w:color="auto"/>
              <w:bottom w:val="single" w:sz="4" w:space="0" w:color="auto"/>
              <w:right w:val="single" w:sz="12" w:space="0" w:color="auto"/>
            </w:tcBorders>
            <w:shd w:val="clear" w:color="auto" w:fill="auto"/>
            <w:vAlign w:val="bottom"/>
          </w:tcPr>
          <w:p w14:paraId="1771A69A" w14:textId="2F6280F8"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13,5</w:t>
            </w:r>
          </w:p>
        </w:tc>
      </w:tr>
      <w:tr w:rsidR="00767C79" w:rsidRPr="005E1507" w14:paraId="5B46B702" w14:textId="77777777" w:rsidTr="008E4554">
        <w:trPr>
          <w:trHeight w:val="353"/>
        </w:trPr>
        <w:tc>
          <w:tcPr>
            <w:tcW w:w="3290" w:type="dxa"/>
            <w:tcBorders>
              <w:bottom w:val="single" w:sz="4" w:space="0" w:color="auto"/>
              <w:right w:val="single" w:sz="12" w:space="0" w:color="auto"/>
            </w:tcBorders>
            <w:vAlign w:val="bottom"/>
          </w:tcPr>
          <w:p w14:paraId="7346E12F" w14:textId="77777777" w:rsidR="00767C79" w:rsidRPr="00CF3C06" w:rsidRDefault="00767C79" w:rsidP="00767C79">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14:paraId="0139C116" w14:textId="77777777" w:rsidR="00767C79" w:rsidRPr="00CF3C06" w:rsidRDefault="00767C79" w:rsidP="00767C79">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top w:val="single" w:sz="4" w:space="0" w:color="auto"/>
              <w:left w:val="single" w:sz="12" w:space="0" w:color="auto"/>
              <w:bottom w:val="single" w:sz="4" w:space="0" w:color="auto"/>
              <w:right w:val="single" w:sz="4" w:space="0" w:color="auto"/>
            </w:tcBorders>
            <w:shd w:val="clear" w:color="auto" w:fill="auto"/>
            <w:vAlign w:val="bottom"/>
          </w:tcPr>
          <w:p w14:paraId="1FB129F5" w14:textId="70FA7D69"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6AA361FC" w14:textId="54AA24BF"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80</w:t>
            </w:r>
          </w:p>
        </w:tc>
        <w:tc>
          <w:tcPr>
            <w:tcW w:w="960" w:type="dxa"/>
            <w:tcBorders>
              <w:top w:val="single" w:sz="4" w:space="0" w:color="auto"/>
              <w:left w:val="single" w:sz="4" w:space="0" w:color="auto"/>
              <w:bottom w:val="single" w:sz="4" w:space="0" w:color="auto"/>
              <w:right w:val="single" w:sz="12" w:space="0" w:color="auto"/>
            </w:tcBorders>
            <w:shd w:val="clear" w:color="auto" w:fill="auto"/>
            <w:vAlign w:val="bottom"/>
          </w:tcPr>
          <w:p w14:paraId="18F2FEEB" w14:textId="1E509A1E"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18</w:t>
            </w:r>
          </w:p>
        </w:tc>
        <w:tc>
          <w:tcPr>
            <w:tcW w:w="960" w:type="dxa"/>
            <w:tcBorders>
              <w:top w:val="single" w:sz="4" w:space="0" w:color="auto"/>
              <w:left w:val="single" w:sz="12" w:space="0" w:color="auto"/>
              <w:bottom w:val="single" w:sz="4" w:space="0" w:color="auto"/>
              <w:right w:val="single" w:sz="4" w:space="0" w:color="auto"/>
            </w:tcBorders>
            <w:shd w:val="clear" w:color="auto" w:fill="auto"/>
            <w:vAlign w:val="bottom"/>
          </w:tcPr>
          <w:p w14:paraId="3D2A2AA1" w14:textId="1535258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5B2313E" w14:textId="32EC669C"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4,2</w:t>
            </w:r>
          </w:p>
        </w:tc>
        <w:tc>
          <w:tcPr>
            <w:tcW w:w="960" w:type="dxa"/>
            <w:tcBorders>
              <w:top w:val="single" w:sz="4" w:space="0" w:color="auto"/>
              <w:left w:val="single" w:sz="4" w:space="0" w:color="auto"/>
              <w:bottom w:val="single" w:sz="4" w:space="0" w:color="auto"/>
              <w:right w:val="single" w:sz="12" w:space="0" w:color="auto"/>
            </w:tcBorders>
            <w:shd w:val="clear" w:color="auto" w:fill="auto"/>
            <w:vAlign w:val="bottom"/>
          </w:tcPr>
          <w:p w14:paraId="7017C753" w14:textId="3229309C"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6,8</w:t>
            </w:r>
          </w:p>
        </w:tc>
      </w:tr>
      <w:tr w:rsidR="00767C79" w:rsidRPr="005E1507" w14:paraId="7141FD4D" w14:textId="77777777" w:rsidTr="008E4554">
        <w:trPr>
          <w:trHeight w:val="332"/>
        </w:trPr>
        <w:tc>
          <w:tcPr>
            <w:tcW w:w="3290" w:type="dxa"/>
            <w:tcBorders>
              <w:top w:val="single" w:sz="4" w:space="0" w:color="auto"/>
              <w:bottom w:val="single" w:sz="12" w:space="0" w:color="auto"/>
              <w:right w:val="single" w:sz="12" w:space="0" w:color="auto"/>
            </w:tcBorders>
            <w:vAlign w:val="center"/>
          </w:tcPr>
          <w:p w14:paraId="42E7AB4E" w14:textId="77777777" w:rsidR="00767C79" w:rsidRPr="00CF3C06" w:rsidRDefault="00767C79" w:rsidP="00767C79">
            <w:pPr>
              <w:pStyle w:val="Zkladntext"/>
              <w:ind w:left="96"/>
              <w:jc w:val="left"/>
              <w:rPr>
                <w:rFonts w:ascii="Arial" w:hAnsi="Arial" w:cs="Arial"/>
                <w:sz w:val="16"/>
                <w:szCs w:val="16"/>
              </w:rPr>
            </w:pPr>
            <w:r w:rsidRPr="00DF48FF">
              <w:rPr>
                <w:rFonts w:ascii="Arial" w:hAnsi="Arial" w:cs="Arial"/>
                <w:sz w:val="16"/>
                <w:szCs w:val="16"/>
              </w:rPr>
              <w:t>jiné důvody (jazyková bariéra aj.)</w:t>
            </w:r>
          </w:p>
        </w:tc>
        <w:tc>
          <w:tcPr>
            <w:tcW w:w="910" w:type="dxa"/>
            <w:tcBorders>
              <w:top w:val="single" w:sz="4" w:space="0" w:color="auto"/>
              <w:left w:val="single" w:sz="12" w:space="0" w:color="auto"/>
              <w:bottom w:val="single" w:sz="12" w:space="0" w:color="auto"/>
              <w:right w:val="single" w:sz="4" w:space="0" w:color="auto"/>
            </w:tcBorders>
            <w:shd w:val="clear" w:color="auto" w:fill="auto"/>
            <w:vAlign w:val="bottom"/>
          </w:tcPr>
          <w:p w14:paraId="4CA3B889" w14:textId="713AA484"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127</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bottom"/>
          </w:tcPr>
          <w:p w14:paraId="3FEB3A82" w14:textId="71C63F9B"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101</w:t>
            </w:r>
          </w:p>
        </w:tc>
        <w:tc>
          <w:tcPr>
            <w:tcW w:w="960" w:type="dxa"/>
            <w:tcBorders>
              <w:top w:val="single" w:sz="4" w:space="0" w:color="auto"/>
              <w:left w:val="single" w:sz="4" w:space="0" w:color="auto"/>
              <w:bottom w:val="single" w:sz="12" w:space="0" w:color="auto"/>
              <w:right w:val="single" w:sz="12" w:space="0" w:color="auto"/>
            </w:tcBorders>
            <w:shd w:val="clear" w:color="auto" w:fill="auto"/>
            <w:vAlign w:val="bottom"/>
          </w:tcPr>
          <w:p w14:paraId="3E3065CB" w14:textId="5D830DA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26</w:t>
            </w:r>
          </w:p>
        </w:tc>
        <w:tc>
          <w:tcPr>
            <w:tcW w:w="960" w:type="dxa"/>
            <w:tcBorders>
              <w:top w:val="single" w:sz="4" w:space="0" w:color="auto"/>
              <w:left w:val="single" w:sz="12" w:space="0" w:color="auto"/>
              <w:bottom w:val="single" w:sz="12" w:space="0" w:color="auto"/>
              <w:right w:val="single" w:sz="4" w:space="0" w:color="auto"/>
            </w:tcBorders>
            <w:shd w:val="clear" w:color="auto" w:fill="auto"/>
            <w:vAlign w:val="bottom"/>
          </w:tcPr>
          <w:p w14:paraId="61BDEB0B" w14:textId="07AE97C2"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5,9</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bottom"/>
          </w:tcPr>
          <w:p w14:paraId="4DEEFE14" w14:textId="50009EC7"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5,4</w:t>
            </w:r>
          </w:p>
        </w:tc>
        <w:tc>
          <w:tcPr>
            <w:tcW w:w="960" w:type="dxa"/>
            <w:tcBorders>
              <w:top w:val="single" w:sz="4" w:space="0" w:color="auto"/>
              <w:left w:val="single" w:sz="4" w:space="0" w:color="auto"/>
              <w:bottom w:val="single" w:sz="12" w:space="0" w:color="auto"/>
              <w:right w:val="single" w:sz="12" w:space="0" w:color="auto"/>
            </w:tcBorders>
            <w:shd w:val="clear" w:color="auto" w:fill="auto"/>
            <w:vAlign w:val="bottom"/>
          </w:tcPr>
          <w:p w14:paraId="6496337C" w14:textId="42D82610" w:rsidR="00767C79" w:rsidRPr="007B51A8" w:rsidRDefault="00504021" w:rsidP="00767C79">
            <w:pPr>
              <w:jc w:val="right"/>
              <w:rPr>
                <w:rFonts w:ascii="Arial" w:hAnsi="Arial" w:cs="Arial"/>
                <w:sz w:val="16"/>
                <w:szCs w:val="16"/>
              </w:rPr>
            </w:pPr>
            <w:r w:rsidRPr="008E4554">
              <w:rPr>
                <w:rFonts w:ascii="Arial" w:hAnsi="Arial" w:cs="Arial"/>
                <w:color w:val="000000"/>
                <w:sz w:val="16"/>
                <w:szCs w:val="16"/>
              </w:rPr>
              <w:t>9,8</w:t>
            </w:r>
          </w:p>
        </w:tc>
      </w:tr>
    </w:tbl>
    <w:p w14:paraId="0B9F6A56" w14:textId="77777777" w:rsidR="00054401" w:rsidRPr="00054401" w:rsidRDefault="00054401" w:rsidP="00054401">
      <w:pPr>
        <w:rPr>
          <w:vanish/>
        </w:rPr>
      </w:pPr>
    </w:p>
    <w:p w14:paraId="7DBF265A" w14:textId="77777777" w:rsidR="0070588E" w:rsidRDefault="00DF48FF">
      <w:pPr>
        <w:pStyle w:val="Zkladntext"/>
        <w:tabs>
          <w:tab w:val="left" w:pos="720"/>
          <w:tab w:val="left" w:pos="1080"/>
          <w:tab w:val="left" w:pos="1800"/>
          <w:tab w:val="right" w:pos="7080"/>
          <w:tab w:val="right" w:pos="8760"/>
        </w:tabs>
        <w:spacing w:after="120"/>
        <w:rPr>
          <w:rFonts w:ascii="Arial" w:hAnsi="Arial" w:cs="Arial"/>
          <w:sz w:val="14"/>
          <w:szCs w:val="14"/>
        </w:rPr>
      </w:pPr>
      <w:r w:rsidRPr="00DF48FF">
        <w:rPr>
          <w:rFonts w:ascii="Arial" w:hAnsi="Arial" w:cs="Arial"/>
          <w:sz w:val="14"/>
          <w:szCs w:val="14"/>
        </w:rPr>
        <w:t>Zdroj</w:t>
      </w:r>
      <w:r w:rsidR="003868D5">
        <w:rPr>
          <w:rFonts w:ascii="Arial" w:hAnsi="Arial" w:cs="Arial"/>
          <w:sz w:val="14"/>
          <w:szCs w:val="14"/>
        </w:rPr>
        <w:t xml:space="preserve">: </w:t>
      </w:r>
      <w:r w:rsidR="00B236D4">
        <w:rPr>
          <w:rFonts w:ascii="Arial" w:hAnsi="Arial" w:cs="Arial"/>
          <w:sz w:val="14"/>
          <w:szCs w:val="14"/>
        </w:rPr>
        <w:t>ČSÚ</w:t>
      </w:r>
      <w:r w:rsidRPr="00DF48FF">
        <w:rPr>
          <w:rFonts w:ascii="Arial" w:hAnsi="Arial" w:cs="Arial"/>
          <w:sz w:val="14"/>
          <w:szCs w:val="14"/>
        </w:rPr>
        <w:tab/>
      </w:r>
    </w:p>
    <w:p w14:paraId="292F44FB" w14:textId="77777777"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Mezi „odmítnutí šetření“ jsou započítány i případy, kdy hospodařící domácnost neodmítne šetření jako celek, ale není ochotna uvést své příjmy v takové míře, aby získané údaje vyhověly podmínkám definice vyšetřenosti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14:paraId="15761572" w14:textId="77777777"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14:paraId="6E217C18" w14:textId="77777777" w:rsidR="0070588E" w:rsidRDefault="00DF48FF">
      <w:pPr>
        <w:pStyle w:val="Zkladntext"/>
        <w:tabs>
          <w:tab w:val="left" w:pos="720"/>
          <w:tab w:val="left" w:pos="1080"/>
          <w:tab w:val="left" w:pos="1800"/>
          <w:tab w:val="right" w:pos="7080"/>
          <w:tab w:val="right" w:pos="8760"/>
        </w:tabs>
        <w:rPr>
          <w:rFonts w:ascii="Arial" w:hAnsi="Arial" w:cs="Arial"/>
          <w:sz w:val="20"/>
          <w:szCs w:val="20"/>
        </w:rPr>
      </w:pPr>
      <w:r w:rsidRPr="00DF48FF">
        <w:rPr>
          <w:rFonts w:ascii="Arial" w:hAnsi="Arial" w:cs="Arial"/>
          <w:sz w:val="20"/>
          <w:szCs w:val="20"/>
        </w:rPr>
        <w:tab/>
        <w:t>Vyšetřenost domácností v jednotlivých krajích a za ČR celkem a v rozdělení na 1. a 2. až 4. vlnu udává následující tabulka:</w:t>
      </w:r>
    </w:p>
    <w:p w14:paraId="15A2A214" w14:textId="77777777" w:rsidR="00DF48FF" w:rsidRDefault="00DF48FF" w:rsidP="00DF48FF">
      <w:pPr>
        <w:pStyle w:val="Zkladntext"/>
        <w:tabs>
          <w:tab w:val="left" w:pos="720"/>
          <w:tab w:val="left" w:pos="1080"/>
          <w:tab w:val="left" w:pos="1800"/>
          <w:tab w:val="right" w:pos="7080"/>
          <w:tab w:val="right" w:pos="8760"/>
        </w:tabs>
        <w:rPr>
          <w:rFonts w:ascii="Arial" w:hAnsi="Arial" w:cs="Arial"/>
          <w:sz w:val="20"/>
          <w:szCs w:val="20"/>
        </w:rPr>
      </w:pPr>
    </w:p>
    <w:p w14:paraId="1B308866" w14:textId="77777777" w:rsidR="002A4577" w:rsidRPr="00213A5B" w:rsidRDefault="00DF48FF">
      <w:pPr>
        <w:pStyle w:val="Zkladntext"/>
        <w:rPr>
          <w:rFonts w:ascii="Arial" w:hAnsi="Arial" w:cs="Arial"/>
          <w:b/>
          <w:sz w:val="20"/>
          <w:szCs w:val="20"/>
        </w:rPr>
      </w:pPr>
      <w:r w:rsidRPr="00DF48FF">
        <w:rPr>
          <w:rFonts w:ascii="Arial" w:hAnsi="Arial" w:cs="Arial"/>
          <w:b/>
          <w:sz w:val="20"/>
          <w:szCs w:val="20"/>
        </w:rPr>
        <w:t>Tab. 2 Vyšetřenost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1800"/>
        <w:gridCol w:w="840"/>
        <w:gridCol w:w="840"/>
        <w:gridCol w:w="720"/>
        <w:gridCol w:w="840"/>
        <w:gridCol w:w="840"/>
        <w:gridCol w:w="720"/>
        <w:gridCol w:w="840"/>
        <w:gridCol w:w="840"/>
        <w:gridCol w:w="720"/>
      </w:tblGrid>
      <w:tr w:rsidR="002A4577" w:rsidRPr="00F83D7E" w14:paraId="30A2A068" w14:textId="77777777"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14:paraId="2FED6E33" w14:textId="77777777"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14:paraId="42A9566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5643F8C"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14:paraId="21E6DC6A"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14:paraId="2F0112B1" w14:textId="77777777" w:rsidTr="00DB41B7">
        <w:trPr>
          <w:cantSplit/>
          <w:trHeight w:val="339"/>
        </w:trPr>
        <w:tc>
          <w:tcPr>
            <w:tcW w:w="1800" w:type="dxa"/>
            <w:vMerge/>
            <w:tcBorders>
              <w:right w:val="single" w:sz="12" w:space="0" w:color="auto"/>
            </w:tcBorders>
            <w:shd w:val="clear" w:color="auto" w:fill="D9D9D9"/>
            <w:vAlign w:val="center"/>
          </w:tcPr>
          <w:p w14:paraId="69F07DB6" w14:textId="77777777"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14:paraId="4A13975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6CA1D7D8"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14:paraId="17E2613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62B97764"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0026187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14:paraId="508443BF"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14:paraId="7D27E60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14:paraId="7EB09B7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14:paraId="584A21D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14:paraId="45BEF7ED" w14:textId="77777777" w:rsidTr="00DB41B7">
        <w:trPr>
          <w:cantSplit/>
          <w:trHeight w:val="195"/>
        </w:trPr>
        <w:tc>
          <w:tcPr>
            <w:tcW w:w="1800" w:type="dxa"/>
            <w:vMerge/>
            <w:tcBorders>
              <w:bottom w:val="single" w:sz="12" w:space="0" w:color="auto"/>
              <w:right w:val="single" w:sz="12" w:space="0" w:color="auto"/>
            </w:tcBorders>
            <w:shd w:val="clear" w:color="auto" w:fill="D9D9D9"/>
            <w:vAlign w:val="bottom"/>
          </w:tcPr>
          <w:p w14:paraId="5736E51E" w14:textId="77777777"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14:paraId="7000A16A"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633D4077"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14:paraId="3FDEF0DE"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14:paraId="66CB541B" w14:textId="77777777"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14:paraId="21667962"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14:paraId="734B7BD1"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14:paraId="31D9EB40" w14:textId="77777777"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14:paraId="1022C680"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14:paraId="2125E495" w14:textId="77777777"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7B51A8" w:rsidRPr="00F83D7E" w14:paraId="270CF6BE" w14:textId="77777777" w:rsidTr="004C54B5">
        <w:trPr>
          <w:trHeight w:val="301"/>
        </w:trPr>
        <w:tc>
          <w:tcPr>
            <w:tcW w:w="1800" w:type="dxa"/>
            <w:tcBorders>
              <w:top w:val="single" w:sz="12" w:space="0" w:color="auto"/>
              <w:bottom w:val="single" w:sz="4" w:space="0" w:color="auto"/>
              <w:right w:val="single" w:sz="12" w:space="0" w:color="auto"/>
            </w:tcBorders>
            <w:vAlign w:val="bottom"/>
          </w:tcPr>
          <w:p w14:paraId="4A3A2A18"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Hl. m. Praha</w:t>
            </w:r>
          </w:p>
        </w:tc>
        <w:tc>
          <w:tcPr>
            <w:tcW w:w="840" w:type="dxa"/>
            <w:tcBorders>
              <w:top w:val="single" w:sz="4" w:space="0" w:color="auto"/>
              <w:left w:val="nil"/>
              <w:bottom w:val="single" w:sz="4" w:space="0" w:color="auto"/>
              <w:right w:val="single" w:sz="4" w:space="0" w:color="auto"/>
            </w:tcBorders>
            <w:shd w:val="clear" w:color="auto" w:fill="auto"/>
            <w:vAlign w:val="bottom"/>
          </w:tcPr>
          <w:p w14:paraId="346DC33F" w14:textId="7939119F"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1 351</w:t>
            </w:r>
          </w:p>
        </w:tc>
        <w:tc>
          <w:tcPr>
            <w:tcW w:w="840" w:type="dxa"/>
            <w:tcBorders>
              <w:top w:val="single" w:sz="4" w:space="0" w:color="auto"/>
              <w:left w:val="nil"/>
              <w:bottom w:val="single" w:sz="4" w:space="0" w:color="auto"/>
              <w:right w:val="single" w:sz="4" w:space="0" w:color="auto"/>
            </w:tcBorders>
            <w:shd w:val="clear" w:color="auto" w:fill="auto"/>
            <w:vAlign w:val="bottom"/>
          </w:tcPr>
          <w:p w14:paraId="71E80A45" w14:textId="1D65EA7D"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926</w:t>
            </w:r>
          </w:p>
        </w:tc>
        <w:tc>
          <w:tcPr>
            <w:tcW w:w="720" w:type="dxa"/>
            <w:tcBorders>
              <w:top w:val="single" w:sz="4" w:space="0" w:color="auto"/>
              <w:left w:val="nil"/>
              <w:bottom w:val="single" w:sz="4" w:space="0" w:color="auto"/>
              <w:right w:val="single" w:sz="12" w:space="0" w:color="auto"/>
            </w:tcBorders>
            <w:shd w:val="clear" w:color="auto" w:fill="auto"/>
            <w:vAlign w:val="bottom"/>
          </w:tcPr>
          <w:p w14:paraId="6DDEF6B8" w14:textId="69E17C46"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68,5</w:t>
            </w:r>
          </w:p>
        </w:tc>
        <w:tc>
          <w:tcPr>
            <w:tcW w:w="840" w:type="dxa"/>
            <w:tcBorders>
              <w:top w:val="single" w:sz="4" w:space="0" w:color="auto"/>
              <w:left w:val="single" w:sz="12" w:space="0" w:color="auto"/>
              <w:bottom w:val="single" w:sz="4" w:space="0" w:color="auto"/>
              <w:right w:val="single" w:sz="4" w:space="0" w:color="auto"/>
            </w:tcBorders>
            <w:shd w:val="clear" w:color="auto" w:fill="auto"/>
            <w:vAlign w:val="bottom"/>
          </w:tcPr>
          <w:p w14:paraId="1DABE236" w14:textId="0A69727C"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612</w:t>
            </w:r>
          </w:p>
        </w:tc>
        <w:tc>
          <w:tcPr>
            <w:tcW w:w="840" w:type="dxa"/>
            <w:tcBorders>
              <w:top w:val="single" w:sz="4" w:space="0" w:color="auto"/>
              <w:left w:val="nil"/>
              <w:bottom w:val="single" w:sz="4" w:space="0" w:color="auto"/>
              <w:right w:val="single" w:sz="4" w:space="0" w:color="auto"/>
            </w:tcBorders>
            <w:shd w:val="clear" w:color="auto" w:fill="auto"/>
            <w:vAlign w:val="bottom"/>
          </w:tcPr>
          <w:p w14:paraId="661204B6" w14:textId="0A59A57D"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238</w:t>
            </w:r>
          </w:p>
        </w:tc>
        <w:tc>
          <w:tcPr>
            <w:tcW w:w="720" w:type="dxa"/>
            <w:tcBorders>
              <w:top w:val="single" w:sz="4" w:space="0" w:color="auto"/>
              <w:left w:val="nil"/>
              <w:bottom w:val="single" w:sz="4" w:space="0" w:color="auto"/>
              <w:right w:val="single" w:sz="12" w:space="0" w:color="auto"/>
            </w:tcBorders>
            <w:shd w:val="clear" w:color="auto" w:fill="auto"/>
            <w:vAlign w:val="bottom"/>
          </w:tcPr>
          <w:p w14:paraId="5C4BA4D0" w14:textId="2C2E66DB" w:rsidR="007B51A8" w:rsidRPr="00F543E1" w:rsidRDefault="00504021" w:rsidP="007B51A8">
            <w:pPr>
              <w:pStyle w:val="Zkladntext"/>
              <w:tabs>
                <w:tab w:val="center" w:pos="4536"/>
                <w:tab w:val="right" w:pos="9072"/>
              </w:tabs>
              <w:jc w:val="right"/>
              <w:rPr>
                <w:rFonts w:ascii="Arial" w:hAnsi="Arial" w:cs="Arial"/>
                <w:sz w:val="16"/>
                <w:szCs w:val="16"/>
              </w:rPr>
            </w:pPr>
            <w:r w:rsidRPr="008E4554">
              <w:rPr>
                <w:rFonts w:ascii="Arial" w:hAnsi="Arial" w:cs="Arial"/>
                <w:color w:val="000000"/>
                <w:sz w:val="16"/>
                <w:szCs w:val="16"/>
              </w:rPr>
              <w:t>38,9</w:t>
            </w:r>
          </w:p>
        </w:tc>
        <w:tc>
          <w:tcPr>
            <w:tcW w:w="840" w:type="dxa"/>
            <w:tcBorders>
              <w:top w:val="single" w:sz="4" w:space="0" w:color="auto"/>
              <w:left w:val="single" w:sz="12" w:space="0" w:color="auto"/>
              <w:bottom w:val="single" w:sz="4" w:space="0" w:color="auto"/>
              <w:right w:val="single" w:sz="4" w:space="0" w:color="auto"/>
            </w:tcBorders>
            <w:shd w:val="clear" w:color="auto" w:fill="auto"/>
            <w:vAlign w:val="bottom"/>
          </w:tcPr>
          <w:p w14:paraId="5CFEB293" w14:textId="0B2CAD1D"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739</w:t>
            </w:r>
          </w:p>
        </w:tc>
        <w:tc>
          <w:tcPr>
            <w:tcW w:w="840" w:type="dxa"/>
            <w:tcBorders>
              <w:top w:val="nil"/>
              <w:left w:val="nil"/>
              <w:bottom w:val="nil"/>
              <w:right w:val="nil"/>
            </w:tcBorders>
            <w:shd w:val="clear" w:color="auto" w:fill="auto"/>
            <w:vAlign w:val="bottom"/>
          </w:tcPr>
          <w:p w14:paraId="3215AAA3" w14:textId="4BF9E4F0"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688</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bottom"/>
          </w:tcPr>
          <w:p w14:paraId="04400503" w14:textId="4CD095E4"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93,1</w:t>
            </w:r>
          </w:p>
        </w:tc>
      </w:tr>
      <w:tr w:rsidR="007B51A8" w:rsidRPr="00F83D7E" w14:paraId="2B125510"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3762A8C5"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nil"/>
              <w:left w:val="nil"/>
              <w:bottom w:val="single" w:sz="4" w:space="0" w:color="auto"/>
              <w:right w:val="single" w:sz="4" w:space="0" w:color="auto"/>
            </w:tcBorders>
            <w:shd w:val="clear" w:color="auto" w:fill="auto"/>
            <w:vAlign w:val="bottom"/>
          </w:tcPr>
          <w:p w14:paraId="5EF16DEC" w14:textId="7913295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1 232</w:t>
            </w:r>
          </w:p>
        </w:tc>
        <w:tc>
          <w:tcPr>
            <w:tcW w:w="840" w:type="dxa"/>
            <w:tcBorders>
              <w:top w:val="nil"/>
              <w:left w:val="nil"/>
              <w:bottom w:val="single" w:sz="4" w:space="0" w:color="auto"/>
              <w:right w:val="single" w:sz="4" w:space="0" w:color="auto"/>
            </w:tcBorders>
            <w:shd w:val="clear" w:color="auto" w:fill="auto"/>
            <w:vAlign w:val="bottom"/>
          </w:tcPr>
          <w:p w14:paraId="6F12E733" w14:textId="6F25BC7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989</w:t>
            </w:r>
          </w:p>
        </w:tc>
        <w:tc>
          <w:tcPr>
            <w:tcW w:w="720" w:type="dxa"/>
            <w:tcBorders>
              <w:top w:val="nil"/>
              <w:left w:val="nil"/>
              <w:bottom w:val="single" w:sz="4" w:space="0" w:color="auto"/>
              <w:right w:val="single" w:sz="12" w:space="0" w:color="auto"/>
            </w:tcBorders>
            <w:shd w:val="clear" w:color="auto" w:fill="auto"/>
            <w:vAlign w:val="bottom"/>
          </w:tcPr>
          <w:p w14:paraId="433C8205" w14:textId="15BBA3DB"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80,3</w:t>
            </w:r>
          </w:p>
        </w:tc>
        <w:tc>
          <w:tcPr>
            <w:tcW w:w="840" w:type="dxa"/>
            <w:tcBorders>
              <w:top w:val="nil"/>
              <w:left w:val="single" w:sz="12" w:space="0" w:color="auto"/>
              <w:bottom w:val="single" w:sz="4" w:space="0" w:color="auto"/>
              <w:right w:val="single" w:sz="4" w:space="0" w:color="auto"/>
            </w:tcBorders>
            <w:shd w:val="clear" w:color="auto" w:fill="auto"/>
            <w:vAlign w:val="bottom"/>
          </w:tcPr>
          <w:p w14:paraId="0354C247" w14:textId="5A89C9D2"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492</w:t>
            </w:r>
          </w:p>
        </w:tc>
        <w:tc>
          <w:tcPr>
            <w:tcW w:w="840" w:type="dxa"/>
            <w:tcBorders>
              <w:top w:val="nil"/>
              <w:left w:val="nil"/>
              <w:bottom w:val="single" w:sz="4" w:space="0" w:color="auto"/>
              <w:right w:val="single" w:sz="4" w:space="0" w:color="auto"/>
            </w:tcBorders>
            <w:shd w:val="clear" w:color="auto" w:fill="auto"/>
            <w:vAlign w:val="bottom"/>
          </w:tcPr>
          <w:p w14:paraId="65ADC3B4" w14:textId="73105F25"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269</w:t>
            </w:r>
          </w:p>
        </w:tc>
        <w:tc>
          <w:tcPr>
            <w:tcW w:w="720" w:type="dxa"/>
            <w:tcBorders>
              <w:top w:val="nil"/>
              <w:left w:val="nil"/>
              <w:bottom w:val="single" w:sz="4" w:space="0" w:color="auto"/>
              <w:right w:val="single" w:sz="12" w:space="0" w:color="auto"/>
            </w:tcBorders>
            <w:shd w:val="clear" w:color="auto" w:fill="auto"/>
            <w:vAlign w:val="bottom"/>
          </w:tcPr>
          <w:p w14:paraId="5639CD26" w14:textId="561EF0D2"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54,7</w:t>
            </w:r>
          </w:p>
        </w:tc>
        <w:tc>
          <w:tcPr>
            <w:tcW w:w="840" w:type="dxa"/>
            <w:tcBorders>
              <w:top w:val="nil"/>
              <w:left w:val="single" w:sz="12" w:space="0" w:color="auto"/>
              <w:bottom w:val="single" w:sz="4" w:space="0" w:color="auto"/>
              <w:right w:val="single" w:sz="4" w:space="0" w:color="auto"/>
            </w:tcBorders>
            <w:shd w:val="clear" w:color="auto" w:fill="auto"/>
            <w:vAlign w:val="bottom"/>
          </w:tcPr>
          <w:p w14:paraId="028005D9" w14:textId="7C099528"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740</w:t>
            </w:r>
          </w:p>
        </w:tc>
        <w:tc>
          <w:tcPr>
            <w:tcW w:w="840" w:type="dxa"/>
            <w:tcBorders>
              <w:top w:val="single" w:sz="4" w:space="0" w:color="auto"/>
              <w:left w:val="nil"/>
              <w:bottom w:val="single" w:sz="4" w:space="0" w:color="auto"/>
              <w:right w:val="single" w:sz="4" w:space="0" w:color="auto"/>
            </w:tcBorders>
            <w:shd w:val="clear" w:color="auto" w:fill="auto"/>
            <w:vAlign w:val="bottom"/>
          </w:tcPr>
          <w:p w14:paraId="046CFD8C" w14:textId="16AC1CD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720</w:t>
            </w:r>
          </w:p>
        </w:tc>
        <w:tc>
          <w:tcPr>
            <w:tcW w:w="720" w:type="dxa"/>
            <w:tcBorders>
              <w:top w:val="nil"/>
              <w:left w:val="nil"/>
              <w:bottom w:val="single" w:sz="4" w:space="0" w:color="auto"/>
              <w:right w:val="single" w:sz="12" w:space="0" w:color="auto"/>
            </w:tcBorders>
            <w:shd w:val="clear" w:color="auto" w:fill="auto"/>
            <w:vAlign w:val="bottom"/>
          </w:tcPr>
          <w:p w14:paraId="6447A1AD" w14:textId="63DA260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97,3</w:t>
            </w:r>
          </w:p>
        </w:tc>
      </w:tr>
      <w:tr w:rsidR="007B51A8" w:rsidRPr="00F83D7E" w14:paraId="1D47BCBB"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79560E97"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Jihočeský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757AB781" w14:textId="42F121BF"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684</w:t>
            </w:r>
          </w:p>
        </w:tc>
        <w:tc>
          <w:tcPr>
            <w:tcW w:w="840" w:type="dxa"/>
            <w:tcBorders>
              <w:top w:val="nil"/>
              <w:left w:val="nil"/>
              <w:bottom w:val="single" w:sz="4" w:space="0" w:color="auto"/>
              <w:right w:val="single" w:sz="4" w:space="0" w:color="auto"/>
            </w:tcBorders>
            <w:shd w:val="clear" w:color="auto" w:fill="auto"/>
            <w:vAlign w:val="bottom"/>
          </w:tcPr>
          <w:p w14:paraId="7FDECB6B" w14:textId="37A8825D"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596</w:t>
            </w:r>
          </w:p>
        </w:tc>
        <w:tc>
          <w:tcPr>
            <w:tcW w:w="720" w:type="dxa"/>
            <w:tcBorders>
              <w:top w:val="nil"/>
              <w:left w:val="nil"/>
              <w:bottom w:val="single" w:sz="4" w:space="0" w:color="auto"/>
              <w:right w:val="single" w:sz="12" w:space="0" w:color="auto"/>
            </w:tcBorders>
            <w:shd w:val="clear" w:color="auto" w:fill="auto"/>
            <w:vAlign w:val="bottom"/>
          </w:tcPr>
          <w:p w14:paraId="212EB5F1" w14:textId="569E0BC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87,1</w:t>
            </w:r>
          </w:p>
        </w:tc>
        <w:tc>
          <w:tcPr>
            <w:tcW w:w="840" w:type="dxa"/>
            <w:tcBorders>
              <w:top w:val="nil"/>
              <w:left w:val="single" w:sz="12" w:space="0" w:color="auto"/>
              <w:bottom w:val="single" w:sz="4" w:space="0" w:color="auto"/>
              <w:right w:val="single" w:sz="4" w:space="0" w:color="auto"/>
            </w:tcBorders>
            <w:shd w:val="clear" w:color="auto" w:fill="auto"/>
            <w:vAlign w:val="bottom"/>
          </w:tcPr>
          <w:p w14:paraId="1806B1F3" w14:textId="083734B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249</w:t>
            </w:r>
          </w:p>
        </w:tc>
        <w:tc>
          <w:tcPr>
            <w:tcW w:w="840" w:type="dxa"/>
            <w:tcBorders>
              <w:top w:val="nil"/>
              <w:left w:val="nil"/>
              <w:bottom w:val="single" w:sz="4" w:space="0" w:color="auto"/>
              <w:right w:val="single" w:sz="4" w:space="0" w:color="auto"/>
            </w:tcBorders>
            <w:shd w:val="clear" w:color="auto" w:fill="auto"/>
            <w:vAlign w:val="bottom"/>
          </w:tcPr>
          <w:p w14:paraId="53E5711F" w14:textId="48ED9B95"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170</w:t>
            </w:r>
          </w:p>
        </w:tc>
        <w:tc>
          <w:tcPr>
            <w:tcW w:w="720" w:type="dxa"/>
            <w:tcBorders>
              <w:top w:val="nil"/>
              <w:left w:val="nil"/>
              <w:bottom w:val="single" w:sz="4" w:space="0" w:color="auto"/>
              <w:right w:val="single" w:sz="12" w:space="0" w:color="auto"/>
            </w:tcBorders>
            <w:shd w:val="clear" w:color="auto" w:fill="auto"/>
            <w:vAlign w:val="bottom"/>
          </w:tcPr>
          <w:p w14:paraId="243194CB" w14:textId="5E7673D3"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68,3</w:t>
            </w:r>
          </w:p>
        </w:tc>
        <w:tc>
          <w:tcPr>
            <w:tcW w:w="840" w:type="dxa"/>
            <w:tcBorders>
              <w:top w:val="nil"/>
              <w:left w:val="single" w:sz="12" w:space="0" w:color="auto"/>
              <w:bottom w:val="single" w:sz="4" w:space="0" w:color="auto"/>
              <w:right w:val="single" w:sz="4" w:space="0" w:color="auto"/>
            </w:tcBorders>
            <w:shd w:val="clear" w:color="auto" w:fill="auto"/>
            <w:vAlign w:val="bottom"/>
          </w:tcPr>
          <w:p w14:paraId="1D26041E" w14:textId="0146578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435</w:t>
            </w:r>
          </w:p>
        </w:tc>
        <w:tc>
          <w:tcPr>
            <w:tcW w:w="840" w:type="dxa"/>
            <w:tcBorders>
              <w:top w:val="nil"/>
              <w:left w:val="nil"/>
              <w:bottom w:val="single" w:sz="4" w:space="0" w:color="auto"/>
              <w:right w:val="single" w:sz="4" w:space="0" w:color="auto"/>
            </w:tcBorders>
            <w:shd w:val="clear" w:color="auto" w:fill="auto"/>
            <w:vAlign w:val="bottom"/>
          </w:tcPr>
          <w:p w14:paraId="5678BA9B" w14:textId="02994CF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426</w:t>
            </w:r>
          </w:p>
        </w:tc>
        <w:tc>
          <w:tcPr>
            <w:tcW w:w="720" w:type="dxa"/>
            <w:tcBorders>
              <w:top w:val="nil"/>
              <w:left w:val="nil"/>
              <w:bottom w:val="single" w:sz="4" w:space="0" w:color="auto"/>
              <w:right w:val="single" w:sz="12" w:space="0" w:color="auto"/>
            </w:tcBorders>
            <w:shd w:val="clear" w:color="auto" w:fill="auto"/>
            <w:vAlign w:val="bottom"/>
          </w:tcPr>
          <w:p w14:paraId="709B9FA0" w14:textId="4E2933B5"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97,9</w:t>
            </w:r>
          </w:p>
        </w:tc>
      </w:tr>
      <w:tr w:rsidR="007B51A8" w:rsidRPr="00F83D7E" w14:paraId="7C01A9B2"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6420124C"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Plzeňský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D6AC893" w14:textId="1DB185A7"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599</w:t>
            </w:r>
          </w:p>
        </w:tc>
        <w:tc>
          <w:tcPr>
            <w:tcW w:w="840" w:type="dxa"/>
            <w:tcBorders>
              <w:top w:val="nil"/>
              <w:left w:val="nil"/>
              <w:bottom w:val="single" w:sz="4" w:space="0" w:color="auto"/>
              <w:right w:val="single" w:sz="4" w:space="0" w:color="auto"/>
            </w:tcBorders>
            <w:shd w:val="clear" w:color="auto" w:fill="auto"/>
            <w:vAlign w:val="bottom"/>
          </w:tcPr>
          <w:p w14:paraId="449D7682" w14:textId="3E610932"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475</w:t>
            </w:r>
          </w:p>
        </w:tc>
        <w:tc>
          <w:tcPr>
            <w:tcW w:w="720" w:type="dxa"/>
            <w:tcBorders>
              <w:top w:val="nil"/>
              <w:left w:val="nil"/>
              <w:bottom w:val="single" w:sz="4" w:space="0" w:color="auto"/>
              <w:right w:val="single" w:sz="12" w:space="0" w:color="auto"/>
            </w:tcBorders>
            <w:shd w:val="clear" w:color="auto" w:fill="auto"/>
            <w:vAlign w:val="bottom"/>
          </w:tcPr>
          <w:p w14:paraId="67D84186" w14:textId="2BAA9F7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79,3</w:t>
            </w:r>
          </w:p>
        </w:tc>
        <w:tc>
          <w:tcPr>
            <w:tcW w:w="840" w:type="dxa"/>
            <w:tcBorders>
              <w:top w:val="nil"/>
              <w:left w:val="single" w:sz="12" w:space="0" w:color="auto"/>
              <w:bottom w:val="single" w:sz="4" w:space="0" w:color="auto"/>
              <w:right w:val="single" w:sz="4" w:space="0" w:color="auto"/>
            </w:tcBorders>
            <w:shd w:val="clear" w:color="auto" w:fill="auto"/>
            <w:vAlign w:val="bottom"/>
          </w:tcPr>
          <w:p w14:paraId="6E56ABE3" w14:textId="4BB4DCC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235</w:t>
            </w:r>
          </w:p>
        </w:tc>
        <w:tc>
          <w:tcPr>
            <w:tcW w:w="840" w:type="dxa"/>
            <w:tcBorders>
              <w:top w:val="nil"/>
              <w:left w:val="nil"/>
              <w:bottom w:val="single" w:sz="4" w:space="0" w:color="auto"/>
              <w:right w:val="single" w:sz="4" w:space="0" w:color="auto"/>
            </w:tcBorders>
            <w:shd w:val="clear" w:color="auto" w:fill="auto"/>
            <w:vAlign w:val="bottom"/>
          </w:tcPr>
          <w:p w14:paraId="0E0D071F" w14:textId="7486360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125</w:t>
            </w:r>
          </w:p>
        </w:tc>
        <w:tc>
          <w:tcPr>
            <w:tcW w:w="720" w:type="dxa"/>
            <w:tcBorders>
              <w:top w:val="nil"/>
              <w:left w:val="nil"/>
              <w:bottom w:val="single" w:sz="4" w:space="0" w:color="auto"/>
              <w:right w:val="single" w:sz="12" w:space="0" w:color="auto"/>
            </w:tcBorders>
            <w:shd w:val="clear" w:color="auto" w:fill="auto"/>
            <w:vAlign w:val="bottom"/>
          </w:tcPr>
          <w:p w14:paraId="24D6FA38" w14:textId="5BD46B4F"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53,2</w:t>
            </w:r>
          </w:p>
        </w:tc>
        <w:tc>
          <w:tcPr>
            <w:tcW w:w="840" w:type="dxa"/>
            <w:tcBorders>
              <w:top w:val="nil"/>
              <w:left w:val="single" w:sz="12" w:space="0" w:color="auto"/>
              <w:bottom w:val="single" w:sz="4" w:space="0" w:color="auto"/>
              <w:right w:val="single" w:sz="4" w:space="0" w:color="auto"/>
            </w:tcBorders>
            <w:shd w:val="clear" w:color="auto" w:fill="auto"/>
            <w:vAlign w:val="bottom"/>
          </w:tcPr>
          <w:p w14:paraId="6649F488" w14:textId="7F25A6C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364</w:t>
            </w:r>
          </w:p>
        </w:tc>
        <w:tc>
          <w:tcPr>
            <w:tcW w:w="840" w:type="dxa"/>
            <w:tcBorders>
              <w:top w:val="nil"/>
              <w:left w:val="nil"/>
              <w:bottom w:val="single" w:sz="4" w:space="0" w:color="auto"/>
              <w:right w:val="single" w:sz="4" w:space="0" w:color="auto"/>
            </w:tcBorders>
            <w:shd w:val="clear" w:color="auto" w:fill="auto"/>
            <w:vAlign w:val="bottom"/>
          </w:tcPr>
          <w:p w14:paraId="3E36FC78" w14:textId="627B8AB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350</w:t>
            </w:r>
          </w:p>
        </w:tc>
        <w:tc>
          <w:tcPr>
            <w:tcW w:w="720" w:type="dxa"/>
            <w:tcBorders>
              <w:top w:val="nil"/>
              <w:left w:val="nil"/>
              <w:bottom w:val="single" w:sz="4" w:space="0" w:color="auto"/>
              <w:right w:val="single" w:sz="12" w:space="0" w:color="auto"/>
            </w:tcBorders>
            <w:shd w:val="clear" w:color="auto" w:fill="auto"/>
            <w:vAlign w:val="bottom"/>
          </w:tcPr>
          <w:p w14:paraId="5E80531F" w14:textId="38855C55"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96,2</w:t>
            </w:r>
          </w:p>
        </w:tc>
      </w:tr>
      <w:tr w:rsidR="007B51A8" w:rsidRPr="00F83D7E" w14:paraId="02A1D2A9"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66D7FEE8"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Karlovarský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075B0432" w14:textId="6F33F827"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273</w:t>
            </w:r>
          </w:p>
        </w:tc>
        <w:tc>
          <w:tcPr>
            <w:tcW w:w="840" w:type="dxa"/>
            <w:tcBorders>
              <w:top w:val="nil"/>
              <w:left w:val="nil"/>
              <w:bottom w:val="single" w:sz="4" w:space="0" w:color="auto"/>
              <w:right w:val="single" w:sz="4" w:space="0" w:color="auto"/>
            </w:tcBorders>
            <w:shd w:val="clear" w:color="auto" w:fill="auto"/>
            <w:vAlign w:val="bottom"/>
          </w:tcPr>
          <w:p w14:paraId="49BC9395" w14:textId="37C3D0C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209</w:t>
            </w:r>
          </w:p>
        </w:tc>
        <w:tc>
          <w:tcPr>
            <w:tcW w:w="720" w:type="dxa"/>
            <w:tcBorders>
              <w:top w:val="nil"/>
              <w:left w:val="nil"/>
              <w:bottom w:val="single" w:sz="4" w:space="0" w:color="auto"/>
              <w:right w:val="single" w:sz="12" w:space="0" w:color="auto"/>
            </w:tcBorders>
            <w:shd w:val="clear" w:color="auto" w:fill="auto"/>
            <w:vAlign w:val="bottom"/>
          </w:tcPr>
          <w:p w14:paraId="6276956A" w14:textId="6E2C34D5"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76,6</w:t>
            </w:r>
          </w:p>
        </w:tc>
        <w:tc>
          <w:tcPr>
            <w:tcW w:w="840" w:type="dxa"/>
            <w:tcBorders>
              <w:top w:val="nil"/>
              <w:left w:val="single" w:sz="12" w:space="0" w:color="auto"/>
              <w:bottom w:val="single" w:sz="4" w:space="0" w:color="auto"/>
              <w:right w:val="single" w:sz="4" w:space="0" w:color="auto"/>
            </w:tcBorders>
            <w:shd w:val="clear" w:color="auto" w:fill="auto"/>
            <w:vAlign w:val="bottom"/>
          </w:tcPr>
          <w:p w14:paraId="7A4EFEFD" w14:textId="30F3BC7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121</w:t>
            </w:r>
          </w:p>
        </w:tc>
        <w:tc>
          <w:tcPr>
            <w:tcW w:w="840" w:type="dxa"/>
            <w:tcBorders>
              <w:top w:val="nil"/>
              <w:left w:val="nil"/>
              <w:bottom w:val="single" w:sz="4" w:space="0" w:color="auto"/>
              <w:right w:val="single" w:sz="4" w:space="0" w:color="auto"/>
            </w:tcBorders>
            <w:shd w:val="clear" w:color="auto" w:fill="auto"/>
            <w:vAlign w:val="bottom"/>
          </w:tcPr>
          <w:p w14:paraId="439916F0" w14:textId="119259C8"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60</w:t>
            </w:r>
          </w:p>
        </w:tc>
        <w:tc>
          <w:tcPr>
            <w:tcW w:w="720" w:type="dxa"/>
            <w:tcBorders>
              <w:top w:val="nil"/>
              <w:left w:val="nil"/>
              <w:bottom w:val="single" w:sz="4" w:space="0" w:color="auto"/>
              <w:right w:val="single" w:sz="12" w:space="0" w:color="auto"/>
            </w:tcBorders>
            <w:shd w:val="clear" w:color="auto" w:fill="auto"/>
            <w:vAlign w:val="bottom"/>
          </w:tcPr>
          <w:p w14:paraId="6311C5BC" w14:textId="368B0FBE"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49,6</w:t>
            </w:r>
          </w:p>
        </w:tc>
        <w:tc>
          <w:tcPr>
            <w:tcW w:w="840" w:type="dxa"/>
            <w:tcBorders>
              <w:top w:val="nil"/>
              <w:left w:val="single" w:sz="12" w:space="0" w:color="auto"/>
              <w:bottom w:val="single" w:sz="4" w:space="0" w:color="auto"/>
              <w:right w:val="single" w:sz="4" w:space="0" w:color="auto"/>
            </w:tcBorders>
            <w:shd w:val="clear" w:color="auto" w:fill="auto"/>
            <w:vAlign w:val="bottom"/>
          </w:tcPr>
          <w:p w14:paraId="3BDBA140" w14:textId="0FE7CDCF"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152</w:t>
            </w:r>
          </w:p>
        </w:tc>
        <w:tc>
          <w:tcPr>
            <w:tcW w:w="840" w:type="dxa"/>
            <w:tcBorders>
              <w:top w:val="nil"/>
              <w:left w:val="nil"/>
              <w:bottom w:val="single" w:sz="4" w:space="0" w:color="auto"/>
              <w:right w:val="single" w:sz="4" w:space="0" w:color="auto"/>
            </w:tcBorders>
            <w:shd w:val="clear" w:color="auto" w:fill="auto"/>
            <w:vAlign w:val="bottom"/>
          </w:tcPr>
          <w:p w14:paraId="73C5F9ED" w14:textId="4ACF334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149</w:t>
            </w:r>
          </w:p>
        </w:tc>
        <w:tc>
          <w:tcPr>
            <w:tcW w:w="720" w:type="dxa"/>
            <w:tcBorders>
              <w:top w:val="nil"/>
              <w:left w:val="nil"/>
              <w:bottom w:val="single" w:sz="4" w:space="0" w:color="auto"/>
              <w:right w:val="single" w:sz="12" w:space="0" w:color="auto"/>
            </w:tcBorders>
            <w:shd w:val="clear" w:color="auto" w:fill="auto"/>
            <w:vAlign w:val="bottom"/>
          </w:tcPr>
          <w:p w14:paraId="0D11E599" w14:textId="09EDE8CF"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98,0</w:t>
            </w:r>
          </w:p>
        </w:tc>
      </w:tr>
      <w:tr w:rsidR="007B51A8" w:rsidRPr="00F83D7E" w14:paraId="6D167AFD"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151B5A17"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Ústecký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55BDCC7" w14:textId="0708F66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784</w:t>
            </w:r>
          </w:p>
        </w:tc>
        <w:tc>
          <w:tcPr>
            <w:tcW w:w="840" w:type="dxa"/>
            <w:tcBorders>
              <w:top w:val="nil"/>
              <w:left w:val="nil"/>
              <w:bottom w:val="single" w:sz="4" w:space="0" w:color="auto"/>
              <w:right w:val="single" w:sz="4" w:space="0" w:color="auto"/>
            </w:tcBorders>
            <w:shd w:val="clear" w:color="auto" w:fill="auto"/>
            <w:vAlign w:val="bottom"/>
          </w:tcPr>
          <w:p w14:paraId="4031A685" w14:textId="7DE1F03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634</w:t>
            </w:r>
          </w:p>
        </w:tc>
        <w:tc>
          <w:tcPr>
            <w:tcW w:w="720" w:type="dxa"/>
            <w:tcBorders>
              <w:top w:val="nil"/>
              <w:left w:val="nil"/>
              <w:bottom w:val="single" w:sz="4" w:space="0" w:color="auto"/>
              <w:right w:val="single" w:sz="12" w:space="0" w:color="auto"/>
            </w:tcBorders>
            <w:shd w:val="clear" w:color="auto" w:fill="auto"/>
            <w:vAlign w:val="bottom"/>
          </w:tcPr>
          <w:p w14:paraId="4BCE0931" w14:textId="5FCA22AF"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80,9</w:t>
            </w:r>
          </w:p>
        </w:tc>
        <w:tc>
          <w:tcPr>
            <w:tcW w:w="840" w:type="dxa"/>
            <w:tcBorders>
              <w:top w:val="nil"/>
              <w:left w:val="single" w:sz="12" w:space="0" w:color="auto"/>
              <w:bottom w:val="single" w:sz="4" w:space="0" w:color="auto"/>
              <w:right w:val="single" w:sz="4" w:space="0" w:color="auto"/>
            </w:tcBorders>
            <w:shd w:val="clear" w:color="auto" w:fill="auto"/>
            <w:vAlign w:val="bottom"/>
          </w:tcPr>
          <w:p w14:paraId="3A438494" w14:textId="68A17B3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322</w:t>
            </w:r>
          </w:p>
        </w:tc>
        <w:tc>
          <w:tcPr>
            <w:tcW w:w="840" w:type="dxa"/>
            <w:tcBorders>
              <w:top w:val="nil"/>
              <w:left w:val="nil"/>
              <w:bottom w:val="single" w:sz="4" w:space="0" w:color="auto"/>
              <w:right w:val="single" w:sz="4" w:space="0" w:color="auto"/>
            </w:tcBorders>
            <w:shd w:val="clear" w:color="auto" w:fill="auto"/>
            <w:vAlign w:val="bottom"/>
          </w:tcPr>
          <w:p w14:paraId="4B41EB32" w14:textId="1600356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193</w:t>
            </w:r>
          </w:p>
        </w:tc>
        <w:tc>
          <w:tcPr>
            <w:tcW w:w="720" w:type="dxa"/>
            <w:tcBorders>
              <w:top w:val="nil"/>
              <w:left w:val="nil"/>
              <w:bottom w:val="single" w:sz="4" w:space="0" w:color="auto"/>
              <w:right w:val="single" w:sz="12" w:space="0" w:color="auto"/>
            </w:tcBorders>
            <w:shd w:val="clear" w:color="auto" w:fill="auto"/>
            <w:vAlign w:val="bottom"/>
          </w:tcPr>
          <w:p w14:paraId="3AE8B74E" w14:textId="210CD2FC"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59,9</w:t>
            </w:r>
          </w:p>
        </w:tc>
        <w:tc>
          <w:tcPr>
            <w:tcW w:w="840" w:type="dxa"/>
            <w:tcBorders>
              <w:top w:val="nil"/>
              <w:left w:val="single" w:sz="12" w:space="0" w:color="auto"/>
              <w:bottom w:val="single" w:sz="4" w:space="0" w:color="auto"/>
              <w:right w:val="single" w:sz="4" w:space="0" w:color="auto"/>
            </w:tcBorders>
            <w:shd w:val="clear" w:color="auto" w:fill="auto"/>
            <w:vAlign w:val="bottom"/>
          </w:tcPr>
          <w:p w14:paraId="0CCCF285" w14:textId="0406D3F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462</w:t>
            </w:r>
          </w:p>
        </w:tc>
        <w:tc>
          <w:tcPr>
            <w:tcW w:w="840" w:type="dxa"/>
            <w:tcBorders>
              <w:top w:val="nil"/>
              <w:left w:val="nil"/>
              <w:bottom w:val="single" w:sz="4" w:space="0" w:color="auto"/>
              <w:right w:val="single" w:sz="4" w:space="0" w:color="auto"/>
            </w:tcBorders>
            <w:shd w:val="clear" w:color="auto" w:fill="auto"/>
            <w:vAlign w:val="bottom"/>
          </w:tcPr>
          <w:p w14:paraId="2D80A139" w14:textId="14FF142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441</w:t>
            </w:r>
          </w:p>
        </w:tc>
        <w:tc>
          <w:tcPr>
            <w:tcW w:w="720" w:type="dxa"/>
            <w:tcBorders>
              <w:top w:val="nil"/>
              <w:left w:val="nil"/>
              <w:bottom w:val="single" w:sz="4" w:space="0" w:color="auto"/>
              <w:right w:val="single" w:sz="12" w:space="0" w:color="auto"/>
            </w:tcBorders>
            <w:shd w:val="clear" w:color="auto" w:fill="auto"/>
            <w:vAlign w:val="bottom"/>
          </w:tcPr>
          <w:p w14:paraId="3AB5D76E" w14:textId="18B42EED"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95,5</w:t>
            </w:r>
          </w:p>
        </w:tc>
      </w:tr>
      <w:tr w:rsidR="007B51A8" w:rsidRPr="00F83D7E" w14:paraId="479AF48F"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1279288F"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Liberecký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4D15B81C" w14:textId="5378F40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422</w:t>
            </w:r>
          </w:p>
        </w:tc>
        <w:tc>
          <w:tcPr>
            <w:tcW w:w="840" w:type="dxa"/>
            <w:tcBorders>
              <w:top w:val="nil"/>
              <w:left w:val="nil"/>
              <w:bottom w:val="single" w:sz="4" w:space="0" w:color="auto"/>
              <w:right w:val="single" w:sz="4" w:space="0" w:color="auto"/>
            </w:tcBorders>
            <w:shd w:val="clear" w:color="auto" w:fill="auto"/>
            <w:vAlign w:val="bottom"/>
          </w:tcPr>
          <w:p w14:paraId="5544F2EC" w14:textId="623626F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365</w:t>
            </w:r>
          </w:p>
        </w:tc>
        <w:tc>
          <w:tcPr>
            <w:tcW w:w="720" w:type="dxa"/>
            <w:tcBorders>
              <w:top w:val="nil"/>
              <w:left w:val="nil"/>
              <w:bottom w:val="single" w:sz="4" w:space="0" w:color="auto"/>
              <w:right w:val="single" w:sz="12" w:space="0" w:color="auto"/>
            </w:tcBorders>
            <w:shd w:val="clear" w:color="auto" w:fill="auto"/>
            <w:vAlign w:val="bottom"/>
          </w:tcPr>
          <w:p w14:paraId="51281F06" w14:textId="52812EE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86,5</w:t>
            </w:r>
          </w:p>
        </w:tc>
        <w:tc>
          <w:tcPr>
            <w:tcW w:w="840" w:type="dxa"/>
            <w:tcBorders>
              <w:top w:val="nil"/>
              <w:left w:val="single" w:sz="12" w:space="0" w:color="auto"/>
              <w:bottom w:val="single" w:sz="4" w:space="0" w:color="auto"/>
              <w:right w:val="single" w:sz="4" w:space="0" w:color="auto"/>
            </w:tcBorders>
            <w:shd w:val="clear" w:color="auto" w:fill="auto"/>
            <w:vAlign w:val="bottom"/>
          </w:tcPr>
          <w:p w14:paraId="0B3B1A7A" w14:textId="40F0A8E9"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156</w:t>
            </w:r>
          </w:p>
        </w:tc>
        <w:tc>
          <w:tcPr>
            <w:tcW w:w="840" w:type="dxa"/>
            <w:tcBorders>
              <w:top w:val="nil"/>
              <w:left w:val="nil"/>
              <w:bottom w:val="single" w:sz="4" w:space="0" w:color="auto"/>
              <w:right w:val="single" w:sz="4" w:space="0" w:color="auto"/>
            </w:tcBorders>
            <w:shd w:val="clear" w:color="auto" w:fill="auto"/>
            <w:vAlign w:val="bottom"/>
          </w:tcPr>
          <w:p w14:paraId="75736002" w14:textId="6B8CC271"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106</w:t>
            </w:r>
          </w:p>
        </w:tc>
        <w:tc>
          <w:tcPr>
            <w:tcW w:w="720" w:type="dxa"/>
            <w:tcBorders>
              <w:top w:val="nil"/>
              <w:left w:val="nil"/>
              <w:bottom w:val="single" w:sz="4" w:space="0" w:color="auto"/>
              <w:right w:val="single" w:sz="12" w:space="0" w:color="auto"/>
            </w:tcBorders>
            <w:shd w:val="clear" w:color="auto" w:fill="auto"/>
            <w:vAlign w:val="bottom"/>
          </w:tcPr>
          <w:p w14:paraId="66371493" w14:textId="120C540D"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67,9</w:t>
            </w:r>
          </w:p>
        </w:tc>
        <w:tc>
          <w:tcPr>
            <w:tcW w:w="840" w:type="dxa"/>
            <w:tcBorders>
              <w:top w:val="nil"/>
              <w:left w:val="single" w:sz="12" w:space="0" w:color="auto"/>
              <w:bottom w:val="single" w:sz="4" w:space="0" w:color="auto"/>
              <w:right w:val="single" w:sz="4" w:space="0" w:color="auto"/>
            </w:tcBorders>
            <w:shd w:val="clear" w:color="auto" w:fill="auto"/>
            <w:vAlign w:val="bottom"/>
          </w:tcPr>
          <w:p w14:paraId="6A1D4250" w14:textId="7E0138E2"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266</w:t>
            </w:r>
          </w:p>
        </w:tc>
        <w:tc>
          <w:tcPr>
            <w:tcW w:w="840" w:type="dxa"/>
            <w:tcBorders>
              <w:top w:val="nil"/>
              <w:left w:val="nil"/>
              <w:bottom w:val="single" w:sz="4" w:space="0" w:color="auto"/>
              <w:right w:val="single" w:sz="4" w:space="0" w:color="auto"/>
            </w:tcBorders>
            <w:shd w:val="clear" w:color="auto" w:fill="auto"/>
            <w:vAlign w:val="bottom"/>
          </w:tcPr>
          <w:p w14:paraId="7F85DB03" w14:textId="0FF01EDB"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259</w:t>
            </w:r>
          </w:p>
        </w:tc>
        <w:tc>
          <w:tcPr>
            <w:tcW w:w="720" w:type="dxa"/>
            <w:tcBorders>
              <w:top w:val="nil"/>
              <w:left w:val="nil"/>
              <w:bottom w:val="single" w:sz="4" w:space="0" w:color="auto"/>
              <w:right w:val="single" w:sz="12" w:space="0" w:color="auto"/>
            </w:tcBorders>
            <w:shd w:val="clear" w:color="auto" w:fill="auto"/>
            <w:vAlign w:val="bottom"/>
          </w:tcPr>
          <w:p w14:paraId="4D300E21" w14:textId="09DC68A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97,4</w:t>
            </w:r>
          </w:p>
        </w:tc>
      </w:tr>
      <w:tr w:rsidR="007B51A8" w:rsidRPr="00F83D7E" w14:paraId="613803E1"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1EA4F35C" w14:textId="77777777" w:rsidR="007B51A8" w:rsidRPr="00CF3C06" w:rsidRDefault="007B51A8" w:rsidP="007B51A8">
            <w:pPr>
              <w:pStyle w:val="Zkladntext"/>
              <w:rPr>
                <w:rFonts w:ascii="Arial" w:hAnsi="Arial" w:cs="Arial"/>
                <w:sz w:val="16"/>
                <w:szCs w:val="16"/>
              </w:rPr>
            </w:pPr>
            <w:r w:rsidRPr="00DF48FF">
              <w:rPr>
                <w:rFonts w:ascii="Arial" w:hAnsi="Arial" w:cs="Arial"/>
                <w:sz w:val="16"/>
                <w:szCs w:val="16"/>
              </w:rPr>
              <w:t>Královéhradecký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918C8FE" w14:textId="67A70E14"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529</w:t>
            </w:r>
          </w:p>
        </w:tc>
        <w:tc>
          <w:tcPr>
            <w:tcW w:w="840" w:type="dxa"/>
            <w:tcBorders>
              <w:top w:val="nil"/>
              <w:left w:val="nil"/>
              <w:bottom w:val="single" w:sz="4" w:space="0" w:color="auto"/>
              <w:right w:val="single" w:sz="4" w:space="0" w:color="auto"/>
            </w:tcBorders>
            <w:shd w:val="clear" w:color="auto" w:fill="auto"/>
            <w:vAlign w:val="bottom"/>
          </w:tcPr>
          <w:p w14:paraId="06E39770" w14:textId="0ED3FF71"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432</w:t>
            </w:r>
          </w:p>
        </w:tc>
        <w:tc>
          <w:tcPr>
            <w:tcW w:w="720" w:type="dxa"/>
            <w:tcBorders>
              <w:top w:val="nil"/>
              <w:left w:val="nil"/>
              <w:bottom w:val="single" w:sz="4" w:space="0" w:color="auto"/>
              <w:right w:val="single" w:sz="12" w:space="0" w:color="auto"/>
            </w:tcBorders>
            <w:shd w:val="clear" w:color="auto" w:fill="auto"/>
            <w:vAlign w:val="bottom"/>
          </w:tcPr>
          <w:p w14:paraId="64354B06" w14:textId="75FB5449"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81,7</w:t>
            </w:r>
          </w:p>
        </w:tc>
        <w:tc>
          <w:tcPr>
            <w:tcW w:w="840" w:type="dxa"/>
            <w:tcBorders>
              <w:top w:val="nil"/>
              <w:left w:val="single" w:sz="12" w:space="0" w:color="auto"/>
              <w:bottom w:val="single" w:sz="4" w:space="0" w:color="auto"/>
              <w:right w:val="single" w:sz="4" w:space="0" w:color="auto"/>
            </w:tcBorders>
            <w:shd w:val="clear" w:color="auto" w:fill="auto"/>
            <w:vAlign w:val="bottom"/>
          </w:tcPr>
          <w:p w14:paraId="6B8C0CE1" w14:textId="45DD643D"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201</w:t>
            </w:r>
          </w:p>
        </w:tc>
        <w:tc>
          <w:tcPr>
            <w:tcW w:w="840" w:type="dxa"/>
            <w:tcBorders>
              <w:top w:val="nil"/>
              <w:left w:val="nil"/>
              <w:bottom w:val="single" w:sz="4" w:space="0" w:color="auto"/>
              <w:right w:val="single" w:sz="4" w:space="0" w:color="auto"/>
            </w:tcBorders>
            <w:shd w:val="clear" w:color="auto" w:fill="auto"/>
            <w:vAlign w:val="bottom"/>
          </w:tcPr>
          <w:p w14:paraId="76D6FC8F" w14:textId="595B4B67"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118</w:t>
            </w:r>
          </w:p>
        </w:tc>
        <w:tc>
          <w:tcPr>
            <w:tcW w:w="720" w:type="dxa"/>
            <w:tcBorders>
              <w:top w:val="nil"/>
              <w:left w:val="nil"/>
              <w:bottom w:val="single" w:sz="4" w:space="0" w:color="auto"/>
              <w:right w:val="single" w:sz="12" w:space="0" w:color="auto"/>
            </w:tcBorders>
            <w:shd w:val="clear" w:color="auto" w:fill="auto"/>
            <w:vAlign w:val="bottom"/>
          </w:tcPr>
          <w:p w14:paraId="30A3FEA6" w14:textId="1E68A70E" w:rsidR="007B51A8" w:rsidRPr="00F543E1" w:rsidRDefault="00504021" w:rsidP="007B51A8">
            <w:pPr>
              <w:pStyle w:val="Zkladntext"/>
              <w:tabs>
                <w:tab w:val="center" w:pos="4536"/>
                <w:tab w:val="right" w:pos="9072"/>
              </w:tabs>
              <w:jc w:val="right"/>
              <w:rPr>
                <w:rFonts w:ascii="Arial" w:hAnsi="Arial" w:cs="Arial"/>
                <w:sz w:val="16"/>
                <w:szCs w:val="16"/>
              </w:rPr>
            </w:pPr>
            <w:r w:rsidRPr="008E4554">
              <w:rPr>
                <w:rFonts w:ascii="Arial" w:hAnsi="Arial" w:cs="Arial"/>
                <w:color w:val="000000"/>
                <w:sz w:val="16"/>
                <w:szCs w:val="16"/>
              </w:rPr>
              <w:t>58,7</w:t>
            </w:r>
          </w:p>
        </w:tc>
        <w:tc>
          <w:tcPr>
            <w:tcW w:w="840" w:type="dxa"/>
            <w:tcBorders>
              <w:top w:val="nil"/>
              <w:left w:val="single" w:sz="12" w:space="0" w:color="auto"/>
              <w:bottom w:val="single" w:sz="4" w:space="0" w:color="auto"/>
              <w:right w:val="single" w:sz="4" w:space="0" w:color="auto"/>
            </w:tcBorders>
            <w:shd w:val="clear" w:color="auto" w:fill="auto"/>
            <w:vAlign w:val="bottom"/>
          </w:tcPr>
          <w:p w14:paraId="1E6CF428" w14:textId="2FDD887F"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328</w:t>
            </w:r>
          </w:p>
        </w:tc>
        <w:tc>
          <w:tcPr>
            <w:tcW w:w="840" w:type="dxa"/>
            <w:tcBorders>
              <w:top w:val="nil"/>
              <w:left w:val="nil"/>
              <w:bottom w:val="single" w:sz="4" w:space="0" w:color="auto"/>
              <w:right w:val="single" w:sz="4" w:space="0" w:color="auto"/>
            </w:tcBorders>
            <w:shd w:val="clear" w:color="auto" w:fill="auto"/>
            <w:vAlign w:val="bottom"/>
          </w:tcPr>
          <w:p w14:paraId="54DF71CE" w14:textId="60CA43C1"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314</w:t>
            </w:r>
          </w:p>
        </w:tc>
        <w:tc>
          <w:tcPr>
            <w:tcW w:w="720" w:type="dxa"/>
            <w:tcBorders>
              <w:top w:val="nil"/>
              <w:left w:val="nil"/>
              <w:bottom w:val="single" w:sz="4" w:space="0" w:color="auto"/>
              <w:right w:val="single" w:sz="12" w:space="0" w:color="auto"/>
            </w:tcBorders>
            <w:shd w:val="clear" w:color="auto" w:fill="auto"/>
            <w:vAlign w:val="bottom"/>
          </w:tcPr>
          <w:p w14:paraId="1B1DCC6C" w14:textId="4A96383A"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95,7</w:t>
            </w:r>
          </w:p>
        </w:tc>
      </w:tr>
      <w:tr w:rsidR="007B51A8" w:rsidRPr="00F83D7E" w14:paraId="5AD5D06B"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3CF9B4DE"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Pardubický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529C723A" w14:textId="7FF7DF3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555</w:t>
            </w:r>
          </w:p>
        </w:tc>
        <w:tc>
          <w:tcPr>
            <w:tcW w:w="840" w:type="dxa"/>
            <w:tcBorders>
              <w:top w:val="nil"/>
              <w:left w:val="nil"/>
              <w:bottom w:val="single" w:sz="4" w:space="0" w:color="auto"/>
              <w:right w:val="single" w:sz="4" w:space="0" w:color="auto"/>
            </w:tcBorders>
            <w:shd w:val="clear" w:color="auto" w:fill="auto"/>
            <w:vAlign w:val="bottom"/>
          </w:tcPr>
          <w:p w14:paraId="56D70325" w14:textId="633BFCA7"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459</w:t>
            </w:r>
          </w:p>
        </w:tc>
        <w:tc>
          <w:tcPr>
            <w:tcW w:w="720" w:type="dxa"/>
            <w:tcBorders>
              <w:top w:val="nil"/>
              <w:left w:val="nil"/>
              <w:bottom w:val="single" w:sz="4" w:space="0" w:color="auto"/>
              <w:right w:val="single" w:sz="12" w:space="0" w:color="auto"/>
            </w:tcBorders>
            <w:shd w:val="clear" w:color="auto" w:fill="auto"/>
            <w:vAlign w:val="bottom"/>
          </w:tcPr>
          <w:p w14:paraId="11A087BF" w14:textId="0F58764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82,7</w:t>
            </w:r>
          </w:p>
        </w:tc>
        <w:tc>
          <w:tcPr>
            <w:tcW w:w="840" w:type="dxa"/>
            <w:tcBorders>
              <w:top w:val="nil"/>
              <w:left w:val="single" w:sz="12" w:space="0" w:color="auto"/>
              <w:bottom w:val="single" w:sz="4" w:space="0" w:color="auto"/>
              <w:right w:val="single" w:sz="4" w:space="0" w:color="auto"/>
            </w:tcBorders>
            <w:shd w:val="clear" w:color="auto" w:fill="auto"/>
            <w:vAlign w:val="bottom"/>
          </w:tcPr>
          <w:p w14:paraId="5684740A" w14:textId="4FBD381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207</w:t>
            </w:r>
          </w:p>
        </w:tc>
        <w:tc>
          <w:tcPr>
            <w:tcW w:w="840" w:type="dxa"/>
            <w:tcBorders>
              <w:top w:val="nil"/>
              <w:left w:val="nil"/>
              <w:bottom w:val="single" w:sz="4" w:space="0" w:color="auto"/>
              <w:right w:val="single" w:sz="4" w:space="0" w:color="auto"/>
            </w:tcBorders>
            <w:shd w:val="clear" w:color="auto" w:fill="auto"/>
            <w:vAlign w:val="bottom"/>
          </w:tcPr>
          <w:p w14:paraId="326492AD" w14:textId="291D7EBB"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131</w:t>
            </w:r>
          </w:p>
        </w:tc>
        <w:tc>
          <w:tcPr>
            <w:tcW w:w="720" w:type="dxa"/>
            <w:tcBorders>
              <w:top w:val="nil"/>
              <w:left w:val="nil"/>
              <w:bottom w:val="single" w:sz="4" w:space="0" w:color="auto"/>
              <w:right w:val="single" w:sz="12" w:space="0" w:color="auto"/>
            </w:tcBorders>
            <w:shd w:val="clear" w:color="auto" w:fill="auto"/>
            <w:vAlign w:val="bottom"/>
          </w:tcPr>
          <w:p w14:paraId="575BD807" w14:textId="6B93A47F"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63,3</w:t>
            </w:r>
          </w:p>
        </w:tc>
        <w:tc>
          <w:tcPr>
            <w:tcW w:w="840" w:type="dxa"/>
            <w:tcBorders>
              <w:top w:val="nil"/>
              <w:left w:val="single" w:sz="12" w:space="0" w:color="auto"/>
              <w:bottom w:val="single" w:sz="4" w:space="0" w:color="auto"/>
              <w:right w:val="single" w:sz="4" w:space="0" w:color="auto"/>
            </w:tcBorders>
            <w:shd w:val="clear" w:color="auto" w:fill="auto"/>
            <w:vAlign w:val="bottom"/>
          </w:tcPr>
          <w:p w14:paraId="797B74EF" w14:textId="1A1A90CD"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348</w:t>
            </w:r>
          </w:p>
        </w:tc>
        <w:tc>
          <w:tcPr>
            <w:tcW w:w="840" w:type="dxa"/>
            <w:tcBorders>
              <w:top w:val="nil"/>
              <w:left w:val="nil"/>
              <w:bottom w:val="single" w:sz="4" w:space="0" w:color="auto"/>
              <w:right w:val="single" w:sz="4" w:space="0" w:color="auto"/>
            </w:tcBorders>
            <w:shd w:val="clear" w:color="auto" w:fill="auto"/>
            <w:vAlign w:val="bottom"/>
          </w:tcPr>
          <w:p w14:paraId="1041E059" w14:textId="0831DB4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328</w:t>
            </w:r>
          </w:p>
        </w:tc>
        <w:tc>
          <w:tcPr>
            <w:tcW w:w="720" w:type="dxa"/>
            <w:tcBorders>
              <w:top w:val="nil"/>
              <w:left w:val="nil"/>
              <w:bottom w:val="single" w:sz="4" w:space="0" w:color="auto"/>
              <w:right w:val="single" w:sz="12" w:space="0" w:color="auto"/>
            </w:tcBorders>
            <w:shd w:val="clear" w:color="auto" w:fill="auto"/>
            <w:vAlign w:val="bottom"/>
          </w:tcPr>
          <w:p w14:paraId="4A4882FC" w14:textId="7BB5B4E3"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94,3</w:t>
            </w:r>
          </w:p>
        </w:tc>
      </w:tr>
      <w:tr w:rsidR="007B51A8" w:rsidRPr="00F83D7E" w14:paraId="1A415E9F"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57A96EAA"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Vysočina</w:t>
            </w:r>
          </w:p>
        </w:tc>
        <w:tc>
          <w:tcPr>
            <w:tcW w:w="840" w:type="dxa"/>
            <w:tcBorders>
              <w:top w:val="nil"/>
              <w:left w:val="single" w:sz="8" w:space="0" w:color="auto"/>
              <w:bottom w:val="single" w:sz="4" w:space="0" w:color="auto"/>
              <w:right w:val="single" w:sz="4" w:space="0" w:color="auto"/>
            </w:tcBorders>
            <w:shd w:val="clear" w:color="auto" w:fill="auto"/>
            <w:vAlign w:val="bottom"/>
          </w:tcPr>
          <w:p w14:paraId="1A0748C6" w14:textId="04E96BF8"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564</w:t>
            </w:r>
          </w:p>
        </w:tc>
        <w:tc>
          <w:tcPr>
            <w:tcW w:w="840" w:type="dxa"/>
            <w:tcBorders>
              <w:top w:val="nil"/>
              <w:left w:val="nil"/>
              <w:bottom w:val="single" w:sz="4" w:space="0" w:color="auto"/>
              <w:right w:val="single" w:sz="4" w:space="0" w:color="auto"/>
            </w:tcBorders>
            <w:shd w:val="clear" w:color="auto" w:fill="auto"/>
            <w:vAlign w:val="bottom"/>
          </w:tcPr>
          <w:p w14:paraId="247FA5AE" w14:textId="09DFB42E"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466</w:t>
            </w:r>
          </w:p>
        </w:tc>
        <w:tc>
          <w:tcPr>
            <w:tcW w:w="720" w:type="dxa"/>
            <w:tcBorders>
              <w:top w:val="nil"/>
              <w:left w:val="nil"/>
              <w:bottom w:val="single" w:sz="4" w:space="0" w:color="auto"/>
              <w:right w:val="single" w:sz="12" w:space="0" w:color="auto"/>
            </w:tcBorders>
            <w:shd w:val="clear" w:color="auto" w:fill="auto"/>
            <w:vAlign w:val="bottom"/>
          </w:tcPr>
          <w:p w14:paraId="5003BE34" w14:textId="66100D32"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82,6</w:t>
            </w:r>
          </w:p>
        </w:tc>
        <w:tc>
          <w:tcPr>
            <w:tcW w:w="840" w:type="dxa"/>
            <w:tcBorders>
              <w:top w:val="nil"/>
              <w:left w:val="single" w:sz="12" w:space="0" w:color="auto"/>
              <w:bottom w:val="single" w:sz="4" w:space="0" w:color="auto"/>
              <w:right w:val="single" w:sz="4" w:space="0" w:color="auto"/>
            </w:tcBorders>
            <w:shd w:val="clear" w:color="auto" w:fill="auto"/>
            <w:vAlign w:val="bottom"/>
          </w:tcPr>
          <w:p w14:paraId="3AA4C15C" w14:textId="10D711C1"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200</w:t>
            </w:r>
          </w:p>
        </w:tc>
        <w:tc>
          <w:tcPr>
            <w:tcW w:w="840" w:type="dxa"/>
            <w:tcBorders>
              <w:top w:val="nil"/>
              <w:left w:val="nil"/>
              <w:bottom w:val="single" w:sz="4" w:space="0" w:color="auto"/>
              <w:right w:val="single" w:sz="4" w:space="0" w:color="auto"/>
            </w:tcBorders>
            <w:shd w:val="clear" w:color="auto" w:fill="auto"/>
            <w:vAlign w:val="bottom"/>
          </w:tcPr>
          <w:p w14:paraId="5D9AB28C" w14:textId="25D0E3BE"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118</w:t>
            </w:r>
          </w:p>
        </w:tc>
        <w:tc>
          <w:tcPr>
            <w:tcW w:w="720" w:type="dxa"/>
            <w:tcBorders>
              <w:top w:val="nil"/>
              <w:left w:val="nil"/>
              <w:bottom w:val="single" w:sz="4" w:space="0" w:color="auto"/>
              <w:right w:val="single" w:sz="12" w:space="0" w:color="auto"/>
            </w:tcBorders>
            <w:shd w:val="clear" w:color="auto" w:fill="auto"/>
            <w:vAlign w:val="bottom"/>
          </w:tcPr>
          <w:p w14:paraId="12C093AE" w14:textId="59BDC690"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59,0</w:t>
            </w:r>
          </w:p>
        </w:tc>
        <w:tc>
          <w:tcPr>
            <w:tcW w:w="840" w:type="dxa"/>
            <w:tcBorders>
              <w:top w:val="nil"/>
              <w:left w:val="single" w:sz="12" w:space="0" w:color="auto"/>
              <w:bottom w:val="single" w:sz="4" w:space="0" w:color="auto"/>
              <w:right w:val="single" w:sz="4" w:space="0" w:color="auto"/>
            </w:tcBorders>
            <w:shd w:val="clear" w:color="auto" w:fill="auto"/>
            <w:vAlign w:val="bottom"/>
          </w:tcPr>
          <w:p w14:paraId="00EE467E" w14:textId="60777AA5"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364</w:t>
            </w:r>
          </w:p>
        </w:tc>
        <w:tc>
          <w:tcPr>
            <w:tcW w:w="840" w:type="dxa"/>
            <w:tcBorders>
              <w:top w:val="nil"/>
              <w:left w:val="nil"/>
              <w:bottom w:val="single" w:sz="4" w:space="0" w:color="auto"/>
              <w:right w:val="single" w:sz="4" w:space="0" w:color="auto"/>
            </w:tcBorders>
            <w:shd w:val="clear" w:color="auto" w:fill="auto"/>
            <w:vAlign w:val="bottom"/>
          </w:tcPr>
          <w:p w14:paraId="5012FFCD" w14:textId="62A9013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348</w:t>
            </w:r>
          </w:p>
        </w:tc>
        <w:tc>
          <w:tcPr>
            <w:tcW w:w="720" w:type="dxa"/>
            <w:tcBorders>
              <w:top w:val="nil"/>
              <w:left w:val="nil"/>
              <w:bottom w:val="single" w:sz="4" w:space="0" w:color="auto"/>
              <w:right w:val="single" w:sz="12" w:space="0" w:color="auto"/>
            </w:tcBorders>
            <w:shd w:val="clear" w:color="auto" w:fill="auto"/>
            <w:vAlign w:val="bottom"/>
          </w:tcPr>
          <w:p w14:paraId="03EC45E0" w14:textId="08A00C0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95,6</w:t>
            </w:r>
          </w:p>
        </w:tc>
      </w:tr>
      <w:tr w:rsidR="007B51A8" w:rsidRPr="00F83D7E" w14:paraId="5CCC4E41"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58D7AEBC"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Jihomoravský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65574C3E" w14:textId="7EF902E2"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1 257</w:t>
            </w:r>
          </w:p>
        </w:tc>
        <w:tc>
          <w:tcPr>
            <w:tcW w:w="840" w:type="dxa"/>
            <w:tcBorders>
              <w:top w:val="nil"/>
              <w:left w:val="nil"/>
              <w:bottom w:val="single" w:sz="4" w:space="0" w:color="auto"/>
              <w:right w:val="single" w:sz="4" w:space="0" w:color="auto"/>
            </w:tcBorders>
            <w:shd w:val="clear" w:color="auto" w:fill="auto"/>
            <w:vAlign w:val="bottom"/>
          </w:tcPr>
          <w:p w14:paraId="6114E094" w14:textId="31F0A2B8"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1 011</w:t>
            </w:r>
          </w:p>
        </w:tc>
        <w:tc>
          <w:tcPr>
            <w:tcW w:w="720" w:type="dxa"/>
            <w:tcBorders>
              <w:top w:val="nil"/>
              <w:left w:val="nil"/>
              <w:bottom w:val="single" w:sz="4" w:space="0" w:color="auto"/>
              <w:right w:val="single" w:sz="12" w:space="0" w:color="auto"/>
            </w:tcBorders>
            <w:shd w:val="clear" w:color="auto" w:fill="auto"/>
            <w:vAlign w:val="bottom"/>
          </w:tcPr>
          <w:p w14:paraId="78F889D8" w14:textId="779F482E"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80,4</w:t>
            </w:r>
          </w:p>
        </w:tc>
        <w:tc>
          <w:tcPr>
            <w:tcW w:w="840" w:type="dxa"/>
            <w:tcBorders>
              <w:top w:val="nil"/>
              <w:left w:val="single" w:sz="12" w:space="0" w:color="auto"/>
              <w:bottom w:val="single" w:sz="4" w:space="0" w:color="auto"/>
              <w:right w:val="single" w:sz="4" w:space="0" w:color="auto"/>
            </w:tcBorders>
            <w:shd w:val="clear" w:color="auto" w:fill="auto"/>
            <w:vAlign w:val="bottom"/>
          </w:tcPr>
          <w:p w14:paraId="71CD1BE0" w14:textId="34A0F6A9"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487</w:t>
            </w:r>
          </w:p>
        </w:tc>
        <w:tc>
          <w:tcPr>
            <w:tcW w:w="840" w:type="dxa"/>
            <w:tcBorders>
              <w:top w:val="nil"/>
              <w:left w:val="nil"/>
              <w:bottom w:val="single" w:sz="4" w:space="0" w:color="auto"/>
              <w:right w:val="single" w:sz="4" w:space="0" w:color="auto"/>
            </w:tcBorders>
            <w:shd w:val="clear" w:color="auto" w:fill="auto"/>
            <w:vAlign w:val="bottom"/>
          </w:tcPr>
          <w:p w14:paraId="64B35CAE" w14:textId="1E23853E"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279</w:t>
            </w:r>
          </w:p>
        </w:tc>
        <w:tc>
          <w:tcPr>
            <w:tcW w:w="720" w:type="dxa"/>
            <w:tcBorders>
              <w:top w:val="nil"/>
              <w:left w:val="nil"/>
              <w:bottom w:val="single" w:sz="4" w:space="0" w:color="auto"/>
              <w:right w:val="single" w:sz="12" w:space="0" w:color="auto"/>
            </w:tcBorders>
            <w:shd w:val="clear" w:color="auto" w:fill="auto"/>
            <w:vAlign w:val="bottom"/>
          </w:tcPr>
          <w:p w14:paraId="4FF7663D" w14:textId="53BB58D0" w:rsidR="007B51A8" w:rsidRPr="00F543E1" w:rsidRDefault="00504021" w:rsidP="007B51A8">
            <w:pPr>
              <w:pStyle w:val="Zkladntext"/>
              <w:tabs>
                <w:tab w:val="center" w:pos="4536"/>
                <w:tab w:val="right" w:pos="9072"/>
              </w:tabs>
              <w:jc w:val="right"/>
              <w:rPr>
                <w:rFonts w:ascii="Arial" w:hAnsi="Arial" w:cs="Arial"/>
                <w:sz w:val="16"/>
                <w:szCs w:val="16"/>
              </w:rPr>
            </w:pPr>
            <w:r w:rsidRPr="008E4554">
              <w:rPr>
                <w:rFonts w:ascii="Arial" w:hAnsi="Arial" w:cs="Arial"/>
                <w:color w:val="000000"/>
                <w:sz w:val="16"/>
                <w:szCs w:val="16"/>
              </w:rPr>
              <w:t>57,3</w:t>
            </w:r>
          </w:p>
        </w:tc>
        <w:tc>
          <w:tcPr>
            <w:tcW w:w="840" w:type="dxa"/>
            <w:tcBorders>
              <w:top w:val="nil"/>
              <w:left w:val="single" w:sz="12" w:space="0" w:color="auto"/>
              <w:bottom w:val="single" w:sz="4" w:space="0" w:color="auto"/>
              <w:right w:val="single" w:sz="4" w:space="0" w:color="auto"/>
            </w:tcBorders>
            <w:shd w:val="clear" w:color="auto" w:fill="auto"/>
            <w:vAlign w:val="bottom"/>
          </w:tcPr>
          <w:p w14:paraId="611A02A2" w14:textId="554B13BB"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770</w:t>
            </w:r>
          </w:p>
        </w:tc>
        <w:tc>
          <w:tcPr>
            <w:tcW w:w="840" w:type="dxa"/>
            <w:tcBorders>
              <w:top w:val="nil"/>
              <w:left w:val="nil"/>
              <w:bottom w:val="single" w:sz="4" w:space="0" w:color="auto"/>
              <w:right w:val="single" w:sz="4" w:space="0" w:color="auto"/>
            </w:tcBorders>
            <w:shd w:val="clear" w:color="auto" w:fill="auto"/>
            <w:vAlign w:val="bottom"/>
          </w:tcPr>
          <w:p w14:paraId="3DE3DDD7" w14:textId="3C40C38D"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732</w:t>
            </w:r>
          </w:p>
        </w:tc>
        <w:tc>
          <w:tcPr>
            <w:tcW w:w="720" w:type="dxa"/>
            <w:tcBorders>
              <w:top w:val="nil"/>
              <w:left w:val="nil"/>
              <w:bottom w:val="single" w:sz="4" w:space="0" w:color="auto"/>
              <w:right w:val="single" w:sz="12" w:space="0" w:color="auto"/>
            </w:tcBorders>
            <w:shd w:val="clear" w:color="auto" w:fill="auto"/>
            <w:vAlign w:val="bottom"/>
          </w:tcPr>
          <w:p w14:paraId="69C2448A" w14:textId="1B9AD12A" w:rsidR="007B51A8" w:rsidRPr="00F543E1" w:rsidRDefault="00504021" w:rsidP="007B51A8">
            <w:pPr>
              <w:tabs>
                <w:tab w:val="center" w:pos="4536"/>
                <w:tab w:val="right" w:pos="9072"/>
              </w:tabs>
              <w:jc w:val="right"/>
              <w:rPr>
                <w:rFonts w:ascii="Arial" w:hAnsi="Arial" w:cs="Arial"/>
                <w:sz w:val="16"/>
                <w:szCs w:val="16"/>
              </w:rPr>
            </w:pPr>
            <w:r w:rsidRPr="008E4554">
              <w:rPr>
                <w:rFonts w:ascii="Arial" w:hAnsi="Arial" w:cs="Arial"/>
                <w:color w:val="000000"/>
                <w:sz w:val="16"/>
                <w:szCs w:val="16"/>
              </w:rPr>
              <w:t>95,1</w:t>
            </w:r>
          </w:p>
        </w:tc>
      </w:tr>
      <w:tr w:rsidR="007B51A8" w:rsidRPr="00F83D7E" w14:paraId="3518AB0F"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24E2F193"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Olomoucký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315A65B3" w14:textId="1D57030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601</w:t>
            </w:r>
          </w:p>
        </w:tc>
        <w:tc>
          <w:tcPr>
            <w:tcW w:w="840" w:type="dxa"/>
            <w:tcBorders>
              <w:top w:val="nil"/>
              <w:left w:val="nil"/>
              <w:bottom w:val="single" w:sz="4" w:space="0" w:color="auto"/>
              <w:right w:val="single" w:sz="4" w:space="0" w:color="auto"/>
            </w:tcBorders>
            <w:shd w:val="clear" w:color="auto" w:fill="auto"/>
            <w:vAlign w:val="bottom"/>
          </w:tcPr>
          <w:p w14:paraId="73FC60F0" w14:textId="2E1C54C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477</w:t>
            </w:r>
          </w:p>
        </w:tc>
        <w:tc>
          <w:tcPr>
            <w:tcW w:w="720" w:type="dxa"/>
            <w:tcBorders>
              <w:top w:val="nil"/>
              <w:left w:val="nil"/>
              <w:bottom w:val="single" w:sz="4" w:space="0" w:color="auto"/>
              <w:right w:val="single" w:sz="12" w:space="0" w:color="auto"/>
            </w:tcBorders>
            <w:shd w:val="clear" w:color="auto" w:fill="auto"/>
            <w:vAlign w:val="bottom"/>
          </w:tcPr>
          <w:p w14:paraId="341FBA05" w14:textId="0FEC137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79,4</w:t>
            </w:r>
          </w:p>
        </w:tc>
        <w:tc>
          <w:tcPr>
            <w:tcW w:w="840" w:type="dxa"/>
            <w:tcBorders>
              <w:top w:val="nil"/>
              <w:left w:val="single" w:sz="12" w:space="0" w:color="auto"/>
              <w:bottom w:val="single" w:sz="4" w:space="0" w:color="auto"/>
              <w:right w:val="single" w:sz="4" w:space="0" w:color="auto"/>
            </w:tcBorders>
            <w:shd w:val="clear" w:color="auto" w:fill="auto"/>
            <w:vAlign w:val="bottom"/>
          </w:tcPr>
          <w:p w14:paraId="40301BC5" w14:textId="6EB4255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238</w:t>
            </w:r>
          </w:p>
        </w:tc>
        <w:tc>
          <w:tcPr>
            <w:tcW w:w="840" w:type="dxa"/>
            <w:tcBorders>
              <w:top w:val="nil"/>
              <w:left w:val="nil"/>
              <w:bottom w:val="single" w:sz="4" w:space="0" w:color="auto"/>
              <w:right w:val="single" w:sz="4" w:space="0" w:color="auto"/>
            </w:tcBorders>
            <w:shd w:val="clear" w:color="auto" w:fill="auto"/>
            <w:vAlign w:val="bottom"/>
          </w:tcPr>
          <w:p w14:paraId="10A63920" w14:textId="10090AF1"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129</w:t>
            </w:r>
          </w:p>
        </w:tc>
        <w:tc>
          <w:tcPr>
            <w:tcW w:w="720" w:type="dxa"/>
            <w:tcBorders>
              <w:top w:val="nil"/>
              <w:left w:val="nil"/>
              <w:bottom w:val="single" w:sz="4" w:space="0" w:color="auto"/>
              <w:right w:val="single" w:sz="12" w:space="0" w:color="auto"/>
            </w:tcBorders>
            <w:shd w:val="clear" w:color="auto" w:fill="auto"/>
            <w:vAlign w:val="bottom"/>
          </w:tcPr>
          <w:p w14:paraId="53EA2AF5" w14:textId="45F58A1B"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54,2</w:t>
            </w:r>
          </w:p>
        </w:tc>
        <w:tc>
          <w:tcPr>
            <w:tcW w:w="840" w:type="dxa"/>
            <w:tcBorders>
              <w:top w:val="nil"/>
              <w:left w:val="single" w:sz="12" w:space="0" w:color="auto"/>
              <w:bottom w:val="single" w:sz="4" w:space="0" w:color="auto"/>
              <w:right w:val="single" w:sz="4" w:space="0" w:color="auto"/>
            </w:tcBorders>
            <w:shd w:val="clear" w:color="auto" w:fill="auto"/>
            <w:vAlign w:val="bottom"/>
          </w:tcPr>
          <w:p w14:paraId="597EEAE5" w14:textId="77BFFD61"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363</w:t>
            </w:r>
          </w:p>
        </w:tc>
        <w:tc>
          <w:tcPr>
            <w:tcW w:w="840" w:type="dxa"/>
            <w:tcBorders>
              <w:top w:val="nil"/>
              <w:left w:val="nil"/>
              <w:bottom w:val="single" w:sz="4" w:space="0" w:color="auto"/>
              <w:right w:val="single" w:sz="4" w:space="0" w:color="auto"/>
            </w:tcBorders>
            <w:shd w:val="clear" w:color="auto" w:fill="auto"/>
            <w:vAlign w:val="bottom"/>
          </w:tcPr>
          <w:p w14:paraId="750630A0" w14:textId="1B686EB2"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348</w:t>
            </w:r>
          </w:p>
        </w:tc>
        <w:tc>
          <w:tcPr>
            <w:tcW w:w="720" w:type="dxa"/>
            <w:tcBorders>
              <w:top w:val="nil"/>
              <w:left w:val="nil"/>
              <w:bottom w:val="single" w:sz="4" w:space="0" w:color="auto"/>
              <w:right w:val="single" w:sz="12" w:space="0" w:color="auto"/>
            </w:tcBorders>
            <w:shd w:val="clear" w:color="auto" w:fill="auto"/>
            <w:vAlign w:val="bottom"/>
          </w:tcPr>
          <w:p w14:paraId="09845760" w14:textId="106B714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95,9</w:t>
            </w:r>
          </w:p>
        </w:tc>
      </w:tr>
      <w:tr w:rsidR="007B51A8" w:rsidRPr="00F83D7E" w14:paraId="251594DD" w14:textId="77777777" w:rsidTr="004C54B5">
        <w:trPr>
          <w:trHeight w:val="301"/>
        </w:trPr>
        <w:tc>
          <w:tcPr>
            <w:tcW w:w="1800" w:type="dxa"/>
            <w:tcBorders>
              <w:top w:val="single" w:sz="4" w:space="0" w:color="auto"/>
              <w:bottom w:val="single" w:sz="4" w:space="0" w:color="auto"/>
              <w:right w:val="single" w:sz="12" w:space="0" w:color="auto"/>
            </w:tcBorders>
            <w:vAlign w:val="bottom"/>
          </w:tcPr>
          <w:p w14:paraId="0E67263C"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Zlínský</w:t>
            </w:r>
          </w:p>
        </w:tc>
        <w:tc>
          <w:tcPr>
            <w:tcW w:w="840" w:type="dxa"/>
            <w:tcBorders>
              <w:top w:val="nil"/>
              <w:left w:val="single" w:sz="8" w:space="0" w:color="auto"/>
              <w:bottom w:val="single" w:sz="4" w:space="0" w:color="auto"/>
              <w:right w:val="single" w:sz="4" w:space="0" w:color="auto"/>
            </w:tcBorders>
            <w:shd w:val="clear" w:color="auto" w:fill="auto"/>
            <w:vAlign w:val="bottom"/>
          </w:tcPr>
          <w:p w14:paraId="26327FB9" w14:textId="04E505F0"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584</w:t>
            </w:r>
          </w:p>
        </w:tc>
        <w:tc>
          <w:tcPr>
            <w:tcW w:w="840" w:type="dxa"/>
            <w:tcBorders>
              <w:top w:val="nil"/>
              <w:left w:val="nil"/>
              <w:bottom w:val="single" w:sz="4" w:space="0" w:color="auto"/>
              <w:right w:val="single" w:sz="4" w:space="0" w:color="auto"/>
            </w:tcBorders>
            <w:shd w:val="clear" w:color="auto" w:fill="auto"/>
            <w:vAlign w:val="bottom"/>
          </w:tcPr>
          <w:p w14:paraId="7A5AB153" w14:textId="61217F8F"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474</w:t>
            </w:r>
          </w:p>
        </w:tc>
        <w:tc>
          <w:tcPr>
            <w:tcW w:w="720" w:type="dxa"/>
            <w:tcBorders>
              <w:top w:val="nil"/>
              <w:left w:val="nil"/>
              <w:bottom w:val="single" w:sz="4" w:space="0" w:color="auto"/>
              <w:right w:val="single" w:sz="12" w:space="0" w:color="auto"/>
            </w:tcBorders>
            <w:shd w:val="clear" w:color="auto" w:fill="auto"/>
            <w:vAlign w:val="bottom"/>
          </w:tcPr>
          <w:p w14:paraId="0451A42F" w14:textId="5D2773B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81,2</w:t>
            </w:r>
          </w:p>
        </w:tc>
        <w:tc>
          <w:tcPr>
            <w:tcW w:w="840" w:type="dxa"/>
            <w:tcBorders>
              <w:top w:val="nil"/>
              <w:left w:val="single" w:sz="12" w:space="0" w:color="auto"/>
              <w:bottom w:val="single" w:sz="4" w:space="0" w:color="auto"/>
              <w:right w:val="single" w:sz="4" w:space="0" w:color="auto"/>
            </w:tcBorders>
            <w:shd w:val="clear" w:color="auto" w:fill="auto"/>
            <w:vAlign w:val="bottom"/>
          </w:tcPr>
          <w:p w14:paraId="4B144942" w14:textId="4D8EA9A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223</w:t>
            </w:r>
          </w:p>
        </w:tc>
        <w:tc>
          <w:tcPr>
            <w:tcW w:w="840" w:type="dxa"/>
            <w:tcBorders>
              <w:top w:val="nil"/>
              <w:left w:val="nil"/>
              <w:bottom w:val="single" w:sz="4" w:space="0" w:color="auto"/>
              <w:right w:val="single" w:sz="4" w:space="0" w:color="auto"/>
            </w:tcBorders>
            <w:shd w:val="clear" w:color="auto" w:fill="auto"/>
            <w:vAlign w:val="bottom"/>
          </w:tcPr>
          <w:p w14:paraId="644B4CEE" w14:textId="750FC07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128</w:t>
            </w:r>
          </w:p>
        </w:tc>
        <w:tc>
          <w:tcPr>
            <w:tcW w:w="720" w:type="dxa"/>
            <w:tcBorders>
              <w:top w:val="nil"/>
              <w:left w:val="nil"/>
              <w:bottom w:val="single" w:sz="4" w:space="0" w:color="auto"/>
              <w:right w:val="single" w:sz="12" w:space="0" w:color="auto"/>
            </w:tcBorders>
            <w:shd w:val="clear" w:color="auto" w:fill="auto"/>
            <w:vAlign w:val="bottom"/>
          </w:tcPr>
          <w:p w14:paraId="37D32C24" w14:textId="785769AC"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57,4</w:t>
            </w:r>
          </w:p>
        </w:tc>
        <w:tc>
          <w:tcPr>
            <w:tcW w:w="840" w:type="dxa"/>
            <w:tcBorders>
              <w:top w:val="nil"/>
              <w:left w:val="single" w:sz="12" w:space="0" w:color="auto"/>
              <w:bottom w:val="single" w:sz="4" w:space="0" w:color="auto"/>
              <w:right w:val="single" w:sz="4" w:space="0" w:color="auto"/>
            </w:tcBorders>
            <w:shd w:val="clear" w:color="auto" w:fill="auto"/>
            <w:vAlign w:val="bottom"/>
          </w:tcPr>
          <w:p w14:paraId="3B512736" w14:textId="4C7DE099"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361</w:t>
            </w:r>
          </w:p>
        </w:tc>
        <w:tc>
          <w:tcPr>
            <w:tcW w:w="840" w:type="dxa"/>
            <w:tcBorders>
              <w:top w:val="nil"/>
              <w:left w:val="nil"/>
              <w:bottom w:val="single" w:sz="4" w:space="0" w:color="auto"/>
              <w:right w:val="single" w:sz="4" w:space="0" w:color="auto"/>
            </w:tcBorders>
            <w:shd w:val="clear" w:color="auto" w:fill="auto"/>
            <w:vAlign w:val="bottom"/>
          </w:tcPr>
          <w:p w14:paraId="335A1D0F" w14:textId="141E23D4"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346</w:t>
            </w:r>
          </w:p>
        </w:tc>
        <w:tc>
          <w:tcPr>
            <w:tcW w:w="720" w:type="dxa"/>
            <w:tcBorders>
              <w:top w:val="nil"/>
              <w:left w:val="nil"/>
              <w:bottom w:val="single" w:sz="4" w:space="0" w:color="auto"/>
              <w:right w:val="single" w:sz="12" w:space="0" w:color="auto"/>
            </w:tcBorders>
            <w:shd w:val="clear" w:color="auto" w:fill="auto"/>
            <w:vAlign w:val="bottom"/>
          </w:tcPr>
          <w:p w14:paraId="23198525" w14:textId="6351321D"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95,8</w:t>
            </w:r>
          </w:p>
        </w:tc>
      </w:tr>
      <w:tr w:rsidR="007B51A8" w:rsidRPr="00F83D7E" w14:paraId="2F144226" w14:textId="77777777" w:rsidTr="004C54B5">
        <w:trPr>
          <w:trHeight w:val="301"/>
        </w:trPr>
        <w:tc>
          <w:tcPr>
            <w:tcW w:w="1800" w:type="dxa"/>
            <w:tcBorders>
              <w:top w:val="single" w:sz="4" w:space="0" w:color="auto"/>
              <w:bottom w:val="single" w:sz="12" w:space="0" w:color="auto"/>
              <w:right w:val="single" w:sz="12" w:space="0" w:color="auto"/>
            </w:tcBorders>
            <w:vAlign w:val="bottom"/>
          </w:tcPr>
          <w:p w14:paraId="47FCB382"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nil"/>
              <w:left w:val="single" w:sz="8" w:space="0" w:color="auto"/>
              <w:bottom w:val="single" w:sz="12" w:space="0" w:color="auto"/>
              <w:right w:val="single" w:sz="4" w:space="0" w:color="auto"/>
            </w:tcBorders>
            <w:shd w:val="clear" w:color="auto" w:fill="auto"/>
            <w:vAlign w:val="bottom"/>
          </w:tcPr>
          <w:p w14:paraId="447F582B" w14:textId="3CFC61EB"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1 334</w:t>
            </w:r>
          </w:p>
        </w:tc>
        <w:tc>
          <w:tcPr>
            <w:tcW w:w="840" w:type="dxa"/>
            <w:tcBorders>
              <w:top w:val="nil"/>
              <w:left w:val="nil"/>
              <w:bottom w:val="single" w:sz="12" w:space="0" w:color="auto"/>
              <w:right w:val="single" w:sz="4" w:space="0" w:color="auto"/>
            </w:tcBorders>
            <w:shd w:val="clear" w:color="auto" w:fill="auto"/>
            <w:vAlign w:val="bottom"/>
          </w:tcPr>
          <w:p w14:paraId="64665092" w14:textId="394556FA"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1 105</w:t>
            </w:r>
          </w:p>
        </w:tc>
        <w:tc>
          <w:tcPr>
            <w:tcW w:w="720" w:type="dxa"/>
            <w:tcBorders>
              <w:top w:val="nil"/>
              <w:left w:val="nil"/>
              <w:bottom w:val="single" w:sz="12" w:space="0" w:color="auto"/>
              <w:right w:val="single" w:sz="12" w:space="0" w:color="auto"/>
            </w:tcBorders>
            <w:shd w:val="clear" w:color="auto" w:fill="auto"/>
            <w:vAlign w:val="bottom"/>
          </w:tcPr>
          <w:p w14:paraId="442DE0E8" w14:textId="34269029"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82,8</w:t>
            </w:r>
          </w:p>
        </w:tc>
        <w:tc>
          <w:tcPr>
            <w:tcW w:w="840" w:type="dxa"/>
            <w:tcBorders>
              <w:top w:val="nil"/>
              <w:left w:val="single" w:sz="12" w:space="0" w:color="auto"/>
              <w:bottom w:val="single" w:sz="12" w:space="0" w:color="auto"/>
              <w:right w:val="single" w:sz="4" w:space="0" w:color="auto"/>
            </w:tcBorders>
            <w:shd w:val="clear" w:color="auto" w:fill="auto"/>
            <w:vAlign w:val="bottom"/>
          </w:tcPr>
          <w:p w14:paraId="2F1A0564" w14:textId="4675387B"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512</w:t>
            </w:r>
          </w:p>
        </w:tc>
        <w:tc>
          <w:tcPr>
            <w:tcW w:w="840" w:type="dxa"/>
            <w:tcBorders>
              <w:top w:val="nil"/>
              <w:left w:val="nil"/>
              <w:bottom w:val="single" w:sz="12" w:space="0" w:color="auto"/>
              <w:right w:val="single" w:sz="4" w:space="0" w:color="auto"/>
            </w:tcBorders>
            <w:shd w:val="clear" w:color="auto" w:fill="auto"/>
            <w:vAlign w:val="bottom"/>
          </w:tcPr>
          <w:p w14:paraId="144D9064" w14:textId="1A049A62"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306</w:t>
            </w:r>
          </w:p>
        </w:tc>
        <w:tc>
          <w:tcPr>
            <w:tcW w:w="720" w:type="dxa"/>
            <w:tcBorders>
              <w:top w:val="nil"/>
              <w:left w:val="nil"/>
              <w:bottom w:val="single" w:sz="12" w:space="0" w:color="auto"/>
              <w:right w:val="single" w:sz="12" w:space="0" w:color="auto"/>
            </w:tcBorders>
            <w:shd w:val="clear" w:color="auto" w:fill="auto"/>
            <w:vAlign w:val="bottom"/>
          </w:tcPr>
          <w:p w14:paraId="7EA9159B" w14:textId="3DA350F5"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59,8</w:t>
            </w:r>
          </w:p>
        </w:tc>
        <w:tc>
          <w:tcPr>
            <w:tcW w:w="840" w:type="dxa"/>
            <w:tcBorders>
              <w:top w:val="nil"/>
              <w:left w:val="single" w:sz="12" w:space="0" w:color="auto"/>
              <w:bottom w:val="single" w:sz="12" w:space="0" w:color="auto"/>
              <w:right w:val="single" w:sz="4" w:space="0" w:color="auto"/>
            </w:tcBorders>
            <w:shd w:val="clear" w:color="auto" w:fill="auto"/>
            <w:vAlign w:val="bottom"/>
          </w:tcPr>
          <w:p w14:paraId="37AECDE0" w14:textId="3D65990D"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822</w:t>
            </w:r>
          </w:p>
        </w:tc>
        <w:tc>
          <w:tcPr>
            <w:tcW w:w="840" w:type="dxa"/>
            <w:tcBorders>
              <w:top w:val="nil"/>
              <w:left w:val="nil"/>
              <w:bottom w:val="single" w:sz="12" w:space="0" w:color="auto"/>
              <w:right w:val="single" w:sz="4" w:space="0" w:color="auto"/>
            </w:tcBorders>
            <w:shd w:val="clear" w:color="auto" w:fill="auto"/>
            <w:vAlign w:val="bottom"/>
          </w:tcPr>
          <w:p w14:paraId="481CD9E0" w14:textId="7DAD5D9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799</w:t>
            </w:r>
          </w:p>
        </w:tc>
        <w:tc>
          <w:tcPr>
            <w:tcW w:w="720" w:type="dxa"/>
            <w:tcBorders>
              <w:top w:val="nil"/>
              <w:left w:val="nil"/>
              <w:bottom w:val="single" w:sz="12" w:space="0" w:color="auto"/>
              <w:right w:val="single" w:sz="12" w:space="0" w:color="auto"/>
            </w:tcBorders>
            <w:shd w:val="clear" w:color="auto" w:fill="auto"/>
            <w:vAlign w:val="bottom"/>
          </w:tcPr>
          <w:p w14:paraId="15DF3581" w14:textId="7EEC49D6"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97,2</w:t>
            </w:r>
          </w:p>
        </w:tc>
      </w:tr>
      <w:tr w:rsidR="007B51A8" w:rsidRPr="00F83D7E" w14:paraId="4DF35D5B" w14:textId="77777777" w:rsidTr="004C54B5">
        <w:trPr>
          <w:trHeight w:val="301"/>
        </w:trPr>
        <w:tc>
          <w:tcPr>
            <w:tcW w:w="1800" w:type="dxa"/>
            <w:tcBorders>
              <w:top w:val="single" w:sz="12" w:space="0" w:color="auto"/>
              <w:bottom w:val="single" w:sz="12" w:space="0" w:color="auto"/>
              <w:right w:val="single" w:sz="12" w:space="0" w:color="auto"/>
            </w:tcBorders>
            <w:vAlign w:val="bottom"/>
          </w:tcPr>
          <w:p w14:paraId="373A6CB2" w14:textId="77777777" w:rsidR="007B51A8" w:rsidRPr="00F37D3F" w:rsidRDefault="007B51A8" w:rsidP="007B51A8">
            <w:pPr>
              <w:pStyle w:val="Zkladntext"/>
              <w:rPr>
                <w:rFonts w:ascii="Arial" w:hAnsi="Arial" w:cs="Arial"/>
                <w:sz w:val="16"/>
                <w:szCs w:val="16"/>
              </w:rPr>
            </w:pPr>
            <w:r w:rsidRPr="00DF48FF">
              <w:rPr>
                <w:rFonts w:ascii="Arial" w:hAnsi="Arial" w:cs="Arial"/>
                <w:sz w:val="16"/>
                <w:szCs w:val="16"/>
              </w:rPr>
              <w:t>ČR celkem</w:t>
            </w:r>
          </w:p>
        </w:tc>
        <w:tc>
          <w:tcPr>
            <w:tcW w:w="840" w:type="dxa"/>
            <w:tcBorders>
              <w:top w:val="single" w:sz="12" w:space="0" w:color="auto"/>
              <w:left w:val="single" w:sz="8" w:space="0" w:color="auto"/>
              <w:bottom w:val="single" w:sz="12" w:space="0" w:color="auto"/>
              <w:right w:val="single" w:sz="4" w:space="0" w:color="auto"/>
            </w:tcBorders>
            <w:shd w:val="clear" w:color="auto" w:fill="auto"/>
            <w:vAlign w:val="bottom"/>
          </w:tcPr>
          <w:p w14:paraId="5768A7AD" w14:textId="49D98ACE" w:rsidR="007B51A8" w:rsidRPr="00F543E1" w:rsidRDefault="00504021" w:rsidP="007B51A8">
            <w:pPr>
              <w:jc w:val="right"/>
              <w:rPr>
                <w:rFonts w:ascii="Arial" w:hAnsi="Arial" w:cs="Arial"/>
                <w:sz w:val="16"/>
                <w:szCs w:val="16"/>
              </w:rPr>
            </w:pPr>
            <w:r w:rsidRPr="008E4554">
              <w:rPr>
                <w:rFonts w:ascii="Arial" w:hAnsi="Arial" w:cs="Arial"/>
                <w:sz w:val="16"/>
                <w:szCs w:val="16"/>
              </w:rPr>
              <w:t>10 769</w:t>
            </w:r>
          </w:p>
        </w:tc>
        <w:tc>
          <w:tcPr>
            <w:tcW w:w="840" w:type="dxa"/>
            <w:tcBorders>
              <w:top w:val="single" w:sz="12" w:space="0" w:color="auto"/>
              <w:left w:val="nil"/>
              <w:bottom w:val="single" w:sz="12" w:space="0" w:color="auto"/>
              <w:right w:val="single" w:sz="4" w:space="0" w:color="auto"/>
            </w:tcBorders>
            <w:shd w:val="clear" w:color="auto" w:fill="auto"/>
            <w:vAlign w:val="bottom"/>
          </w:tcPr>
          <w:p w14:paraId="64F58ED5" w14:textId="39AEE89D"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8 618</w:t>
            </w:r>
          </w:p>
        </w:tc>
        <w:tc>
          <w:tcPr>
            <w:tcW w:w="720" w:type="dxa"/>
            <w:tcBorders>
              <w:top w:val="single" w:sz="12" w:space="0" w:color="auto"/>
              <w:left w:val="nil"/>
              <w:bottom w:val="single" w:sz="12" w:space="0" w:color="auto"/>
              <w:right w:val="single" w:sz="12" w:space="0" w:color="auto"/>
            </w:tcBorders>
            <w:shd w:val="clear" w:color="auto" w:fill="auto"/>
            <w:vAlign w:val="bottom"/>
          </w:tcPr>
          <w:p w14:paraId="3B756C4D" w14:textId="061E9878"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80,0</w:t>
            </w:r>
          </w:p>
        </w:tc>
        <w:tc>
          <w:tcPr>
            <w:tcW w:w="840" w:type="dxa"/>
            <w:tcBorders>
              <w:top w:val="single" w:sz="12" w:space="0" w:color="auto"/>
              <w:left w:val="single" w:sz="12" w:space="0" w:color="auto"/>
              <w:bottom w:val="single" w:sz="12" w:space="0" w:color="auto"/>
              <w:right w:val="single" w:sz="4" w:space="0" w:color="auto"/>
            </w:tcBorders>
            <w:shd w:val="clear" w:color="auto" w:fill="auto"/>
            <w:vAlign w:val="bottom"/>
          </w:tcPr>
          <w:p w14:paraId="22C8A788" w14:textId="5ECBE75E"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4 255</w:t>
            </w:r>
          </w:p>
        </w:tc>
        <w:tc>
          <w:tcPr>
            <w:tcW w:w="840" w:type="dxa"/>
            <w:tcBorders>
              <w:top w:val="single" w:sz="12" w:space="0" w:color="auto"/>
              <w:left w:val="nil"/>
              <w:bottom w:val="single" w:sz="12" w:space="0" w:color="auto"/>
              <w:right w:val="single" w:sz="4" w:space="0" w:color="auto"/>
            </w:tcBorders>
            <w:shd w:val="clear" w:color="auto" w:fill="auto"/>
            <w:vAlign w:val="bottom"/>
          </w:tcPr>
          <w:p w14:paraId="06CFD2EB" w14:textId="4F77EEB1"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2 370</w:t>
            </w:r>
          </w:p>
        </w:tc>
        <w:tc>
          <w:tcPr>
            <w:tcW w:w="720" w:type="dxa"/>
            <w:tcBorders>
              <w:top w:val="single" w:sz="12" w:space="0" w:color="auto"/>
              <w:left w:val="nil"/>
              <w:bottom w:val="single" w:sz="12" w:space="0" w:color="auto"/>
              <w:right w:val="single" w:sz="12" w:space="0" w:color="auto"/>
            </w:tcBorders>
            <w:shd w:val="clear" w:color="auto" w:fill="auto"/>
            <w:vAlign w:val="bottom"/>
          </w:tcPr>
          <w:p w14:paraId="6DDB31EC" w14:textId="470CEB92" w:rsidR="007B51A8" w:rsidRPr="00F543E1" w:rsidRDefault="00504021" w:rsidP="007B51A8">
            <w:pPr>
              <w:pStyle w:val="Zkladntext"/>
              <w:jc w:val="right"/>
              <w:rPr>
                <w:rFonts w:ascii="Arial" w:hAnsi="Arial" w:cs="Arial"/>
                <w:sz w:val="16"/>
                <w:szCs w:val="16"/>
              </w:rPr>
            </w:pPr>
            <w:r w:rsidRPr="008E4554">
              <w:rPr>
                <w:rFonts w:ascii="Arial" w:hAnsi="Arial" w:cs="Arial"/>
                <w:color w:val="000000"/>
                <w:sz w:val="16"/>
                <w:szCs w:val="16"/>
              </w:rPr>
              <w:t>55,7</w:t>
            </w:r>
          </w:p>
        </w:tc>
        <w:tc>
          <w:tcPr>
            <w:tcW w:w="840" w:type="dxa"/>
            <w:tcBorders>
              <w:top w:val="single" w:sz="12" w:space="0" w:color="auto"/>
              <w:left w:val="single" w:sz="12" w:space="0" w:color="auto"/>
              <w:bottom w:val="single" w:sz="12" w:space="0" w:color="auto"/>
              <w:right w:val="single" w:sz="4" w:space="0" w:color="auto"/>
            </w:tcBorders>
            <w:shd w:val="clear" w:color="auto" w:fill="auto"/>
            <w:vAlign w:val="bottom"/>
          </w:tcPr>
          <w:p w14:paraId="0D171F8D" w14:textId="55B60FC3" w:rsidR="007B51A8" w:rsidRPr="00F543E1" w:rsidRDefault="00504021" w:rsidP="007B51A8">
            <w:pPr>
              <w:jc w:val="right"/>
              <w:rPr>
                <w:rFonts w:ascii="Arial" w:hAnsi="Arial" w:cs="Arial"/>
                <w:sz w:val="16"/>
                <w:szCs w:val="16"/>
              </w:rPr>
            </w:pPr>
            <w:r w:rsidRPr="008E4554">
              <w:rPr>
                <w:rFonts w:ascii="Arial" w:hAnsi="Arial" w:cs="Arial"/>
                <w:sz w:val="16"/>
                <w:szCs w:val="16"/>
              </w:rPr>
              <w:t>6 514</w:t>
            </w:r>
          </w:p>
        </w:tc>
        <w:tc>
          <w:tcPr>
            <w:tcW w:w="840" w:type="dxa"/>
            <w:tcBorders>
              <w:top w:val="single" w:sz="12" w:space="0" w:color="auto"/>
              <w:left w:val="nil"/>
              <w:bottom w:val="single" w:sz="12" w:space="0" w:color="auto"/>
              <w:right w:val="single" w:sz="4" w:space="0" w:color="auto"/>
            </w:tcBorders>
            <w:shd w:val="clear" w:color="auto" w:fill="auto"/>
            <w:vAlign w:val="bottom"/>
          </w:tcPr>
          <w:p w14:paraId="4B221E97" w14:textId="44878FDF"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6 248</w:t>
            </w:r>
          </w:p>
        </w:tc>
        <w:tc>
          <w:tcPr>
            <w:tcW w:w="720" w:type="dxa"/>
            <w:tcBorders>
              <w:top w:val="single" w:sz="12" w:space="0" w:color="auto"/>
              <w:left w:val="nil"/>
              <w:bottom w:val="single" w:sz="12" w:space="0" w:color="auto"/>
              <w:right w:val="single" w:sz="12" w:space="0" w:color="auto"/>
            </w:tcBorders>
            <w:shd w:val="clear" w:color="auto" w:fill="auto"/>
            <w:vAlign w:val="bottom"/>
          </w:tcPr>
          <w:p w14:paraId="76FC73CC" w14:textId="1FA7244C" w:rsidR="007B51A8" w:rsidRPr="00F543E1" w:rsidRDefault="00504021" w:rsidP="007B51A8">
            <w:pPr>
              <w:jc w:val="right"/>
              <w:rPr>
                <w:rFonts w:ascii="Arial" w:hAnsi="Arial" w:cs="Arial"/>
                <w:sz w:val="16"/>
                <w:szCs w:val="16"/>
              </w:rPr>
            </w:pPr>
            <w:r w:rsidRPr="008E4554">
              <w:rPr>
                <w:rFonts w:ascii="Arial" w:hAnsi="Arial" w:cs="Arial"/>
                <w:color w:val="000000"/>
                <w:sz w:val="16"/>
                <w:szCs w:val="16"/>
              </w:rPr>
              <w:t>95,9</w:t>
            </w:r>
          </w:p>
        </w:tc>
      </w:tr>
    </w:tbl>
    <w:p w14:paraId="0C515CD4" w14:textId="77777777" w:rsidR="002A4577" w:rsidRPr="00B236D4" w:rsidRDefault="00DF48FF">
      <w:pPr>
        <w:pStyle w:val="Zkladntext"/>
        <w:spacing w:after="120"/>
        <w:rPr>
          <w:rFonts w:ascii="Arial" w:hAnsi="Arial" w:cs="Arial"/>
          <w:sz w:val="14"/>
          <w:szCs w:val="14"/>
        </w:rPr>
      </w:pPr>
      <w:r w:rsidRPr="00DF48FF">
        <w:rPr>
          <w:rFonts w:ascii="Arial" w:hAnsi="Arial" w:cs="Arial"/>
          <w:sz w:val="14"/>
          <w:szCs w:val="14"/>
        </w:rPr>
        <w:t>Zdroj:ČSÚ</w:t>
      </w:r>
      <w:r w:rsidRPr="00DF48FF">
        <w:rPr>
          <w:rFonts w:ascii="Arial" w:hAnsi="Arial" w:cs="Arial"/>
          <w:sz w:val="14"/>
          <w:szCs w:val="14"/>
        </w:rPr>
        <w:tab/>
      </w:r>
    </w:p>
    <w:p w14:paraId="2862F2A8"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lastRenderedPageBreak/>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14:paraId="7703CF00" w14:textId="77777777" w:rsidR="002A4577" w:rsidRPr="00F83D7E" w:rsidRDefault="002A4577">
      <w:pPr>
        <w:pStyle w:val="Zkladntext"/>
        <w:rPr>
          <w:rFonts w:ascii="Arial" w:hAnsi="Arial" w:cs="Arial"/>
          <w:sz w:val="20"/>
          <w:szCs w:val="20"/>
        </w:rPr>
      </w:pPr>
    </w:p>
    <w:p w14:paraId="68292723" w14:textId="77777777"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14:paraId="0DCF588A" w14:textId="77777777" w:rsidR="00700FFB" w:rsidRPr="00F83D7E" w:rsidRDefault="00ED0A52"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Pr>
          <w:rFonts w:ascii="Arial" w:hAnsi="Arial" w:cs="Arial"/>
          <w:sz w:val="20"/>
          <w:szCs w:val="20"/>
        </w:rPr>
        <w:tab/>
      </w:r>
      <w:r w:rsidR="00700FFB" w:rsidRPr="00DF48FF">
        <w:rPr>
          <w:rFonts w:ascii="Arial" w:hAnsi="Arial" w:cs="Arial"/>
          <w:sz w:val="20"/>
          <w:szCs w:val="20"/>
        </w:rPr>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14:paraId="66844C0B"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w:t>
      </w:r>
      <w:r>
        <w:rPr>
          <w:rFonts w:ascii="Arial" w:hAnsi="Arial" w:cs="Arial"/>
          <w:sz w:val="20"/>
          <w:szCs w:val="20"/>
        </w:rPr>
        <w:t> </w:t>
      </w:r>
      <w:r w:rsidRPr="00DF48FF">
        <w:rPr>
          <w:rFonts w:ascii="Arial" w:hAnsi="Arial" w:cs="Arial"/>
          <w:sz w:val="20"/>
          <w:szCs w:val="20"/>
        </w:rPr>
        <w:t>to, z jaké vlny pocházely.</w:t>
      </w:r>
    </w:p>
    <w:p w14:paraId="7C663EC0"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(Eurostat) - systém tzv. integrovaných vah, tj. jediná sada přepočítacích koeficientů, vhodných pro souběžné zpracování výstupů jak za hospodařící domácnosti, tak za jednotlivé osoby.</w:t>
      </w:r>
    </w:p>
    <w:p w14:paraId="79823625" w14:textId="77777777" w:rsidR="00700FFB" w:rsidRPr="00F83D7E" w:rsidRDefault="00700FFB" w:rsidP="00700FFB">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14:paraId="136426F3" w14:textId="77777777" w:rsidR="00700FFB" w:rsidRPr="00F83D7E" w:rsidRDefault="00700FFB" w:rsidP="00700FFB">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14:paraId="0436F559" w14:textId="77777777" w:rsidR="00700FFB" w:rsidRPr="00F83D7E" w:rsidRDefault="00700FFB" w:rsidP="00700FFB">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14:paraId="4B6F0C3B" w14:textId="77777777"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v rodinných domcích, </w:t>
      </w:r>
    </w:p>
    <w:p w14:paraId="7E351669" w14:textId="77777777"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14:paraId="55A9B853" w14:textId="6A28399E" w:rsidR="00700FFB" w:rsidRPr="00F83D7E" w:rsidRDefault="00700FFB" w:rsidP="00700FFB">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odhady byly stanoveny na základě výsledků  SLDB 2011 a přírůstků resp. úbytků počtu bytů za roky 2011 až 201</w:t>
      </w:r>
      <w:r w:rsidR="009D724F">
        <w:rPr>
          <w:rFonts w:ascii="Arial" w:hAnsi="Arial" w:cs="Arial"/>
          <w:sz w:val="20"/>
          <w:szCs w:val="20"/>
        </w:rPr>
        <w:t>9</w:t>
      </w:r>
      <w:r w:rsidRPr="00DF48FF">
        <w:rPr>
          <w:rFonts w:ascii="Arial" w:hAnsi="Arial" w:cs="Arial"/>
          <w:sz w:val="20"/>
          <w:szCs w:val="20"/>
        </w:rPr>
        <w:t>,</w:t>
      </w:r>
    </w:p>
    <w:p w14:paraId="6B111D7E" w14:textId="77777777" w:rsidR="00700FFB" w:rsidRPr="00F83D7E" w:rsidRDefault="00700FFB" w:rsidP="00700FFB">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14:paraId="0AA566B5" w14:textId="77777777" w:rsidR="00700FFB" w:rsidRPr="00786FD5"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14:paraId="0661F204" w14:textId="24376394" w:rsidR="00700FFB" w:rsidRPr="003A2363"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201</w:t>
      </w:r>
      <w:r w:rsidR="009D724F">
        <w:rPr>
          <w:rFonts w:ascii="Arial" w:hAnsi="Arial" w:cs="Arial"/>
          <w:sz w:val="20"/>
          <w:szCs w:val="20"/>
        </w:rPr>
        <w:t>9</w:t>
      </w:r>
      <w:r w:rsidRPr="00DF48FF">
        <w:rPr>
          <w:rFonts w:ascii="Arial" w:hAnsi="Arial" w:cs="Arial"/>
          <w:sz w:val="20"/>
          <w:szCs w:val="20"/>
          <w:u w:val="single"/>
        </w:rPr>
        <w:t xml:space="preserve"> </w:t>
      </w:r>
    </w:p>
    <w:p w14:paraId="768E4922" w14:textId="7BF3DDEF" w:rsidR="00700FFB" w:rsidRPr="00F83D7E" w:rsidRDefault="00700FFB" w:rsidP="00700FFB">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201</w:t>
      </w:r>
      <w:r w:rsidR="009D724F">
        <w:rPr>
          <w:rFonts w:ascii="Arial" w:hAnsi="Arial" w:cs="Arial"/>
          <w:sz w:val="20"/>
          <w:szCs w:val="20"/>
        </w:rPr>
        <w:t>9</w:t>
      </w:r>
      <w:r w:rsidRPr="00DF48FF">
        <w:rPr>
          <w:rFonts w:ascii="Arial" w:hAnsi="Arial" w:cs="Arial"/>
          <w:sz w:val="20"/>
          <w:szCs w:val="20"/>
        </w:rPr>
        <w:t>, přičemž byl odečten počet důchodců žijících v ústavních zařízeních a důchodců žijících mimo byty a zařízení (podle SLBD 2011),</w:t>
      </w:r>
    </w:p>
    <w:p w14:paraId="4B989AB5" w14:textId="55960A5E" w:rsidR="00700FFB"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201</w:t>
      </w:r>
      <w:r w:rsidR="009D724F">
        <w:rPr>
          <w:rFonts w:ascii="Arial" w:hAnsi="Arial" w:cs="Arial"/>
          <w:sz w:val="20"/>
          <w:szCs w:val="20"/>
        </w:rPr>
        <w:t>9</w:t>
      </w:r>
      <w:r w:rsidRPr="00DF48FF">
        <w:rPr>
          <w:rFonts w:ascii="Arial" w:hAnsi="Arial" w:cs="Arial"/>
          <w:sz w:val="20"/>
          <w:szCs w:val="20"/>
        </w:rPr>
        <w:t xml:space="preserve"> byly upraveny odhadem neregistrované nezaměstnanosti na základě výsledků VŠPS, </w:t>
      </w:r>
    </w:p>
    <w:p w14:paraId="3873E73F" w14:textId="78188B64" w:rsidR="00700FFB" w:rsidRPr="007751C4" w:rsidRDefault="00504021" w:rsidP="00700FFB">
      <w:pPr>
        <w:numPr>
          <w:ilvl w:val="0"/>
          <w:numId w:val="7"/>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CE36AF">
        <w:rPr>
          <w:rFonts w:ascii="Arial" w:hAnsi="Arial" w:cs="Arial"/>
          <w:sz w:val="20"/>
          <w:szCs w:val="20"/>
          <w:u w:val="single"/>
        </w:rPr>
        <w:t>počet příjemců rodičovského příspěvku</w:t>
      </w:r>
      <w:r w:rsidR="00700FFB" w:rsidRPr="00CE36AF">
        <w:rPr>
          <w:rFonts w:ascii="Arial" w:hAnsi="Arial" w:cs="Arial"/>
          <w:i/>
          <w:iCs/>
          <w:sz w:val="20"/>
          <w:szCs w:val="20"/>
        </w:rPr>
        <w:t xml:space="preserve"> </w:t>
      </w:r>
      <w:r w:rsidR="00700FFB" w:rsidRPr="00CE36AF">
        <w:rPr>
          <w:rFonts w:ascii="Arial" w:hAnsi="Arial" w:cs="Arial"/>
          <w:sz w:val="20"/>
          <w:szCs w:val="20"/>
        </w:rPr>
        <w:t>-</w:t>
      </w:r>
      <w:r w:rsidR="00700FFB" w:rsidRPr="007751C4">
        <w:rPr>
          <w:rFonts w:ascii="Arial" w:hAnsi="Arial" w:cs="Arial"/>
          <w:sz w:val="20"/>
          <w:szCs w:val="20"/>
        </w:rPr>
        <w:t xml:space="preserve"> údaje z evidence MPSV za rok 201</w:t>
      </w:r>
      <w:r w:rsidR="009D724F">
        <w:rPr>
          <w:rFonts w:ascii="Arial" w:hAnsi="Arial" w:cs="Arial"/>
          <w:sz w:val="20"/>
          <w:szCs w:val="20"/>
        </w:rPr>
        <w:t>9</w:t>
      </w:r>
      <w:r w:rsidR="00700FFB" w:rsidRPr="007751C4">
        <w:rPr>
          <w:rFonts w:ascii="Arial" w:hAnsi="Arial" w:cs="Arial"/>
          <w:sz w:val="20"/>
          <w:szCs w:val="20"/>
        </w:rPr>
        <w:t xml:space="preserve">, </w:t>
      </w:r>
    </w:p>
    <w:p w14:paraId="517B3F64" w14:textId="39758F4A"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201</w:t>
      </w:r>
      <w:r w:rsidR="00ED0A52">
        <w:rPr>
          <w:rFonts w:ascii="Arial" w:hAnsi="Arial" w:cs="Arial"/>
          <w:sz w:val="20"/>
          <w:szCs w:val="20"/>
        </w:rPr>
        <w:t>9</w:t>
      </w:r>
      <w:r w:rsidRPr="00DF48FF">
        <w:rPr>
          <w:rFonts w:ascii="Arial" w:hAnsi="Arial" w:cs="Arial"/>
          <w:sz w:val="20"/>
          <w:szCs w:val="20"/>
        </w:rPr>
        <w:t xml:space="preserve"> a údajů ČSSZ podle stavu na konci roku 201</w:t>
      </w:r>
      <w:r w:rsidR="00ED0A52">
        <w:rPr>
          <w:rFonts w:ascii="Arial" w:hAnsi="Arial" w:cs="Arial"/>
          <w:sz w:val="20"/>
          <w:szCs w:val="20"/>
        </w:rPr>
        <w:t>9</w:t>
      </w:r>
      <w:r w:rsidRPr="00DF48FF">
        <w:rPr>
          <w:rFonts w:ascii="Arial" w:hAnsi="Arial" w:cs="Arial"/>
          <w:sz w:val="20"/>
          <w:szCs w:val="20"/>
        </w:rPr>
        <w:t>,</w:t>
      </w:r>
    </w:p>
    <w:p w14:paraId="003BC190" w14:textId="6E06EB70" w:rsidR="00700FFB" w:rsidRPr="00F83D7E" w:rsidRDefault="00700FFB" w:rsidP="00700FFB">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201</w:t>
      </w:r>
      <w:r w:rsidR="009D724F">
        <w:rPr>
          <w:rFonts w:ascii="Arial" w:hAnsi="Arial" w:cs="Arial"/>
          <w:sz w:val="20"/>
          <w:szCs w:val="20"/>
        </w:rPr>
        <w:t>9</w:t>
      </w:r>
      <w:r w:rsidRPr="00DF48FF">
        <w:rPr>
          <w:rFonts w:ascii="Arial" w:hAnsi="Arial" w:cs="Arial"/>
          <w:sz w:val="20"/>
          <w:szCs w:val="20"/>
        </w:rPr>
        <w:t>,</w:t>
      </w:r>
    </w:p>
    <w:p w14:paraId="0F7D69D0" w14:textId="77777777" w:rsidR="00700FFB" w:rsidRPr="00F83D7E" w:rsidRDefault="00700FFB" w:rsidP="00700FFB">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každý kraj (NUTS3)</w:t>
      </w:r>
    </w:p>
    <w:p w14:paraId="59510264" w14:textId="1A831490" w:rsidR="00700FFB" w:rsidRPr="00F83D7E" w:rsidRDefault="00700FFB" w:rsidP="00700FFB">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201</w:t>
      </w:r>
      <w:r w:rsidR="009D724F">
        <w:rPr>
          <w:rFonts w:ascii="Arial" w:hAnsi="Arial" w:cs="Arial"/>
          <w:sz w:val="20"/>
          <w:szCs w:val="20"/>
        </w:rPr>
        <w:t>9</w:t>
      </w:r>
      <w:r w:rsidRPr="00DF48FF">
        <w:rPr>
          <w:rFonts w:ascii="Arial" w:hAnsi="Arial" w:cs="Arial"/>
          <w:sz w:val="20"/>
          <w:szCs w:val="20"/>
        </w:rPr>
        <w:t>,</w:t>
      </w:r>
    </w:p>
    <w:p w14:paraId="13D59685" w14:textId="77777777" w:rsidR="00700FFB" w:rsidRPr="00F83D7E" w:rsidRDefault="00700FFB" w:rsidP="00700FFB">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 xml:space="preserve">velikostních skupin obcí </w:t>
      </w:r>
      <w:r>
        <w:rPr>
          <w:rFonts w:ascii="Arial" w:hAnsi="Arial" w:cs="Arial"/>
          <w:sz w:val="20"/>
          <w:szCs w:val="20"/>
          <w:u w:val="single"/>
        </w:rPr>
        <w:t xml:space="preserve">za </w:t>
      </w:r>
      <w:r w:rsidRPr="00DF48FF">
        <w:rPr>
          <w:rFonts w:ascii="Arial" w:hAnsi="Arial" w:cs="Arial"/>
          <w:sz w:val="20"/>
          <w:szCs w:val="20"/>
          <w:u w:val="single"/>
        </w:rPr>
        <w:t>každý kraj (NUTS3)</w:t>
      </w:r>
      <w:r w:rsidRPr="00DF48FF">
        <w:rPr>
          <w:rFonts w:ascii="Arial" w:hAnsi="Arial" w:cs="Arial"/>
          <w:sz w:val="20"/>
          <w:szCs w:val="20"/>
        </w:rPr>
        <w:t xml:space="preserve"> (do 2 tis. obyvatel, 2 000-9 999, 10 000- 49 999, 50 tis. a více obyvatel)</w:t>
      </w:r>
    </w:p>
    <w:p w14:paraId="03FC305B" w14:textId="7E30B8A0" w:rsidR="00700FFB" w:rsidRPr="00F83D7E" w:rsidRDefault="00700FFB" w:rsidP="00700FFB">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lastRenderedPageBreak/>
        <w:t>odhady byly odvozeny ze stavu obyvatelstva k 31. 12. 201</w:t>
      </w:r>
      <w:r w:rsidR="009D724F">
        <w:rPr>
          <w:rFonts w:ascii="Arial" w:hAnsi="Arial" w:cs="Arial"/>
          <w:sz w:val="20"/>
          <w:szCs w:val="20"/>
        </w:rPr>
        <w:t>9</w:t>
      </w:r>
      <w:r w:rsidRPr="00DF48FF">
        <w:rPr>
          <w:rFonts w:ascii="Arial" w:hAnsi="Arial" w:cs="Arial"/>
          <w:sz w:val="20"/>
          <w:szCs w:val="20"/>
        </w:rPr>
        <w:t xml:space="preserve"> v obcích podle správní organizace k</w:t>
      </w:r>
      <w:r>
        <w:rPr>
          <w:rFonts w:ascii="Arial" w:hAnsi="Arial" w:cs="Arial"/>
          <w:sz w:val="20"/>
          <w:szCs w:val="20"/>
        </w:rPr>
        <w:t> </w:t>
      </w:r>
      <w:r w:rsidRPr="00DF48FF">
        <w:rPr>
          <w:rFonts w:ascii="Arial" w:hAnsi="Arial" w:cs="Arial"/>
          <w:sz w:val="20"/>
          <w:szCs w:val="20"/>
        </w:rPr>
        <w:t>1. lednu 20</w:t>
      </w:r>
      <w:r w:rsidR="009D724F">
        <w:rPr>
          <w:rFonts w:ascii="Arial" w:hAnsi="Arial" w:cs="Arial"/>
          <w:sz w:val="20"/>
          <w:szCs w:val="20"/>
        </w:rPr>
        <w:t>20</w:t>
      </w:r>
      <w:r w:rsidRPr="00DF48FF">
        <w:rPr>
          <w:rFonts w:ascii="Arial" w:hAnsi="Arial" w:cs="Arial"/>
          <w:sz w:val="20"/>
          <w:szCs w:val="20"/>
        </w:rPr>
        <w:t xml:space="preserve"> z údajů demografické statistiky.</w:t>
      </w:r>
    </w:p>
    <w:p w14:paraId="7CD7C3D5"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 xml:space="preserve">Protože šetření podléhaly pouze osoby žijící v bytech, byly na úrovni ČR od všech údajů z demografie odečteny odhady počtu osob žijících v ústavních domácnostech (nápravných zařízeních pro mladistvé, ústavech sociální péče, domovech důchodců apod.) podle údajů statistiky sociálního zabezpečení, resp. ve věznicích podle údajů Ministerstva spravedlnosti. Dále byly odečteny </w:t>
      </w:r>
      <w:r>
        <w:rPr>
          <w:rFonts w:ascii="Arial" w:hAnsi="Arial" w:cs="Arial"/>
          <w:sz w:val="20"/>
          <w:szCs w:val="20"/>
        </w:rPr>
        <w:t xml:space="preserve">odhady počtu </w:t>
      </w:r>
      <w:r w:rsidRPr="00DF48FF">
        <w:rPr>
          <w:rFonts w:ascii="Arial" w:hAnsi="Arial" w:cs="Arial"/>
          <w:sz w:val="20"/>
          <w:szCs w:val="20"/>
        </w:rPr>
        <w:t>osob bydlící</w:t>
      </w:r>
      <w:r>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Pr>
          <w:rFonts w:ascii="Arial" w:hAnsi="Arial" w:cs="Arial"/>
          <w:sz w:val="20"/>
          <w:szCs w:val="20"/>
        </w:rPr>
        <w:t>ch</w:t>
      </w:r>
      <w:r w:rsidRPr="00DF48FF">
        <w:rPr>
          <w:rFonts w:ascii="Arial" w:hAnsi="Arial" w:cs="Arial"/>
          <w:sz w:val="20"/>
          <w:szCs w:val="20"/>
        </w:rPr>
        <w:t xml:space="preserve"> mimo byty a zařízení podle výsledků SLBD 2011.</w:t>
      </w:r>
    </w:p>
    <w:p w14:paraId="7C80CC18"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14:paraId="7422AF86"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14:paraId="71B49CCA"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14:paraId="38EFEDFD" w14:textId="2E27DED7" w:rsidR="00700FFB" w:rsidRPr="00F83D7E" w:rsidRDefault="00700FFB" w:rsidP="00700FFB">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7751C4">
        <w:rPr>
          <w:rFonts w:ascii="Arial" w:hAnsi="Arial" w:cs="Arial"/>
          <w:sz w:val="20"/>
          <w:szCs w:val="20"/>
        </w:rPr>
        <w:t xml:space="preserve">V pouhých </w:t>
      </w:r>
      <w:r w:rsidR="009D724F">
        <w:rPr>
          <w:rFonts w:ascii="Arial" w:hAnsi="Arial" w:cs="Arial"/>
          <w:sz w:val="20"/>
          <w:szCs w:val="20"/>
        </w:rPr>
        <w:t>14</w:t>
      </w:r>
      <w:r w:rsidRPr="00786FD5">
        <w:rPr>
          <w:rFonts w:ascii="Arial" w:hAnsi="Arial" w:cs="Arial"/>
          <w:sz w:val="20"/>
          <w:szCs w:val="20"/>
        </w:rPr>
        <w:t xml:space="preserve"> případech</w:t>
      </w:r>
      <w:r w:rsidRPr="00DF48FF">
        <w:rPr>
          <w:rFonts w:ascii="Arial" w:hAnsi="Arial" w:cs="Arial"/>
          <w:sz w:val="20"/>
          <w:szCs w:val="20"/>
        </w:rPr>
        <w:t xml:space="preserve"> se nepodařilo získat údaje o příjmech jednoho z členů domácnosti, chybějící příjmy u těchto osob byly doplněny od jiné náhodně vybrané osoby (z jiné domácnosti) se stejnými charakteristikami, tj. byla použita tzv. hot-deck metoda.</w:t>
      </w:r>
    </w:p>
    <w:p w14:paraId="6789DF72" w14:textId="77777777"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14:paraId="2F4DFEC4" w14:textId="4A9CBCBD" w:rsidR="00700FFB" w:rsidRPr="00F83D7E"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Pokud respondenti uvádějí příjmy ze závislé činnosti jako čisté, obecně se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Výše hrubých příjmů ze závislé činnosti byla porovnána s údaji ze statistiky práce a u osob, které byly šetřeny opakovaně a proti předchozímu roku nezměnily zaměstnání, s údaji zjištěnými v předchozích vlnách. U části respondentů se stalo, že ve</w:t>
      </w:r>
      <w:r>
        <w:rPr>
          <w:rFonts w:ascii="Arial" w:hAnsi="Arial" w:cs="Arial"/>
          <w:sz w:val="20"/>
          <w:szCs w:val="20"/>
        </w:rPr>
        <w:t> </w:t>
      </w:r>
      <w:r w:rsidRPr="00DF48FF">
        <w:rPr>
          <w:rFonts w:ascii="Arial" w:hAnsi="Arial" w:cs="Arial"/>
          <w:sz w:val="20"/>
          <w:szCs w:val="20"/>
        </w:rPr>
        <w:t xml:space="preserve">skutečnosti hrubé příjmy byly zapsány jako čisté, příp. naopak, resp. se neodůvodněně výrazně meziročně lišily. V těchto </w:t>
      </w:r>
      <w:r w:rsidR="00ED0A52">
        <w:rPr>
          <w:rFonts w:ascii="Arial" w:hAnsi="Arial" w:cs="Arial"/>
          <w:sz w:val="20"/>
          <w:szCs w:val="20"/>
        </w:rPr>
        <w:t xml:space="preserve">ojedinělých </w:t>
      </w:r>
      <w:r w:rsidRPr="00DF48FF">
        <w:rPr>
          <w:rFonts w:ascii="Arial" w:hAnsi="Arial" w:cs="Arial"/>
          <w:sz w:val="20"/>
          <w:szCs w:val="20"/>
        </w:rPr>
        <w:t>případech byly provedeny příslušné korekce (tzv. top/bottom coding), resp. opravy. U příjmů z podnikání nebylo nutné provádět žádné korekce.</w:t>
      </w:r>
    </w:p>
    <w:p w14:paraId="5E3383B0" w14:textId="77777777" w:rsidR="00700FFB" w:rsidRPr="00700FFB"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w:t>
      </w:r>
      <w:r>
        <w:rPr>
          <w:rFonts w:ascii="Arial" w:hAnsi="Arial" w:cs="Arial"/>
          <w:sz w:val="20"/>
          <w:szCs w:val="20"/>
        </w:rPr>
        <w:t> </w:t>
      </w:r>
      <w:r w:rsidRPr="00DF48FF">
        <w:rPr>
          <w:rFonts w:ascii="Arial" w:hAnsi="Arial" w:cs="Arial"/>
          <w:sz w:val="20"/>
          <w:szCs w:val="20"/>
        </w:rPr>
        <w:t xml:space="preserve">odpovídající výši. U důchodů je tendence k podhodnocování obecně zanedbatelná, nicméně pokud byly bez zjevného důvodu zjištěny částky důchodů </w:t>
      </w:r>
      <w:r w:rsidRPr="007751C4">
        <w:rPr>
          <w:rFonts w:ascii="Arial" w:hAnsi="Arial" w:cs="Arial"/>
          <w:sz w:val="20"/>
          <w:szCs w:val="20"/>
        </w:rPr>
        <w:t>nižší nebo naopak výrazně vyšší</w:t>
      </w:r>
      <w:r w:rsidRPr="00700FFB">
        <w:rPr>
          <w:rFonts w:ascii="Arial" w:hAnsi="Arial" w:cs="Arial"/>
          <w:sz w:val="20"/>
          <w:szCs w:val="20"/>
        </w:rPr>
        <w:t xml:space="preserve"> než před rokem (u domácností ve 2. až 4. vlně), byly upraveny </w:t>
      </w:r>
      <w:r w:rsidRPr="007751C4">
        <w:rPr>
          <w:rFonts w:ascii="Arial" w:hAnsi="Arial" w:cs="Arial"/>
          <w:sz w:val="20"/>
          <w:szCs w:val="20"/>
        </w:rPr>
        <w:t>podle úrovně předchozího roku platným valorizačním mechanismem</w:t>
      </w:r>
      <w:r w:rsidRPr="00700FFB">
        <w:rPr>
          <w:rFonts w:ascii="Arial" w:hAnsi="Arial" w:cs="Arial"/>
          <w:sz w:val="20"/>
          <w:szCs w:val="20"/>
        </w:rPr>
        <w:t>.</w:t>
      </w:r>
    </w:p>
    <w:p w14:paraId="794FD2A6" w14:textId="77777777" w:rsidR="00700FFB" w:rsidRPr="00F83D7E" w:rsidRDefault="00700FFB" w:rsidP="00700FFB">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700FFB">
        <w:rPr>
          <w:rFonts w:ascii="Arial" w:hAnsi="Arial" w:cs="Arial"/>
          <w:sz w:val="20"/>
          <w:szCs w:val="20"/>
        </w:rPr>
        <w:tab/>
        <w:t>Nebylo však možné odstranit podhodnocení nemocenských dávek</w:t>
      </w:r>
      <w:r w:rsidRPr="00DF48FF">
        <w:rPr>
          <w:rFonts w:ascii="Arial" w:hAnsi="Arial" w:cs="Arial"/>
          <w:sz w:val="20"/>
          <w:szCs w:val="20"/>
        </w:rPr>
        <w:t xml:space="preserve"> (opomenutí v případě krátkodobých nemocí nelze z dostupných dat odhalit), dále pak některých dávek státní sociální podpory vázaných na výši příjmu v rozhodném (oproti šetření jiném) období, všech tzv. ostatních peněžních příjmů (z</w:t>
      </w:r>
      <w:r>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14:paraId="065110BC" w14:textId="27D71CE3" w:rsidR="00700FFB" w:rsidRPr="00FA3AC3" w:rsidRDefault="00700FFB" w:rsidP="00700FFB">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 xml:space="preserve">Porovnání výsledných úhrnných příjmů z mikrodat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s trendy národního účetnictví. Z tohoto hlediska jsou výsledky šetření </w:t>
      </w:r>
      <w:r w:rsidRPr="00DF48FF">
        <w:rPr>
          <w:rFonts w:ascii="Arial" w:hAnsi="Arial" w:cs="Arial"/>
          <w:i/>
          <w:iCs/>
          <w:sz w:val="20"/>
          <w:szCs w:val="20"/>
        </w:rPr>
        <w:t>Životní podmínky 20</w:t>
      </w:r>
      <w:r w:rsidR="009D724F">
        <w:rPr>
          <w:rFonts w:ascii="Arial" w:hAnsi="Arial" w:cs="Arial"/>
          <w:i/>
          <w:iCs/>
          <w:sz w:val="20"/>
          <w:szCs w:val="20"/>
        </w:rPr>
        <w:t>20</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14:paraId="4A537C6D" w14:textId="77777777"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lastRenderedPageBreak/>
        <w:t>2. Metodické vysvětlivky k publikovaným údajům</w:t>
      </w:r>
    </w:p>
    <w:p w14:paraId="7FD9446D" w14:textId="77777777" w:rsidR="001B2640" w:rsidRDefault="00DF48FF" w:rsidP="001B2640">
      <w:pPr>
        <w:pStyle w:val="Zkladntext"/>
        <w:spacing w:after="240"/>
        <w:rPr>
          <w:rFonts w:ascii="Arial" w:hAnsi="Arial" w:cs="Arial"/>
          <w:b/>
          <w:bCs/>
        </w:rPr>
      </w:pPr>
      <w:r w:rsidRPr="00DF48FF">
        <w:rPr>
          <w:rFonts w:ascii="Arial" w:hAnsi="Arial" w:cs="Arial"/>
          <w:b/>
          <w:bCs/>
        </w:rPr>
        <w:t>2.1 Základní pojmy</w:t>
      </w:r>
    </w:p>
    <w:p w14:paraId="4D22F9D7" w14:textId="027BF062"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založena na prohlášení osob bydlících ve vybraném bytě, že spolu trvale žijí a společně hradí základní a provozní výdaje domácnosti. Mezi 16leté osoby byly zahrnuty osoby, které tento věk dovršily ke konci roku 201</w:t>
      </w:r>
      <w:r w:rsidR="00073D87">
        <w:rPr>
          <w:rFonts w:ascii="Arial" w:hAnsi="Arial" w:cs="Arial"/>
          <w:sz w:val="20"/>
          <w:szCs w:val="20"/>
        </w:rPr>
        <w:t>9</w:t>
      </w:r>
      <w:r w:rsidRPr="00DF48FF">
        <w:rPr>
          <w:rFonts w:ascii="Arial" w:hAnsi="Arial" w:cs="Arial"/>
          <w:sz w:val="20"/>
          <w:szCs w:val="20"/>
        </w:rPr>
        <w:t>.</w:t>
      </w:r>
    </w:p>
    <w:p w14:paraId="51D78AD7"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14:paraId="54F63CDC"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14:paraId="0589AD33" w14:textId="75015605"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201</w:t>
      </w:r>
      <w:r w:rsidR="00073D87">
        <w:rPr>
          <w:rFonts w:ascii="Arial" w:hAnsi="Arial" w:cs="Arial"/>
          <w:sz w:val="20"/>
          <w:szCs w:val="20"/>
        </w:rPr>
        <w:t>9</w:t>
      </w:r>
      <w:r w:rsidRPr="00DF48FF">
        <w:rPr>
          <w:rFonts w:ascii="Arial" w:hAnsi="Arial" w:cs="Arial"/>
          <w:sz w:val="20"/>
          <w:szCs w:val="20"/>
        </w:rPr>
        <w:t xml:space="preserve"> a za aktuální stav v době šetření. Pracovní aktivita vypovídá o „sebezařazení“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w:t>
      </w:r>
      <w:r w:rsidR="00983D4C">
        <w:rPr>
          <w:rFonts w:ascii="Arial" w:hAnsi="Arial" w:cs="Arial"/>
          <w:sz w:val="20"/>
          <w:szCs w:val="20"/>
        </w:rPr>
        <w:t>.</w:t>
      </w:r>
      <w:r w:rsidRPr="00DF48FF">
        <w:rPr>
          <w:rFonts w:ascii="Arial" w:hAnsi="Arial" w:cs="Arial"/>
          <w:sz w:val="20"/>
          <w:szCs w:val="20"/>
        </w:rPr>
        <w:t xml:space="preserve"> </w:t>
      </w:r>
    </w:p>
    <w:p w14:paraId="0DC638E0" w14:textId="79FDA6D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201</w:t>
      </w:r>
      <w:r w:rsidR="00B15AF8">
        <w:rPr>
          <w:rFonts w:ascii="Arial" w:hAnsi="Arial" w:cs="Arial"/>
          <w:sz w:val="20"/>
          <w:szCs w:val="20"/>
        </w:rPr>
        <w:t>9</w:t>
      </w:r>
      <w:r w:rsidRPr="00DF48FF">
        <w:rPr>
          <w:rFonts w:ascii="Arial" w:hAnsi="Arial" w:cs="Arial"/>
          <w:sz w:val="20"/>
          <w:szCs w:val="20"/>
        </w:rPr>
        <w:t>, v případě rovnosti stav na konci roku. U osob, které v roce 201</w:t>
      </w:r>
      <w:r w:rsidR="00B15AF8">
        <w:rPr>
          <w:rFonts w:ascii="Arial" w:hAnsi="Arial" w:cs="Arial"/>
          <w:sz w:val="20"/>
          <w:szCs w:val="20"/>
        </w:rPr>
        <w:t>9</w:t>
      </w:r>
      <w:r w:rsidRPr="00DF48FF">
        <w:rPr>
          <w:rFonts w:ascii="Arial" w:hAnsi="Arial" w:cs="Arial"/>
          <w:sz w:val="20"/>
          <w:szCs w:val="20"/>
        </w:rPr>
        <w:t xml:space="preserve"> ukončily vzdělání, byl rozhodující převažující stav ve 2. pololetí. </w:t>
      </w:r>
    </w:p>
    <w:p w14:paraId="08809776" w14:textId="12F67574"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201</w:t>
      </w:r>
      <w:r w:rsidR="00B15AF8">
        <w:rPr>
          <w:rFonts w:ascii="Arial" w:hAnsi="Arial" w:cs="Arial"/>
          <w:sz w:val="20"/>
          <w:szCs w:val="20"/>
        </w:rPr>
        <w:t>9</w:t>
      </w:r>
      <w:r w:rsidRPr="00DF48FF">
        <w:rPr>
          <w:rFonts w:ascii="Arial" w:hAnsi="Arial" w:cs="Arial"/>
          <w:sz w:val="20"/>
          <w:szCs w:val="20"/>
        </w:rPr>
        <w:t>.</w:t>
      </w:r>
    </w:p>
    <w:p w14:paraId="483F322E" w14:textId="77777777"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14:paraId="3B74DDE9" w14:textId="2B82E94E"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w:t>
      </w:r>
      <w:r w:rsidR="00B15AF8">
        <w:rPr>
          <w:rFonts w:ascii="Arial" w:hAnsi="Arial" w:cs="Arial"/>
          <w:sz w:val="20"/>
          <w:szCs w:val="20"/>
        </w:rPr>
        <w:t>20</w:t>
      </w:r>
      <w:r w:rsidRPr="00DF48FF">
        <w:rPr>
          <w:rFonts w:ascii="Arial" w:hAnsi="Arial" w:cs="Arial"/>
          <w:sz w:val="20"/>
          <w:szCs w:val="20"/>
        </w:rPr>
        <w:t>. Výdaje na odvoz odpadků, paliva, běžnou údržbu, pojištění domu/bytu a ostatní nepravidelné náklady se uváděly za celý rok 201</w:t>
      </w:r>
      <w:r w:rsidR="00B15AF8">
        <w:rPr>
          <w:rFonts w:ascii="Arial" w:hAnsi="Arial" w:cs="Arial"/>
          <w:sz w:val="20"/>
          <w:szCs w:val="20"/>
        </w:rPr>
        <w:t>9</w:t>
      </w:r>
      <w:r w:rsidRPr="00DF48FF">
        <w:rPr>
          <w:rFonts w:ascii="Arial" w:hAnsi="Arial" w:cs="Arial"/>
          <w:sz w:val="20"/>
          <w:szCs w:val="20"/>
        </w:rPr>
        <w:t>.</w:t>
      </w:r>
    </w:p>
    <w:p w14:paraId="0D720D43" w14:textId="77777777" w:rsidR="001502CE" w:rsidRPr="00F83D7E" w:rsidRDefault="001502CE" w:rsidP="00F64CC9">
      <w:pPr>
        <w:pStyle w:val="Zkladntext"/>
        <w:spacing w:after="120"/>
        <w:ind w:left="357"/>
        <w:rPr>
          <w:rFonts w:ascii="Arial" w:hAnsi="Arial" w:cs="Arial"/>
          <w:b/>
          <w:bCs/>
          <w:sz w:val="20"/>
          <w:szCs w:val="20"/>
        </w:rPr>
      </w:pPr>
    </w:p>
    <w:p w14:paraId="6B73801B" w14:textId="77777777" w:rsidR="0070588E" w:rsidRDefault="00DF48FF" w:rsidP="0070588E">
      <w:pPr>
        <w:pStyle w:val="Zkladntext"/>
        <w:spacing w:after="240"/>
        <w:rPr>
          <w:rFonts w:ascii="Arial" w:hAnsi="Arial" w:cs="Arial"/>
          <w:b/>
          <w:bCs/>
        </w:rPr>
      </w:pPr>
      <w:r w:rsidRPr="00DF48FF">
        <w:rPr>
          <w:rFonts w:ascii="Arial" w:hAnsi="Arial" w:cs="Arial"/>
          <w:b/>
          <w:bCs/>
        </w:rPr>
        <w:t>2.2 Popis ukazatelů</w:t>
      </w:r>
    </w:p>
    <w:p w14:paraId="49067190" w14:textId="77777777"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14:paraId="173F6E91" w14:textId="71A0F905"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201</w:t>
      </w:r>
      <w:r w:rsidR="00B15AF8">
        <w:rPr>
          <w:rFonts w:ascii="Arial" w:hAnsi="Arial" w:cs="Arial"/>
          <w:sz w:val="20"/>
          <w:szCs w:val="20"/>
        </w:rPr>
        <w:t>9</w:t>
      </w:r>
      <w:r w:rsidRPr="00DF48FF">
        <w:rPr>
          <w:rFonts w:ascii="Arial" w:hAnsi="Arial" w:cs="Arial"/>
          <w:sz w:val="20"/>
          <w:szCs w:val="20"/>
        </w:rPr>
        <w:t>, resp. na jaře 20</w:t>
      </w:r>
      <w:r w:rsidR="00B15AF8">
        <w:rPr>
          <w:rFonts w:ascii="Arial" w:hAnsi="Arial" w:cs="Arial"/>
          <w:sz w:val="20"/>
          <w:szCs w:val="20"/>
        </w:rPr>
        <w:t>20</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14:paraId="77816E90" w14:textId="146FC5C1"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201</w:t>
      </w:r>
      <w:r w:rsidR="00B15AF8">
        <w:rPr>
          <w:rFonts w:ascii="Arial" w:hAnsi="Arial" w:cs="Arial"/>
          <w:sz w:val="20"/>
          <w:szCs w:val="20"/>
        </w:rPr>
        <w:t>9</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w:t>
      </w:r>
      <w:r w:rsidR="00B15AF8">
        <w:rPr>
          <w:rFonts w:ascii="Arial" w:hAnsi="Arial" w:cs="Arial"/>
          <w:sz w:val="20"/>
          <w:szCs w:val="20"/>
        </w:rPr>
        <w:t xml:space="preserve"> na rodičovské dovolené</w:t>
      </w:r>
      <w:r w:rsidRPr="00DF48FF">
        <w:rPr>
          <w:rFonts w:ascii="Arial" w:hAnsi="Arial" w:cs="Arial"/>
          <w:sz w:val="20"/>
          <w:szCs w:val="20"/>
        </w:rPr>
        <w:t xml:space="preserve"> s pravidelnými příjmy ze závislé činnosti nebo podnikání. </w:t>
      </w:r>
    </w:p>
    <w:p w14:paraId="3B7B8BDD"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14:paraId="0DB17960"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pracovní činnosti) a dále děti, které pro svůj duševní nebo tělesný stav nebyly schopny připravovat se na budoucí povolání nebo si zajistit vlastní obživu a dosud nepobíraly invalidní důchod.</w:t>
      </w:r>
    </w:p>
    <w:p w14:paraId="6C8A146A"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lastRenderedPageBreak/>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14:paraId="083E1DB9" w14:textId="77777777"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14:paraId="70008CC3" w14:textId="23C694DE" w:rsidR="0034679A" w:rsidRPr="008E4554" w:rsidRDefault="00DF48FF" w:rsidP="00F543E1">
      <w:pPr>
        <w:pStyle w:val="Zkladntext"/>
        <w:numPr>
          <w:ilvl w:val="0"/>
          <w:numId w:val="8"/>
        </w:numPr>
        <w:spacing w:after="120"/>
        <w:rPr>
          <w:rFonts w:ascii="Arial" w:hAnsi="Arial" w:cs="Arial"/>
          <w:sz w:val="20"/>
          <w:szCs w:val="20"/>
        </w:rPr>
      </w:pPr>
      <w:r w:rsidRPr="00F543E1">
        <w:rPr>
          <w:rFonts w:ascii="Arial" w:hAnsi="Arial" w:cs="Arial"/>
          <w:sz w:val="20"/>
          <w:szCs w:val="20"/>
        </w:rPr>
        <w:t xml:space="preserve">Mezi </w:t>
      </w:r>
      <w:r w:rsidRPr="00F543E1">
        <w:rPr>
          <w:rFonts w:ascii="Arial" w:hAnsi="Arial" w:cs="Arial"/>
          <w:sz w:val="20"/>
          <w:szCs w:val="20"/>
          <w:u w:val="single"/>
        </w:rPr>
        <w:t xml:space="preserve">osoby </w:t>
      </w:r>
      <w:r w:rsidR="00C16150" w:rsidRPr="0034679A">
        <w:rPr>
          <w:rFonts w:ascii="Arial" w:hAnsi="Arial" w:cs="Arial"/>
          <w:sz w:val="20"/>
          <w:szCs w:val="20"/>
          <w:u w:val="single"/>
        </w:rPr>
        <w:t>na rodičovské dovolené</w:t>
      </w:r>
      <w:r w:rsidRPr="0034679A">
        <w:rPr>
          <w:rFonts w:ascii="Arial" w:hAnsi="Arial" w:cs="Arial"/>
          <w:sz w:val="20"/>
          <w:szCs w:val="20"/>
        </w:rPr>
        <w:t xml:space="preserve"> byly zařazeny osoby, </w:t>
      </w:r>
      <w:r w:rsidR="00504021" w:rsidRPr="008E4554">
        <w:rPr>
          <w:rFonts w:ascii="Arial" w:hAnsi="Arial" w:cs="Arial"/>
          <w:sz w:val="20"/>
          <w:szCs w:val="20"/>
        </w:rPr>
        <w:t xml:space="preserve">které byly před nástupem na rodičovskou dovolenou v zaměstnaneckém poměru a měly během této rodičovské dovolené zajištěn návrat do tohoto zaměstnání. </w:t>
      </w:r>
      <w:r w:rsidR="00504021" w:rsidRPr="008E4554">
        <w:rPr>
          <w:rFonts w:ascii="Arial" w:hAnsi="Arial" w:cs="Arial"/>
          <w:bCs/>
          <w:sz w:val="20"/>
          <w:szCs w:val="20"/>
        </w:rPr>
        <w:t>Rodičovská dovolená se tak týká výhradně zaměstnankyň/ců.</w:t>
      </w:r>
      <w:r w:rsidR="00504021" w:rsidRPr="008E4554">
        <w:rPr>
          <w:rFonts w:ascii="Arial" w:hAnsi="Arial" w:cs="Arial"/>
          <w:b/>
          <w:bCs/>
          <w:sz w:val="20"/>
          <w:szCs w:val="20"/>
        </w:rPr>
        <w:t xml:space="preserve"> </w:t>
      </w:r>
    </w:p>
    <w:p w14:paraId="6024FEB6" w14:textId="77777777" w:rsidR="002A4577" w:rsidRPr="0034679A" w:rsidRDefault="00DF48FF">
      <w:pPr>
        <w:pStyle w:val="Zkladntext"/>
        <w:numPr>
          <w:ilvl w:val="0"/>
          <w:numId w:val="8"/>
        </w:numPr>
        <w:spacing w:after="120"/>
        <w:rPr>
          <w:rFonts w:ascii="Arial" w:hAnsi="Arial" w:cs="Arial"/>
          <w:sz w:val="20"/>
          <w:szCs w:val="20"/>
        </w:rPr>
      </w:pPr>
      <w:r w:rsidRPr="00F543E1">
        <w:rPr>
          <w:rFonts w:ascii="Arial" w:hAnsi="Arial" w:cs="Arial"/>
          <w:sz w:val="20"/>
          <w:szCs w:val="20"/>
          <w:u w:val="single"/>
        </w:rPr>
        <w:t>Ostatní</w:t>
      </w:r>
      <w:r w:rsidRPr="00F543E1">
        <w:rPr>
          <w:rFonts w:ascii="Arial" w:hAnsi="Arial" w:cs="Arial"/>
          <w:sz w:val="20"/>
          <w:szCs w:val="20"/>
        </w:rPr>
        <w:t xml:space="preserve"> - zahrnují osoby pečující o domácnost, o nemohoucího člena domácnosti nebo jinou blízkou osobu, osoby žijící z majetku a ostatní osoby bez vlastních</w:t>
      </w:r>
      <w:r w:rsidRPr="0034679A">
        <w:rPr>
          <w:rFonts w:ascii="Arial" w:hAnsi="Arial" w:cs="Arial"/>
          <w:sz w:val="20"/>
          <w:szCs w:val="20"/>
        </w:rPr>
        <w:t xml:space="preserve"> příjmů, které nebylo možno zařadit do žádné z předchozích skupin.</w:t>
      </w:r>
    </w:p>
    <w:p w14:paraId="064C7F49" w14:textId="77777777"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(modif. SJ OECD), kde jsou více zohledněny úspory z počtu, váhy pro výše uvedené skupiny osob jsou 1,0 – 0,5 – 0,3.</w:t>
      </w:r>
    </w:p>
    <w:p w14:paraId="3FBBCDF7" w14:textId="77777777" w:rsidR="002A4577" w:rsidRPr="00F83D7E" w:rsidRDefault="002A4577">
      <w:pPr>
        <w:pStyle w:val="Zkladntext"/>
        <w:rPr>
          <w:rFonts w:ascii="Arial" w:hAnsi="Arial" w:cs="Arial"/>
          <w:sz w:val="20"/>
          <w:szCs w:val="20"/>
        </w:rPr>
      </w:pPr>
    </w:p>
    <w:p w14:paraId="22D94A49"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14:paraId="050385ED" w14:textId="77777777"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14:paraId="7335796F" w14:textId="77777777" w:rsidR="002A4577" w:rsidRPr="00F83D7E" w:rsidRDefault="001B57D3">
      <w:pPr>
        <w:pStyle w:val="Zkladntext"/>
        <w:numPr>
          <w:ilvl w:val="1"/>
          <w:numId w:val="12"/>
        </w:numPr>
        <w:spacing w:after="120"/>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w:t>
      </w:r>
      <w:r w:rsidR="00DF48FF"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14:paraId="65809B32" w14:textId="77777777" w:rsidR="002A4577" w:rsidRPr="00F83D7E" w:rsidRDefault="001B57D3">
      <w:pPr>
        <w:pStyle w:val="Zkladntext"/>
        <w:numPr>
          <w:ilvl w:val="0"/>
          <w:numId w:val="9"/>
        </w:numPr>
        <w:rPr>
          <w:rFonts w:ascii="Arial" w:hAnsi="Arial" w:cs="Arial"/>
          <w:sz w:val="20"/>
          <w:szCs w:val="20"/>
        </w:rPr>
      </w:pPr>
      <w:r>
        <w:rPr>
          <w:rFonts w:ascii="Arial" w:hAnsi="Arial" w:cs="Arial"/>
          <w:sz w:val="20"/>
          <w:szCs w:val="20"/>
          <w:u w:val="single"/>
        </w:rPr>
        <w:t>Typ</w:t>
      </w:r>
      <w:r w:rsidR="00DF48FF" w:rsidRPr="00DF48FF">
        <w:rPr>
          <w:rFonts w:ascii="Arial" w:hAnsi="Arial" w:cs="Arial"/>
          <w:sz w:val="20"/>
          <w:szCs w:val="20"/>
          <w:u w:val="single"/>
        </w:rPr>
        <w:t xml:space="preserve"> domácnosti EU</w:t>
      </w:r>
      <w:r w:rsidR="00DF48FF" w:rsidRPr="00DF48FF">
        <w:rPr>
          <w:rFonts w:ascii="Arial" w:hAnsi="Arial" w:cs="Arial"/>
          <w:sz w:val="20"/>
          <w:szCs w:val="20"/>
        </w:rPr>
        <w:t xml:space="preserve"> byl vytvořen podle metodiky Eurostatu. Na rozdíl od národní definice v předchozím odstavci není tato definice založena přímo na rodinných vztazích, ale jedná se spíše o typologii založenou na počtu dospělých a počtu závislých dětí v dané domácnosti. </w:t>
      </w:r>
    </w:p>
    <w:p w14:paraId="11CEC162" w14:textId="77777777"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14:paraId="43DD7583" w14:textId="77777777"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14:paraId="5C708DFE"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Absolvování vyšší odborné školy je zařazeno do vysokoškolského vzdělání. To dále zahrnuje především všechny programy vysokoškolského studia, včetně bakalářského a doktorského. </w:t>
      </w:r>
    </w:p>
    <w:p w14:paraId="65042F66" w14:textId="77777777"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w:t>
      </w:r>
      <w:r w:rsidRPr="00DF48FF">
        <w:rPr>
          <w:rFonts w:ascii="Arial" w:hAnsi="Arial" w:cs="Arial"/>
          <w:sz w:val="20"/>
          <w:szCs w:val="20"/>
        </w:rPr>
        <w:lastRenderedPageBreak/>
        <w:t xml:space="preserve">agregované za 9 hlavních tříd a vztahují se k osobě v čele domácnosti. Příslušníci armády byli zařazeni do třídy 1 - zákonodárci a řídící pracovníci. </w:t>
      </w:r>
    </w:p>
    <w:p w14:paraId="6C9B4BFF" w14:textId="77777777"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14:paraId="1CBF5DB7" w14:textId="77777777"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14:paraId="747AF47E" w14:textId="77777777"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na:</w:t>
      </w:r>
    </w:p>
    <w:p w14:paraId="2C027CC3" w14:textId="77777777"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14:paraId="76790965" w14:textId="77777777"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14:paraId="1C6A6F9D"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14:paraId="3A48A0B1" w14:textId="77777777"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14:paraId="0F498B28" w14:textId="77777777"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14:paraId="136C43BE" w14:textId="77777777"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14:paraId="3B6F8B11" w14:textId="588D58AF"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bylo vypočteno pro každou samostatně hospodařící domácnost zvlášť na základě jejího složení, věku dětí a zákonných částek životního minima platných v roce 201</w:t>
      </w:r>
      <w:r w:rsidR="0031546B">
        <w:rPr>
          <w:rFonts w:ascii="Arial" w:hAnsi="Arial" w:cs="Arial"/>
          <w:sz w:val="20"/>
          <w:szCs w:val="20"/>
        </w:rPr>
        <w:t>9</w:t>
      </w:r>
      <w:r w:rsidRPr="00DF48FF">
        <w:rPr>
          <w:rFonts w:ascii="Arial" w:hAnsi="Arial" w:cs="Arial"/>
          <w:sz w:val="20"/>
          <w:szCs w:val="20"/>
        </w:rPr>
        <w:t>. Děti byly do věkových kategorií zařazeny podle věku dokončeného v roce 201</w:t>
      </w:r>
      <w:r w:rsidR="0031546B">
        <w:rPr>
          <w:rFonts w:ascii="Arial" w:hAnsi="Arial" w:cs="Arial"/>
          <w:sz w:val="20"/>
          <w:szCs w:val="20"/>
        </w:rPr>
        <w:t>9</w:t>
      </w:r>
      <w:r w:rsidRPr="00DF48FF">
        <w:rPr>
          <w:rFonts w:ascii="Arial" w:hAnsi="Arial" w:cs="Arial"/>
          <w:sz w:val="20"/>
          <w:szCs w:val="20"/>
        </w:rPr>
        <w:t xml:space="preserve">. </w:t>
      </w:r>
    </w:p>
    <w:p w14:paraId="4136EA1C" w14:textId="419011DB" w:rsidR="002A4577" w:rsidRDefault="00DF48FF">
      <w:pPr>
        <w:pStyle w:val="Zkladntext"/>
        <w:spacing w:after="120"/>
        <w:rPr>
          <w:rFonts w:ascii="Arial" w:hAnsi="Arial" w:cs="Arial"/>
          <w:sz w:val="20"/>
          <w:szCs w:val="20"/>
        </w:rPr>
      </w:pPr>
      <w:r w:rsidRPr="00DF48FF">
        <w:rPr>
          <w:rFonts w:ascii="Arial" w:hAnsi="Arial" w:cs="Arial"/>
          <w:sz w:val="20"/>
          <w:szCs w:val="20"/>
        </w:rPr>
        <w:t>Částky životního minima v Kč na měsíc platné pro rok 201</w:t>
      </w:r>
      <w:r w:rsidR="0031546B">
        <w:rPr>
          <w:rFonts w:ascii="Arial" w:hAnsi="Arial" w:cs="Arial"/>
          <w:sz w:val="20"/>
          <w:szCs w:val="20"/>
        </w:rPr>
        <w:t>9</w:t>
      </w:r>
      <w:r w:rsidRPr="00DF48FF">
        <w:rPr>
          <w:rFonts w:ascii="Arial" w:hAnsi="Arial" w:cs="Arial"/>
          <w:sz w:val="20"/>
          <w:szCs w:val="20"/>
        </w:rPr>
        <w:t xml:space="preserve"> byly následující:</w:t>
      </w:r>
    </w:p>
    <w:p w14:paraId="72C01354" w14:textId="4F09E80F" w:rsidR="00811140" w:rsidRDefault="00F37D3F">
      <w:pPr>
        <w:pStyle w:val="Zkladntext"/>
        <w:rPr>
          <w:rFonts w:ascii="Arial" w:hAnsi="Arial" w:cs="Arial"/>
          <w:b/>
          <w:sz w:val="20"/>
          <w:szCs w:val="20"/>
        </w:rPr>
      </w:pPr>
      <w:r>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201</w:t>
      </w:r>
      <w:r w:rsidR="00E41E17">
        <w:rPr>
          <w:rFonts w:ascii="Arial" w:hAnsi="Arial" w:cs="Arial"/>
          <w:b/>
          <w:sz w:val="20"/>
          <w:szCs w:val="20"/>
        </w:rPr>
        <w:t>9</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1080"/>
        <w:gridCol w:w="2760"/>
        <w:gridCol w:w="1101"/>
      </w:tblGrid>
      <w:tr w:rsidR="002A4577" w:rsidRPr="00F37D3F" w14:paraId="3985F7ED" w14:textId="77777777" w:rsidTr="00DB41B7">
        <w:trPr>
          <w:cantSplit/>
          <w:trHeight w:val="369"/>
        </w:trPr>
        <w:tc>
          <w:tcPr>
            <w:tcW w:w="8781" w:type="dxa"/>
            <w:gridSpan w:val="4"/>
            <w:shd w:val="clear" w:color="auto" w:fill="D9D9D9"/>
          </w:tcPr>
          <w:p w14:paraId="4DB27194" w14:textId="77777777" w:rsidR="00DF48FF" w:rsidRPr="00DF48FF" w:rsidRDefault="00DF48FF" w:rsidP="00DF48FF">
            <w:pPr>
              <w:pStyle w:val="Zkladntext"/>
              <w:spacing w:line="276" w:lineRule="auto"/>
              <w:jc w:val="center"/>
              <w:rPr>
                <w:rFonts w:ascii="Arial" w:hAnsi="Arial" w:cs="Arial"/>
                <w:b/>
                <w:sz w:val="8"/>
                <w:szCs w:val="8"/>
              </w:rPr>
            </w:pPr>
          </w:p>
          <w:p w14:paraId="51BC228A" w14:textId="77777777" w:rsidR="00DF48FF" w:rsidRPr="00DF48FF" w:rsidRDefault="0024739A" w:rsidP="00DF48FF">
            <w:pPr>
              <w:pStyle w:val="Zkladntext"/>
              <w:tabs>
                <w:tab w:val="left" w:pos="288"/>
                <w:tab w:val="center" w:pos="4320"/>
              </w:tabs>
              <w:spacing w:line="276" w:lineRule="auto"/>
              <w:jc w:val="left"/>
              <w:rPr>
                <w:rFonts w:ascii="Arial" w:hAnsi="Arial" w:cs="Arial"/>
                <w:b/>
                <w:sz w:val="16"/>
                <w:szCs w:val="16"/>
              </w:rPr>
            </w:pPr>
            <w:r w:rsidRPr="00DB41B7">
              <w:rPr>
                <w:rFonts w:ascii="Arial" w:hAnsi="Arial" w:cs="Arial"/>
                <w:b/>
                <w:sz w:val="16"/>
                <w:szCs w:val="16"/>
                <w:shd w:val="clear" w:color="auto" w:fill="D9D9D9"/>
              </w:rPr>
              <w:tab/>
            </w:r>
            <w:r w:rsidRPr="00DB41B7">
              <w:rPr>
                <w:rFonts w:ascii="Arial" w:hAnsi="Arial" w:cs="Arial"/>
                <w:b/>
                <w:sz w:val="16"/>
                <w:szCs w:val="16"/>
                <w:shd w:val="clear" w:color="auto" w:fill="D9D9D9"/>
              </w:rPr>
              <w:tab/>
            </w:r>
            <w:r w:rsidR="00DF48FF" w:rsidRPr="00DB41B7">
              <w:rPr>
                <w:rFonts w:ascii="Arial" w:hAnsi="Arial" w:cs="Arial"/>
                <w:b/>
                <w:sz w:val="16"/>
                <w:szCs w:val="16"/>
                <w:shd w:val="clear" w:color="auto" w:fill="D9D9D9"/>
              </w:rPr>
              <w:t>Částky životního minima v Kč na měsíc</w:t>
            </w:r>
          </w:p>
        </w:tc>
      </w:tr>
      <w:tr w:rsidR="002A4577" w:rsidRPr="00F37D3F" w14:paraId="37F700DD" w14:textId="77777777" w:rsidTr="006F5513">
        <w:trPr>
          <w:trHeight w:val="1254"/>
        </w:trPr>
        <w:tc>
          <w:tcPr>
            <w:tcW w:w="3840" w:type="dxa"/>
          </w:tcPr>
          <w:p w14:paraId="6385193C" w14:textId="77777777" w:rsidR="006F5513" w:rsidRPr="006F5513" w:rsidRDefault="006F5513">
            <w:pPr>
              <w:pStyle w:val="Zkladntext"/>
              <w:rPr>
                <w:rFonts w:ascii="Arial" w:hAnsi="Arial" w:cs="Arial"/>
                <w:sz w:val="10"/>
                <w:szCs w:val="10"/>
              </w:rPr>
            </w:pPr>
          </w:p>
          <w:p w14:paraId="04260059" w14:textId="77777777" w:rsidR="002A4577" w:rsidRPr="00F37D3F" w:rsidRDefault="00DF48FF">
            <w:pPr>
              <w:pStyle w:val="Zkladntext"/>
              <w:rPr>
                <w:rFonts w:ascii="Arial" w:hAnsi="Arial" w:cs="Arial"/>
                <w:sz w:val="16"/>
                <w:szCs w:val="16"/>
              </w:rPr>
            </w:pPr>
            <w:r w:rsidRPr="00DF48FF">
              <w:rPr>
                <w:rFonts w:ascii="Arial" w:hAnsi="Arial" w:cs="Arial"/>
                <w:sz w:val="16"/>
                <w:szCs w:val="16"/>
              </w:rPr>
              <w:t>Jednotlivec</w:t>
            </w:r>
          </w:p>
          <w:p w14:paraId="40E7F8E0" w14:textId="77777777" w:rsidR="002A4577" w:rsidRPr="00F37D3F" w:rsidRDefault="00DF48FF">
            <w:pPr>
              <w:pStyle w:val="Zkladntext"/>
              <w:rPr>
                <w:rFonts w:ascii="Arial" w:hAnsi="Arial" w:cs="Arial"/>
                <w:sz w:val="16"/>
                <w:szCs w:val="16"/>
              </w:rPr>
            </w:pPr>
            <w:r w:rsidRPr="00DF48FF">
              <w:rPr>
                <w:rFonts w:ascii="Arial" w:hAnsi="Arial" w:cs="Arial"/>
                <w:sz w:val="16"/>
                <w:szCs w:val="16"/>
              </w:rPr>
              <w:t>Společně posuzované osoby:</w:t>
            </w:r>
          </w:p>
          <w:p w14:paraId="1E43791A" w14:textId="77777777"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první osobu v domácnosti</w:t>
            </w:r>
          </w:p>
          <w:p w14:paraId="1D89981D" w14:textId="77777777"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druhou a další osoby   </w:t>
            </w:r>
          </w:p>
          <w:p w14:paraId="429D56D1" w14:textId="77777777" w:rsidR="002A4577" w:rsidRPr="00F37D3F" w:rsidRDefault="00DF48FF">
            <w:pPr>
              <w:pStyle w:val="Zkladntext"/>
              <w:rPr>
                <w:rFonts w:ascii="Arial" w:hAnsi="Arial" w:cs="Arial"/>
                <w:sz w:val="16"/>
                <w:szCs w:val="16"/>
              </w:rPr>
            </w:pPr>
            <w:r w:rsidRPr="00DF48FF">
              <w:rPr>
                <w:rFonts w:ascii="Arial" w:hAnsi="Arial" w:cs="Arial"/>
                <w:sz w:val="16"/>
                <w:szCs w:val="16"/>
              </w:rPr>
              <w:t xml:space="preserve">        v domácnosti, které nejsou </w:t>
            </w:r>
          </w:p>
          <w:p w14:paraId="2918784D" w14:textId="77777777" w:rsidR="002A4577" w:rsidRPr="00F37D3F" w:rsidRDefault="00DF48FF" w:rsidP="00615FD1">
            <w:pPr>
              <w:pStyle w:val="Zkladntext"/>
              <w:rPr>
                <w:rFonts w:ascii="Arial" w:hAnsi="Arial" w:cs="Arial"/>
                <w:sz w:val="16"/>
                <w:szCs w:val="16"/>
              </w:rPr>
            </w:pPr>
            <w:r w:rsidRPr="00DF48FF">
              <w:rPr>
                <w:rFonts w:ascii="Arial" w:hAnsi="Arial" w:cs="Arial"/>
                <w:sz w:val="16"/>
                <w:szCs w:val="16"/>
              </w:rPr>
              <w:t xml:space="preserve">        vyživovaným dítětem</w:t>
            </w:r>
          </w:p>
        </w:tc>
        <w:tc>
          <w:tcPr>
            <w:tcW w:w="1080" w:type="dxa"/>
          </w:tcPr>
          <w:p w14:paraId="2ACBFCCA" w14:textId="77777777" w:rsidR="006F5513" w:rsidRPr="006F5513" w:rsidRDefault="006F5513">
            <w:pPr>
              <w:pStyle w:val="Zkladntext"/>
              <w:ind w:right="113"/>
              <w:jc w:val="right"/>
              <w:rPr>
                <w:rFonts w:ascii="Arial" w:hAnsi="Arial" w:cs="Arial"/>
                <w:sz w:val="10"/>
                <w:szCs w:val="10"/>
              </w:rPr>
            </w:pPr>
          </w:p>
          <w:p w14:paraId="6EAD8A8D" w14:textId="77777777"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3 410  </w:t>
            </w:r>
          </w:p>
          <w:p w14:paraId="12A933C5" w14:textId="77777777" w:rsidR="002A4577" w:rsidRPr="00F37D3F" w:rsidRDefault="002A4577">
            <w:pPr>
              <w:pStyle w:val="Zkladntext"/>
              <w:ind w:right="113"/>
              <w:jc w:val="right"/>
              <w:rPr>
                <w:rFonts w:ascii="Arial" w:hAnsi="Arial" w:cs="Arial"/>
                <w:sz w:val="16"/>
                <w:szCs w:val="16"/>
              </w:rPr>
            </w:pPr>
          </w:p>
          <w:p w14:paraId="0033B974" w14:textId="77777777"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3 140</w:t>
            </w:r>
          </w:p>
          <w:p w14:paraId="5B5E430C" w14:textId="77777777"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w:t>
            </w:r>
            <w:r w:rsidR="006F5513">
              <w:rPr>
                <w:rFonts w:ascii="Arial" w:hAnsi="Arial" w:cs="Arial"/>
                <w:sz w:val="16"/>
                <w:szCs w:val="16"/>
              </w:rPr>
              <w:t> </w:t>
            </w:r>
            <w:r w:rsidRPr="00DF48FF">
              <w:rPr>
                <w:rFonts w:ascii="Arial" w:hAnsi="Arial" w:cs="Arial"/>
                <w:sz w:val="16"/>
                <w:szCs w:val="16"/>
              </w:rPr>
              <w:t>830</w:t>
            </w:r>
          </w:p>
        </w:tc>
        <w:tc>
          <w:tcPr>
            <w:tcW w:w="2760" w:type="dxa"/>
          </w:tcPr>
          <w:p w14:paraId="4A3F0E22" w14:textId="77777777" w:rsidR="006F5513" w:rsidRPr="006F5513" w:rsidRDefault="006F5513">
            <w:pPr>
              <w:pStyle w:val="Zkladntext"/>
              <w:rPr>
                <w:rFonts w:ascii="Arial" w:hAnsi="Arial" w:cs="Arial"/>
                <w:sz w:val="10"/>
                <w:szCs w:val="10"/>
              </w:rPr>
            </w:pPr>
          </w:p>
          <w:p w14:paraId="700E105B" w14:textId="77777777" w:rsidR="002A4577" w:rsidRPr="00F37D3F" w:rsidRDefault="00DF48FF">
            <w:pPr>
              <w:pStyle w:val="Zkladntext"/>
              <w:rPr>
                <w:rFonts w:ascii="Arial" w:hAnsi="Arial" w:cs="Arial"/>
                <w:sz w:val="16"/>
                <w:szCs w:val="16"/>
              </w:rPr>
            </w:pPr>
            <w:r w:rsidRPr="00DF48FF">
              <w:rPr>
                <w:rFonts w:ascii="Arial" w:hAnsi="Arial" w:cs="Arial"/>
                <w:sz w:val="16"/>
                <w:szCs w:val="16"/>
              </w:rPr>
              <w:t>Vyživované děti:</w:t>
            </w:r>
          </w:p>
          <w:p w14:paraId="66966360" w14:textId="77777777" w:rsidR="002A4577" w:rsidRPr="00F37D3F" w:rsidRDefault="00DF48FF">
            <w:pPr>
              <w:pStyle w:val="Zkladntext"/>
              <w:rPr>
                <w:rFonts w:ascii="Arial" w:hAnsi="Arial" w:cs="Arial"/>
                <w:sz w:val="16"/>
                <w:szCs w:val="16"/>
              </w:rPr>
            </w:pPr>
            <w:r w:rsidRPr="00DF48FF">
              <w:rPr>
                <w:rFonts w:ascii="Arial" w:hAnsi="Arial" w:cs="Arial"/>
                <w:sz w:val="16"/>
                <w:szCs w:val="16"/>
              </w:rPr>
              <w:t xml:space="preserve">  do 6 let</w:t>
            </w:r>
          </w:p>
          <w:p w14:paraId="326F3E81" w14:textId="77777777" w:rsidR="002A4577" w:rsidRPr="00F37D3F" w:rsidRDefault="00DF48FF">
            <w:pPr>
              <w:pStyle w:val="Zkladntext"/>
              <w:rPr>
                <w:rFonts w:ascii="Arial" w:hAnsi="Arial" w:cs="Arial"/>
                <w:sz w:val="16"/>
                <w:szCs w:val="16"/>
              </w:rPr>
            </w:pPr>
            <w:r w:rsidRPr="00DF48FF">
              <w:rPr>
                <w:rFonts w:ascii="Arial" w:hAnsi="Arial" w:cs="Arial"/>
                <w:sz w:val="16"/>
                <w:szCs w:val="16"/>
              </w:rPr>
              <w:t xml:space="preserve">  6 až 15 let</w:t>
            </w:r>
          </w:p>
          <w:p w14:paraId="70BDB287" w14:textId="77777777" w:rsidR="002A4577" w:rsidRPr="00F37D3F" w:rsidRDefault="00DF48FF">
            <w:pPr>
              <w:pStyle w:val="Zkladntext"/>
              <w:rPr>
                <w:rFonts w:ascii="Arial" w:hAnsi="Arial" w:cs="Arial"/>
                <w:sz w:val="16"/>
                <w:szCs w:val="16"/>
              </w:rPr>
            </w:pPr>
            <w:r w:rsidRPr="00DF48FF">
              <w:rPr>
                <w:rFonts w:ascii="Arial" w:hAnsi="Arial" w:cs="Arial"/>
                <w:sz w:val="16"/>
                <w:szCs w:val="16"/>
              </w:rPr>
              <w:t xml:space="preserve">  15 až 26 let</w:t>
            </w:r>
          </w:p>
        </w:tc>
        <w:tc>
          <w:tcPr>
            <w:tcW w:w="1101" w:type="dxa"/>
          </w:tcPr>
          <w:p w14:paraId="3876D2D0" w14:textId="77777777" w:rsidR="002A4577" w:rsidRPr="006F5513" w:rsidRDefault="002A4577">
            <w:pPr>
              <w:pStyle w:val="Zkladntext"/>
              <w:rPr>
                <w:rFonts w:ascii="Arial" w:hAnsi="Arial" w:cs="Arial"/>
                <w:sz w:val="10"/>
                <w:szCs w:val="10"/>
              </w:rPr>
            </w:pPr>
          </w:p>
          <w:p w14:paraId="41825373" w14:textId="77777777" w:rsidR="006F5513" w:rsidRDefault="006F5513">
            <w:pPr>
              <w:pStyle w:val="Zkladntext"/>
              <w:ind w:right="113"/>
              <w:jc w:val="right"/>
              <w:rPr>
                <w:rFonts w:ascii="Arial" w:hAnsi="Arial" w:cs="Arial"/>
                <w:sz w:val="16"/>
                <w:szCs w:val="16"/>
              </w:rPr>
            </w:pPr>
          </w:p>
          <w:p w14:paraId="3FC82D1B" w14:textId="77777777"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1 740</w:t>
            </w:r>
          </w:p>
          <w:p w14:paraId="7D7745D6" w14:textId="77777777"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2 140 </w:t>
            </w:r>
          </w:p>
          <w:p w14:paraId="63BF2B8F" w14:textId="77777777"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2 450</w:t>
            </w:r>
          </w:p>
        </w:tc>
      </w:tr>
    </w:tbl>
    <w:p w14:paraId="19E8F80D" w14:textId="77777777" w:rsidR="001B2640" w:rsidRDefault="00E37136" w:rsidP="001B2640">
      <w:pPr>
        <w:pStyle w:val="Zkladntext"/>
        <w:spacing w:after="240"/>
        <w:rPr>
          <w:rFonts w:ascii="Arial" w:hAnsi="Arial" w:cs="Arial"/>
          <w:sz w:val="14"/>
          <w:szCs w:val="14"/>
        </w:rPr>
      </w:pPr>
      <w:r>
        <w:rPr>
          <w:rFonts w:ascii="Arial" w:hAnsi="Arial" w:cs="Arial"/>
          <w:sz w:val="20"/>
          <w:szCs w:val="20"/>
        </w:rPr>
        <w:t xml:space="preserve">      </w:t>
      </w:r>
      <w:r w:rsidR="00DF48FF" w:rsidRPr="00DF48FF">
        <w:rPr>
          <w:rFonts w:ascii="Arial" w:hAnsi="Arial" w:cs="Arial"/>
          <w:sz w:val="14"/>
          <w:szCs w:val="14"/>
        </w:rPr>
        <w:t xml:space="preserve">Zdroj: </w:t>
      </w:r>
      <w:r>
        <w:rPr>
          <w:rFonts w:ascii="Arial" w:hAnsi="Arial" w:cs="Arial"/>
          <w:sz w:val="14"/>
          <w:szCs w:val="14"/>
        </w:rPr>
        <w:t>MPSV</w:t>
      </w:r>
    </w:p>
    <w:p w14:paraId="1980D56E" w14:textId="77777777"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14:paraId="7E88941B"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14:paraId="58A6C405"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14:paraId="10BAE988"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14:paraId="6D9DC797"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14:paraId="58FEED1B"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lastRenderedPageBreak/>
        <w:t xml:space="preserve">Vedle tohoto národního ukazatele o příjmu domácnosti bylo třeba zkonstruovat podle metodiky stanovené Eurostatem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14:paraId="46DB0B63" w14:textId="22E9361C"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 xml:space="preserve">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 </w:t>
      </w:r>
      <w:r w:rsidR="00A361BB">
        <w:rPr>
          <w:rFonts w:ascii="Arial" w:hAnsi="Arial" w:cs="Arial"/>
          <w:sz w:val="20"/>
          <w:szCs w:val="20"/>
        </w:rPr>
        <w:t>ročního odhadu respondenta, resp. měsíčního odhadu přepočteného na celý rok počtem měsíců zaměstnání</w:t>
      </w:r>
      <w:r w:rsidRPr="00DF48FF">
        <w:rPr>
          <w:rFonts w:ascii="Arial" w:hAnsi="Arial" w:cs="Arial"/>
          <w:sz w:val="20"/>
          <w:szCs w:val="20"/>
        </w:rPr>
        <w:t>. Protože se jedná o významnou část příjmů zaměstnanců, jsou částky na užívání služebního auta a na stravování v Tab. 1a) uvedeny samostatně.</w:t>
      </w:r>
    </w:p>
    <w:p w14:paraId="5C50A1FD"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14:paraId="1C635CA0"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14:paraId="2AE52750"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14:paraId="342202F4" w14:textId="77777777"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14:paraId="17D80AC8"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14:paraId="562260B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14:paraId="7FE51FF2"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14:paraId="14079475" w14:textId="567ED817"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Pr="000C6B51">
        <w:rPr>
          <w:rFonts w:ascii="Arial" w:hAnsi="Arial" w:cs="Arial"/>
          <w:sz w:val="20"/>
          <w:szCs w:val="20"/>
        </w:rPr>
        <w:t>(</w:t>
      </w:r>
      <w:r w:rsidR="009813F6">
        <w:rPr>
          <w:rFonts w:ascii="Arial" w:hAnsi="Arial" w:cs="Arial"/>
          <w:sz w:val="20"/>
          <w:szCs w:val="20"/>
        </w:rPr>
        <w:t>4</w:t>
      </w:r>
      <w:r w:rsidR="00F543E1">
        <w:rPr>
          <w:rFonts w:ascii="Arial" w:hAnsi="Arial" w:cs="Arial"/>
          <w:sz w:val="20"/>
          <w:szCs w:val="20"/>
        </w:rPr>
        <w:t>80</w:t>
      </w:r>
      <w:r w:rsidR="00CC7B38" w:rsidRPr="000C6B51">
        <w:rPr>
          <w:rFonts w:ascii="Arial" w:hAnsi="Arial" w:cs="Arial"/>
          <w:sz w:val="20"/>
          <w:szCs w:val="20"/>
        </w:rPr>
        <w:t xml:space="preserve"> </w:t>
      </w:r>
      <w:r w:rsidR="00F543E1">
        <w:rPr>
          <w:rFonts w:ascii="Arial" w:hAnsi="Arial" w:cs="Arial"/>
          <w:sz w:val="20"/>
          <w:szCs w:val="20"/>
        </w:rPr>
        <w:t>6</w:t>
      </w:r>
      <w:r w:rsidR="00CC7B38" w:rsidRPr="000C6B51">
        <w:rPr>
          <w:rFonts w:ascii="Arial" w:hAnsi="Arial" w:cs="Arial"/>
          <w:sz w:val="20"/>
          <w:szCs w:val="20"/>
        </w:rPr>
        <w:t>00</w:t>
      </w:r>
      <w:r w:rsidR="000C6B51">
        <w:rPr>
          <w:rFonts w:ascii="Arial" w:hAnsi="Arial" w:cs="Arial"/>
          <w:sz w:val="20"/>
          <w:szCs w:val="20"/>
        </w:rPr>
        <w:t> </w:t>
      </w:r>
      <w:r w:rsidRPr="00DF48FF">
        <w:rPr>
          <w:rFonts w:ascii="Arial" w:hAnsi="Arial" w:cs="Arial"/>
          <w:sz w:val="20"/>
          <w:szCs w:val="20"/>
        </w:rPr>
        <w:t>Kč).</w:t>
      </w:r>
    </w:p>
    <w:p w14:paraId="01D704A1"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14:paraId="30D949D7"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14:paraId="1AF27D2D"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Jiné sociální příjmy</w:t>
      </w:r>
      <w:r w:rsidRPr="00DF48FF">
        <w:rPr>
          <w:rFonts w:ascii="Arial" w:hAnsi="Arial" w:cs="Arial"/>
          <w:sz w:val="20"/>
          <w:szCs w:val="20"/>
        </w:rPr>
        <w:t xml:space="preserve"> zahrnují vedle dávek pomoci v hmotné nouzi rovněž odchodné a výsluhové příspěvky vyplácené u některých druhů povolání, příspěvek na péči podle zákona o sociálních službách a další dávky a příspěvky pro rodiny s dětmi, staré a těžce zdravotně postižené občany vyplácené většinou obecními úřady.</w:t>
      </w:r>
    </w:p>
    <w:p w14:paraId="63B8D713"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14:paraId="451FE8CA" w14:textId="77777777"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Stipendia</w:t>
      </w:r>
      <w:r w:rsidRPr="00DF48FF">
        <w:rPr>
          <w:rFonts w:ascii="Arial" w:hAnsi="Arial" w:cs="Arial"/>
          <w:sz w:val="20"/>
          <w:szCs w:val="20"/>
        </w:rPr>
        <w:t xml:space="preserve"> zahrnují všechny druhy stipendií vyplácené školou a dále kapesné učňů vyplácené školou či budoucím zaměstnavatelem.</w:t>
      </w:r>
    </w:p>
    <w:p w14:paraId="74327501" w14:textId="77777777"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lastRenderedPageBreak/>
        <w:t>Sociální příjmy, které ve výjimečných případech pocházejí ze zahraničí, jsou zařazeny do položky odpovídající typu dávky, přestože nejsou výdajem státu - jednalo se především o důchody a přídavky na děti.</w:t>
      </w:r>
    </w:p>
    <w:p w14:paraId="4EBFAF95" w14:textId="77777777"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14:paraId="2ABFC9A9" w14:textId="77777777"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14:paraId="1AA82CC4" w14:textId="77777777"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14:paraId="40CA22E9" w14:textId="77777777" w:rsidR="002A4577" w:rsidRPr="00F83D7E" w:rsidRDefault="002A4577">
      <w:pPr>
        <w:pStyle w:val="Zkladntext"/>
        <w:ind w:firstLine="357"/>
        <w:rPr>
          <w:rFonts w:ascii="Arial" w:hAnsi="Arial" w:cs="Arial"/>
          <w:sz w:val="20"/>
          <w:szCs w:val="20"/>
        </w:rPr>
      </w:pPr>
    </w:p>
    <w:p w14:paraId="25AA17F7" w14:textId="77777777"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14:paraId="096637F9"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14:paraId="317E0BBF" w14:textId="77777777"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Pokud domácnost uvedla některé výdaje na bydlení pouze souhrnně, jako součást nájemného (detailní rozpis neznala), byly dílčí částky nákladů na bydlení</w:t>
      </w:r>
      <w:r w:rsidR="00336ABC">
        <w:rPr>
          <w:rFonts w:ascii="Arial" w:hAnsi="Arial" w:cs="Arial"/>
          <w:sz w:val="20"/>
          <w:szCs w:val="20"/>
        </w:rPr>
        <w:t xml:space="preserve"> (fond oprav, společné služby pro celý dům, elektřina, ústřední vytápění a teplá voda, plyn z dálkového zdroje, vodné a stočné, odvoz odpadků, paliva, pojištění domu/bytu a ostatní náklady)</w:t>
      </w:r>
      <w:r w:rsidRPr="00DF48FF">
        <w:rPr>
          <w:rFonts w:ascii="Arial" w:hAnsi="Arial" w:cs="Arial"/>
          <w:sz w:val="20"/>
          <w:szCs w:val="20"/>
        </w:rPr>
        <w:t xml:space="preserve">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14:paraId="4B957262" w14:textId="77777777" w:rsidR="00DF48FF" w:rsidRPr="00DF48FF" w:rsidRDefault="00DF48FF" w:rsidP="00DF48FF">
      <w:pPr>
        <w:pStyle w:val="Zkladntext"/>
        <w:spacing w:after="120"/>
        <w:rPr>
          <w:rFonts w:ascii="Arial" w:hAnsi="Arial" w:cs="Arial"/>
          <w:sz w:val="20"/>
          <w:szCs w:val="20"/>
        </w:rPr>
      </w:pPr>
    </w:p>
    <w:p w14:paraId="3F51E4D4" w14:textId="77777777" w:rsidR="001B2640" w:rsidRDefault="00DF48FF" w:rsidP="001B2640">
      <w:pPr>
        <w:pStyle w:val="Zkladntext"/>
        <w:spacing w:after="240" w:line="360" w:lineRule="auto"/>
        <w:rPr>
          <w:rFonts w:ascii="Arial" w:hAnsi="Arial" w:cs="Arial"/>
          <w:b/>
          <w:bCs/>
        </w:rPr>
      </w:pPr>
      <w:r w:rsidRPr="00DF48FF">
        <w:rPr>
          <w:rFonts w:ascii="Arial" w:hAnsi="Arial" w:cs="Arial"/>
          <w:b/>
          <w:bCs/>
        </w:rPr>
        <w:t>2.3. Popis a vysvětlivky k tabulkám</w:t>
      </w:r>
    </w:p>
    <w:p w14:paraId="43C480F1"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Publikace obsahuje tabulky za hospodařící domácnosti (Tab. 1 až 15), tabulky za osoby 16leté a starší (Tab. 16 až 18) a tabulky za ukazatele míry příjmové chudoby</w:t>
      </w:r>
      <w:r w:rsidR="00FD0273">
        <w:rPr>
          <w:rFonts w:ascii="Arial" w:hAnsi="Arial" w:cs="Arial"/>
          <w:sz w:val="20"/>
          <w:szCs w:val="20"/>
        </w:rPr>
        <w:t xml:space="preserve"> a</w:t>
      </w:r>
      <w:r w:rsidRPr="00DF48FF">
        <w:rPr>
          <w:rFonts w:ascii="Arial" w:hAnsi="Arial" w:cs="Arial"/>
          <w:sz w:val="20"/>
          <w:szCs w:val="20"/>
        </w:rPr>
        <w:t xml:space="preserve"> míry materiální deprivace (Tab. 19 a 2</w:t>
      </w:r>
      <w:r w:rsidR="00FD0273">
        <w:rPr>
          <w:rFonts w:ascii="Arial" w:hAnsi="Arial" w:cs="Arial"/>
          <w:sz w:val="20"/>
          <w:szCs w:val="20"/>
        </w:rPr>
        <w:t>0</w:t>
      </w:r>
      <w:r w:rsidRPr="00DF48FF">
        <w:rPr>
          <w:rFonts w:ascii="Arial" w:hAnsi="Arial" w:cs="Arial"/>
          <w:sz w:val="20"/>
          <w:szCs w:val="20"/>
        </w:rPr>
        <w:t xml:space="preserve">). </w:t>
      </w:r>
    </w:p>
    <w:p w14:paraId="649374EA"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14:paraId="07F92D45"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w:t>
      </w:r>
      <w:r w:rsidR="00F543E1">
        <w:rPr>
          <w:rFonts w:ascii="Arial" w:hAnsi="Arial" w:cs="Arial"/>
          <w:sz w:val="20"/>
          <w:szCs w:val="20"/>
        </w:rPr>
        <w:t xml:space="preserve"> a</w:t>
      </w:r>
      <w:r w:rsidRPr="00DF48FF">
        <w:rPr>
          <w:rFonts w:ascii="Arial" w:hAnsi="Arial" w:cs="Arial"/>
          <w:sz w:val="20"/>
          <w:szCs w:val="20"/>
        </w:rPr>
        <w:t xml:space="preserve"> 20, kde pro děti platí evropská definice závislého dítěte uvedená v kap. 2.2.2. Při třídění domácností podle výše peněžních příjmů byl vždy použit čistý příjem.</w:t>
      </w:r>
    </w:p>
    <w:p w14:paraId="7D4A77FF" w14:textId="77777777"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14:paraId="2CEA59D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modif.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„nízkopříjmových“ domácností s dětmi, takže čisté příjmy 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14:paraId="3586403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modif. OECD. Příjmy domácností jsou dále vztaženy k násobkům mediánu průměrného příjmu na osobu zjištěného z příjmového rozdělení za úhrn domácností. Část b) tabulky není zařazena tam, kde peněžní příjmy na osobu byly použity jako třídící hledisko. </w:t>
      </w:r>
    </w:p>
    <w:p w14:paraId="7A5B2C8A"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lastRenderedPageBreak/>
        <w:t>Charakteristiky domácností, které udávají jejich strukturu podle nejrůznějších třídících znaků a tak doplňují, resp. vysvětlují údaje o příjmech.</w:t>
      </w:r>
    </w:p>
    <w:p w14:paraId="16C895CF" w14:textId="00C0BEA3"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U vybavení byla nově zařazena sušička prádla, myčka nádobí a naopak vypuštěn byl barevný televizor</w:t>
      </w:r>
      <w:r w:rsidR="00F543E1">
        <w:rPr>
          <w:rFonts w:ascii="Arial" w:hAnsi="Arial" w:cs="Arial"/>
          <w:sz w:val="20"/>
          <w:szCs w:val="20"/>
        </w:rPr>
        <w:t>, pračka a telefon</w:t>
      </w:r>
      <w:r w:rsidR="004902EB">
        <w:rPr>
          <w:rFonts w:ascii="Arial" w:hAnsi="Arial" w:cs="Arial"/>
          <w:sz w:val="20"/>
          <w:szCs w:val="20"/>
        </w:rPr>
        <w:t xml:space="preserve">. </w:t>
      </w:r>
    </w:p>
    <w:p w14:paraId="2827DA6D" w14:textId="77777777"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 spojení s úhradou nákladů na bydlení, splácení půjček, hospodaření s příjmem domácnosti.</w:t>
      </w:r>
    </w:p>
    <w:p w14:paraId="1BF3523B" w14:textId="77777777" w:rsidR="002A4577" w:rsidRPr="00F83D7E" w:rsidRDefault="002A4577">
      <w:pPr>
        <w:pStyle w:val="Zkladntext"/>
        <w:rPr>
          <w:rFonts w:ascii="Arial" w:hAnsi="Arial" w:cs="Arial"/>
          <w:sz w:val="20"/>
          <w:szCs w:val="20"/>
        </w:rPr>
      </w:pPr>
    </w:p>
    <w:p w14:paraId="60A6519C"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14:paraId="6795C601"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14:paraId="77DA099F"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modif. SJ OECD a kvintilové rozdělení domácností zaměstnanců a důchodců bez ekonomicky aktivních členů podle čistého peněžního příjmu na osobu. Příslušné domácnosti byly setříděny podle výše čistého peněžního příjmu na osobu, resp. na modif. SJ OECD a následně rozděleny v případě decilů do 10 a u kvintilů do 5 stejně velkých skupin. Za tyto skupiny pak byly provedeny samostatné výpočty. V tabulkách uvedené hodnoty horní hranice čistých peněžních příjmů představují příjem poslední domácnosti v příslušné decilové, resp. kvintilové skupině. Při přepočtu údajů z výběru na celou populaci nelze zajistit, aby byl v jednotlivých skupinách dodržen přesně stejný počet jednotek, takže se absolutní údaje o počtu domácností v jednotlivých intervalech nepatrně liší.</w:t>
      </w:r>
    </w:p>
    <w:p w14:paraId="02B0233C" w14:textId="5B34D2E1"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201</w:t>
      </w:r>
      <w:r w:rsidR="00F543E1">
        <w:rPr>
          <w:rFonts w:ascii="Arial" w:hAnsi="Arial" w:cs="Arial"/>
          <w:sz w:val="20"/>
          <w:szCs w:val="20"/>
        </w:rPr>
        <w:t>9</w:t>
      </w:r>
      <w:r w:rsidRPr="00DF48FF">
        <w:rPr>
          <w:rFonts w:ascii="Arial" w:hAnsi="Arial" w:cs="Arial"/>
          <w:sz w:val="20"/>
          <w:szCs w:val="20"/>
        </w:rPr>
        <w:t>. Násobky ŽM byly stanoveny tak, aby odpovídaly násobkům pro přiznání dávek státní sociální podpory.</w:t>
      </w:r>
    </w:p>
    <w:p w14:paraId="3A445BAF"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14:paraId="6B7E2CD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14:paraId="628AB33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14:paraId="7E09CB32" w14:textId="148AEA7E"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201</w:t>
      </w:r>
      <w:r w:rsidR="00F543E1">
        <w:rPr>
          <w:rFonts w:ascii="Arial" w:hAnsi="Arial" w:cs="Arial"/>
          <w:sz w:val="20"/>
          <w:szCs w:val="20"/>
        </w:rPr>
        <w:t>9</w:t>
      </w:r>
      <w:r w:rsidRPr="00DF48FF">
        <w:rPr>
          <w:rFonts w:ascii="Arial" w:hAnsi="Arial" w:cs="Arial"/>
          <w:sz w:val="20"/>
          <w:szCs w:val="20"/>
        </w:rPr>
        <w:t xml:space="preserve"> vykázaného demografickou statistikou. </w:t>
      </w:r>
    </w:p>
    <w:p w14:paraId="58C5404A"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14:paraId="22402BEE" w14:textId="305294B4"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F543E1">
        <w:rPr>
          <w:rFonts w:ascii="Arial" w:hAnsi="Arial" w:cs="Arial"/>
          <w:sz w:val="20"/>
          <w:szCs w:val="20"/>
        </w:rPr>
        <w:t>5</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14:paraId="12E20329" w14:textId="77777777" w:rsidR="00540B6D" w:rsidRDefault="00540B6D">
      <w:pPr>
        <w:pStyle w:val="Zkladntext"/>
        <w:spacing w:after="120"/>
        <w:rPr>
          <w:rFonts w:ascii="Arial" w:hAnsi="Arial" w:cs="Arial"/>
          <w:b/>
          <w:bCs/>
          <w:sz w:val="20"/>
          <w:szCs w:val="20"/>
        </w:rPr>
      </w:pPr>
    </w:p>
    <w:p w14:paraId="039FEA21" w14:textId="77777777"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14:paraId="28E5AA3D"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 Ve zpracování otázek týkajících se zdravotního stavu jsou zařazeny pouze přímé odpovědi dotazovaných osob, nepřipouštěly se tzv. proxy odpovědi, tj. možnost, aby za ně odpověděl jiný člen domácnosti. </w:t>
      </w:r>
    </w:p>
    <w:p w14:paraId="0DC0AD1F" w14:textId="33BD7DD8"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19</w:t>
      </w:r>
      <w:r w:rsidRPr="00DF48FF">
        <w:rPr>
          <w:rFonts w:ascii="Arial" w:hAnsi="Arial" w:cs="Arial"/>
          <w:sz w:val="20"/>
          <w:szCs w:val="20"/>
        </w:rPr>
        <w:t xml:space="preserve"> zahrnuje časovou řadu údajů o míře ohrožení chudobou od roku </w:t>
      </w:r>
      <w:r w:rsidR="00EC5F9C" w:rsidRPr="00DF48FF">
        <w:rPr>
          <w:rFonts w:ascii="Arial" w:hAnsi="Arial" w:cs="Arial"/>
          <w:sz w:val="20"/>
          <w:szCs w:val="20"/>
        </w:rPr>
        <w:t>201</w:t>
      </w:r>
      <w:r w:rsidR="00EC5F9C">
        <w:rPr>
          <w:rFonts w:ascii="Arial" w:hAnsi="Arial" w:cs="Arial"/>
          <w:sz w:val="20"/>
          <w:szCs w:val="20"/>
        </w:rPr>
        <w:t>5</w:t>
      </w:r>
      <w:bookmarkStart w:id="0" w:name="_GoBack"/>
      <w:bookmarkEnd w:id="0"/>
      <w:r w:rsidRPr="00DF48FF">
        <w:rPr>
          <w:rFonts w:ascii="Arial" w:hAnsi="Arial" w:cs="Arial"/>
          <w:sz w:val="20"/>
          <w:szCs w:val="20"/>
        </w:rPr>
        <w:t xml:space="preserve">.  </w:t>
      </w:r>
    </w:p>
    <w:p w14:paraId="33BE3243"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(At-risk-of-poverty rate) podle metodiky Eurostatu se opírá o tzv. ekvivalizovaný příjem, což je podíl disponibilního příjmu domácnosti (viz kap. 2.2.3) a počtu jejích spotřebních jednotek (modif. SJ OECD, viz kap. 2.2.1). Vypočtený ekvivalizovaný příjem domácnosti se následně přiřadí všem jejím členům. Ze souboru všech osob, seřazených vzestupně podle výše jejich ekvivalizovaného příjmu, se pak počítá hranice chudoby. Nejčastěji používanou hranicí chudoby je 60% </w:t>
      </w:r>
      <w:r w:rsidRPr="00DF48FF">
        <w:rPr>
          <w:rFonts w:ascii="Arial" w:hAnsi="Arial" w:cs="Arial"/>
          <w:sz w:val="20"/>
          <w:szCs w:val="20"/>
        </w:rPr>
        <w:lastRenderedPageBreak/>
        <w:t xml:space="preserve">mediánu ekvivalizovaného příjmu. Jako doplňkové hranice se používají 40, 50 a 70% mediánu. V Tab. 19 jsou uvedeny časové řady míry ohrožení chudobou při užití hranice 60% a doplňkové hranice 70% mediánu. Míra chudoby se vyjadřuje jako procentní podíl osob s ekvivalizovaným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14:paraId="229B106E" w14:textId="07918909"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 2</w:t>
      </w:r>
      <w:r w:rsidR="00F543E1">
        <w:rPr>
          <w:rFonts w:ascii="Arial" w:hAnsi="Arial" w:cs="Arial"/>
          <w:sz w:val="20"/>
          <w:szCs w:val="20"/>
        </w:rPr>
        <w:t>0</w:t>
      </w:r>
      <w:r w:rsidRPr="00DF48FF">
        <w:rPr>
          <w:rFonts w:ascii="Arial" w:hAnsi="Arial" w:cs="Arial"/>
          <w:sz w:val="20"/>
          <w:szCs w:val="20"/>
        </w:rPr>
        <w:t>, obsahově v podstatě koresponduje s vymezením ekonomické aktivity v kap. 2.1. Daná ekonomická aktivita však musela trvat ve sledovaném roce 201</w:t>
      </w:r>
      <w:r w:rsidR="00F543E1">
        <w:rPr>
          <w:rFonts w:ascii="Arial" w:hAnsi="Arial" w:cs="Arial"/>
          <w:sz w:val="20"/>
          <w:szCs w:val="20"/>
        </w:rPr>
        <w:t>9</w:t>
      </w:r>
      <w:r w:rsidRPr="00DF48FF">
        <w:rPr>
          <w:rFonts w:ascii="Arial" w:hAnsi="Arial" w:cs="Arial"/>
          <w:sz w:val="20"/>
          <w:szCs w:val="20"/>
        </w:rPr>
        <w:t xml:space="preserve"> alespoň 7 měsíců. Osoby, které tuto podmínku nesplňovaly, nebyly do výpočtu zařazeny.</w:t>
      </w:r>
    </w:p>
    <w:p w14:paraId="31D20881" w14:textId="77777777"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14:paraId="619D0DB6"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(Quintile share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modif. SJ OECD (5. kvintil) k objemu příjmů připadajících na 20 % osob s nejnižšími příjmy na modif. SJ OECD (1. kvintil). Vyšší hodnota koeficientu znamená vyšší diferenciaci příjmů.</w:t>
      </w:r>
    </w:p>
    <w:p w14:paraId="6123D894"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(Relative median at-risk-of-poverty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14:paraId="3738A153" w14:textId="77777777"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Gini koeficient</w:t>
      </w:r>
      <w:r w:rsidRPr="00DF48FF">
        <w:rPr>
          <w:rFonts w:ascii="Arial" w:hAnsi="Arial" w:cs="Arial"/>
          <w:sz w:val="20"/>
          <w:szCs w:val="20"/>
        </w:rPr>
        <w:t xml:space="preserve"> - počítá se z celého souboru osob, kde jsou osoby uspořádány vzestupně podle výše peněžního příjmu na modif. SJ OECD. Vyjadřuje vztah mezi kumulativním podílem počtu osob a kumulativním podílem jejich příjmů. Pohybuje se od 0 do 1, přičemž vyšší hodnota značí větší nerovnost v příjmech; v publikaci je uveden v procentech. </w:t>
      </w:r>
    </w:p>
    <w:p w14:paraId="1291B4C9" w14:textId="77777777" w:rsidR="00AA7E28" w:rsidRDefault="00DF48FF">
      <w:pPr>
        <w:pStyle w:val="Zkladntext"/>
        <w:spacing w:after="120"/>
        <w:rPr>
          <w:rFonts w:ascii="Arial" w:hAnsi="Arial" w:cs="Arial"/>
          <w:sz w:val="20"/>
          <w:szCs w:val="20"/>
        </w:rPr>
      </w:pPr>
      <w:r w:rsidRPr="00AA7E28">
        <w:rPr>
          <w:rFonts w:ascii="Arial" w:hAnsi="Arial" w:cs="Arial"/>
          <w:sz w:val="20"/>
          <w:szCs w:val="20"/>
          <w:u w:val="single"/>
        </w:rPr>
        <w:t>Tab. 20</w:t>
      </w:r>
      <w:r w:rsidRPr="00AA7E28">
        <w:rPr>
          <w:rFonts w:ascii="Arial" w:hAnsi="Arial" w:cs="Arial"/>
          <w:sz w:val="20"/>
          <w:szCs w:val="20"/>
        </w:rPr>
        <w:t xml:space="preserve"> uvádí údaje o míře materiální</w:t>
      </w:r>
      <w:r w:rsidR="00AA7E28">
        <w:rPr>
          <w:rFonts w:ascii="Arial" w:hAnsi="Arial" w:cs="Arial"/>
          <w:sz w:val="20"/>
          <w:szCs w:val="20"/>
        </w:rPr>
        <w:t xml:space="preserve"> a sociální</w:t>
      </w:r>
      <w:r w:rsidRPr="00AA7E28">
        <w:rPr>
          <w:rFonts w:ascii="Arial" w:hAnsi="Arial" w:cs="Arial"/>
          <w:sz w:val="20"/>
          <w:szCs w:val="20"/>
        </w:rPr>
        <w:t xml:space="preserve"> deprivace</w:t>
      </w:r>
      <w:r w:rsidR="00AA7E28">
        <w:rPr>
          <w:rFonts w:ascii="Arial" w:hAnsi="Arial" w:cs="Arial"/>
          <w:sz w:val="20"/>
          <w:szCs w:val="20"/>
        </w:rPr>
        <w:t xml:space="preserve"> a míře materiální deprivace</w:t>
      </w:r>
      <w:r w:rsidRPr="00AA7E28">
        <w:rPr>
          <w:rFonts w:ascii="Arial" w:hAnsi="Arial" w:cs="Arial"/>
          <w:sz w:val="20"/>
          <w:szCs w:val="20"/>
        </w:rPr>
        <w:t xml:space="preserve"> osob podle vybraných charakteristik osob a domácností. Za materiálně deprivované se podle metodiky Eurosta</w:t>
      </w:r>
      <w:r w:rsidR="004454E5" w:rsidRPr="00AA7E28">
        <w:rPr>
          <w:rFonts w:ascii="Arial" w:hAnsi="Arial" w:cs="Arial"/>
          <w:sz w:val="20"/>
          <w:szCs w:val="20"/>
        </w:rPr>
        <w:t>t</w:t>
      </w:r>
      <w:r w:rsidRPr="00AA7E28">
        <w:rPr>
          <w:rFonts w:ascii="Arial" w:hAnsi="Arial" w:cs="Arial"/>
          <w:sz w:val="20"/>
          <w:szCs w:val="20"/>
        </w:rPr>
        <w:t xml:space="preserve">u považují osoby z domácností, které uvedly nedostatek či neuspokojivou situaci u </w:t>
      </w:r>
      <w:r w:rsidR="00AA7E28">
        <w:rPr>
          <w:rFonts w:ascii="Arial" w:hAnsi="Arial" w:cs="Arial"/>
          <w:sz w:val="20"/>
          <w:szCs w:val="20"/>
        </w:rPr>
        <w:t>4 a</w:t>
      </w:r>
      <w:r w:rsidRPr="00AA7E28">
        <w:rPr>
          <w:rFonts w:ascii="Arial" w:hAnsi="Arial" w:cs="Arial"/>
          <w:sz w:val="20"/>
          <w:szCs w:val="20"/>
        </w:rPr>
        <w:t xml:space="preserve"> více položek z celkového počtu 9 stanovených. Vybrané položky pro hodnocení míry deprivace zahrnují předměty dlouhodobé spotřeby (telefon, </w:t>
      </w:r>
      <w:r w:rsidRPr="00F22FDC">
        <w:rPr>
          <w:rFonts w:ascii="Arial" w:hAnsi="Arial" w:cs="Arial"/>
          <w:sz w:val="20"/>
          <w:szCs w:val="20"/>
        </w:rPr>
        <w:t>barevný televizor</w:t>
      </w:r>
      <w:r w:rsidRPr="00AA7E28">
        <w:rPr>
          <w:rFonts w:ascii="Arial" w:hAnsi="Arial" w:cs="Arial"/>
          <w:sz w:val="20"/>
          <w:szCs w:val="20"/>
        </w:rPr>
        <w:t>,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w:t>
      </w:r>
      <w:r w:rsidRPr="0013206D">
        <w:rPr>
          <w:rFonts w:ascii="Arial" w:hAnsi="Arial" w:cs="Arial"/>
          <w:sz w:val="20"/>
          <w:szCs w:val="20"/>
        </w:rPr>
        <w:t xml:space="preserve"> </w:t>
      </w:r>
    </w:p>
    <w:p w14:paraId="7AD14F5E" w14:textId="77777777" w:rsidR="00AF3C30" w:rsidRDefault="00A224EA" w:rsidP="008E4554">
      <w:pPr>
        <w:spacing w:after="120"/>
        <w:jc w:val="both"/>
        <w:rPr>
          <w:rStyle w:val="tlid-translation"/>
          <w:rFonts w:ascii="Arial" w:hAnsi="Arial" w:cs="Arial"/>
          <w:sz w:val="20"/>
          <w:szCs w:val="20"/>
        </w:rPr>
      </w:pPr>
      <w:r w:rsidRPr="007751C4">
        <w:rPr>
          <w:rStyle w:val="tlid-translation"/>
          <w:rFonts w:ascii="Arial" w:hAnsi="Arial" w:cs="Arial"/>
          <w:sz w:val="20"/>
          <w:szCs w:val="20"/>
        </w:rPr>
        <w:t>Míra materiální a sociální deprivace vychází z míry materiální deprivace a navíc obsahuje také sociální hledisko osob v domácnosti. Celkem je založen</w:t>
      </w:r>
      <w:r>
        <w:rPr>
          <w:rStyle w:val="tlid-translation"/>
          <w:rFonts w:ascii="Arial" w:hAnsi="Arial" w:cs="Arial"/>
          <w:sz w:val="20"/>
          <w:szCs w:val="20"/>
        </w:rPr>
        <w:t>a</w:t>
      </w:r>
      <w:r w:rsidRPr="007751C4">
        <w:rPr>
          <w:rStyle w:val="tlid-translation"/>
          <w:rFonts w:ascii="Arial" w:hAnsi="Arial" w:cs="Arial"/>
          <w:sz w:val="20"/>
          <w:szCs w:val="20"/>
        </w:rPr>
        <w:t xml:space="preserve"> na 13 položkách. Za materiálně a sociálně deprivovanou osobu se považuje ta, která si z finančních důvodů nemohla dovolit </w:t>
      </w:r>
      <w:r>
        <w:rPr>
          <w:rStyle w:val="tlid-translation"/>
          <w:rFonts w:ascii="Arial" w:hAnsi="Arial" w:cs="Arial"/>
          <w:sz w:val="20"/>
          <w:szCs w:val="20"/>
        </w:rPr>
        <w:t>5</w:t>
      </w:r>
      <w:r w:rsidRPr="007751C4">
        <w:rPr>
          <w:rStyle w:val="tlid-translation"/>
          <w:rFonts w:ascii="Arial" w:hAnsi="Arial" w:cs="Arial"/>
          <w:sz w:val="20"/>
          <w:szCs w:val="20"/>
        </w:rPr>
        <w:t xml:space="preserve"> a více položek z celkových 13. Položky vztahující se k osobám zahrnují věci pro osobní potřebu (vlastnictví alespoň dvou párů  bot, pořízení nového oblečení), osobní kontakt s přáteli či příbuznými,  volnočasov</w:t>
      </w:r>
      <w:r w:rsidR="00980E12">
        <w:rPr>
          <w:rStyle w:val="tlid-translation"/>
          <w:rFonts w:ascii="Arial" w:hAnsi="Arial" w:cs="Arial"/>
          <w:sz w:val="20"/>
          <w:szCs w:val="20"/>
        </w:rPr>
        <w:t>é</w:t>
      </w:r>
      <w:r w:rsidRPr="007751C4">
        <w:rPr>
          <w:rStyle w:val="tlid-translation"/>
          <w:rFonts w:ascii="Arial" w:hAnsi="Arial" w:cs="Arial"/>
          <w:sz w:val="20"/>
          <w:szCs w:val="20"/>
        </w:rPr>
        <w:t xml:space="preserve"> aktivit</w:t>
      </w:r>
      <w:r w:rsidR="00980E12">
        <w:rPr>
          <w:rStyle w:val="tlid-translation"/>
          <w:rFonts w:ascii="Arial" w:hAnsi="Arial" w:cs="Arial"/>
          <w:sz w:val="20"/>
          <w:szCs w:val="20"/>
        </w:rPr>
        <w:t>y</w:t>
      </w:r>
      <w:r w:rsidRPr="007751C4">
        <w:rPr>
          <w:rStyle w:val="tlid-translation"/>
          <w:rFonts w:ascii="Arial" w:hAnsi="Arial" w:cs="Arial"/>
          <w:sz w:val="20"/>
          <w:szCs w:val="20"/>
        </w:rPr>
        <w:t>, útratu finanční částky pro sebe a  připojení k internetu.</w:t>
      </w:r>
    </w:p>
    <w:p w14:paraId="4ADECCDF" w14:textId="77777777" w:rsidR="002A4577" w:rsidRPr="00F83D7E" w:rsidRDefault="00DF48FF">
      <w:pPr>
        <w:pStyle w:val="Zkladntext"/>
        <w:spacing w:after="120"/>
        <w:rPr>
          <w:rFonts w:ascii="Arial" w:hAnsi="Arial" w:cs="Arial"/>
          <w:sz w:val="20"/>
          <w:szCs w:val="20"/>
        </w:rPr>
      </w:pPr>
      <w:r w:rsidRPr="00AA7E28">
        <w:rPr>
          <w:rFonts w:ascii="Arial" w:hAnsi="Arial" w:cs="Arial"/>
          <w:sz w:val="20"/>
          <w:szCs w:val="20"/>
        </w:rPr>
        <w:t>Míra</w:t>
      </w:r>
      <w:r w:rsidR="00AF323E">
        <w:rPr>
          <w:rFonts w:ascii="Arial" w:hAnsi="Arial" w:cs="Arial"/>
          <w:sz w:val="20"/>
          <w:szCs w:val="20"/>
        </w:rPr>
        <w:t xml:space="preserve"> </w:t>
      </w:r>
      <w:r w:rsidR="00AF323E" w:rsidRPr="0028151E">
        <w:rPr>
          <w:rFonts w:ascii="Arial" w:hAnsi="Arial" w:cs="Arial"/>
          <w:sz w:val="20"/>
          <w:szCs w:val="20"/>
        </w:rPr>
        <w:t>materiální</w:t>
      </w:r>
      <w:r w:rsidR="00AF323E">
        <w:rPr>
          <w:rFonts w:ascii="Arial" w:hAnsi="Arial" w:cs="Arial"/>
          <w:sz w:val="20"/>
          <w:szCs w:val="20"/>
        </w:rPr>
        <w:t xml:space="preserve"> a sociální</w:t>
      </w:r>
      <w:r w:rsidRPr="00AA7E28">
        <w:rPr>
          <w:rFonts w:ascii="Arial" w:hAnsi="Arial" w:cs="Arial"/>
          <w:sz w:val="20"/>
          <w:szCs w:val="20"/>
        </w:rPr>
        <w:t xml:space="preserve"> deprivace</w:t>
      </w:r>
      <w:r w:rsidR="00AF323E">
        <w:rPr>
          <w:rFonts w:ascii="Arial" w:hAnsi="Arial" w:cs="Arial"/>
          <w:sz w:val="20"/>
          <w:szCs w:val="20"/>
        </w:rPr>
        <w:t xml:space="preserve"> a míra materiální deprivace</w:t>
      </w:r>
      <w:r w:rsidRPr="00AA7E28">
        <w:rPr>
          <w:rFonts w:ascii="Arial" w:hAnsi="Arial" w:cs="Arial"/>
          <w:sz w:val="20"/>
          <w:szCs w:val="20"/>
        </w:rPr>
        <w:t xml:space="preserve"> je počítána za všechny osoby celkem, za osoby pod hranicí chudoby a za osoby nad hranicí chudoby.</w:t>
      </w:r>
      <w:r w:rsidRPr="00DF48FF">
        <w:rPr>
          <w:rFonts w:ascii="Arial" w:hAnsi="Arial" w:cs="Arial"/>
          <w:sz w:val="20"/>
          <w:szCs w:val="20"/>
        </w:rPr>
        <w:t xml:space="preserve"> </w:t>
      </w:r>
    </w:p>
    <w:p w14:paraId="60666D70" w14:textId="77777777" w:rsidR="002A4577" w:rsidRPr="00F83D7E" w:rsidRDefault="002A4577">
      <w:pPr>
        <w:pStyle w:val="Zkladntext"/>
        <w:spacing w:after="120"/>
        <w:rPr>
          <w:rFonts w:ascii="Arial" w:hAnsi="Arial" w:cs="Arial"/>
          <w:sz w:val="20"/>
          <w:szCs w:val="20"/>
          <w:u w:val="single"/>
        </w:rPr>
      </w:pPr>
    </w:p>
    <w:p w14:paraId="54814724" w14:textId="77777777"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14:paraId="7E9307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14:paraId="699A11EC"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14:paraId="56AE6CAA"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w:t>
      </w:r>
      <w:r w:rsidRPr="00DF48FF">
        <w:rPr>
          <w:rFonts w:ascii="Arial" w:hAnsi="Arial" w:cs="Arial"/>
          <w:sz w:val="20"/>
          <w:szCs w:val="20"/>
        </w:rPr>
        <w:lastRenderedPageBreak/>
        <w:t xml:space="preserve">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14:paraId="7C8B9F1B" w14:textId="77777777"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14:paraId="1363B77D" w14:textId="77777777" w:rsidR="00FB4826" w:rsidRPr="00F83D7E" w:rsidRDefault="00FB4826" w:rsidP="00FB4826">
      <w:pPr>
        <w:pStyle w:val="Zkladntext"/>
        <w:tabs>
          <w:tab w:val="left" w:pos="720"/>
          <w:tab w:val="left" w:pos="2340"/>
          <w:tab w:val="left" w:pos="3420"/>
        </w:tabs>
        <w:rPr>
          <w:rFonts w:ascii="Arial" w:hAnsi="Arial" w:cs="Arial"/>
          <w:sz w:val="20"/>
          <w:szCs w:val="20"/>
        </w:rPr>
      </w:pPr>
    </w:p>
    <w:p w14:paraId="7382E071" w14:textId="77777777"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14:paraId="7EE94B6E"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14:paraId="56FFA8E1"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14:paraId="28FEAB90" w14:textId="77777777"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14:paraId="4D087566" w14:textId="77777777" w:rsidR="002A4577" w:rsidRPr="00F83D7E" w:rsidRDefault="002A4577">
      <w:pPr>
        <w:pStyle w:val="Zkladntextodsazen"/>
        <w:ind w:left="0" w:firstLine="709"/>
        <w:rPr>
          <w:rFonts w:ascii="Arial" w:hAnsi="Arial" w:cs="Arial"/>
          <w:sz w:val="20"/>
          <w:szCs w:val="20"/>
        </w:rPr>
      </w:pPr>
    </w:p>
    <w:p w14:paraId="588CABD6" w14:textId="77777777"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14:paraId="27A90C28" w14:textId="77777777"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14:paraId="1B442516" w14:textId="77777777"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14:paraId="204F8C91"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14:paraId="26D06CC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617E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8" o:title=""/>
          </v:shape>
          <o:OLEObject Type="Embed" ProgID="Equation.3" ShapeID="_x0000_i1025" DrawAspect="Content" ObjectID="_1676739040" r:id="rId9"/>
        </w:object>
      </w:r>
      <w:r w:rsidRPr="00DF48FF">
        <w:rPr>
          <w:rFonts w:ascii="Arial" w:hAnsi="Arial" w:cs="Arial"/>
          <w:sz w:val="20"/>
          <w:szCs w:val="20"/>
        </w:rPr>
        <w:t xml:space="preserve"> 1,96. </w:t>
      </w:r>
      <w:r w:rsidRPr="00DF48FF">
        <w:rPr>
          <w:rFonts w:ascii="Arial" w:hAnsi="Arial" w:cs="Arial"/>
          <w:i/>
          <w:iCs/>
          <w:sz w:val="20"/>
          <w:szCs w:val="20"/>
        </w:rPr>
        <w:t>s</w:t>
      </w:r>
      <w:r w:rsidRPr="00DF48FF">
        <w:rPr>
          <w:rFonts w:ascii="Arial" w:hAnsi="Arial" w:cs="Arial"/>
          <w:i/>
          <w:iCs/>
          <w:sz w:val="20"/>
          <w:szCs w:val="20"/>
          <w:vertAlign w:val="subscript"/>
        </w:rPr>
        <w:t>yA</w:t>
      </w:r>
      <w:r w:rsidRPr="00DF48FF">
        <w:rPr>
          <w:rFonts w:ascii="Arial" w:hAnsi="Arial" w:cs="Arial"/>
          <w:sz w:val="20"/>
          <w:szCs w:val="20"/>
        </w:rPr>
        <w:t xml:space="preserve">, kde </w:t>
      </w:r>
    </w:p>
    <w:p w14:paraId="24E99018" w14:textId="77777777" w:rsidR="002A4577" w:rsidRPr="00F83D7E" w:rsidRDefault="00DF48FF">
      <w:pPr>
        <w:ind w:firstLine="708"/>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s</w:t>
      </w:r>
      <w:r w:rsidRPr="00DF48FF">
        <w:rPr>
          <w:rFonts w:ascii="Arial" w:hAnsi="Arial" w:cs="Arial"/>
          <w:i/>
          <w:iCs/>
          <w:sz w:val="20"/>
          <w:szCs w:val="20"/>
          <w:vertAlign w:val="subscript"/>
        </w:rPr>
        <w:t>yA</w:t>
      </w:r>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w14:anchorId="4A17721B">
          <v:shape id="_x0000_i1026" type="#_x0000_t75" style="width:108.75pt;height:50.25pt" o:ole="">
            <v:imagedata r:id="rId10" o:title=""/>
          </v:shape>
          <o:OLEObject Type="Embed" ProgID="Equation.3" ShapeID="_x0000_i1026" DrawAspect="Content" ObjectID="_1676739041"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14:paraId="2F49A9FC"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14:paraId="380AE40A"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14DB3604" w14:textId="77777777" w:rsidR="002A4577" w:rsidRPr="00F83D7E" w:rsidRDefault="00DF48FF">
      <w:pPr>
        <w:spacing w:after="120"/>
        <w:ind w:firstLine="709"/>
        <w:rPr>
          <w:rFonts w:ascii="Arial" w:hAnsi="Arial" w:cs="Arial"/>
          <w:sz w:val="20"/>
          <w:szCs w:val="20"/>
        </w:rPr>
      </w:pP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souboru.</w:t>
      </w:r>
    </w:p>
    <w:p w14:paraId="38B3FDE3" w14:textId="77777777"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w14:anchorId="00814C94">
          <v:shape id="_x0000_i1027" type="#_x0000_t75" style="width:19.5pt;height:32.25pt" o:ole="">
            <v:imagedata r:id="rId12" o:title=""/>
          </v:shape>
          <o:OLEObject Type="Embed" ProgID="Equation.3" ShapeID="_x0000_i1027" DrawAspect="Content" ObjectID="_1676739042" r:id="rId13"/>
        </w:object>
      </w:r>
      <w:r w:rsidRPr="00DF48FF">
        <w:rPr>
          <w:rFonts w:ascii="Arial" w:hAnsi="Arial" w:cs="Arial"/>
          <w:sz w:val="20"/>
          <w:szCs w:val="20"/>
        </w:rPr>
        <w:t xml:space="preserve"> v čitateli zlomku touto relativní četností.</w:t>
      </w:r>
    </w:p>
    <w:p w14:paraId="6C1FBD69"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14:paraId="18B25E15" w14:textId="77777777"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7B638A47">
          <v:shape id="_x0000_i1028" type="#_x0000_t75" style="width:11.25pt;height:12pt" o:ole="">
            <v:imagedata r:id="rId8" o:title=""/>
          </v:shape>
          <o:OLEObject Type="Embed" ProgID="Equation.3" ShapeID="_x0000_i1028" DrawAspect="Content" ObjectID="_1676739043" r:id="rId14"/>
        </w:object>
      </w:r>
      <w:r w:rsidRPr="00DF48FF">
        <w:rPr>
          <w:rFonts w:ascii="Arial" w:hAnsi="Arial" w:cs="Arial"/>
          <w:sz w:val="20"/>
          <w:szCs w:val="20"/>
        </w:rPr>
        <w:t xml:space="preserve"> 1,96. </w:t>
      </w:r>
      <w:r w:rsidRPr="00DF48FF">
        <w:rPr>
          <w:rFonts w:ascii="Arial" w:hAnsi="Arial" w:cs="Arial"/>
          <w:i/>
          <w:iCs/>
          <w:sz w:val="20"/>
          <w:szCs w:val="20"/>
        </w:rPr>
        <w:t>s</w:t>
      </w:r>
      <w:r w:rsidRPr="00DF48FF">
        <w:rPr>
          <w:rFonts w:ascii="Arial" w:hAnsi="Arial" w:cs="Arial"/>
          <w:i/>
          <w:iCs/>
          <w:sz w:val="20"/>
          <w:szCs w:val="20"/>
          <w:vertAlign w:val="subscript"/>
        </w:rPr>
        <w:t>yAB</w:t>
      </w:r>
      <w:r w:rsidRPr="00DF48FF">
        <w:rPr>
          <w:rFonts w:ascii="Arial" w:hAnsi="Arial" w:cs="Arial"/>
          <w:sz w:val="20"/>
          <w:szCs w:val="20"/>
        </w:rPr>
        <w:t xml:space="preserve">, kde </w:t>
      </w:r>
    </w:p>
    <w:p w14:paraId="0DD005B4" w14:textId="77777777" w:rsidR="002A4577" w:rsidRPr="00F83D7E" w:rsidRDefault="00DF48FF">
      <w:pPr>
        <w:rPr>
          <w:rFonts w:ascii="Arial" w:hAnsi="Arial" w:cs="Arial"/>
          <w:sz w:val="20"/>
          <w:szCs w:val="20"/>
        </w:rPr>
      </w:pPr>
      <w:r w:rsidRPr="00DF48FF">
        <w:rPr>
          <w:rFonts w:ascii="Arial" w:hAnsi="Arial" w:cs="Arial"/>
          <w:sz w:val="20"/>
          <w:szCs w:val="20"/>
        </w:rPr>
        <w:lastRenderedPageBreak/>
        <w:tab/>
      </w:r>
      <w:r w:rsidRPr="00DF48FF">
        <w:rPr>
          <w:rFonts w:ascii="Arial" w:hAnsi="Arial" w:cs="Arial"/>
          <w:sz w:val="20"/>
          <w:szCs w:val="20"/>
        </w:rPr>
        <w:tab/>
      </w:r>
      <w:r w:rsidRPr="00DF48FF">
        <w:rPr>
          <w:rFonts w:ascii="Arial" w:hAnsi="Arial" w:cs="Arial"/>
          <w:i/>
          <w:iCs/>
          <w:sz w:val="20"/>
          <w:szCs w:val="20"/>
        </w:rPr>
        <w:t>s</w:t>
      </w:r>
      <w:r w:rsidRPr="00DF48FF">
        <w:rPr>
          <w:rFonts w:ascii="Arial" w:hAnsi="Arial" w:cs="Arial"/>
          <w:i/>
          <w:iCs/>
          <w:sz w:val="20"/>
          <w:szCs w:val="20"/>
          <w:vertAlign w:val="subscript"/>
        </w:rPr>
        <w:t>yAB</w:t>
      </w:r>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w14:anchorId="34BCAEB2">
          <v:shape id="_x0000_i1029" type="#_x0000_t75" style="width:120pt;height:56.25pt" o:ole="">
            <v:imagedata r:id="rId15" o:title=""/>
          </v:shape>
          <o:OLEObject Type="Embed" ProgID="Equation.3" ShapeID="_x0000_i1029" DrawAspect="Content" ObjectID="_1676739044"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14:paraId="0077751B"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ab/>
        <w:t>je odhad úhrnu charakteristiky A v základním souboru,</w:t>
      </w:r>
    </w:p>
    <w:p w14:paraId="01D42E75"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14:paraId="4406E0F9" w14:textId="77777777" w:rsidR="002A4577" w:rsidRPr="00F83D7E" w:rsidRDefault="00DF48FF">
      <w:pPr>
        <w:spacing w:after="120"/>
        <w:ind w:firstLine="709"/>
        <w:rPr>
          <w:rFonts w:ascii="Arial" w:hAnsi="Arial" w:cs="Arial"/>
          <w:sz w:val="20"/>
          <w:szCs w:val="20"/>
        </w:rPr>
      </w:pP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14:paraId="56F184B6" w14:textId="77777777"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w14:anchorId="4586AD11">
          <v:shape id="_x0000_i1030" type="#_x0000_t75" style="width:24.75pt;height:36pt" o:ole="">
            <v:imagedata r:id="rId17" o:title=""/>
          </v:shape>
          <o:OLEObject Type="Embed" ProgID="Equation.3" ShapeID="_x0000_i1030" DrawAspect="Content" ObjectID="_1676739045" r:id="rId18"/>
        </w:object>
      </w:r>
      <w:r w:rsidRPr="00DF48FF">
        <w:rPr>
          <w:rFonts w:ascii="Arial" w:hAnsi="Arial" w:cs="Arial"/>
          <w:sz w:val="20"/>
          <w:szCs w:val="20"/>
        </w:rPr>
        <w:t xml:space="preserve">v čitateli zlomku je možné opět nahradit příslušnou relativní četností charakteristiky B na množině A. </w:t>
      </w:r>
    </w:p>
    <w:p w14:paraId="0A7D19F4" w14:textId="77777777" w:rsidR="00DF48FF" w:rsidRPr="00DF48FF" w:rsidRDefault="00DF48FF" w:rsidP="00DF48FF">
      <w:pPr>
        <w:spacing w:after="120"/>
        <w:ind w:left="686" w:hanging="686"/>
        <w:rPr>
          <w:rFonts w:ascii="Arial" w:hAnsi="Arial" w:cs="Arial"/>
          <w:sz w:val="20"/>
          <w:szCs w:val="20"/>
        </w:rPr>
      </w:pPr>
    </w:p>
    <w:p w14:paraId="7C596554" w14:textId="77777777" w:rsidR="001B2640" w:rsidRDefault="00DF48FF" w:rsidP="001B2640">
      <w:pPr>
        <w:pStyle w:val="Nadpis2"/>
        <w:spacing w:after="240"/>
        <w:ind w:firstLine="0"/>
        <w:rPr>
          <w:rFonts w:ascii="Arial" w:hAnsi="Arial" w:cs="Arial"/>
          <w:sz w:val="20"/>
          <w:szCs w:val="20"/>
        </w:rPr>
      </w:pPr>
      <w:r w:rsidRPr="00DF48FF">
        <w:rPr>
          <w:rFonts w:ascii="Arial" w:hAnsi="Arial" w:cs="Arial"/>
          <w:sz w:val="20"/>
          <w:szCs w:val="20"/>
        </w:rPr>
        <w:t>Způsob použití přílohových tabulek pro určení intervalu spolehlivosti pro četnost</w:t>
      </w:r>
    </w:p>
    <w:p w14:paraId="0C91307E" w14:textId="77777777" w:rsidR="000247DD" w:rsidRPr="002E6603" w:rsidRDefault="000247DD" w:rsidP="000247DD">
      <w:pPr>
        <w:pStyle w:val="Nadpis3"/>
        <w:spacing w:after="120"/>
        <w:ind w:left="960" w:hanging="960"/>
        <w:rPr>
          <w:rFonts w:ascii="Arial" w:hAnsi="Arial" w:cs="Arial"/>
          <w:sz w:val="20"/>
          <w:szCs w:val="20"/>
        </w:rPr>
      </w:pPr>
      <w:r>
        <w:rPr>
          <w:rFonts w:ascii="Arial" w:hAnsi="Arial" w:cs="Arial"/>
          <w:sz w:val="20"/>
          <w:szCs w:val="20"/>
        </w:rPr>
        <w:t>Tab. I</w:t>
      </w:r>
      <w:r>
        <w:rPr>
          <w:rFonts w:ascii="Arial" w:hAnsi="Arial" w:cs="Arial"/>
          <w:sz w:val="20"/>
          <w:szCs w:val="20"/>
        </w:rPr>
        <w:tab/>
      </w:r>
      <w:r>
        <w:rPr>
          <w:rFonts w:ascii="Arial" w:hAnsi="Arial" w:cs="Arial"/>
          <w:b w:val="0"/>
          <w:bCs w:val="0"/>
          <w:sz w:val="20"/>
          <w:szCs w:val="20"/>
        </w:rPr>
        <w:t xml:space="preserve">Odhady 95% intervalu spolehlivosti základních úhrnů pro soubor domácností a osob </w:t>
      </w:r>
    </w:p>
    <w:p w14:paraId="38FE17AF" w14:textId="57CD977F" w:rsidR="000247DD" w:rsidRPr="002E6603" w:rsidRDefault="000247DD" w:rsidP="000247DD">
      <w:pPr>
        <w:spacing w:after="120"/>
        <w:ind w:firstLine="709"/>
        <w:jc w:val="both"/>
        <w:rPr>
          <w:rFonts w:ascii="Arial" w:hAnsi="Arial" w:cs="Arial"/>
          <w:sz w:val="20"/>
          <w:szCs w:val="20"/>
        </w:rPr>
      </w:pPr>
      <w:r w:rsidRPr="00FF45AC">
        <w:rPr>
          <w:rFonts w:ascii="Arial" w:hAnsi="Arial" w:cs="Arial"/>
          <w:sz w:val="20"/>
          <w:szCs w:val="20"/>
        </w:rPr>
        <w:t>Tabulka je určena ke zjištění přibližného 95% intervalu spolehlivosti základních úhrnů četností ze souboru domácností nebo ze souboru osob na úrovni celé České republiky. Najdeme-li například v </w:t>
      </w:r>
      <w:r w:rsidRPr="00FF45AC">
        <w:rPr>
          <w:rFonts w:ascii="Arial" w:hAnsi="Arial" w:cs="Arial"/>
          <w:i/>
          <w:iCs/>
          <w:sz w:val="20"/>
          <w:szCs w:val="20"/>
        </w:rPr>
        <w:t>Tab. 1 - Domácnosti podle postavení osoby v čele</w:t>
      </w:r>
      <w:r w:rsidRPr="00FF45AC">
        <w:rPr>
          <w:rFonts w:ascii="Arial" w:hAnsi="Arial" w:cs="Arial"/>
          <w:sz w:val="20"/>
          <w:szCs w:val="20"/>
        </w:rPr>
        <w:t xml:space="preserve"> odhad počtu domácností </w:t>
      </w:r>
      <w:r w:rsidR="00410763">
        <w:rPr>
          <w:rFonts w:ascii="Arial" w:hAnsi="Arial" w:cs="Arial"/>
          <w:sz w:val="20"/>
          <w:szCs w:val="20"/>
        </w:rPr>
        <w:t>zaměstnanců s nižším vzděláním</w:t>
      </w:r>
      <w:r w:rsidRPr="00FF45AC">
        <w:rPr>
          <w:rFonts w:ascii="Arial" w:hAnsi="Arial" w:cs="Arial"/>
          <w:sz w:val="20"/>
          <w:szCs w:val="20"/>
        </w:rPr>
        <w:t xml:space="preserve"> </w:t>
      </w:r>
      <w:r w:rsidR="00410763">
        <w:rPr>
          <w:rFonts w:ascii="Arial" w:hAnsi="Arial" w:cs="Arial"/>
          <w:sz w:val="20"/>
          <w:szCs w:val="20"/>
        </w:rPr>
        <w:t>854</w:t>
      </w:r>
      <w:r w:rsidRPr="00FF45AC">
        <w:rPr>
          <w:rFonts w:ascii="Arial" w:hAnsi="Arial" w:cs="Arial"/>
          <w:sz w:val="20"/>
          <w:szCs w:val="20"/>
        </w:rPr>
        <w:t>,</w:t>
      </w:r>
      <w:r w:rsidR="00410763">
        <w:rPr>
          <w:rFonts w:ascii="Arial" w:hAnsi="Arial" w:cs="Arial"/>
          <w:sz w:val="20"/>
          <w:szCs w:val="20"/>
        </w:rPr>
        <w:t>6</w:t>
      </w:r>
      <w:r w:rsidRPr="00FF45AC">
        <w:rPr>
          <w:rFonts w:ascii="Arial" w:hAnsi="Arial" w:cs="Arial"/>
          <w:sz w:val="20"/>
          <w:szCs w:val="20"/>
        </w:rPr>
        <w:t xml:space="preserve"> tis. a chceme-li se dozvědět, jaká je spolehlivost tohoto odhadu, vyhledáme v Tab. I. ve sloupci </w:t>
      </w:r>
      <w:r w:rsidRPr="00FF45AC">
        <w:rPr>
          <w:rFonts w:ascii="Arial" w:hAnsi="Arial" w:cs="Arial"/>
          <w:i/>
          <w:iCs/>
          <w:sz w:val="20"/>
          <w:szCs w:val="20"/>
        </w:rPr>
        <w:t xml:space="preserve">Domácnosti - velikost odhadu v tis. </w:t>
      </w:r>
      <w:r w:rsidRPr="00FF45AC">
        <w:rPr>
          <w:rFonts w:ascii="Arial" w:hAnsi="Arial" w:cs="Arial"/>
          <w:sz w:val="20"/>
          <w:szCs w:val="20"/>
        </w:rPr>
        <w:t xml:space="preserve">řádek nejbližší tomuto počtu, tedy </w:t>
      </w:r>
      <w:r w:rsidR="00A3383F">
        <w:rPr>
          <w:rFonts w:ascii="Arial" w:hAnsi="Arial" w:cs="Arial"/>
          <w:sz w:val="20"/>
          <w:szCs w:val="20"/>
        </w:rPr>
        <w:t>9</w:t>
      </w:r>
      <w:r w:rsidRPr="00FF45AC">
        <w:rPr>
          <w:rFonts w:ascii="Arial" w:hAnsi="Arial" w:cs="Arial"/>
          <w:sz w:val="20"/>
          <w:szCs w:val="20"/>
        </w:rPr>
        <w:t xml:space="preserve">00. Na tomto řádku nalezneme příslušný interval spolehlivosti, což je absolutně ± </w:t>
      </w:r>
      <w:r w:rsidR="001A0AA3" w:rsidRPr="00FF45AC">
        <w:rPr>
          <w:rFonts w:ascii="Arial" w:hAnsi="Arial" w:cs="Arial"/>
          <w:sz w:val="20"/>
          <w:szCs w:val="20"/>
        </w:rPr>
        <w:t>3</w:t>
      </w:r>
      <w:r w:rsidR="00A3383F">
        <w:rPr>
          <w:rFonts w:ascii="Arial" w:hAnsi="Arial" w:cs="Arial"/>
          <w:sz w:val="20"/>
          <w:szCs w:val="20"/>
        </w:rPr>
        <w:t>7</w:t>
      </w:r>
      <w:r w:rsidR="001A0AA3" w:rsidRPr="00FF45AC">
        <w:rPr>
          <w:rFonts w:ascii="Arial" w:hAnsi="Arial" w:cs="Arial"/>
          <w:sz w:val="20"/>
          <w:szCs w:val="20"/>
        </w:rPr>
        <w:t>,</w:t>
      </w:r>
      <w:r w:rsidR="00A3383F">
        <w:rPr>
          <w:rFonts w:ascii="Arial" w:hAnsi="Arial" w:cs="Arial"/>
          <w:sz w:val="20"/>
          <w:szCs w:val="20"/>
        </w:rPr>
        <w:t>78</w:t>
      </w:r>
      <w:r w:rsidRPr="00FF45AC">
        <w:rPr>
          <w:rFonts w:ascii="Arial" w:hAnsi="Arial" w:cs="Arial"/>
          <w:sz w:val="20"/>
          <w:szCs w:val="20"/>
        </w:rPr>
        <w:t xml:space="preserve"> tis., pro relativní četnost je interval spolehlivosti </w:t>
      </w:r>
      <w:r w:rsidR="00A3383F">
        <w:rPr>
          <w:rFonts w:ascii="Arial" w:hAnsi="Arial" w:cs="Arial"/>
          <w:sz w:val="20"/>
          <w:szCs w:val="20"/>
        </w:rPr>
        <w:t>20</w:t>
      </w:r>
      <w:r w:rsidR="001A0AA3" w:rsidRPr="00FF45AC">
        <w:rPr>
          <w:rFonts w:ascii="Arial" w:hAnsi="Arial" w:cs="Arial"/>
          <w:sz w:val="20"/>
          <w:szCs w:val="20"/>
        </w:rPr>
        <w:t>,</w:t>
      </w:r>
      <w:r w:rsidR="00A3383F">
        <w:rPr>
          <w:rFonts w:ascii="Arial" w:hAnsi="Arial" w:cs="Arial"/>
          <w:sz w:val="20"/>
          <w:szCs w:val="20"/>
        </w:rPr>
        <w:t>16</w:t>
      </w:r>
      <w:r w:rsidRPr="00FF45AC">
        <w:rPr>
          <w:rFonts w:ascii="Arial" w:hAnsi="Arial" w:cs="Arial"/>
          <w:sz w:val="20"/>
          <w:szCs w:val="20"/>
        </w:rPr>
        <w:t xml:space="preserve"> ± 0,</w:t>
      </w:r>
      <w:r w:rsidR="00A3383F">
        <w:rPr>
          <w:rFonts w:ascii="Arial" w:hAnsi="Arial" w:cs="Arial"/>
          <w:sz w:val="20"/>
          <w:szCs w:val="20"/>
        </w:rPr>
        <w:t>85</w:t>
      </w:r>
      <w:r w:rsidRPr="00FF45AC">
        <w:rPr>
          <w:rFonts w:ascii="Arial" w:hAnsi="Arial" w:cs="Arial"/>
          <w:sz w:val="20"/>
          <w:szCs w:val="20"/>
        </w:rPr>
        <w:t xml:space="preserve"> %. </w:t>
      </w:r>
      <w:r w:rsidR="00967CFB">
        <w:rPr>
          <w:rFonts w:ascii="Arial" w:hAnsi="Arial" w:cs="Arial"/>
          <w:sz w:val="20"/>
          <w:szCs w:val="20"/>
        </w:rPr>
        <w:t>Jelikož je</w:t>
      </w:r>
      <w:r w:rsidRPr="00FF45AC">
        <w:rPr>
          <w:rFonts w:ascii="Arial" w:hAnsi="Arial" w:cs="Arial"/>
          <w:sz w:val="20"/>
          <w:szCs w:val="20"/>
        </w:rPr>
        <w:t xml:space="preserve"> počet domácností takřka uprostřed mezi hodnotami </w:t>
      </w:r>
      <w:r w:rsidR="00A3383F">
        <w:rPr>
          <w:rFonts w:ascii="Arial" w:hAnsi="Arial" w:cs="Arial"/>
          <w:sz w:val="20"/>
          <w:szCs w:val="20"/>
        </w:rPr>
        <w:t>8</w:t>
      </w:r>
      <w:r w:rsidRPr="00FF45AC">
        <w:rPr>
          <w:rFonts w:ascii="Arial" w:hAnsi="Arial" w:cs="Arial"/>
          <w:sz w:val="20"/>
          <w:szCs w:val="20"/>
        </w:rPr>
        <w:t xml:space="preserve">00 a </w:t>
      </w:r>
      <w:r w:rsidR="00A3383F">
        <w:rPr>
          <w:rFonts w:ascii="Arial" w:hAnsi="Arial" w:cs="Arial"/>
          <w:sz w:val="20"/>
          <w:szCs w:val="20"/>
        </w:rPr>
        <w:t>9</w:t>
      </w:r>
      <w:r w:rsidRPr="00FF45AC">
        <w:rPr>
          <w:rFonts w:ascii="Arial" w:hAnsi="Arial" w:cs="Arial"/>
          <w:sz w:val="20"/>
          <w:szCs w:val="20"/>
        </w:rPr>
        <w:t xml:space="preserve">00, </w:t>
      </w:r>
      <w:r w:rsidR="00FF6A4E">
        <w:rPr>
          <w:rFonts w:ascii="Arial" w:hAnsi="Arial" w:cs="Arial"/>
          <w:sz w:val="20"/>
          <w:szCs w:val="20"/>
        </w:rPr>
        <w:t>bylo by</w:t>
      </w:r>
      <w:r w:rsidRPr="00FF45AC">
        <w:rPr>
          <w:rFonts w:ascii="Arial" w:hAnsi="Arial" w:cs="Arial"/>
          <w:sz w:val="20"/>
          <w:szCs w:val="20"/>
        </w:rPr>
        <w:t xml:space="preserve"> v tomto případě vhodné odhad zpřesnit jednoduchou lineární interpolací, což bude absolutně </w:t>
      </w:r>
      <w:r w:rsidR="00A3383F">
        <w:rPr>
          <w:rFonts w:ascii="Arial" w:hAnsi="Arial" w:cs="Arial"/>
          <w:sz w:val="20"/>
          <w:szCs w:val="20"/>
        </w:rPr>
        <w:t>8</w:t>
      </w:r>
      <w:r w:rsidRPr="00FF45AC">
        <w:rPr>
          <w:rFonts w:ascii="Arial" w:hAnsi="Arial" w:cs="Arial"/>
          <w:sz w:val="20"/>
          <w:szCs w:val="20"/>
        </w:rPr>
        <w:t>50 ± 3</w:t>
      </w:r>
      <w:r w:rsidR="00A3383F">
        <w:rPr>
          <w:rFonts w:ascii="Arial" w:hAnsi="Arial" w:cs="Arial"/>
          <w:sz w:val="20"/>
          <w:szCs w:val="20"/>
        </w:rPr>
        <w:t>6</w:t>
      </w:r>
      <w:r w:rsidRPr="00FF45AC">
        <w:rPr>
          <w:rFonts w:ascii="Arial" w:hAnsi="Arial" w:cs="Arial"/>
          <w:sz w:val="20"/>
          <w:szCs w:val="20"/>
        </w:rPr>
        <w:t>,</w:t>
      </w:r>
      <w:r w:rsidR="00967CFB">
        <w:rPr>
          <w:rFonts w:ascii="Arial" w:hAnsi="Arial" w:cs="Arial"/>
          <w:sz w:val="20"/>
          <w:szCs w:val="20"/>
        </w:rPr>
        <w:t>9</w:t>
      </w:r>
      <w:r w:rsidR="00A3383F">
        <w:rPr>
          <w:rFonts w:ascii="Arial" w:hAnsi="Arial" w:cs="Arial"/>
          <w:sz w:val="20"/>
          <w:szCs w:val="20"/>
        </w:rPr>
        <w:t>5</w:t>
      </w:r>
      <w:r w:rsidRPr="00FF45AC">
        <w:rPr>
          <w:rFonts w:ascii="Arial" w:hAnsi="Arial" w:cs="Arial"/>
          <w:sz w:val="20"/>
          <w:szCs w:val="20"/>
        </w:rPr>
        <w:t xml:space="preserve"> tis. (průměr z </w:t>
      </w:r>
      <w:r w:rsidR="00A3383F">
        <w:rPr>
          <w:rFonts w:ascii="Arial" w:hAnsi="Arial" w:cs="Arial"/>
          <w:sz w:val="20"/>
          <w:szCs w:val="20"/>
        </w:rPr>
        <w:t>36</w:t>
      </w:r>
      <w:r w:rsidRPr="00FF45AC">
        <w:rPr>
          <w:rFonts w:ascii="Arial" w:hAnsi="Arial" w:cs="Arial"/>
          <w:sz w:val="20"/>
          <w:szCs w:val="20"/>
        </w:rPr>
        <w:t>,</w:t>
      </w:r>
      <w:r w:rsidR="00A3383F">
        <w:rPr>
          <w:rFonts w:ascii="Arial" w:hAnsi="Arial" w:cs="Arial"/>
          <w:sz w:val="20"/>
          <w:szCs w:val="20"/>
        </w:rPr>
        <w:t>11</w:t>
      </w:r>
      <w:r w:rsidRPr="00FF45AC">
        <w:rPr>
          <w:rFonts w:ascii="Arial" w:hAnsi="Arial" w:cs="Arial"/>
          <w:sz w:val="20"/>
          <w:szCs w:val="20"/>
        </w:rPr>
        <w:t xml:space="preserve"> a 3</w:t>
      </w:r>
      <w:r w:rsidR="00A3383F">
        <w:rPr>
          <w:rFonts w:ascii="Arial" w:hAnsi="Arial" w:cs="Arial"/>
          <w:sz w:val="20"/>
          <w:szCs w:val="20"/>
        </w:rPr>
        <w:t>7</w:t>
      </w:r>
      <w:r w:rsidRPr="00FF45AC">
        <w:rPr>
          <w:rFonts w:ascii="Arial" w:hAnsi="Arial" w:cs="Arial"/>
          <w:sz w:val="20"/>
          <w:szCs w:val="20"/>
        </w:rPr>
        <w:t>,</w:t>
      </w:r>
      <w:r w:rsidR="00A3383F">
        <w:rPr>
          <w:rFonts w:ascii="Arial" w:hAnsi="Arial" w:cs="Arial"/>
          <w:sz w:val="20"/>
          <w:szCs w:val="20"/>
        </w:rPr>
        <w:t>78</w:t>
      </w:r>
      <w:r w:rsidRPr="00FF45AC">
        <w:rPr>
          <w:rFonts w:ascii="Arial" w:hAnsi="Arial" w:cs="Arial"/>
          <w:sz w:val="20"/>
          <w:szCs w:val="20"/>
        </w:rPr>
        <w:t>) a relativně 1</w:t>
      </w:r>
      <w:r w:rsidR="004A02F6">
        <w:rPr>
          <w:rFonts w:ascii="Arial" w:hAnsi="Arial" w:cs="Arial"/>
          <w:sz w:val="20"/>
          <w:szCs w:val="20"/>
        </w:rPr>
        <w:t>9</w:t>
      </w:r>
      <w:r w:rsidRPr="00FF45AC">
        <w:rPr>
          <w:rFonts w:ascii="Arial" w:hAnsi="Arial" w:cs="Arial"/>
          <w:sz w:val="20"/>
          <w:szCs w:val="20"/>
        </w:rPr>
        <w:t>,</w:t>
      </w:r>
      <w:r w:rsidR="004A02F6">
        <w:rPr>
          <w:rFonts w:ascii="Arial" w:hAnsi="Arial" w:cs="Arial"/>
          <w:sz w:val="20"/>
          <w:szCs w:val="20"/>
        </w:rPr>
        <w:t>04</w:t>
      </w:r>
      <w:r w:rsidRPr="00FF45AC">
        <w:rPr>
          <w:rFonts w:ascii="Arial" w:hAnsi="Arial" w:cs="Arial"/>
          <w:sz w:val="20"/>
          <w:szCs w:val="20"/>
        </w:rPr>
        <w:t xml:space="preserve"> ± 0,</w:t>
      </w:r>
      <w:r w:rsidR="004A02F6">
        <w:rPr>
          <w:rFonts w:ascii="Arial" w:hAnsi="Arial" w:cs="Arial"/>
          <w:sz w:val="20"/>
          <w:szCs w:val="20"/>
        </w:rPr>
        <w:t>83</w:t>
      </w:r>
      <w:r w:rsidRPr="00FF45AC">
        <w:rPr>
          <w:rFonts w:ascii="Arial" w:hAnsi="Arial" w:cs="Arial"/>
          <w:sz w:val="20"/>
          <w:szCs w:val="20"/>
        </w:rPr>
        <w:t xml:space="preserve"> %.</w:t>
      </w:r>
    </w:p>
    <w:p w14:paraId="06DF5A1D" w14:textId="77777777" w:rsidR="000247DD" w:rsidRPr="002E6603" w:rsidRDefault="000247DD" w:rsidP="000247DD">
      <w:pPr>
        <w:pStyle w:val="Nadpis3"/>
        <w:spacing w:after="120"/>
        <w:ind w:left="958" w:hanging="958"/>
        <w:rPr>
          <w:rFonts w:ascii="Arial" w:hAnsi="Arial" w:cs="Arial"/>
          <w:sz w:val="20"/>
          <w:szCs w:val="20"/>
        </w:rPr>
      </w:pPr>
      <w:r>
        <w:rPr>
          <w:rFonts w:ascii="Arial" w:hAnsi="Arial" w:cs="Arial"/>
          <w:sz w:val="20"/>
          <w:szCs w:val="20"/>
        </w:rPr>
        <w:t>Tab. II</w:t>
      </w:r>
      <w:r>
        <w:rPr>
          <w:rFonts w:ascii="Arial" w:hAnsi="Arial" w:cs="Arial"/>
          <w:sz w:val="20"/>
          <w:szCs w:val="20"/>
        </w:rPr>
        <w:tab/>
      </w:r>
      <w:r>
        <w:rPr>
          <w:rFonts w:ascii="Arial" w:hAnsi="Arial" w:cs="Arial"/>
          <w:b w:val="0"/>
          <w:bCs w:val="0"/>
          <w:sz w:val="20"/>
          <w:szCs w:val="20"/>
        </w:rPr>
        <w:t>Odhady 95% intervalů spolehlivosti odhadů dílčích úhrnů četnosti pro soubor domácností</w:t>
      </w:r>
    </w:p>
    <w:p w14:paraId="4190AD3A" w14:textId="6DC0280D" w:rsidR="000247DD" w:rsidRPr="00F83D7E" w:rsidRDefault="000247DD" w:rsidP="000247DD">
      <w:pPr>
        <w:spacing w:after="120"/>
        <w:jc w:val="both"/>
        <w:rPr>
          <w:rFonts w:ascii="Arial" w:hAnsi="Arial" w:cs="Arial"/>
          <w:b/>
          <w:bCs/>
          <w:sz w:val="20"/>
          <w:szCs w:val="20"/>
        </w:rPr>
      </w:pPr>
      <w:r w:rsidRPr="00EE69AB">
        <w:rPr>
          <w:rFonts w:ascii="Arial" w:hAnsi="Arial" w:cs="Arial"/>
          <w:sz w:val="20"/>
          <w:szCs w:val="20"/>
        </w:rPr>
        <w:t xml:space="preserve">Tabulka je určena ke zjištění přibližného 95% intervalu spolehlivosti dílčích úhrnů četností ze souboru domácností na úrovni celé České republiky. Chceme-li například zjistit spolehlivost odhadu četnosti neúplných rodin v domácnostech samostatně činných, jichž bylo </w:t>
      </w:r>
      <w:r w:rsidR="00932685">
        <w:rPr>
          <w:rFonts w:ascii="Arial" w:hAnsi="Arial" w:cs="Arial"/>
          <w:sz w:val="20"/>
          <w:szCs w:val="20"/>
        </w:rPr>
        <w:t>7</w:t>
      </w:r>
      <w:r w:rsidR="00A63EC9" w:rsidRPr="00EE69AB">
        <w:rPr>
          <w:rFonts w:ascii="Arial" w:hAnsi="Arial" w:cs="Arial"/>
          <w:sz w:val="20"/>
          <w:szCs w:val="20"/>
        </w:rPr>
        <w:t>,</w:t>
      </w:r>
      <w:r w:rsidR="00932685">
        <w:rPr>
          <w:rFonts w:ascii="Arial" w:hAnsi="Arial" w:cs="Arial"/>
          <w:sz w:val="20"/>
          <w:szCs w:val="20"/>
        </w:rPr>
        <w:t>9</w:t>
      </w:r>
      <w:r w:rsidRPr="00EE69AB">
        <w:rPr>
          <w:rFonts w:ascii="Arial" w:hAnsi="Arial" w:cs="Arial"/>
          <w:sz w:val="20"/>
          <w:szCs w:val="20"/>
        </w:rPr>
        <w:t> % z 5</w:t>
      </w:r>
      <w:r w:rsidR="00363010">
        <w:rPr>
          <w:rFonts w:ascii="Arial" w:hAnsi="Arial" w:cs="Arial"/>
          <w:sz w:val="20"/>
          <w:szCs w:val="20"/>
        </w:rPr>
        <w:t>7</w:t>
      </w:r>
      <w:r w:rsidR="00932685">
        <w:rPr>
          <w:rFonts w:ascii="Arial" w:hAnsi="Arial" w:cs="Arial"/>
          <w:sz w:val="20"/>
          <w:szCs w:val="20"/>
        </w:rPr>
        <w:t>5</w:t>
      </w:r>
      <w:r w:rsidRPr="00EE69AB">
        <w:rPr>
          <w:rFonts w:ascii="Arial" w:hAnsi="Arial" w:cs="Arial"/>
          <w:sz w:val="20"/>
          <w:szCs w:val="20"/>
        </w:rPr>
        <w:t>,</w:t>
      </w:r>
      <w:r w:rsidR="00363010">
        <w:rPr>
          <w:rFonts w:ascii="Arial" w:hAnsi="Arial" w:cs="Arial"/>
          <w:sz w:val="20"/>
          <w:szCs w:val="20"/>
        </w:rPr>
        <w:t>3</w:t>
      </w:r>
      <w:r w:rsidRPr="00EE69AB">
        <w:rPr>
          <w:rFonts w:ascii="Arial" w:hAnsi="Arial" w:cs="Arial"/>
          <w:sz w:val="20"/>
          <w:szCs w:val="20"/>
        </w:rPr>
        <w:t xml:space="preserve"> tis., vyhledáme v Tab. II. řádek nejbližší číslu 5</w:t>
      </w:r>
      <w:r w:rsidR="00363010">
        <w:rPr>
          <w:rFonts w:ascii="Arial" w:hAnsi="Arial" w:cs="Arial"/>
          <w:sz w:val="20"/>
          <w:szCs w:val="20"/>
        </w:rPr>
        <w:t>7</w:t>
      </w:r>
      <w:r w:rsidR="00932685">
        <w:rPr>
          <w:rFonts w:ascii="Arial" w:hAnsi="Arial" w:cs="Arial"/>
          <w:sz w:val="20"/>
          <w:szCs w:val="20"/>
        </w:rPr>
        <w:t>5</w:t>
      </w:r>
      <w:r w:rsidRPr="00EE69AB">
        <w:rPr>
          <w:rFonts w:ascii="Arial" w:hAnsi="Arial" w:cs="Arial"/>
          <w:sz w:val="20"/>
          <w:szCs w:val="20"/>
        </w:rPr>
        <w:t>,</w:t>
      </w:r>
      <w:r w:rsidR="00363010">
        <w:rPr>
          <w:rFonts w:ascii="Arial" w:hAnsi="Arial" w:cs="Arial"/>
          <w:sz w:val="20"/>
          <w:szCs w:val="20"/>
        </w:rPr>
        <w:t>3</w:t>
      </w:r>
      <w:r w:rsidRPr="00EE69AB">
        <w:rPr>
          <w:rFonts w:ascii="Arial" w:hAnsi="Arial" w:cs="Arial"/>
          <w:sz w:val="20"/>
          <w:szCs w:val="20"/>
        </w:rPr>
        <w:t xml:space="preserve"> tedy </w:t>
      </w:r>
      <w:r w:rsidR="00A63EC9" w:rsidRPr="00EE69AB">
        <w:rPr>
          <w:rFonts w:ascii="Arial" w:hAnsi="Arial" w:cs="Arial"/>
          <w:sz w:val="20"/>
          <w:szCs w:val="20"/>
        </w:rPr>
        <w:t>6</w:t>
      </w:r>
      <w:r w:rsidRPr="00EE69AB">
        <w:rPr>
          <w:rFonts w:ascii="Arial" w:hAnsi="Arial" w:cs="Arial"/>
          <w:sz w:val="20"/>
          <w:szCs w:val="20"/>
        </w:rPr>
        <w:t xml:space="preserve">00 a sloupec nejbližší číslu </w:t>
      </w:r>
      <w:r w:rsidR="00932685">
        <w:rPr>
          <w:rFonts w:ascii="Arial" w:hAnsi="Arial" w:cs="Arial"/>
          <w:sz w:val="20"/>
          <w:szCs w:val="20"/>
        </w:rPr>
        <w:t>7</w:t>
      </w:r>
      <w:r w:rsidR="00363010">
        <w:rPr>
          <w:rFonts w:ascii="Arial" w:hAnsi="Arial" w:cs="Arial"/>
          <w:sz w:val="20"/>
          <w:szCs w:val="20"/>
        </w:rPr>
        <w:t>,</w:t>
      </w:r>
      <w:r w:rsidR="00932685">
        <w:rPr>
          <w:rFonts w:ascii="Arial" w:hAnsi="Arial" w:cs="Arial"/>
          <w:sz w:val="20"/>
          <w:szCs w:val="20"/>
        </w:rPr>
        <w:t>9</w:t>
      </w:r>
      <w:r w:rsidRPr="00EE69AB">
        <w:rPr>
          <w:rFonts w:ascii="Arial" w:hAnsi="Arial" w:cs="Arial"/>
          <w:sz w:val="20"/>
          <w:szCs w:val="20"/>
        </w:rPr>
        <w:t xml:space="preserve">, tedy </w:t>
      </w:r>
      <w:r w:rsidR="009C4B21">
        <w:rPr>
          <w:rFonts w:ascii="Arial" w:hAnsi="Arial" w:cs="Arial"/>
          <w:sz w:val="20"/>
          <w:szCs w:val="20"/>
        </w:rPr>
        <w:t>8</w:t>
      </w:r>
      <w:r w:rsidRPr="00EE69AB">
        <w:rPr>
          <w:rFonts w:ascii="Arial" w:hAnsi="Arial" w:cs="Arial"/>
          <w:sz w:val="20"/>
          <w:szCs w:val="20"/>
        </w:rPr>
        <w:t xml:space="preserve">. Příslušný interval spolehlivosti pro relativní četnost je potom </w:t>
      </w:r>
      <w:r w:rsidR="00932685">
        <w:rPr>
          <w:rFonts w:ascii="Arial" w:hAnsi="Arial" w:cs="Arial"/>
          <w:sz w:val="20"/>
          <w:szCs w:val="20"/>
        </w:rPr>
        <w:t>7</w:t>
      </w:r>
      <w:r w:rsidR="00363010">
        <w:rPr>
          <w:rFonts w:ascii="Arial" w:hAnsi="Arial" w:cs="Arial"/>
          <w:sz w:val="20"/>
          <w:szCs w:val="20"/>
        </w:rPr>
        <w:t>,</w:t>
      </w:r>
      <w:r w:rsidR="00932685">
        <w:rPr>
          <w:rFonts w:ascii="Arial" w:hAnsi="Arial" w:cs="Arial"/>
          <w:sz w:val="20"/>
          <w:szCs w:val="20"/>
        </w:rPr>
        <w:t>9</w:t>
      </w:r>
      <w:r w:rsidRPr="00EE69AB">
        <w:rPr>
          <w:rFonts w:ascii="Arial" w:hAnsi="Arial" w:cs="Arial"/>
          <w:sz w:val="20"/>
          <w:szCs w:val="20"/>
        </w:rPr>
        <w:t xml:space="preserve"> ± 1,</w:t>
      </w:r>
      <w:r w:rsidR="009C4B21">
        <w:rPr>
          <w:rFonts w:ascii="Arial" w:hAnsi="Arial" w:cs="Arial"/>
          <w:sz w:val="20"/>
          <w:szCs w:val="20"/>
        </w:rPr>
        <w:t>5</w:t>
      </w:r>
      <w:r w:rsidR="00932685">
        <w:rPr>
          <w:rFonts w:ascii="Arial" w:hAnsi="Arial" w:cs="Arial"/>
          <w:sz w:val="20"/>
          <w:szCs w:val="20"/>
        </w:rPr>
        <w:t>6</w:t>
      </w:r>
      <w:r w:rsidRPr="00EE69AB">
        <w:rPr>
          <w:rFonts w:ascii="Arial" w:hAnsi="Arial" w:cs="Arial"/>
          <w:sz w:val="20"/>
          <w:szCs w:val="20"/>
        </w:rPr>
        <w:t xml:space="preserve"> %. Odhad intervalu spolehlivosti je případně opět možno upřesnit pomocí lineární interpolace.</w:t>
      </w:r>
    </w:p>
    <w:p w14:paraId="665267BB" w14:textId="77777777" w:rsidR="00811140" w:rsidRDefault="00811140">
      <w:pPr>
        <w:jc w:val="both"/>
        <w:rPr>
          <w:rFonts w:ascii="Arial" w:hAnsi="Arial" w:cs="Arial"/>
          <w:b/>
          <w:bCs/>
          <w:sz w:val="20"/>
          <w:szCs w:val="20"/>
        </w:rPr>
      </w:pPr>
    </w:p>
    <w:p w14:paraId="02624CBA" w14:textId="77777777" w:rsidR="002A4577" w:rsidRPr="00CF3C06" w:rsidRDefault="00DF48FF">
      <w:pPr>
        <w:spacing w:after="120"/>
        <w:rPr>
          <w:rFonts w:ascii="Arial" w:hAnsi="Arial" w:cs="Arial"/>
        </w:rPr>
      </w:pPr>
      <w:r w:rsidRPr="00DF48FF">
        <w:rPr>
          <w:rFonts w:ascii="Arial" w:hAnsi="Arial" w:cs="Arial"/>
          <w:b/>
          <w:bCs/>
        </w:rPr>
        <w:t>3.3 Intervaly spolehlivosti v obecném případě</w:t>
      </w:r>
    </w:p>
    <w:p w14:paraId="10261C3E" w14:textId="77777777"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14:paraId="2116317F" w14:textId="77777777" w:rsidR="002A4577" w:rsidRPr="00F83D7E" w:rsidRDefault="002A4577">
      <w:pPr>
        <w:ind w:firstLine="709"/>
        <w:jc w:val="both"/>
        <w:rPr>
          <w:rFonts w:ascii="Arial" w:hAnsi="Arial" w:cs="Arial"/>
          <w:sz w:val="20"/>
          <w:szCs w:val="20"/>
        </w:rPr>
      </w:pPr>
    </w:p>
    <w:p w14:paraId="6B759DBD" w14:textId="77777777"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w14:anchorId="5AAA4D2D">
          <v:shape id="_x0000_i1031" type="#_x0000_t75" style="width:11.25pt;height:12pt" o:ole="">
            <v:imagedata r:id="rId8" o:title=""/>
          </v:shape>
          <o:OLEObject Type="Embed" ProgID="Equation.3" ShapeID="_x0000_i1031" DrawAspect="Content" ObjectID="_1676739046"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w14:anchorId="525F95AE">
          <v:shape id="_x0000_i1032" type="#_x0000_t75" style="width:28.5pt;height:17.25pt" o:ole="">
            <v:imagedata r:id="rId20" o:title=""/>
          </v:shape>
          <o:OLEObject Type="Embed" ProgID="Equation.DSMT4" ShapeID="_x0000_i1032" DrawAspect="Content" ObjectID="_1676739047" r:id="rId21"/>
        </w:object>
      </w:r>
      <w:r w:rsidRPr="00DF48FF">
        <w:rPr>
          <w:rFonts w:ascii="Arial" w:hAnsi="Arial" w:cs="Arial"/>
          <w:sz w:val="20"/>
          <w:szCs w:val="20"/>
        </w:rPr>
        <w:t xml:space="preserve">. </w:t>
      </w:r>
      <w:r w:rsidRPr="00DF48FF">
        <w:rPr>
          <w:rFonts w:ascii="Arial" w:hAnsi="Arial" w:cs="Arial"/>
          <w:i/>
          <w:iCs/>
          <w:sz w:val="20"/>
          <w:szCs w:val="20"/>
        </w:rPr>
        <w:t>s</w:t>
      </w:r>
      <w:r w:rsidRPr="00DF48FF">
        <w:rPr>
          <w:rFonts w:ascii="Arial" w:hAnsi="Arial" w:cs="Arial"/>
          <w:i/>
          <w:iCs/>
          <w:sz w:val="20"/>
          <w:szCs w:val="20"/>
          <w:vertAlign w:val="subscript"/>
        </w:rPr>
        <w:t>h</w:t>
      </w:r>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14:paraId="1A315C3D"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14:paraId="72AC5E4F" w14:textId="77777777" w:rsidR="002A4577" w:rsidRPr="00F83D7E" w:rsidRDefault="00DF48FF">
      <w:pPr>
        <w:ind w:firstLine="708"/>
        <w:rPr>
          <w:rFonts w:ascii="Arial" w:hAnsi="Arial" w:cs="Arial"/>
          <w:i/>
          <w:iCs/>
          <w:sz w:val="20"/>
          <w:szCs w:val="20"/>
        </w:rPr>
      </w:pPr>
      <w:r w:rsidRPr="00DF48FF">
        <w:rPr>
          <w:rFonts w:ascii="Arial" w:hAnsi="Arial" w:cs="Arial"/>
          <w:i/>
          <w:iCs/>
          <w:sz w:val="20"/>
          <w:szCs w:val="20"/>
        </w:rPr>
        <w:t>s</w:t>
      </w:r>
      <w:r w:rsidRPr="00DF48FF">
        <w:rPr>
          <w:rFonts w:ascii="Arial" w:hAnsi="Arial" w:cs="Arial"/>
          <w:i/>
          <w:iCs/>
          <w:sz w:val="20"/>
          <w:szCs w:val="20"/>
          <w:vertAlign w:val="subscript"/>
        </w:rPr>
        <w:t>h</w:t>
      </w:r>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14:paraId="59AAE7D8"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w14:anchorId="37FE285A">
          <v:shape id="_x0000_i1033" type="#_x0000_t75" style="width:28.5pt;height:17.25pt" o:ole="">
            <v:imagedata r:id="rId20" o:title=""/>
          </v:shape>
          <o:OLEObject Type="Embed" ProgID="Equation.DSMT4" ShapeID="_x0000_i1033" DrawAspect="Content" ObjectID="_1676739048"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14:paraId="0C8D4015" w14:textId="77777777"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14:paraId="21E02DB6" w14:textId="77777777"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14:paraId="30466EEB" w14:textId="77777777"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w14:anchorId="2C5ECD01">
          <v:shape id="_x0000_i1034" type="#_x0000_t75" style="width:259.5pt;height:58.5pt" o:ole="">
            <v:imagedata r:id="rId23" o:title=""/>
          </v:shape>
          <o:OLEObject Type="Embed" ProgID="Equation.DSMT4" ShapeID="_x0000_i1034" DrawAspect="Content" ObjectID="_1676739049" r:id="rId24"/>
        </w:object>
      </w:r>
      <w:r w:rsidR="00DF48FF" w:rsidRPr="00DF48FF">
        <w:rPr>
          <w:rFonts w:ascii="Arial" w:hAnsi="Arial" w:cs="Arial"/>
          <w:sz w:val="20"/>
          <w:szCs w:val="20"/>
        </w:rPr>
        <w:tab/>
      </w:r>
      <w:r w:rsidR="00DF48FF" w:rsidRPr="00DF48FF">
        <w:rPr>
          <w:rFonts w:ascii="Arial" w:hAnsi="Arial" w:cs="Arial"/>
          <w:sz w:val="20"/>
          <w:szCs w:val="20"/>
        </w:rPr>
        <w:tab/>
        <w:t>(2b)</w:t>
      </w:r>
    </w:p>
    <w:p w14:paraId="1919F202" w14:textId="77777777"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w14:anchorId="4BEB5DB4">
          <v:shape id="_x0000_i1035" type="#_x0000_t75" style="width:28.5pt;height:17.25pt" o:ole="">
            <v:imagedata r:id="rId20" o:title=""/>
          </v:shape>
          <o:OLEObject Type="Embed" ProgID="Equation.DSMT4" ShapeID="_x0000_i1035" DrawAspect="Content" ObjectID="_1676739050"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14:paraId="1365F8E4" w14:textId="77777777"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14:paraId="4A0A0537"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w14:anchorId="1F76A107">
          <v:shape id="_x0000_i1036" type="#_x0000_t75" style="width:13.5pt;height:17.25pt" o:ole="">
            <v:imagedata r:id="rId26" o:title=""/>
          </v:shape>
          <o:OLEObject Type="Embed" ProgID="Equation.DSMT4" ShapeID="_x0000_i1036" DrawAspect="Content" ObjectID="_1676739051"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w14:anchorId="250C4CD5">
          <v:shape id="_x0000_i1037" type="#_x0000_t75" style="width:15.75pt;height:17.25pt" o:ole="">
            <v:imagedata r:id="rId28" o:title=""/>
          </v:shape>
          <o:OLEObject Type="Embed" ProgID="Equation.DSMT4" ShapeID="_x0000_i1037" DrawAspect="Content" ObjectID="_1676739052"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w14:anchorId="63EC3F33">
          <v:shape id="_x0000_i1038" type="#_x0000_t75" style="width:89.25pt;height:36pt" o:ole="">
            <v:imagedata r:id="rId30" o:title=""/>
          </v:shape>
          <o:OLEObject Type="Embed" ProgID="Equation.DSMT4" ShapeID="_x0000_i1038" DrawAspect="Content" ObjectID="_1676739053"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w14:anchorId="79416DBA">
          <v:shape id="_x0000_i1039" type="#_x0000_t75" style="width:92.25pt;height:36pt" o:ole="">
            <v:imagedata r:id="rId32" o:title=""/>
          </v:shape>
          <o:OLEObject Type="Embed" ProgID="Equation.DSMT4" ShapeID="_x0000_i1039" DrawAspect="Content" ObjectID="_1676739054" r:id="rId33"/>
        </w:object>
      </w:r>
    </w:p>
    <w:p w14:paraId="7D76E645" w14:textId="77777777"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14:paraId="556CD65B" w14:textId="77777777"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deff (h) = s</w:t>
      </w:r>
      <w:r w:rsidRPr="00DF48FF">
        <w:rPr>
          <w:rFonts w:ascii="Arial" w:hAnsi="Arial" w:cs="Arial"/>
          <w:i/>
          <w:iCs/>
          <w:sz w:val="20"/>
          <w:szCs w:val="20"/>
          <w:vertAlign w:val="subscript"/>
        </w:rPr>
        <w:t>h</w:t>
      </w:r>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r w:rsidRPr="00DF48FF">
        <w:rPr>
          <w:rFonts w:ascii="Arial" w:hAnsi="Arial" w:cs="Arial"/>
          <w:i/>
          <w:iCs/>
          <w:sz w:val="20"/>
          <w:szCs w:val="20"/>
        </w:rPr>
        <w:t>pnv}</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14:paraId="4B685379" w14:textId="77777777"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14:paraId="7C5730CE" w14:textId="77777777"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{pnv}</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14:paraId="37F84599" w14:textId="77777777" w:rsidR="002A4577" w:rsidRPr="00F83D7E" w:rsidRDefault="002A4577">
      <w:pPr>
        <w:pStyle w:val="Zpat"/>
        <w:tabs>
          <w:tab w:val="clear" w:pos="4536"/>
          <w:tab w:val="clear" w:pos="9072"/>
        </w:tabs>
        <w:rPr>
          <w:rFonts w:ascii="Arial" w:hAnsi="Arial" w:cs="Arial"/>
          <w:sz w:val="20"/>
          <w:szCs w:val="20"/>
        </w:rPr>
      </w:pPr>
    </w:p>
    <w:p w14:paraId="4A92D4AD" w14:textId="77777777"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„dvoustupňovost“ naopak činí odhady ze stejného počtu pozorování méně vydatnými. Do výběrového souboru se vzhledem k celkovému počtu bytů dostalo absolutně i relativně více sčítacích obvodů. Vliv zmíněného deff se tedy v souladu s očekáváními o něco snížil tak, že došlo k vyrovnání obou efektů a jeho hodnoty se u ne zřídka zastoupených druhů příjmů za celou ČR pohybovaly v těsné blízkosti 1.</w:t>
      </w:r>
    </w:p>
    <w:p w14:paraId="7DF5BF5E" w14:textId="77777777"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14:paraId="57BB8723" w14:textId="77777777"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14:paraId="503C2BA5"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2F63424B" w14:textId="77777777" w:rsidR="002F09DA" w:rsidRDefault="002F09DA">
      <w:pPr>
        <w:pStyle w:val="Zkladntext"/>
        <w:tabs>
          <w:tab w:val="left" w:pos="900"/>
          <w:tab w:val="left" w:pos="2340"/>
          <w:tab w:val="left" w:pos="3420"/>
        </w:tabs>
        <w:ind w:firstLine="720"/>
        <w:rPr>
          <w:rFonts w:ascii="Arial" w:hAnsi="Arial" w:cs="Arial"/>
          <w:sz w:val="20"/>
          <w:szCs w:val="20"/>
          <w:u w:val="single"/>
        </w:rPr>
      </w:pPr>
    </w:p>
    <w:p w14:paraId="0DF2F990"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3D5CB346"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856537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12CD615D"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6C1CF1CB"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D74DDC0"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776BE2E4"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0EC445C"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30736E5"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46D1AEE2"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752EE236"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22A91580"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4BAA87EC"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682D39F4" w14:textId="02F3A63B" w:rsidR="00F9161F" w:rsidRDefault="00F9161F">
      <w:pPr>
        <w:pStyle w:val="Zkladntext"/>
        <w:tabs>
          <w:tab w:val="left" w:pos="900"/>
          <w:tab w:val="left" w:pos="2340"/>
          <w:tab w:val="left" w:pos="3420"/>
        </w:tabs>
        <w:ind w:firstLine="720"/>
        <w:rPr>
          <w:rFonts w:ascii="Arial" w:hAnsi="Arial" w:cs="Arial"/>
          <w:sz w:val="20"/>
          <w:szCs w:val="20"/>
          <w:u w:val="single"/>
        </w:rPr>
      </w:pPr>
    </w:p>
    <w:p w14:paraId="583CCB32" w14:textId="2F4C2BFD" w:rsidR="008E4554" w:rsidRDefault="008E4554">
      <w:pPr>
        <w:pStyle w:val="Zkladntext"/>
        <w:tabs>
          <w:tab w:val="left" w:pos="900"/>
          <w:tab w:val="left" w:pos="2340"/>
          <w:tab w:val="left" w:pos="3420"/>
        </w:tabs>
        <w:ind w:firstLine="720"/>
        <w:rPr>
          <w:rFonts w:ascii="Arial" w:hAnsi="Arial" w:cs="Arial"/>
          <w:sz w:val="20"/>
          <w:szCs w:val="20"/>
          <w:u w:val="single"/>
        </w:rPr>
      </w:pPr>
    </w:p>
    <w:p w14:paraId="184045D4" w14:textId="74C3A357" w:rsidR="008E4554" w:rsidRDefault="008E4554">
      <w:pPr>
        <w:pStyle w:val="Zkladntext"/>
        <w:tabs>
          <w:tab w:val="left" w:pos="900"/>
          <w:tab w:val="left" w:pos="2340"/>
          <w:tab w:val="left" w:pos="3420"/>
        </w:tabs>
        <w:ind w:firstLine="720"/>
        <w:rPr>
          <w:rFonts w:ascii="Arial" w:hAnsi="Arial" w:cs="Arial"/>
          <w:sz w:val="20"/>
          <w:szCs w:val="20"/>
          <w:u w:val="single"/>
        </w:rPr>
      </w:pPr>
    </w:p>
    <w:p w14:paraId="105E2BD5" w14:textId="07C43B29" w:rsidR="008E4554" w:rsidRDefault="008E4554">
      <w:pPr>
        <w:pStyle w:val="Zkladntext"/>
        <w:tabs>
          <w:tab w:val="left" w:pos="900"/>
          <w:tab w:val="left" w:pos="2340"/>
          <w:tab w:val="left" w:pos="3420"/>
        </w:tabs>
        <w:ind w:firstLine="720"/>
        <w:rPr>
          <w:rFonts w:ascii="Arial" w:hAnsi="Arial" w:cs="Arial"/>
          <w:sz w:val="20"/>
          <w:szCs w:val="20"/>
          <w:u w:val="single"/>
        </w:rPr>
      </w:pPr>
    </w:p>
    <w:p w14:paraId="0E1E50E4" w14:textId="3C11E8C2" w:rsidR="008E4554" w:rsidRDefault="008E4554">
      <w:pPr>
        <w:pStyle w:val="Zkladntext"/>
        <w:tabs>
          <w:tab w:val="left" w:pos="900"/>
          <w:tab w:val="left" w:pos="2340"/>
          <w:tab w:val="left" w:pos="3420"/>
        </w:tabs>
        <w:ind w:firstLine="720"/>
        <w:rPr>
          <w:rFonts w:ascii="Arial" w:hAnsi="Arial" w:cs="Arial"/>
          <w:sz w:val="20"/>
          <w:szCs w:val="20"/>
          <w:u w:val="single"/>
        </w:rPr>
      </w:pPr>
    </w:p>
    <w:p w14:paraId="161B4195" w14:textId="2EAFA235" w:rsidR="008E4554" w:rsidRDefault="008E4554">
      <w:pPr>
        <w:pStyle w:val="Zkladntext"/>
        <w:tabs>
          <w:tab w:val="left" w:pos="900"/>
          <w:tab w:val="left" w:pos="2340"/>
          <w:tab w:val="left" w:pos="3420"/>
        </w:tabs>
        <w:ind w:firstLine="720"/>
        <w:rPr>
          <w:rFonts w:ascii="Arial" w:hAnsi="Arial" w:cs="Arial"/>
          <w:sz w:val="20"/>
          <w:szCs w:val="20"/>
          <w:u w:val="single"/>
        </w:rPr>
      </w:pPr>
    </w:p>
    <w:p w14:paraId="7E6B8423" w14:textId="7DB9226E" w:rsidR="008E4554" w:rsidRDefault="008E4554">
      <w:pPr>
        <w:pStyle w:val="Zkladntext"/>
        <w:tabs>
          <w:tab w:val="left" w:pos="900"/>
          <w:tab w:val="left" w:pos="2340"/>
          <w:tab w:val="left" w:pos="3420"/>
        </w:tabs>
        <w:ind w:firstLine="720"/>
        <w:rPr>
          <w:rFonts w:ascii="Arial" w:hAnsi="Arial" w:cs="Arial"/>
          <w:sz w:val="20"/>
          <w:szCs w:val="20"/>
          <w:u w:val="single"/>
        </w:rPr>
      </w:pPr>
    </w:p>
    <w:p w14:paraId="2A1541F3"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C8FC7DE" w14:textId="77777777" w:rsidR="00F9161F" w:rsidRDefault="00F9161F">
      <w:pPr>
        <w:pStyle w:val="Zkladntext"/>
        <w:tabs>
          <w:tab w:val="left" w:pos="900"/>
          <w:tab w:val="left" w:pos="2340"/>
          <w:tab w:val="left" w:pos="3420"/>
        </w:tabs>
        <w:ind w:firstLine="720"/>
        <w:rPr>
          <w:rFonts w:ascii="Arial" w:hAnsi="Arial" w:cs="Arial"/>
          <w:sz w:val="20"/>
          <w:szCs w:val="20"/>
          <w:u w:val="single"/>
        </w:rPr>
      </w:pPr>
    </w:p>
    <w:p w14:paraId="02F35928" w14:textId="77777777" w:rsidR="00CE265B" w:rsidRDefault="00CE265B">
      <w:pPr>
        <w:pStyle w:val="Zkladntext"/>
        <w:tabs>
          <w:tab w:val="left" w:pos="900"/>
          <w:tab w:val="left" w:pos="2340"/>
          <w:tab w:val="left" w:pos="3420"/>
        </w:tabs>
        <w:ind w:firstLine="720"/>
        <w:rPr>
          <w:rFonts w:ascii="Arial" w:hAnsi="Arial" w:cs="Arial"/>
          <w:sz w:val="20"/>
          <w:szCs w:val="20"/>
          <w:u w:val="single"/>
        </w:rPr>
      </w:pPr>
    </w:p>
    <w:p w14:paraId="4CB00E46" w14:textId="77777777"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14:paraId="19207CDC" w14:textId="77777777"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r w:rsidRPr="00DF48FF">
        <w:rPr>
          <w:rFonts w:ascii="Arial" w:hAnsi="Arial" w:cs="Arial"/>
          <w:sz w:val="20"/>
          <w:szCs w:val="20"/>
        </w:rPr>
        <w:t>x    x    x</w:t>
      </w:r>
    </w:p>
    <w:p w14:paraId="0E62BDD8" w14:textId="77777777"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14:paraId="7D19CA9A" w14:textId="079E771C"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w:t>
      </w:r>
      <w:r w:rsidR="00C82EE6">
        <w:rPr>
          <w:rFonts w:ascii="Arial" w:hAnsi="Arial" w:cs="Arial"/>
          <w:i/>
          <w:iCs/>
          <w:sz w:val="20"/>
          <w:szCs w:val="20"/>
        </w:rPr>
        <w:t>20</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C39E" w14:textId="77777777" w:rsidR="000360EF" w:rsidRDefault="000360EF">
      <w:r>
        <w:separator/>
      </w:r>
    </w:p>
  </w:endnote>
  <w:endnote w:type="continuationSeparator" w:id="0">
    <w:p w14:paraId="4EC114C7" w14:textId="77777777" w:rsidR="000360EF" w:rsidRDefault="000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96C2" w14:textId="77777777" w:rsidR="006E05BA" w:rsidRDefault="006E05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9B6226" w14:textId="77777777" w:rsidR="006E05BA" w:rsidRDefault="006E05B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BD64" w14:textId="77777777" w:rsidR="006E05BA" w:rsidRDefault="006E05B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B7B4" w14:textId="77777777" w:rsidR="000360EF" w:rsidRDefault="000360EF">
      <w:r>
        <w:separator/>
      </w:r>
    </w:p>
  </w:footnote>
  <w:footnote w:type="continuationSeparator" w:id="0">
    <w:p w14:paraId="75B31C04" w14:textId="77777777" w:rsidR="000360EF" w:rsidRDefault="0003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0093" w14:textId="77777777" w:rsidR="006E05BA" w:rsidRDefault="006E05B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58FDCB" w14:textId="77777777" w:rsidR="006E05BA" w:rsidRDefault="006E05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C4E6" w14:textId="77777777" w:rsidR="006E05BA" w:rsidRDefault="006E05BA">
    <w:pPr>
      <w:pStyle w:val="Zhlav"/>
      <w:framePr w:wrap="around" w:vAnchor="text" w:hAnchor="margin" w:xAlign="center" w:y="1"/>
      <w:rPr>
        <w:rStyle w:val="slostrnky"/>
      </w:rPr>
    </w:pPr>
  </w:p>
  <w:p w14:paraId="318F6F11" w14:textId="77777777" w:rsidR="006E05BA" w:rsidRDefault="006E05BA">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F3421"/>
    <w:multiLevelType w:val="hybridMultilevel"/>
    <w:tmpl w:val="2B7A3866"/>
    <w:lvl w:ilvl="0" w:tplc="F6385C58">
      <w:start w:val="1"/>
      <w:numFmt w:val="bullet"/>
      <w:lvlText w:val=""/>
      <w:lvlJc w:val="left"/>
      <w:pPr>
        <w:tabs>
          <w:tab w:val="num" w:pos="720"/>
        </w:tabs>
        <w:ind w:left="720" w:hanging="360"/>
      </w:pPr>
      <w:rPr>
        <w:rFonts w:ascii="Wingdings" w:hAnsi="Wingdings" w:hint="default"/>
      </w:rPr>
    </w:lvl>
    <w:lvl w:ilvl="1" w:tplc="067C0346" w:tentative="1">
      <w:start w:val="1"/>
      <w:numFmt w:val="bullet"/>
      <w:lvlText w:val=""/>
      <w:lvlJc w:val="left"/>
      <w:pPr>
        <w:tabs>
          <w:tab w:val="num" w:pos="1440"/>
        </w:tabs>
        <w:ind w:left="1440" w:hanging="360"/>
      </w:pPr>
      <w:rPr>
        <w:rFonts w:ascii="Wingdings" w:hAnsi="Wingdings" w:hint="default"/>
      </w:rPr>
    </w:lvl>
    <w:lvl w:ilvl="2" w:tplc="D8863864">
      <w:start w:val="1"/>
      <w:numFmt w:val="bullet"/>
      <w:lvlText w:val=""/>
      <w:lvlJc w:val="left"/>
      <w:pPr>
        <w:tabs>
          <w:tab w:val="num" w:pos="2160"/>
        </w:tabs>
        <w:ind w:left="2160" w:hanging="360"/>
      </w:pPr>
      <w:rPr>
        <w:rFonts w:ascii="Wingdings" w:hAnsi="Wingdings" w:hint="default"/>
      </w:rPr>
    </w:lvl>
    <w:lvl w:ilvl="3" w:tplc="DAEE5AF8" w:tentative="1">
      <w:start w:val="1"/>
      <w:numFmt w:val="bullet"/>
      <w:lvlText w:val=""/>
      <w:lvlJc w:val="left"/>
      <w:pPr>
        <w:tabs>
          <w:tab w:val="num" w:pos="2880"/>
        </w:tabs>
        <w:ind w:left="2880" w:hanging="360"/>
      </w:pPr>
      <w:rPr>
        <w:rFonts w:ascii="Wingdings" w:hAnsi="Wingdings" w:hint="default"/>
      </w:rPr>
    </w:lvl>
    <w:lvl w:ilvl="4" w:tplc="78168728" w:tentative="1">
      <w:start w:val="1"/>
      <w:numFmt w:val="bullet"/>
      <w:lvlText w:val=""/>
      <w:lvlJc w:val="left"/>
      <w:pPr>
        <w:tabs>
          <w:tab w:val="num" w:pos="3600"/>
        </w:tabs>
        <w:ind w:left="3600" w:hanging="360"/>
      </w:pPr>
      <w:rPr>
        <w:rFonts w:ascii="Wingdings" w:hAnsi="Wingdings" w:hint="default"/>
      </w:rPr>
    </w:lvl>
    <w:lvl w:ilvl="5" w:tplc="9DE007F4" w:tentative="1">
      <w:start w:val="1"/>
      <w:numFmt w:val="bullet"/>
      <w:lvlText w:val=""/>
      <w:lvlJc w:val="left"/>
      <w:pPr>
        <w:tabs>
          <w:tab w:val="num" w:pos="4320"/>
        </w:tabs>
        <w:ind w:left="4320" w:hanging="360"/>
      </w:pPr>
      <w:rPr>
        <w:rFonts w:ascii="Wingdings" w:hAnsi="Wingdings" w:hint="default"/>
      </w:rPr>
    </w:lvl>
    <w:lvl w:ilvl="6" w:tplc="995627E6" w:tentative="1">
      <w:start w:val="1"/>
      <w:numFmt w:val="bullet"/>
      <w:lvlText w:val=""/>
      <w:lvlJc w:val="left"/>
      <w:pPr>
        <w:tabs>
          <w:tab w:val="num" w:pos="5040"/>
        </w:tabs>
        <w:ind w:left="5040" w:hanging="360"/>
      </w:pPr>
      <w:rPr>
        <w:rFonts w:ascii="Wingdings" w:hAnsi="Wingdings" w:hint="default"/>
      </w:rPr>
    </w:lvl>
    <w:lvl w:ilvl="7" w:tplc="1A6C23D8" w:tentative="1">
      <w:start w:val="1"/>
      <w:numFmt w:val="bullet"/>
      <w:lvlText w:val=""/>
      <w:lvlJc w:val="left"/>
      <w:pPr>
        <w:tabs>
          <w:tab w:val="num" w:pos="5760"/>
        </w:tabs>
        <w:ind w:left="5760" w:hanging="360"/>
      </w:pPr>
      <w:rPr>
        <w:rFonts w:ascii="Wingdings" w:hAnsi="Wingdings" w:hint="default"/>
      </w:rPr>
    </w:lvl>
    <w:lvl w:ilvl="8" w:tplc="5BECEB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5" w15:restartNumberingAfterBreak="0">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6" w15:restartNumberingAfterBreak="0">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9"/>
  </w:num>
  <w:num w:numId="8">
    <w:abstractNumId w:val="8"/>
  </w:num>
  <w:num w:numId="9">
    <w:abstractNumId w:val="17"/>
  </w:num>
  <w:num w:numId="10">
    <w:abstractNumId w:val="1"/>
  </w:num>
  <w:num w:numId="11">
    <w:abstractNumId w:val="26"/>
  </w:num>
  <w:num w:numId="12">
    <w:abstractNumId w:val="13"/>
  </w:num>
  <w:num w:numId="13">
    <w:abstractNumId w:val="7"/>
  </w:num>
  <w:num w:numId="14">
    <w:abstractNumId w:val="25"/>
  </w:num>
  <w:num w:numId="15">
    <w:abstractNumId w:val="15"/>
  </w:num>
  <w:num w:numId="16">
    <w:abstractNumId w:val="16"/>
  </w:num>
  <w:num w:numId="17">
    <w:abstractNumId w:val="24"/>
  </w:num>
  <w:num w:numId="18">
    <w:abstractNumId w:val="10"/>
  </w:num>
  <w:num w:numId="19">
    <w:abstractNumId w:val="21"/>
  </w:num>
  <w:num w:numId="20">
    <w:abstractNumId w:val="22"/>
  </w:num>
  <w:num w:numId="21">
    <w:abstractNumId w:val="12"/>
  </w:num>
  <w:num w:numId="22">
    <w:abstractNumId w:val="5"/>
  </w:num>
  <w:num w:numId="23">
    <w:abstractNumId w:val="23"/>
  </w:num>
  <w:num w:numId="24">
    <w:abstractNumId w:val="9"/>
  </w:num>
  <w:num w:numId="25">
    <w:abstractNumId w:val="20"/>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trackRevisions/>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ReportControlsVisible" w:val="Empty"/>
    <w:docVar w:name="_AMO_UniqueIdentifier" w:val="Empty"/>
  </w:docVars>
  <w:rsids>
    <w:rsidRoot w:val="005C110F"/>
    <w:rsid w:val="000056B9"/>
    <w:rsid w:val="00006FEC"/>
    <w:rsid w:val="0001184A"/>
    <w:rsid w:val="000240BF"/>
    <w:rsid w:val="000247DD"/>
    <w:rsid w:val="00035D4D"/>
    <w:rsid w:val="000360EF"/>
    <w:rsid w:val="000362F7"/>
    <w:rsid w:val="00036990"/>
    <w:rsid w:val="000415A6"/>
    <w:rsid w:val="0004279B"/>
    <w:rsid w:val="00042A9D"/>
    <w:rsid w:val="00044426"/>
    <w:rsid w:val="00045659"/>
    <w:rsid w:val="00046146"/>
    <w:rsid w:val="000507AC"/>
    <w:rsid w:val="00051668"/>
    <w:rsid w:val="00052C3B"/>
    <w:rsid w:val="00052FC2"/>
    <w:rsid w:val="00053CA2"/>
    <w:rsid w:val="00054401"/>
    <w:rsid w:val="000578C2"/>
    <w:rsid w:val="000630C1"/>
    <w:rsid w:val="000637D0"/>
    <w:rsid w:val="000736D9"/>
    <w:rsid w:val="00073D87"/>
    <w:rsid w:val="00083F9A"/>
    <w:rsid w:val="00084D77"/>
    <w:rsid w:val="00092BF4"/>
    <w:rsid w:val="0009684D"/>
    <w:rsid w:val="000977FF"/>
    <w:rsid w:val="00097E85"/>
    <w:rsid w:val="000A19CF"/>
    <w:rsid w:val="000A4A0B"/>
    <w:rsid w:val="000A5B02"/>
    <w:rsid w:val="000B11E2"/>
    <w:rsid w:val="000B4C87"/>
    <w:rsid w:val="000B77BB"/>
    <w:rsid w:val="000C3081"/>
    <w:rsid w:val="000C5B45"/>
    <w:rsid w:val="000C6B51"/>
    <w:rsid w:val="000E1968"/>
    <w:rsid w:val="000E48D5"/>
    <w:rsid w:val="000E4BB7"/>
    <w:rsid w:val="000E5E34"/>
    <w:rsid w:val="00104192"/>
    <w:rsid w:val="00106CBF"/>
    <w:rsid w:val="00114158"/>
    <w:rsid w:val="00122C2A"/>
    <w:rsid w:val="001242C8"/>
    <w:rsid w:val="00127B55"/>
    <w:rsid w:val="001309F9"/>
    <w:rsid w:val="00131562"/>
    <w:rsid w:val="0013206D"/>
    <w:rsid w:val="0013485B"/>
    <w:rsid w:val="001403AA"/>
    <w:rsid w:val="001414A5"/>
    <w:rsid w:val="001429A5"/>
    <w:rsid w:val="001451AD"/>
    <w:rsid w:val="0014539B"/>
    <w:rsid w:val="0014677B"/>
    <w:rsid w:val="001502CE"/>
    <w:rsid w:val="00150612"/>
    <w:rsid w:val="00153FF8"/>
    <w:rsid w:val="001622C0"/>
    <w:rsid w:val="00170654"/>
    <w:rsid w:val="00170CDE"/>
    <w:rsid w:val="00177D74"/>
    <w:rsid w:val="00177D96"/>
    <w:rsid w:val="00180262"/>
    <w:rsid w:val="00194E6A"/>
    <w:rsid w:val="001A0AA3"/>
    <w:rsid w:val="001A33CE"/>
    <w:rsid w:val="001A4F9A"/>
    <w:rsid w:val="001B150F"/>
    <w:rsid w:val="001B2640"/>
    <w:rsid w:val="001B57D3"/>
    <w:rsid w:val="001C2B25"/>
    <w:rsid w:val="001C5FD4"/>
    <w:rsid w:val="001C7185"/>
    <w:rsid w:val="001D08EB"/>
    <w:rsid w:val="001D37F3"/>
    <w:rsid w:val="001D7F37"/>
    <w:rsid w:val="001E2CBA"/>
    <w:rsid w:val="001E4317"/>
    <w:rsid w:val="001E6CCE"/>
    <w:rsid w:val="001F1C95"/>
    <w:rsid w:val="001F4A92"/>
    <w:rsid w:val="00204397"/>
    <w:rsid w:val="00207AE1"/>
    <w:rsid w:val="00207B67"/>
    <w:rsid w:val="00213A5B"/>
    <w:rsid w:val="00217F74"/>
    <w:rsid w:val="00225991"/>
    <w:rsid w:val="00230467"/>
    <w:rsid w:val="00231F86"/>
    <w:rsid w:val="00234185"/>
    <w:rsid w:val="00242891"/>
    <w:rsid w:val="002457C6"/>
    <w:rsid w:val="0024739A"/>
    <w:rsid w:val="002512DD"/>
    <w:rsid w:val="002518E3"/>
    <w:rsid w:val="002543D4"/>
    <w:rsid w:val="00254F93"/>
    <w:rsid w:val="002573CF"/>
    <w:rsid w:val="00257FDE"/>
    <w:rsid w:val="00265CE8"/>
    <w:rsid w:val="002662BA"/>
    <w:rsid w:val="00272733"/>
    <w:rsid w:val="002749FD"/>
    <w:rsid w:val="0028085D"/>
    <w:rsid w:val="00281705"/>
    <w:rsid w:val="00282E8E"/>
    <w:rsid w:val="002830EE"/>
    <w:rsid w:val="00283AF7"/>
    <w:rsid w:val="00292418"/>
    <w:rsid w:val="002927E5"/>
    <w:rsid w:val="00293728"/>
    <w:rsid w:val="002943DA"/>
    <w:rsid w:val="002A2167"/>
    <w:rsid w:val="002A4577"/>
    <w:rsid w:val="002A5003"/>
    <w:rsid w:val="002A6EA9"/>
    <w:rsid w:val="002A7ED6"/>
    <w:rsid w:val="002B1C3E"/>
    <w:rsid w:val="002B46A2"/>
    <w:rsid w:val="002B7E30"/>
    <w:rsid w:val="002C15D1"/>
    <w:rsid w:val="002C3B74"/>
    <w:rsid w:val="002C3FCD"/>
    <w:rsid w:val="002C5094"/>
    <w:rsid w:val="002C5E7F"/>
    <w:rsid w:val="002D0F2D"/>
    <w:rsid w:val="002D2D58"/>
    <w:rsid w:val="002D3381"/>
    <w:rsid w:val="002D3639"/>
    <w:rsid w:val="002D4676"/>
    <w:rsid w:val="002D4824"/>
    <w:rsid w:val="002D6577"/>
    <w:rsid w:val="002D65EA"/>
    <w:rsid w:val="002E5913"/>
    <w:rsid w:val="002E7A67"/>
    <w:rsid w:val="002F09DA"/>
    <w:rsid w:val="002F114D"/>
    <w:rsid w:val="002F25C4"/>
    <w:rsid w:val="0030363F"/>
    <w:rsid w:val="00305046"/>
    <w:rsid w:val="0031137B"/>
    <w:rsid w:val="00315362"/>
    <w:rsid w:val="0031546B"/>
    <w:rsid w:val="00316DB5"/>
    <w:rsid w:val="0032523C"/>
    <w:rsid w:val="003263AF"/>
    <w:rsid w:val="00334840"/>
    <w:rsid w:val="0033523D"/>
    <w:rsid w:val="003359A7"/>
    <w:rsid w:val="00336ABC"/>
    <w:rsid w:val="003371D6"/>
    <w:rsid w:val="0034679A"/>
    <w:rsid w:val="0035163D"/>
    <w:rsid w:val="003564A1"/>
    <w:rsid w:val="003569EE"/>
    <w:rsid w:val="00360ABB"/>
    <w:rsid w:val="0036188A"/>
    <w:rsid w:val="00363010"/>
    <w:rsid w:val="003659DD"/>
    <w:rsid w:val="00365BFD"/>
    <w:rsid w:val="00380A77"/>
    <w:rsid w:val="003868D5"/>
    <w:rsid w:val="003869ED"/>
    <w:rsid w:val="0039030E"/>
    <w:rsid w:val="00391294"/>
    <w:rsid w:val="00391DFD"/>
    <w:rsid w:val="0039357E"/>
    <w:rsid w:val="00393F2F"/>
    <w:rsid w:val="003953F2"/>
    <w:rsid w:val="0039713C"/>
    <w:rsid w:val="003973BD"/>
    <w:rsid w:val="003A225E"/>
    <w:rsid w:val="003A2363"/>
    <w:rsid w:val="003A3599"/>
    <w:rsid w:val="003B033E"/>
    <w:rsid w:val="003B74D4"/>
    <w:rsid w:val="003C52BA"/>
    <w:rsid w:val="003C59DF"/>
    <w:rsid w:val="003D3C66"/>
    <w:rsid w:val="003E4F9C"/>
    <w:rsid w:val="003E680B"/>
    <w:rsid w:val="003E7AE8"/>
    <w:rsid w:val="003F102C"/>
    <w:rsid w:val="003F19E9"/>
    <w:rsid w:val="003F2784"/>
    <w:rsid w:val="003F4F4E"/>
    <w:rsid w:val="003F642C"/>
    <w:rsid w:val="0040039B"/>
    <w:rsid w:val="00402163"/>
    <w:rsid w:val="00403095"/>
    <w:rsid w:val="00406BBD"/>
    <w:rsid w:val="00410046"/>
    <w:rsid w:val="00410763"/>
    <w:rsid w:val="00413743"/>
    <w:rsid w:val="00413F78"/>
    <w:rsid w:val="00415151"/>
    <w:rsid w:val="0041653F"/>
    <w:rsid w:val="004204B2"/>
    <w:rsid w:val="00424778"/>
    <w:rsid w:val="004262EB"/>
    <w:rsid w:val="00431778"/>
    <w:rsid w:val="004340BC"/>
    <w:rsid w:val="00437559"/>
    <w:rsid w:val="004454E5"/>
    <w:rsid w:val="004523DB"/>
    <w:rsid w:val="00453DE7"/>
    <w:rsid w:val="00455318"/>
    <w:rsid w:val="004619CB"/>
    <w:rsid w:val="004656B6"/>
    <w:rsid w:val="00466F8D"/>
    <w:rsid w:val="004732F3"/>
    <w:rsid w:val="00476FEB"/>
    <w:rsid w:val="004860A7"/>
    <w:rsid w:val="004902EB"/>
    <w:rsid w:val="00492B54"/>
    <w:rsid w:val="00496F73"/>
    <w:rsid w:val="004A02F6"/>
    <w:rsid w:val="004B4407"/>
    <w:rsid w:val="004B7A64"/>
    <w:rsid w:val="004C54B5"/>
    <w:rsid w:val="004D20E8"/>
    <w:rsid w:val="004D368C"/>
    <w:rsid w:val="004D3E6A"/>
    <w:rsid w:val="004E456F"/>
    <w:rsid w:val="004E46E0"/>
    <w:rsid w:val="004E4A69"/>
    <w:rsid w:val="004E52FB"/>
    <w:rsid w:val="004F452A"/>
    <w:rsid w:val="00503F44"/>
    <w:rsid w:val="00504021"/>
    <w:rsid w:val="00522EA8"/>
    <w:rsid w:val="00525013"/>
    <w:rsid w:val="00531479"/>
    <w:rsid w:val="0053283C"/>
    <w:rsid w:val="00537235"/>
    <w:rsid w:val="00540B6D"/>
    <w:rsid w:val="00541D46"/>
    <w:rsid w:val="00545BB4"/>
    <w:rsid w:val="005471E1"/>
    <w:rsid w:val="005506DD"/>
    <w:rsid w:val="00556FF7"/>
    <w:rsid w:val="005638C4"/>
    <w:rsid w:val="00563A2C"/>
    <w:rsid w:val="005762C5"/>
    <w:rsid w:val="005808FE"/>
    <w:rsid w:val="00584978"/>
    <w:rsid w:val="00584D28"/>
    <w:rsid w:val="00586FC4"/>
    <w:rsid w:val="0059158E"/>
    <w:rsid w:val="0059691C"/>
    <w:rsid w:val="005A0688"/>
    <w:rsid w:val="005A0AA2"/>
    <w:rsid w:val="005A5AC1"/>
    <w:rsid w:val="005B0B94"/>
    <w:rsid w:val="005B4818"/>
    <w:rsid w:val="005B4853"/>
    <w:rsid w:val="005B5BB8"/>
    <w:rsid w:val="005B6522"/>
    <w:rsid w:val="005C046A"/>
    <w:rsid w:val="005C0DF0"/>
    <w:rsid w:val="005C110F"/>
    <w:rsid w:val="005C138F"/>
    <w:rsid w:val="005C2011"/>
    <w:rsid w:val="005E1507"/>
    <w:rsid w:val="005E2E1D"/>
    <w:rsid w:val="005E64F4"/>
    <w:rsid w:val="00607DA1"/>
    <w:rsid w:val="006120EF"/>
    <w:rsid w:val="00615FD1"/>
    <w:rsid w:val="00624842"/>
    <w:rsid w:val="00626FD9"/>
    <w:rsid w:val="0063190F"/>
    <w:rsid w:val="00633182"/>
    <w:rsid w:val="0064340B"/>
    <w:rsid w:val="0064604A"/>
    <w:rsid w:val="0064637C"/>
    <w:rsid w:val="00654F45"/>
    <w:rsid w:val="00655A9C"/>
    <w:rsid w:val="00655E7E"/>
    <w:rsid w:val="00656849"/>
    <w:rsid w:val="00670473"/>
    <w:rsid w:val="00671B01"/>
    <w:rsid w:val="006836BD"/>
    <w:rsid w:val="00690162"/>
    <w:rsid w:val="0069770A"/>
    <w:rsid w:val="00697CB7"/>
    <w:rsid w:val="006A6E8D"/>
    <w:rsid w:val="006B130A"/>
    <w:rsid w:val="006B20E3"/>
    <w:rsid w:val="006B3D79"/>
    <w:rsid w:val="006B7615"/>
    <w:rsid w:val="006C17E0"/>
    <w:rsid w:val="006C271E"/>
    <w:rsid w:val="006C5AD5"/>
    <w:rsid w:val="006D0037"/>
    <w:rsid w:val="006E05BA"/>
    <w:rsid w:val="006E1121"/>
    <w:rsid w:val="006E1EB7"/>
    <w:rsid w:val="006E6D89"/>
    <w:rsid w:val="006F1890"/>
    <w:rsid w:val="006F33D2"/>
    <w:rsid w:val="006F5513"/>
    <w:rsid w:val="00700FFB"/>
    <w:rsid w:val="00704966"/>
    <w:rsid w:val="00704EEB"/>
    <w:rsid w:val="0070588E"/>
    <w:rsid w:val="007079DC"/>
    <w:rsid w:val="00707F16"/>
    <w:rsid w:val="007204E9"/>
    <w:rsid w:val="0072222A"/>
    <w:rsid w:val="00722B05"/>
    <w:rsid w:val="00723A72"/>
    <w:rsid w:val="00724C75"/>
    <w:rsid w:val="00724E21"/>
    <w:rsid w:val="007326B4"/>
    <w:rsid w:val="007342BC"/>
    <w:rsid w:val="00735559"/>
    <w:rsid w:val="0074384B"/>
    <w:rsid w:val="00754C2B"/>
    <w:rsid w:val="00761049"/>
    <w:rsid w:val="00761322"/>
    <w:rsid w:val="00761433"/>
    <w:rsid w:val="00763E47"/>
    <w:rsid w:val="0076508F"/>
    <w:rsid w:val="00766DC8"/>
    <w:rsid w:val="00767C79"/>
    <w:rsid w:val="00770EC5"/>
    <w:rsid w:val="007751C4"/>
    <w:rsid w:val="00782411"/>
    <w:rsid w:val="00782C1F"/>
    <w:rsid w:val="00792196"/>
    <w:rsid w:val="00793AA4"/>
    <w:rsid w:val="00794E07"/>
    <w:rsid w:val="007967E1"/>
    <w:rsid w:val="00797DC1"/>
    <w:rsid w:val="007B3D31"/>
    <w:rsid w:val="007B51A8"/>
    <w:rsid w:val="007B5DC1"/>
    <w:rsid w:val="007B6DAB"/>
    <w:rsid w:val="007C4DBB"/>
    <w:rsid w:val="007C65F8"/>
    <w:rsid w:val="007D031C"/>
    <w:rsid w:val="007D2B90"/>
    <w:rsid w:val="007D5BDF"/>
    <w:rsid w:val="007E3191"/>
    <w:rsid w:val="007F5D1C"/>
    <w:rsid w:val="00800B13"/>
    <w:rsid w:val="0080492F"/>
    <w:rsid w:val="0081055A"/>
    <w:rsid w:val="00811140"/>
    <w:rsid w:val="00812138"/>
    <w:rsid w:val="008172D5"/>
    <w:rsid w:val="0082236D"/>
    <w:rsid w:val="00841064"/>
    <w:rsid w:val="008410EB"/>
    <w:rsid w:val="00843B55"/>
    <w:rsid w:val="0085012C"/>
    <w:rsid w:val="008550D4"/>
    <w:rsid w:val="00855AAD"/>
    <w:rsid w:val="00862A72"/>
    <w:rsid w:val="008706FB"/>
    <w:rsid w:val="0087198B"/>
    <w:rsid w:val="008743D8"/>
    <w:rsid w:val="008743DF"/>
    <w:rsid w:val="00875FFA"/>
    <w:rsid w:val="00882DF2"/>
    <w:rsid w:val="00884689"/>
    <w:rsid w:val="008862CC"/>
    <w:rsid w:val="00890E84"/>
    <w:rsid w:val="00894156"/>
    <w:rsid w:val="00894482"/>
    <w:rsid w:val="008A0E19"/>
    <w:rsid w:val="008A33A8"/>
    <w:rsid w:val="008A4F6F"/>
    <w:rsid w:val="008B18B5"/>
    <w:rsid w:val="008B417A"/>
    <w:rsid w:val="008B7D35"/>
    <w:rsid w:val="008C43FE"/>
    <w:rsid w:val="008C4D39"/>
    <w:rsid w:val="008D207D"/>
    <w:rsid w:val="008D494C"/>
    <w:rsid w:val="008D74CC"/>
    <w:rsid w:val="008D77FB"/>
    <w:rsid w:val="008E2BB1"/>
    <w:rsid w:val="008E3115"/>
    <w:rsid w:val="008E33E7"/>
    <w:rsid w:val="008E4554"/>
    <w:rsid w:val="00902E5E"/>
    <w:rsid w:val="00903142"/>
    <w:rsid w:val="009034EC"/>
    <w:rsid w:val="00911678"/>
    <w:rsid w:val="00916782"/>
    <w:rsid w:val="009200AE"/>
    <w:rsid w:val="00920B8F"/>
    <w:rsid w:val="00923DCD"/>
    <w:rsid w:val="00924C0B"/>
    <w:rsid w:val="00925A8E"/>
    <w:rsid w:val="00926191"/>
    <w:rsid w:val="009273B7"/>
    <w:rsid w:val="00932685"/>
    <w:rsid w:val="00934D4B"/>
    <w:rsid w:val="0093689F"/>
    <w:rsid w:val="009438F7"/>
    <w:rsid w:val="00951288"/>
    <w:rsid w:val="00951584"/>
    <w:rsid w:val="009618DB"/>
    <w:rsid w:val="00967CFB"/>
    <w:rsid w:val="0097292D"/>
    <w:rsid w:val="009749AA"/>
    <w:rsid w:val="00976D6D"/>
    <w:rsid w:val="009773A7"/>
    <w:rsid w:val="00980E12"/>
    <w:rsid w:val="00980F7E"/>
    <w:rsid w:val="009813F6"/>
    <w:rsid w:val="00983626"/>
    <w:rsid w:val="00983D4C"/>
    <w:rsid w:val="00985AA1"/>
    <w:rsid w:val="00986341"/>
    <w:rsid w:val="009918E9"/>
    <w:rsid w:val="009A28D9"/>
    <w:rsid w:val="009A774C"/>
    <w:rsid w:val="009B7B6C"/>
    <w:rsid w:val="009C1D7E"/>
    <w:rsid w:val="009C2BE1"/>
    <w:rsid w:val="009C4B21"/>
    <w:rsid w:val="009C5BF3"/>
    <w:rsid w:val="009D58CC"/>
    <w:rsid w:val="009D6018"/>
    <w:rsid w:val="009D6183"/>
    <w:rsid w:val="009D65BB"/>
    <w:rsid w:val="009D724F"/>
    <w:rsid w:val="009F00F8"/>
    <w:rsid w:val="009F0F10"/>
    <w:rsid w:val="009F1A56"/>
    <w:rsid w:val="009F5CFC"/>
    <w:rsid w:val="00A022C0"/>
    <w:rsid w:val="00A043CE"/>
    <w:rsid w:val="00A06D01"/>
    <w:rsid w:val="00A11057"/>
    <w:rsid w:val="00A17203"/>
    <w:rsid w:val="00A17CFD"/>
    <w:rsid w:val="00A224EA"/>
    <w:rsid w:val="00A31F5C"/>
    <w:rsid w:val="00A337C9"/>
    <w:rsid w:val="00A3383F"/>
    <w:rsid w:val="00A361BB"/>
    <w:rsid w:val="00A3763C"/>
    <w:rsid w:val="00A37956"/>
    <w:rsid w:val="00A40B37"/>
    <w:rsid w:val="00A4215F"/>
    <w:rsid w:val="00A55FB6"/>
    <w:rsid w:val="00A617AD"/>
    <w:rsid w:val="00A61F9A"/>
    <w:rsid w:val="00A63792"/>
    <w:rsid w:val="00A63EC9"/>
    <w:rsid w:val="00A675C9"/>
    <w:rsid w:val="00A731EA"/>
    <w:rsid w:val="00A81F34"/>
    <w:rsid w:val="00A974AA"/>
    <w:rsid w:val="00AA4ED1"/>
    <w:rsid w:val="00AA7E28"/>
    <w:rsid w:val="00AB0138"/>
    <w:rsid w:val="00AB7992"/>
    <w:rsid w:val="00AD7E1A"/>
    <w:rsid w:val="00AE0DF2"/>
    <w:rsid w:val="00AF1C62"/>
    <w:rsid w:val="00AF323E"/>
    <w:rsid w:val="00AF3566"/>
    <w:rsid w:val="00AF3C30"/>
    <w:rsid w:val="00AF50D4"/>
    <w:rsid w:val="00B03747"/>
    <w:rsid w:val="00B039A0"/>
    <w:rsid w:val="00B10117"/>
    <w:rsid w:val="00B15AF8"/>
    <w:rsid w:val="00B236D4"/>
    <w:rsid w:val="00B2433F"/>
    <w:rsid w:val="00B275ED"/>
    <w:rsid w:val="00B32CFE"/>
    <w:rsid w:val="00B33EA1"/>
    <w:rsid w:val="00B356C2"/>
    <w:rsid w:val="00B36F1E"/>
    <w:rsid w:val="00B51214"/>
    <w:rsid w:val="00B51DFC"/>
    <w:rsid w:val="00B53107"/>
    <w:rsid w:val="00B53857"/>
    <w:rsid w:val="00B56679"/>
    <w:rsid w:val="00B61FE0"/>
    <w:rsid w:val="00B6362F"/>
    <w:rsid w:val="00B652DD"/>
    <w:rsid w:val="00B676F0"/>
    <w:rsid w:val="00B67729"/>
    <w:rsid w:val="00B72771"/>
    <w:rsid w:val="00B7405E"/>
    <w:rsid w:val="00B77CC9"/>
    <w:rsid w:val="00B841D0"/>
    <w:rsid w:val="00B8767E"/>
    <w:rsid w:val="00BA3D67"/>
    <w:rsid w:val="00BA50CD"/>
    <w:rsid w:val="00BA6FF3"/>
    <w:rsid w:val="00BB2040"/>
    <w:rsid w:val="00BB26DA"/>
    <w:rsid w:val="00BB55ED"/>
    <w:rsid w:val="00BB7C73"/>
    <w:rsid w:val="00BB7DC1"/>
    <w:rsid w:val="00BC2711"/>
    <w:rsid w:val="00BC2A8B"/>
    <w:rsid w:val="00BD6A8C"/>
    <w:rsid w:val="00BE2048"/>
    <w:rsid w:val="00BE5D04"/>
    <w:rsid w:val="00BE6C26"/>
    <w:rsid w:val="00BE737C"/>
    <w:rsid w:val="00BF395F"/>
    <w:rsid w:val="00BF5572"/>
    <w:rsid w:val="00BF5A53"/>
    <w:rsid w:val="00C00B2D"/>
    <w:rsid w:val="00C00E12"/>
    <w:rsid w:val="00C04DA3"/>
    <w:rsid w:val="00C04DD2"/>
    <w:rsid w:val="00C134BD"/>
    <w:rsid w:val="00C16150"/>
    <w:rsid w:val="00C17D9C"/>
    <w:rsid w:val="00C26E72"/>
    <w:rsid w:val="00C314E4"/>
    <w:rsid w:val="00C37722"/>
    <w:rsid w:val="00C41688"/>
    <w:rsid w:val="00C4353D"/>
    <w:rsid w:val="00C52EE0"/>
    <w:rsid w:val="00C57079"/>
    <w:rsid w:val="00C63551"/>
    <w:rsid w:val="00C637FE"/>
    <w:rsid w:val="00C63F57"/>
    <w:rsid w:val="00C77709"/>
    <w:rsid w:val="00C82EE6"/>
    <w:rsid w:val="00C87765"/>
    <w:rsid w:val="00C93EB0"/>
    <w:rsid w:val="00CA29C1"/>
    <w:rsid w:val="00CA40B3"/>
    <w:rsid w:val="00CA72DA"/>
    <w:rsid w:val="00CB160B"/>
    <w:rsid w:val="00CB2791"/>
    <w:rsid w:val="00CB374F"/>
    <w:rsid w:val="00CB613C"/>
    <w:rsid w:val="00CB7465"/>
    <w:rsid w:val="00CC7B38"/>
    <w:rsid w:val="00CD62B5"/>
    <w:rsid w:val="00CE2478"/>
    <w:rsid w:val="00CE265B"/>
    <w:rsid w:val="00CE36AF"/>
    <w:rsid w:val="00CE6E9C"/>
    <w:rsid w:val="00CF2D70"/>
    <w:rsid w:val="00CF32F2"/>
    <w:rsid w:val="00CF33C5"/>
    <w:rsid w:val="00CF3C06"/>
    <w:rsid w:val="00CF514F"/>
    <w:rsid w:val="00CF5182"/>
    <w:rsid w:val="00CF7CEE"/>
    <w:rsid w:val="00D01CF8"/>
    <w:rsid w:val="00D045C2"/>
    <w:rsid w:val="00D05214"/>
    <w:rsid w:val="00D05CB0"/>
    <w:rsid w:val="00D07BA5"/>
    <w:rsid w:val="00D1647E"/>
    <w:rsid w:val="00D226E6"/>
    <w:rsid w:val="00D309DB"/>
    <w:rsid w:val="00D3341C"/>
    <w:rsid w:val="00D3681E"/>
    <w:rsid w:val="00D40B70"/>
    <w:rsid w:val="00D43612"/>
    <w:rsid w:val="00D51BDF"/>
    <w:rsid w:val="00D5431F"/>
    <w:rsid w:val="00D567D8"/>
    <w:rsid w:val="00D57A02"/>
    <w:rsid w:val="00D57CE2"/>
    <w:rsid w:val="00D61424"/>
    <w:rsid w:val="00D62410"/>
    <w:rsid w:val="00D720F6"/>
    <w:rsid w:val="00D83959"/>
    <w:rsid w:val="00D87F59"/>
    <w:rsid w:val="00D95ED7"/>
    <w:rsid w:val="00DB0A39"/>
    <w:rsid w:val="00DB41B7"/>
    <w:rsid w:val="00DB5B4D"/>
    <w:rsid w:val="00DC0CAF"/>
    <w:rsid w:val="00DC1A02"/>
    <w:rsid w:val="00DC3638"/>
    <w:rsid w:val="00DC70E1"/>
    <w:rsid w:val="00DD3099"/>
    <w:rsid w:val="00DD4026"/>
    <w:rsid w:val="00DD7C3C"/>
    <w:rsid w:val="00DE74F0"/>
    <w:rsid w:val="00DF48FF"/>
    <w:rsid w:val="00DF566F"/>
    <w:rsid w:val="00E01FCF"/>
    <w:rsid w:val="00E03369"/>
    <w:rsid w:val="00E06CC7"/>
    <w:rsid w:val="00E13B87"/>
    <w:rsid w:val="00E14C8B"/>
    <w:rsid w:val="00E152FE"/>
    <w:rsid w:val="00E17B2B"/>
    <w:rsid w:val="00E208D0"/>
    <w:rsid w:val="00E25487"/>
    <w:rsid w:val="00E269F7"/>
    <w:rsid w:val="00E31682"/>
    <w:rsid w:val="00E35F97"/>
    <w:rsid w:val="00E37136"/>
    <w:rsid w:val="00E37223"/>
    <w:rsid w:val="00E41E17"/>
    <w:rsid w:val="00E444D3"/>
    <w:rsid w:val="00E50B8F"/>
    <w:rsid w:val="00E527BA"/>
    <w:rsid w:val="00E53E74"/>
    <w:rsid w:val="00E55FB8"/>
    <w:rsid w:val="00E55FF1"/>
    <w:rsid w:val="00E5621B"/>
    <w:rsid w:val="00E56669"/>
    <w:rsid w:val="00E623CF"/>
    <w:rsid w:val="00E65223"/>
    <w:rsid w:val="00E75EFE"/>
    <w:rsid w:val="00E86518"/>
    <w:rsid w:val="00E87202"/>
    <w:rsid w:val="00E926D0"/>
    <w:rsid w:val="00EB043E"/>
    <w:rsid w:val="00EB08F4"/>
    <w:rsid w:val="00EB68AA"/>
    <w:rsid w:val="00EB794E"/>
    <w:rsid w:val="00EC13A4"/>
    <w:rsid w:val="00EC2529"/>
    <w:rsid w:val="00EC2D23"/>
    <w:rsid w:val="00EC34AE"/>
    <w:rsid w:val="00EC4A71"/>
    <w:rsid w:val="00EC5424"/>
    <w:rsid w:val="00EC5F9C"/>
    <w:rsid w:val="00ED0A52"/>
    <w:rsid w:val="00ED2C0A"/>
    <w:rsid w:val="00EE2E47"/>
    <w:rsid w:val="00EE69AB"/>
    <w:rsid w:val="00EE72F9"/>
    <w:rsid w:val="00EF2D6C"/>
    <w:rsid w:val="00EF615A"/>
    <w:rsid w:val="00F007BC"/>
    <w:rsid w:val="00F135A5"/>
    <w:rsid w:val="00F1573B"/>
    <w:rsid w:val="00F17487"/>
    <w:rsid w:val="00F22FDC"/>
    <w:rsid w:val="00F26763"/>
    <w:rsid w:val="00F27970"/>
    <w:rsid w:val="00F316FA"/>
    <w:rsid w:val="00F323F6"/>
    <w:rsid w:val="00F35E05"/>
    <w:rsid w:val="00F37D3F"/>
    <w:rsid w:val="00F5050B"/>
    <w:rsid w:val="00F526C1"/>
    <w:rsid w:val="00F5351A"/>
    <w:rsid w:val="00F5372D"/>
    <w:rsid w:val="00F543E1"/>
    <w:rsid w:val="00F5480D"/>
    <w:rsid w:val="00F55A26"/>
    <w:rsid w:val="00F5613E"/>
    <w:rsid w:val="00F57F02"/>
    <w:rsid w:val="00F602A6"/>
    <w:rsid w:val="00F60E82"/>
    <w:rsid w:val="00F64CC9"/>
    <w:rsid w:val="00F66CD5"/>
    <w:rsid w:val="00F7242D"/>
    <w:rsid w:val="00F76797"/>
    <w:rsid w:val="00F808EC"/>
    <w:rsid w:val="00F83A18"/>
    <w:rsid w:val="00F83D7E"/>
    <w:rsid w:val="00F9161F"/>
    <w:rsid w:val="00F937BC"/>
    <w:rsid w:val="00F95F92"/>
    <w:rsid w:val="00FA0C82"/>
    <w:rsid w:val="00FB03A9"/>
    <w:rsid w:val="00FB26E2"/>
    <w:rsid w:val="00FB4826"/>
    <w:rsid w:val="00FB4C86"/>
    <w:rsid w:val="00FB65B5"/>
    <w:rsid w:val="00FC041C"/>
    <w:rsid w:val="00FC4B2E"/>
    <w:rsid w:val="00FC75EE"/>
    <w:rsid w:val="00FC778F"/>
    <w:rsid w:val="00FD0273"/>
    <w:rsid w:val="00FD1004"/>
    <w:rsid w:val="00FD735C"/>
    <w:rsid w:val="00FE0366"/>
    <w:rsid w:val="00FE1C92"/>
    <w:rsid w:val="00FE20AA"/>
    <w:rsid w:val="00FE2BFC"/>
    <w:rsid w:val="00FE36B1"/>
    <w:rsid w:val="00FE7E23"/>
    <w:rsid w:val="00FF45AC"/>
    <w:rsid w:val="00FF6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2446F"/>
  <w15:docId w15:val="{79FDA41D-9B74-4C76-97A2-E8D61EF8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lo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d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 w:type="character" w:customStyle="1" w:styleId="tlid-translation">
    <w:name w:val="tlid-translation"/>
    <w:rsid w:val="00A224EA"/>
  </w:style>
  <w:style w:type="character" w:customStyle="1" w:styleId="highlight">
    <w:name w:val="highlight"/>
    <w:rsid w:val="0041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1300522">
      <w:bodyDiv w:val="1"/>
      <w:marLeft w:val="0"/>
      <w:marRight w:val="0"/>
      <w:marTop w:val="0"/>
      <w:marBottom w:val="0"/>
      <w:divBdr>
        <w:top w:val="none" w:sz="0" w:space="0" w:color="auto"/>
        <w:left w:val="none" w:sz="0" w:space="0" w:color="auto"/>
        <w:bottom w:val="none" w:sz="0" w:space="0" w:color="auto"/>
        <w:right w:val="none" w:sz="0" w:space="0" w:color="auto"/>
      </w:divBdr>
      <w:divsChild>
        <w:div w:id="1164973571">
          <w:marLeft w:val="850"/>
          <w:marRight w:val="0"/>
          <w:marTop w:val="480"/>
          <w:marBottom w:val="0"/>
          <w:divBdr>
            <w:top w:val="none" w:sz="0" w:space="0" w:color="auto"/>
            <w:left w:val="none" w:sz="0" w:space="0" w:color="auto"/>
            <w:bottom w:val="none" w:sz="0" w:space="0" w:color="auto"/>
            <w:right w:val="none" w:sz="0" w:space="0" w:color="auto"/>
          </w:divBdr>
        </w:div>
      </w:divsChild>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39629865">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651755617">
      <w:bodyDiv w:val="1"/>
      <w:marLeft w:val="0"/>
      <w:marRight w:val="0"/>
      <w:marTop w:val="0"/>
      <w:marBottom w:val="0"/>
      <w:divBdr>
        <w:top w:val="none" w:sz="0" w:space="0" w:color="auto"/>
        <w:left w:val="none" w:sz="0" w:space="0" w:color="auto"/>
        <w:bottom w:val="none" w:sz="0" w:space="0" w:color="auto"/>
        <w:right w:val="none" w:sz="0" w:space="0" w:color="auto"/>
      </w:divBdr>
    </w:div>
    <w:div w:id="972246759">
      <w:bodyDiv w:val="1"/>
      <w:marLeft w:val="0"/>
      <w:marRight w:val="0"/>
      <w:marTop w:val="0"/>
      <w:marBottom w:val="0"/>
      <w:divBdr>
        <w:top w:val="none" w:sz="0" w:space="0" w:color="auto"/>
        <w:left w:val="none" w:sz="0" w:space="0" w:color="auto"/>
        <w:bottom w:val="none" w:sz="0" w:space="0" w:color="auto"/>
        <w:right w:val="none" w:sz="0" w:space="0" w:color="auto"/>
      </w:divBdr>
    </w:div>
    <w:div w:id="1072460069">
      <w:bodyDiv w:val="1"/>
      <w:marLeft w:val="0"/>
      <w:marRight w:val="0"/>
      <w:marTop w:val="0"/>
      <w:marBottom w:val="0"/>
      <w:divBdr>
        <w:top w:val="none" w:sz="0" w:space="0" w:color="auto"/>
        <w:left w:val="none" w:sz="0" w:space="0" w:color="auto"/>
        <w:bottom w:val="none" w:sz="0" w:space="0" w:color="auto"/>
        <w:right w:val="none" w:sz="0" w:space="0" w:color="auto"/>
      </w:divBdr>
      <w:divsChild>
        <w:div w:id="530075111">
          <w:marLeft w:val="850"/>
          <w:marRight w:val="0"/>
          <w:marTop w:val="480"/>
          <w:marBottom w:val="0"/>
          <w:divBdr>
            <w:top w:val="none" w:sz="0" w:space="0" w:color="auto"/>
            <w:left w:val="none" w:sz="0" w:space="0" w:color="auto"/>
            <w:bottom w:val="none" w:sz="0" w:space="0" w:color="auto"/>
            <w:right w:val="none" w:sz="0" w:space="0" w:color="auto"/>
          </w:divBdr>
        </w:div>
      </w:divsChild>
    </w:div>
    <w:div w:id="1155562164">
      <w:bodyDiv w:val="1"/>
      <w:marLeft w:val="0"/>
      <w:marRight w:val="0"/>
      <w:marTop w:val="0"/>
      <w:marBottom w:val="0"/>
      <w:divBdr>
        <w:top w:val="none" w:sz="0" w:space="0" w:color="auto"/>
        <w:left w:val="none" w:sz="0" w:space="0" w:color="auto"/>
        <w:bottom w:val="none" w:sz="0" w:space="0" w:color="auto"/>
        <w:right w:val="none" w:sz="0" w:space="0" w:color="auto"/>
      </w:divBdr>
    </w:div>
    <w:div w:id="1480655787">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 w:id="2033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A23E9-0C51-4D3D-885E-4DCB1A9D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15</Pages>
  <Words>8530</Words>
  <Characters>50331</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58744</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Mgr. Helena Kovářová</cp:lastModifiedBy>
  <cp:revision>10</cp:revision>
  <cp:lastPrinted>2021-03-04T21:56:00Z</cp:lastPrinted>
  <dcterms:created xsi:type="dcterms:W3CDTF">2021-03-03T06:32:00Z</dcterms:created>
  <dcterms:modified xsi:type="dcterms:W3CDTF">2021-03-08T19:04:00Z</dcterms:modified>
</cp:coreProperties>
</file>