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DA5B26" w14:textId="77777777" w:rsidR="00A75E40" w:rsidRPr="000A3A2C" w:rsidRDefault="00016992" w:rsidP="00E67696">
      <w:pPr>
        <w:rPr>
          <w:lang w:eastAsia="ar-SA"/>
        </w:rPr>
        <w:sectPr w:rsidR="00A75E40" w:rsidRPr="000A3A2C" w:rsidSect="0085114D">
          <w:pgSz w:w="11906" w:h="16838" w:code="9"/>
          <w:pgMar w:top="1134" w:right="1134" w:bottom="1418" w:left="1134" w:header="709" w:footer="709" w:gutter="0"/>
          <w:pgNumType w:start="1"/>
          <w:cols w:space="708"/>
          <w:docGrid w:linePitch="360"/>
        </w:sectPr>
      </w:pPr>
      <w:r>
        <w:rPr>
          <w:noProof/>
        </w:rPr>
        <mc:AlternateContent>
          <mc:Choice Requires="wpg">
            <w:drawing>
              <wp:anchor distT="0" distB="0" distL="114300" distR="114300" simplePos="0" relativeHeight="251657728" behindDoc="0" locked="1" layoutInCell="1" allowOverlap="1" wp14:anchorId="3717B01B" wp14:editId="22CBC0D2">
                <wp:simplePos x="0" y="0"/>
                <wp:positionH relativeFrom="page">
                  <wp:posOffset>571500</wp:posOffset>
                </wp:positionH>
                <wp:positionV relativeFrom="page">
                  <wp:posOffset>466725</wp:posOffset>
                </wp:positionV>
                <wp:extent cx="2249805" cy="554355"/>
                <wp:effectExtent l="0" t="0" r="0" b="0"/>
                <wp:wrapSquare wrapText="bothSides"/>
                <wp:docPr id="5"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49805" cy="554355"/>
                          <a:chOff x="567" y="851"/>
                          <a:chExt cx="2714" cy="667"/>
                        </a:xfrm>
                      </wpg:grpSpPr>
                      <wps:wsp>
                        <wps:cNvPr id="6" name="Rectangle 9"/>
                        <wps:cNvSpPr>
                          <a:spLocks noChangeAspect="1" noChangeArrowheads="1"/>
                        </wps:cNvSpPr>
                        <wps:spPr bwMode="auto">
                          <a:xfrm>
                            <a:off x="1215" y="901"/>
                            <a:ext cx="676" cy="154"/>
                          </a:xfrm>
                          <a:prstGeom prst="rect">
                            <a:avLst/>
                          </a:prstGeom>
                          <a:solidFill>
                            <a:srgbClr val="0071B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0"/>
                        <wps:cNvSpPr>
                          <a:spLocks noChangeAspect="1" noChangeArrowheads="1"/>
                        </wps:cNvSpPr>
                        <wps:spPr bwMode="auto">
                          <a:xfrm>
                            <a:off x="567" y="1131"/>
                            <a:ext cx="1324" cy="154"/>
                          </a:xfrm>
                          <a:prstGeom prst="rect">
                            <a:avLst/>
                          </a:prstGeom>
                          <a:solidFill>
                            <a:srgbClr val="0071B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1"/>
                        <wps:cNvSpPr>
                          <a:spLocks noChangeAspect="1" noChangeArrowheads="1"/>
                        </wps:cNvSpPr>
                        <wps:spPr bwMode="auto">
                          <a:xfrm>
                            <a:off x="1288" y="1361"/>
                            <a:ext cx="603" cy="153"/>
                          </a:xfrm>
                          <a:prstGeom prst="rect">
                            <a:avLst/>
                          </a:prstGeom>
                          <a:solidFill>
                            <a:srgbClr val="0071B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bodyPr rot="0" vert="horz" wrap="square" lIns="91440" tIns="45720" rIns="91440" bIns="45720" anchor="t" anchorCtr="0" upright="1">
                          <a:noAutofit/>
                        </wps:bodyPr>
                      </wps:wsp>
                      <wps:wsp>
                        <wps:cNvPr id="9" name="Freeform 12"/>
                        <wps:cNvSpPr>
                          <a:spLocks noChangeAspect="1" noEditPoints="1"/>
                        </wps:cNvSpPr>
                        <wps:spPr bwMode="auto">
                          <a:xfrm>
                            <a:off x="1969" y="1311"/>
                            <a:ext cx="600" cy="207"/>
                          </a:xfrm>
                          <a:custGeom>
                            <a:avLst/>
                            <a:gdLst>
                              <a:gd name="T0" fmla="*/ 520 w 1200"/>
                              <a:gd name="T1" fmla="*/ 84 h 415"/>
                              <a:gd name="T2" fmla="*/ 537 w 1200"/>
                              <a:gd name="T3" fmla="*/ 88 h 415"/>
                              <a:gd name="T4" fmla="*/ 550 w 1200"/>
                              <a:gd name="T5" fmla="*/ 100 h 415"/>
                              <a:gd name="T6" fmla="*/ 557 w 1200"/>
                              <a:gd name="T7" fmla="*/ 114 h 415"/>
                              <a:gd name="T8" fmla="*/ 559 w 1200"/>
                              <a:gd name="T9" fmla="*/ 131 h 415"/>
                              <a:gd name="T10" fmla="*/ 554 w 1200"/>
                              <a:gd name="T11" fmla="*/ 147 h 415"/>
                              <a:gd name="T12" fmla="*/ 544 w 1200"/>
                              <a:gd name="T13" fmla="*/ 160 h 415"/>
                              <a:gd name="T14" fmla="*/ 530 w 1200"/>
                              <a:gd name="T15" fmla="*/ 168 h 415"/>
                              <a:gd name="T16" fmla="*/ 506 w 1200"/>
                              <a:gd name="T17" fmla="*/ 170 h 415"/>
                              <a:gd name="T18" fmla="*/ 540 w 1200"/>
                              <a:gd name="T19" fmla="*/ 202 h 415"/>
                              <a:gd name="T20" fmla="*/ 567 w 1200"/>
                              <a:gd name="T21" fmla="*/ 190 h 415"/>
                              <a:gd name="T22" fmla="*/ 587 w 1200"/>
                              <a:gd name="T23" fmla="*/ 169 h 415"/>
                              <a:gd name="T24" fmla="*/ 599 w 1200"/>
                              <a:gd name="T25" fmla="*/ 142 h 415"/>
                              <a:gd name="T26" fmla="*/ 599 w 1200"/>
                              <a:gd name="T27" fmla="*/ 111 h 415"/>
                              <a:gd name="T28" fmla="*/ 587 w 1200"/>
                              <a:gd name="T29" fmla="*/ 84 h 415"/>
                              <a:gd name="T30" fmla="*/ 567 w 1200"/>
                              <a:gd name="T31" fmla="*/ 63 h 415"/>
                              <a:gd name="T32" fmla="*/ 540 w 1200"/>
                              <a:gd name="T33" fmla="*/ 51 h 415"/>
                              <a:gd name="T34" fmla="*/ 466 w 1200"/>
                              <a:gd name="T35" fmla="*/ 204 h 415"/>
                              <a:gd name="T36" fmla="*/ 388 w 1200"/>
                              <a:gd name="T37" fmla="*/ 146 h 415"/>
                              <a:gd name="T38" fmla="*/ 393 w 1200"/>
                              <a:gd name="T39" fmla="*/ 50 h 415"/>
                              <a:gd name="T40" fmla="*/ 343 w 1200"/>
                              <a:gd name="T41" fmla="*/ 177 h 415"/>
                              <a:gd name="T42" fmla="*/ 257 w 1200"/>
                              <a:gd name="T43" fmla="*/ 18 h 415"/>
                              <a:gd name="T44" fmla="*/ 174 w 1200"/>
                              <a:gd name="T45" fmla="*/ 18 h 415"/>
                              <a:gd name="T46" fmla="*/ 216 w 1200"/>
                              <a:gd name="T47" fmla="*/ 81 h 415"/>
                              <a:gd name="T48" fmla="*/ 231 w 1200"/>
                              <a:gd name="T49" fmla="*/ 88 h 415"/>
                              <a:gd name="T50" fmla="*/ 235 w 1200"/>
                              <a:gd name="T51" fmla="*/ 104 h 415"/>
                              <a:gd name="T52" fmla="*/ 225 w 1200"/>
                              <a:gd name="T53" fmla="*/ 116 h 415"/>
                              <a:gd name="T54" fmla="*/ 204 w 1200"/>
                              <a:gd name="T55" fmla="*/ 119 h 415"/>
                              <a:gd name="T56" fmla="*/ 258 w 1200"/>
                              <a:gd name="T57" fmla="*/ 135 h 415"/>
                              <a:gd name="T58" fmla="*/ 271 w 1200"/>
                              <a:gd name="T59" fmla="*/ 121 h 415"/>
                              <a:gd name="T60" fmla="*/ 276 w 1200"/>
                              <a:gd name="T61" fmla="*/ 102 h 415"/>
                              <a:gd name="T62" fmla="*/ 275 w 1200"/>
                              <a:gd name="T63" fmla="*/ 83 h 415"/>
                              <a:gd name="T64" fmla="*/ 266 w 1200"/>
                              <a:gd name="T65" fmla="*/ 67 h 415"/>
                              <a:gd name="T66" fmla="*/ 252 w 1200"/>
                              <a:gd name="T67" fmla="*/ 55 h 415"/>
                              <a:gd name="T68" fmla="*/ 232 w 1200"/>
                              <a:gd name="T69" fmla="*/ 50 h 415"/>
                              <a:gd name="T70" fmla="*/ 204 w 1200"/>
                              <a:gd name="T71" fmla="*/ 204 h 415"/>
                              <a:gd name="T72" fmla="*/ 243 w 1200"/>
                              <a:gd name="T73" fmla="*/ 141 h 415"/>
                              <a:gd name="T74" fmla="*/ 67 w 1200"/>
                              <a:gd name="T75" fmla="*/ 42 h 415"/>
                              <a:gd name="T76" fmla="*/ 0 w 1200"/>
                              <a:gd name="T77" fmla="*/ 139 h 415"/>
                              <a:gd name="T78" fmla="*/ 3 w 1200"/>
                              <a:gd name="T79" fmla="*/ 166 h 415"/>
                              <a:gd name="T80" fmla="*/ 12 w 1200"/>
                              <a:gd name="T81" fmla="*/ 184 h 415"/>
                              <a:gd name="T82" fmla="*/ 34 w 1200"/>
                              <a:gd name="T83" fmla="*/ 201 h 415"/>
                              <a:gd name="T84" fmla="*/ 67 w 1200"/>
                              <a:gd name="T85" fmla="*/ 207 h 415"/>
                              <a:gd name="T86" fmla="*/ 96 w 1200"/>
                              <a:gd name="T87" fmla="*/ 202 h 415"/>
                              <a:gd name="T88" fmla="*/ 119 w 1200"/>
                              <a:gd name="T89" fmla="*/ 186 h 415"/>
                              <a:gd name="T90" fmla="*/ 131 w 1200"/>
                              <a:gd name="T91" fmla="*/ 166 h 415"/>
                              <a:gd name="T92" fmla="*/ 134 w 1200"/>
                              <a:gd name="T93" fmla="*/ 139 h 415"/>
                              <a:gd name="T94" fmla="*/ 95 w 1200"/>
                              <a:gd name="T95" fmla="*/ 143 h 415"/>
                              <a:gd name="T96" fmla="*/ 89 w 1200"/>
                              <a:gd name="T97" fmla="*/ 163 h 415"/>
                              <a:gd name="T98" fmla="*/ 78 w 1200"/>
                              <a:gd name="T99" fmla="*/ 170 h 415"/>
                              <a:gd name="T100" fmla="*/ 63 w 1200"/>
                              <a:gd name="T101" fmla="*/ 172 h 415"/>
                              <a:gd name="T102" fmla="*/ 52 w 1200"/>
                              <a:gd name="T103" fmla="*/ 168 h 415"/>
                              <a:gd name="T104" fmla="*/ 42 w 1200"/>
                              <a:gd name="T105" fmla="*/ 156 h 415"/>
                              <a:gd name="T106" fmla="*/ 40 w 1200"/>
                              <a:gd name="T107" fmla="*/ 50 h 41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00" h="415">
                                <a:moveTo>
                                  <a:pt x="1011" y="341"/>
                                </a:moveTo>
                                <a:lnTo>
                                  <a:pt x="1011" y="167"/>
                                </a:lnTo>
                                <a:lnTo>
                                  <a:pt x="1030" y="167"/>
                                </a:lnTo>
                                <a:lnTo>
                                  <a:pt x="1040" y="169"/>
                                </a:lnTo>
                                <a:lnTo>
                                  <a:pt x="1049" y="170"/>
                                </a:lnTo>
                                <a:lnTo>
                                  <a:pt x="1059" y="171"/>
                                </a:lnTo>
                                <a:lnTo>
                                  <a:pt x="1067" y="174"/>
                                </a:lnTo>
                                <a:lnTo>
                                  <a:pt x="1074" y="177"/>
                                </a:lnTo>
                                <a:lnTo>
                                  <a:pt x="1082" y="182"/>
                                </a:lnTo>
                                <a:lnTo>
                                  <a:pt x="1088" y="187"/>
                                </a:lnTo>
                                <a:lnTo>
                                  <a:pt x="1094" y="194"/>
                                </a:lnTo>
                                <a:lnTo>
                                  <a:pt x="1099" y="200"/>
                                </a:lnTo>
                                <a:lnTo>
                                  <a:pt x="1104" y="206"/>
                                </a:lnTo>
                                <a:lnTo>
                                  <a:pt x="1108" y="213"/>
                                </a:lnTo>
                                <a:lnTo>
                                  <a:pt x="1112" y="221"/>
                                </a:lnTo>
                                <a:lnTo>
                                  <a:pt x="1114" y="228"/>
                                </a:lnTo>
                                <a:lnTo>
                                  <a:pt x="1116" y="237"/>
                                </a:lnTo>
                                <a:lnTo>
                                  <a:pt x="1117" y="245"/>
                                </a:lnTo>
                                <a:lnTo>
                                  <a:pt x="1117" y="253"/>
                                </a:lnTo>
                                <a:lnTo>
                                  <a:pt x="1117" y="262"/>
                                </a:lnTo>
                                <a:lnTo>
                                  <a:pt x="1116" y="271"/>
                                </a:lnTo>
                                <a:lnTo>
                                  <a:pt x="1114" y="278"/>
                                </a:lnTo>
                                <a:lnTo>
                                  <a:pt x="1112" y="287"/>
                                </a:lnTo>
                                <a:lnTo>
                                  <a:pt x="1108" y="294"/>
                                </a:lnTo>
                                <a:lnTo>
                                  <a:pt x="1104" y="301"/>
                                </a:lnTo>
                                <a:lnTo>
                                  <a:pt x="1099" y="308"/>
                                </a:lnTo>
                                <a:lnTo>
                                  <a:pt x="1094" y="314"/>
                                </a:lnTo>
                                <a:lnTo>
                                  <a:pt x="1088" y="321"/>
                                </a:lnTo>
                                <a:lnTo>
                                  <a:pt x="1082" y="326"/>
                                </a:lnTo>
                                <a:lnTo>
                                  <a:pt x="1074" y="331"/>
                                </a:lnTo>
                                <a:lnTo>
                                  <a:pt x="1067" y="334"/>
                                </a:lnTo>
                                <a:lnTo>
                                  <a:pt x="1059" y="337"/>
                                </a:lnTo>
                                <a:lnTo>
                                  <a:pt x="1049" y="338"/>
                                </a:lnTo>
                                <a:lnTo>
                                  <a:pt x="1040" y="339"/>
                                </a:lnTo>
                                <a:lnTo>
                                  <a:pt x="1030" y="341"/>
                                </a:lnTo>
                                <a:lnTo>
                                  <a:pt x="1011" y="341"/>
                                </a:lnTo>
                                <a:close/>
                                <a:moveTo>
                                  <a:pt x="931" y="408"/>
                                </a:moveTo>
                                <a:lnTo>
                                  <a:pt x="1049" y="408"/>
                                </a:lnTo>
                                <a:lnTo>
                                  <a:pt x="1064" y="407"/>
                                </a:lnTo>
                                <a:lnTo>
                                  <a:pt x="1079" y="404"/>
                                </a:lnTo>
                                <a:lnTo>
                                  <a:pt x="1093" y="400"/>
                                </a:lnTo>
                                <a:lnTo>
                                  <a:pt x="1107" y="395"/>
                                </a:lnTo>
                                <a:lnTo>
                                  <a:pt x="1121" y="389"/>
                                </a:lnTo>
                                <a:lnTo>
                                  <a:pt x="1133" y="380"/>
                                </a:lnTo>
                                <a:lnTo>
                                  <a:pt x="1144" y="372"/>
                                </a:lnTo>
                                <a:lnTo>
                                  <a:pt x="1155" y="362"/>
                                </a:lnTo>
                                <a:lnTo>
                                  <a:pt x="1165" y="351"/>
                                </a:lnTo>
                                <a:lnTo>
                                  <a:pt x="1174" y="339"/>
                                </a:lnTo>
                                <a:lnTo>
                                  <a:pt x="1182" y="326"/>
                                </a:lnTo>
                                <a:lnTo>
                                  <a:pt x="1188" y="313"/>
                                </a:lnTo>
                                <a:lnTo>
                                  <a:pt x="1194" y="298"/>
                                </a:lnTo>
                                <a:lnTo>
                                  <a:pt x="1198" y="284"/>
                                </a:lnTo>
                                <a:lnTo>
                                  <a:pt x="1200" y="270"/>
                                </a:lnTo>
                                <a:lnTo>
                                  <a:pt x="1200" y="253"/>
                                </a:lnTo>
                                <a:lnTo>
                                  <a:pt x="1200" y="238"/>
                                </a:lnTo>
                                <a:lnTo>
                                  <a:pt x="1198" y="223"/>
                                </a:lnTo>
                                <a:lnTo>
                                  <a:pt x="1194" y="208"/>
                                </a:lnTo>
                                <a:lnTo>
                                  <a:pt x="1188" y="195"/>
                                </a:lnTo>
                                <a:lnTo>
                                  <a:pt x="1182" y="181"/>
                                </a:lnTo>
                                <a:lnTo>
                                  <a:pt x="1174" y="169"/>
                                </a:lnTo>
                                <a:lnTo>
                                  <a:pt x="1165" y="157"/>
                                </a:lnTo>
                                <a:lnTo>
                                  <a:pt x="1155" y="146"/>
                                </a:lnTo>
                                <a:lnTo>
                                  <a:pt x="1144" y="136"/>
                                </a:lnTo>
                                <a:lnTo>
                                  <a:pt x="1133" y="126"/>
                                </a:lnTo>
                                <a:lnTo>
                                  <a:pt x="1121" y="119"/>
                                </a:lnTo>
                                <a:lnTo>
                                  <a:pt x="1107" y="113"/>
                                </a:lnTo>
                                <a:lnTo>
                                  <a:pt x="1093" y="108"/>
                                </a:lnTo>
                                <a:lnTo>
                                  <a:pt x="1079" y="103"/>
                                </a:lnTo>
                                <a:lnTo>
                                  <a:pt x="1064" y="101"/>
                                </a:lnTo>
                                <a:lnTo>
                                  <a:pt x="1049" y="100"/>
                                </a:lnTo>
                                <a:lnTo>
                                  <a:pt x="931" y="100"/>
                                </a:lnTo>
                                <a:lnTo>
                                  <a:pt x="931" y="408"/>
                                </a:lnTo>
                                <a:close/>
                                <a:moveTo>
                                  <a:pt x="775" y="293"/>
                                </a:moveTo>
                                <a:lnTo>
                                  <a:pt x="708" y="293"/>
                                </a:lnTo>
                                <a:lnTo>
                                  <a:pt x="742" y="195"/>
                                </a:lnTo>
                                <a:lnTo>
                                  <a:pt x="775" y="293"/>
                                </a:lnTo>
                                <a:close/>
                                <a:moveTo>
                                  <a:pt x="797" y="354"/>
                                </a:moveTo>
                                <a:lnTo>
                                  <a:pt x="817" y="408"/>
                                </a:lnTo>
                                <a:lnTo>
                                  <a:pt x="901" y="408"/>
                                </a:lnTo>
                                <a:lnTo>
                                  <a:pt x="785" y="100"/>
                                </a:lnTo>
                                <a:lnTo>
                                  <a:pt x="698" y="100"/>
                                </a:lnTo>
                                <a:lnTo>
                                  <a:pt x="581" y="408"/>
                                </a:lnTo>
                                <a:lnTo>
                                  <a:pt x="665" y="408"/>
                                </a:lnTo>
                                <a:lnTo>
                                  <a:pt x="686" y="354"/>
                                </a:lnTo>
                                <a:lnTo>
                                  <a:pt x="797" y="354"/>
                                </a:lnTo>
                                <a:close/>
                                <a:moveTo>
                                  <a:pt x="347" y="37"/>
                                </a:moveTo>
                                <a:lnTo>
                                  <a:pt x="430" y="83"/>
                                </a:lnTo>
                                <a:lnTo>
                                  <a:pt x="513" y="37"/>
                                </a:lnTo>
                                <a:lnTo>
                                  <a:pt x="491" y="3"/>
                                </a:lnTo>
                                <a:lnTo>
                                  <a:pt x="430" y="34"/>
                                </a:lnTo>
                                <a:lnTo>
                                  <a:pt x="369" y="3"/>
                                </a:lnTo>
                                <a:lnTo>
                                  <a:pt x="347" y="37"/>
                                </a:lnTo>
                                <a:close/>
                                <a:moveTo>
                                  <a:pt x="407" y="238"/>
                                </a:moveTo>
                                <a:lnTo>
                                  <a:pt x="407" y="161"/>
                                </a:lnTo>
                                <a:lnTo>
                                  <a:pt x="422" y="161"/>
                                </a:lnTo>
                                <a:lnTo>
                                  <a:pt x="432" y="162"/>
                                </a:lnTo>
                                <a:lnTo>
                                  <a:pt x="442" y="164"/>
                                </a:lnTo>
                                <a:lnTo>
                                  <a:pt x="449" y="166"/>
                                </a:lnTo>
                                <a:lnTo>
                                  <a:pt x="455" y="170"/>
                                </a:lnTo>
                                <a:lnTo>
                                  <a:pt x="461" y="176"/>
                                </a:lnTo>
                                <a:lnTo>
                                  <a:pt x="466" y="182"/>
                                </a:lnTo>
                                <a:lnTo>
                                  <a:pt x="469" y="191"/>
                                </a:lnTo>
                                <a:lnTo>
                                  <a:pt x="470" y="200"/>
                                </a:lnTo>
                                <a:lnTo>
                                  <a:pt x="469" y="208"/>
                                </a:lnTo>
                                <a:lnTo>
                                  <a:pt x="466" y="216"/>
                                </a:lnTo>
                                <a:lnTo>
                                  <a:pt x="461" y="223"/>
                                </a:lnTo>
                                <a:lnTo>
                                  <a:pt x="455" y="230"/>
                                </a:lnTo>
                                <a:lnTo>
                                  <a:pt x="449" y="233"/>
                                </a:lnTo>
                                <a:lnTo>
                                  <a:pt x="442" y="236"/>
                                </a:lnTo>
                                <a:lnTo>
                                  <a:pt x="432" y="237"/>
                                </a:lnTo>
                                <a:lnTo>
                                  <a:pt x="422" y="238"/>
                                </a:lnTo>
                                <a:lnTo>
                                  <a:pt x="407" y="238"/>
                                </a:lnTo>
                                <a:close/>
                                <a:moveTo>
                                  <a:pt x="485" y="282"/>
                                </a:moveTo>
                                <a:lnTo>
                                  <a:pt x="498" y="278"/>
                                </a:lnTo>
                                <a:lnTo>
                                  <a:pt x="508" y="275"/>
                                </a:lnTo>
                                <a:lnTo>
                                  <a:pt x="516" y="270"/>
                                </a:lnTo>
                                <a:lnTo>
                                  <a:pt x="525" y="263"/>
                                </a:lnTo>
                                <a:lnTo>
                                  <a:pt x="531" y="257"/>
                                </a:lnTo>
                                <a:lnTo>
                                  <a:pt x="536" y="250"/>
                                </a:lnTo>
                                <a:lnTo>
                                  <a:pt x="541" y="242"/>
                                </a:lnTo>
                                <a:lnTo>
                                  <a:pt x="545" y="233"/>
                                </a:lnTo>
                                <a:lnTo>
                                  <a:pt x="549" y="225"/>
                                </a:lnTo>
                                <a:lnTo>
                                  <a:pt x="551" y="215"/>
                                </a:lnTo>
                                <a:lnTo>
                                  <a:pt x="552" y="205"/>
                                </a:lnTo>
                                <a:lnTo>
                                  <a:pt x="552" y="195"/>
                                </a:lnTo>
                                <a:lnTo>
                                  <a:pt x="552" y="186"/>
                                </a:lnTo>
                                <a:lnTo>
                                  <a:pt x="551" y="176"/>
                                </a:lnTo>
                                <a:lnTo>
                                  <a:pt x="549" y="167"/>
                                </a:lnTo>
                                <a:lnTo>
                                  <a:pt x="546" y="159"/>
                                </a:lnTo>
                                <a:lnTo>
                                  <a:pt x="542" y="150"/>
                                </a:lnTo>
                                <a:lnTo>
                                  <a:pt x="537" y="141"/>
                                </a:lnTo>
                                <a:lnTo>
                                  <a:pt x="532" y="134"/>
                                </a:lnTo>
                                <a:lnTo>
                                  <a:pt x="526" y="128"/>
                                </a:lnTo>
                                <a:lnTo>
                                  <a:pt x="519" y="120"/>
                                </a:lnTo>
                                <a:lnTo>
                                  <a:pt x="511" y="115"/>
                                </a:lnTo>
                                <a:lnTo>
                                  <a:pt x="504" y="110"/>
                                </a:lnTo>
                                <a:lnTo>
                                  <a:pt x="495" y="106"/>
                                </a:lnTo>
                                <a:lnTo>
                                  <a:pt x="485" y="104"/>
                                </a:lnTo>
                                <a:lnTo>
                                  <a:pt x="475" y="101"/>
                                </a:lnTo>
                                <a:lnTo>
                                  <a:pt x="463" y="100"/>
                                </a:lnTo>
                                <a:lnTo>
                                  <a:pt x="450" y="100"/>
                                </a:lnTo>
                                <a:lnTo>
                                  <a:pt x="327" y="100"/>
                                </a:lnTo>
                                <a:lnTo>
                                  <a:pt x="327" y="408"/>
                                </a:lnTo>
                                <a:lnTo>
                                  <a:pt x="407" y="408"/>
                                </a:lnTo>
                                <a:lnTo>
                                  <a:pt x="407" y="289"/>
                                </a:lnTo>
                                <a:lnTo>
                                  <a:pt x="483" y="408"/>
                                </a:lnTo>
                                <a:lnTo>
                                  <a:pt x="582" y="408"/>
                                </a:lnTo>
                                <a:lnTo>
                                  <a:pt x="485" y="282"/>
                                </a:lnTo>
                                <a:close/>
                                <a:moveTo>
                                  <a:pt x="210" y="35"/>
                                </a:moveTo>
                                <a:lnTo>
                                  <a:pt x="171" y="0"/>
                                </a:lnTo>
                                <a:lnTo>
                                  <a:pt x="105" y="56"/>
                                </a:lnTo>
                                <a:lnTo>
                                  <a:pt x="133" y="85"/>
                                </a:lnTo>
                                <a:lnTo>
                                  <a:pt x="210" y="35"/>
                                </a:lnTo>
                                <a:close/>
                                <a:moveTo>
                                  <a:pt x="80" y="100"/>
                                </a:moveTo>
                                <a:lnTo>
                                  <a:pt x="0" y="100"/>
                                </a:lnTo>
                                <a:lnTo>
                                  <a:pt x="0" y="278"/>
                                </a:lnTo>
                                <a:lnTo>
                                  <a:pt x="0" y="293"/>
                                </a:lnTo>
                                <a:lnTo>
                                  <a:pt x="2" y="308"/>
                                </a:lnTo>
                                <a:lnTo>
                                  <a:pt x="3" y="321"/>
                                </a:lnTo>
                                <a:lnTo>
                                  <a:pt x="5" y="333"/>
                                </a:lnTo>
                                <a:lnTo>
                                  <a:pt x="9" y="343"/>
                                </a:lnTo>
                                <a:lnTo>
                                  <a:pt x="13" y="353"/>
                                </a:lnTo>
                                <a:lnTo>
                                  <a:pt x="17" y="362"/>
                                </a:lnTo>
                                <a:lnTo>
                                  <a:pt x="23" y="369"/>
                                </a:lnTo>
                                <a:lnTo>
                                  <a:pt x="32" y="379"/>
                                </a:lnTo>
                                <a:lnTo>
                                  <a:pt x="43" y="389"/>
                                </a:lnTo>
                                <a:lnTo>
                                  <a:pt x="54" y="397"/>
                                </a:lnTo>
                                <a:lnTo>
                                  <a:pt x="68" y="403"/>
                                </a:lnTo>
                                <a:lnTo>
                                  <a:pt x="83" y="409"/>
                                </a:lnTo>
                                <a:lnTo>
                                  <a:pt x="99" y="413"/>
                                </a:lnTo>
                                <a:lnTo>
                                  <a:pt x="115" y="415"/>
                                </a:lnTo>
                                <a:lnTo>
                                  <a:pt x="133" y="415"/>
                                </a:lnTo>
                                <a:lnTo>
                                  <a:pt x="149" y="415"/>
                                </a:lnTo>
                                <a:lnTo>
                                  <a:pt x="165" y="413"/>
                                </a:lnTo>
                                <a:lnTo>
                                  <a:pt x="179" y="409"/>
                                </a:lnTo>
                                <a:lnTo>
                                  <a:pt x="192" y="404"/>
                                </a:lnTo>
                                <a:lnTo>
                                  <a:pt x="206" y="399"/>
                                </a:lnTo>
                                <a:lnTo>
                                  <a:pt x="217" y="392"/>
                                </a:lnTo>
                                <a:lnTo>
                                  <a:pt x="228" y="383"/>
                                </a:lnTo>
                                <a:lnTo>
                                  <a:pt x="238" y="372"/>
                                </a:lnTo>
                                <a:lnTo>
                                  <a:pt x="246" y="363"/>
                                </a:lnTo>
                                <a:lnTo>
                                  <a:pt x="253" y="353"/>
                                </a:lnTo>
                                <a:lnTo>
                                  <a:pt x="258" y="343"/>
                                </a:lnTo>
                                <a:lnTo>
                                  <a:pt x="262" y="333"/>
                                </a:lnTo>
                                <a:lnTo>
                                  <a:pt x="265" y="321"/>
                                </a:lnTo>
                                <a:lnTo>
                                  <a:pt x="267" y="308"/>
                                </a:lnTo>
                                <a:lnTo>
                                  <a:pt x="268" y="293"/>
                                </a:lnTo>
                                <a:lnTo>
                                  <a:pt x="268" y="278"/>
                                </a:lnTo>
                                <a:lnTo>
                                  <a:pt x="268" y="100"/>
                                </a:lnTo>
                                <a:lnTo>
                                  <a:pt x="189" y="100"/>
                                </a:lnTo>
                                <a:lnTo>
                                  <a:pt x="189" y="267"/>
                                </a:lnTo>
                                <a:lnTo>
                                  <a:pt x="189" y="287"/>
                                </a:lnTo>
                                <a:lnTo>
                                  <a:pt x="187" y="301"/>
                                </a:lnTo>
                                <a:lnTo>
                                  <a:pt x="185" y="311"/>
                                </a:lnTo>
                                <a:lnTo>
                                  <a:pt x="181" y="321"/>
                                </a:lnTo>
                                <a:lnTo>
                                  <a:pt x="177" y="326"/>
                                </a:lnTo>
                                <a:lnTo>
                                  <a:pt x="172" y="331"/>
                                </a:lnTo>
                                <a:lnTo>
                                  <a:pt x="167" y="334"/>
                                </a:lnTo>
                                <a:lnTo>
                                  <a:pt x="161" y="338"/>
                                </a:lnTo>
                                <a:lnTo>
                                  <a:pt x="155" y="341"/>
                                </a:lnTo>
                                <a:lnTo>
                                  <a:pt x="149" y="343"/>
                                </a:lnTo>
                                <a:lnTo>
                                  <a:pt x="141" y="344"/>
                                </a:lnTo>
                                <a:lnTo>
                                  <a:pt x="134" y="346"/>
                                </a:lnTo>
                                <a:lnTo>
                                  <a:pt x="126" y="344"/>
                                </a:lnTo>
                                <a:lnTo>
                                  <a:pt x="120" y="343"/>
                                </a:lnTo>
                                <a:lnTo>
                                  <a:pt x="114" y="342"/>
                                </a:lnTo>
                                <a:lnTo>
                                  <a:pt x="108" y="339"/>
                                </a:lnTo>
                                <a:lnTo>
                                  <a:pt x="103" y="336"/>
                                </a:lnTo>
                                <a:lnTo>
                                  <a:pt x="98" y="332"/>
                                </a:lnTo>
                                <a:lnTo>
                                  <a:pt x="93" y="327"/>
                                </a:lnTo>
                                <a:lnTo>
                                  <a:pt x="89" y="322"/>
                                </a:lnTo>
                                <a:lnTo>
                                  <a:pt x="84" y="312"/>
                                </a:lnTo>
                                <a:lnTo>
                                  <a:pt x="81" y="302"/>
                                </a:lnTo>
                                <a:lnTo>
                                  <a:pt x="80" y="288"/>
                                </a:lnTo>
                                <a:lnTo>
                                  <a:pt x="80" y="267"/>
                                </a:lnTo>
                                <a:lnTo>
                                  <a:pt x="80" y="100"/>
                                </a:lnTo>
                                <a:close/>
                              </a:path>
                            </a:pathLst>
                          </a:custGeom>
                          <a:solidFill>
                            <a:srgbClr val="BD1B2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noChangeAspect="1" noEditPoints="1"/>
                        </wps:cNvSpPr>
                        <wps:spPr bwMode="auto">
                          <a:xfrm>
                            <a:off x="1962" y="1081"/>
                            <a:ext cx="1319" cy="208"/>
                          </a:xfrm>
                          <a:custGeom>
                            <a:avLst/>
                            <a:gdLst>
                              <a:gd name="T0" fmla="*/ 1221 w 2637"/>
                              <a:gd name="T1" fmla="*/ 204 h 416"/>
                              <a:gd name="T2" fmla="*/ 1166 w 2637"/>
                              <a:gd name="T3" fmla="*/ 50 h 416"/>
                              <a:gd name="T4" fmla="*/ 1072 w 2637"/>
                              <a:gd name="T5" fmla="*/ 137 h 416"/>
                              <a:gd name="T6" fmla="*/ 1004 w 2637"/>
                              <a:gd name="T7" fmla="*/ 54 h 416"/>
                              <a:gd name="T8" fmla="*/ 943 w 2637"/>
                              <a:gd name="T9" fmla="*/ 51 h 416"/>
                              <a:gd name="T10" fmla="*/ 900 w 2637"/>
                              <a:gd name="T11" fmla="*/ 82 h 416"/>
                              <a:gd name="T12" fmla="*/ 887 w 2637"/>
                              <a:gd name="T13" fmla="*/ 136 h 416"/>
                              <a:gd name="T14" fmla="*/ 907 w 2637"/>
                              <a:gd name="T15" fmla="*/ 181 h 416"/>
                              <a:gd name="T16" fmla="*/ 959 w 2637"/>
                              <a:gd name="T17" fmla="*/ 208 h 416"/>
                              <a:gd name="T18" fmla="*/ 1000 w 2637"/>
                              <a:gd name="T19" fmla="*/ 157 h 416"/>
                              <a:gd name="T20" fmla="*/ 969 w 2637"/>
                              <a:gd name="T21" fmla="*/ 169 h 416"/>
                              <a:gd name="T22" fmla="*/ 945 w 2637"/>
                              <a:gd name="T23" fmla="*/ 161 h 416"/>
                              <a:gd name="T24" fmla="*/ 929 w 2637"/>
                              <a:gd name="T25" fmla="*/ 137 h 416"/>
                              <a:gd name="T26" fmla="*/ 933 w 2637"/>
                              <a:gd name="T27" fmla="*/ 107 h 416"/>
                              <a:gd name="T28" fmla="*/ 953 w 2637"/>
                              <a:gd name="T29" fmla="*/ 89 h 416"/>
                              <a:gd name="T30" fmla="*/ 984 w 2637"/>
                              <a:gd name="T31" fmla="*/ 88 h 416"/>
                              <a:gd name="T32" fmla="*/ 864 w 2637"/>
                              <a:gd name="T33" fmla="*/ 50 h 416"/>
                              <a:gd name="T34" fmla="*/ 802 w 2637"/>
                              <a:gd name="T35" fmla="*/ 50 h 416"/>
                              <a:gd name="T36" fmla="*/ 680 w 2637"/>
                              <a:gd name="T37" fmla="*/ 59 h 416"/>
                              <a:gd name="T38" fmla="*/ 638 w 2637"/>
                              <a:gd name="T39" fmla="*/ 46 h 416"/>
                              <a:gd name="T40" fmla="*/ 602 w 2637"/>
                              <a:gd name="T41" fmla="*/ 54 h 416"/>
                              <a:gd name="T42" fmla="*/ 581 w 2637"/>
                              <a:gd name="T43" fmla="*/ 82 h 416"/>
                              <a:gd name="T44" fmla="*/ 583 w 2637"/>
                              <a:gd name="T45" fmla="*/ 116 h 416"/>
                              <a:gd name="T46" fmla="*/ 610 w 2637"/>
                              <a:gd name="T47" fmla="*/ 138 h 416"/>
                              <a:gd name="T48" fmla="*/ 644 w 2637"/>
                              <a:gd name="T49" fmla="*/ 153 h 416"/>
                              <a:gd name="T50" fmla="*/ 637 w 2637"/>
                              <a:gd name="T51" fmla="*/ 171 h 416"/>
                              <a:gd name="T52" fmla="*/ 608 w 2637"/>
                              <a:gd name="T53" fmla="*/ 170 h 416"/>
                              <a:gd name="T54" fmla="*/ 586 w 2637"/>
                              <a:gd name="T55" fmla="*/ 198 h 416"/>
                              <a:gd name="T56" fmla="*/ 633 w 2637"/>
                              <a:gd name="T57" fmla="*/ 208 h 416"/>
                              <a:gd name="T58" fmla="*/ 671 w 2637"/>
                              <a:gd name="T59" fmla="*/ 193 h 416"/>
                              <a:gd name="T60" fmla="*/ 687 w 2637"/>
                              <a:gd name="T61" fmla="*/ 160 h 416"/>
                              <a:gd name="T62" fmla="*/ 678 w 2637"/>
                              <a:gd name="T63" fmla="*/ 126 h 416"/>
                              <a:gd name="T64" fmla="*/ 638 w 2637"/>
                              <a:gd name="T65" fmla="*/ 107 h 416"/>
                              <a:gd name="T66" fmla="*/ 621 w 2637"/>
                              <a:gd name="T67" fmla="*/ 93 h 416"/>
                              <a:gd name="T68" fmla="*/ 635 w 2637"/>
                              <a:gd name="T69" fmla="*/ 80 h 416"/>
                              <a:gd name="T70" fmla="*/ 665 w 2637"/>
                              <a:gd name="T71" fmla="*/ 90 h 416"/>
                              <a:gd name="T72" fmla="*/ 452 w 2637"/>
                              <a:gd name="T73" fmla="*/ 84 h 416"/>
                              <a:gd name="T74" fmla="*/ 452 w 2637"/>
                              <a:gd name="T75" fmla="*/ 204 h 416"/>
                              <a:gd name="T76" fmla="*/ 343 w 2637"/>
                              <a:gd name="T77" fmla="*/ 204 h 416"/>
                              <a:gd name="T78" fmla="*/ 333 w 2637"/>
                              <a:gd name="T79" fmla="*/ 177 h 416"/>
                              <a:gd name="T80" fmla="*/ 158 w 2637"/>
                              <a:gd name="T81" fmla="*/ 204 h 416"/>
                              <a:gd name="T82" fmla="*/ 84 w 2637"/>
                              <a:gd name="T83" fmla="*/ 49 h 416"/>
                              <a:gd name="T84" fmla="*/ 42 w 2637"/>
                              <a:gd name="T85" fmla="*/ 48 h 416"/>
                              <a:gd name="T86" fmla="*/ 14 w 2637"/>
                              <a:gd name="T87" fmla="*/ 68 h 416"/>
                              <a:gd name="T88" fmla="*/ 6 w 2637"/>
                              <a:gd name="T89" fmla="*/ 103 h 416"/>
                              <a:gd name="T90" fmla="*/ 19 w 2637"/>
                              <a:gd name="T91" fmla="*/ 128 h 416"/>
                              <a:gd name="T92" fmla="*/ 64 w 2637"/>
                              <a:gd name="T93" fmla="*/ 147 h 416"/>
                              <a:gd name="T94" fmla="*/ 71 w 2637"/>
                              <a:gd name="T95" fmla="*/ 165 h 416"/>
                              <a:gd name="T96" fmla="*/ 48 w 2637"/>
                              <a:gd name="T97" fmla="*/ 174 h 416"/>
                              <a:gd name="T98" fmla="*/ 17 w 2637"/>
                              <a:gd name="T99" fmla="*/ 158 h 416"/>
                              <a:gd name="T100" fmla="*/ 40 w 2637"/>
                              <a:gd name="T101" fmla="*/ 207 h 416"/>
                              <a:gd name="T102" fmla="*/ 84 w 2637"/>
                              <a:gd name="T103" fmla="*/ 202 h 416"/>
                              <a:gd name="T104" fmla="*/ 110 w 2637"/>
                              <a:gd name="T105" fmla="*/ 176 h 416"/>
                              <a:gd name="T106" fmla="*/ 110 w 2637"/>
                              <a:gd name="T107" fmla="*/ 135 h 416"/>
                              <a:gd name="T108" fmla="*/ 93 w 2637"/>
                              <a:gd name="T109" fmla="*/ 117 h 416"/>
                              <a:gd name="T110" fmla="*/ 50 w 2637"/>
                              <a:gd name="T111" fmla="*/ 99 h 416"/>
                              <a:gd name="T112" fmla="*/ 53 w 2637"/>
                              <a:gd name="T113" fmla="*/ 84 h 416"/>
                              <a:gd name="T114" fmla="*/ 76 w 2637"/>
                              <a:gd name="T115" fmla="*/ 81 h 41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637" h="416">
                                <a:moveTo>
                                  <a:pt x="2561" y="35"/>
                                </a:moveTo>
                                <a:lnTo>
                                  <a:pt x="2524" y="0"/>
                                </a:lnTo>
                                <a:lnTo>
                                  <a:pt x="2458" y="56"/>
                                </a:lnTo>
                                <a:lnTo>
                                  <a:pt x="2485" y="84"/>
                                </a:lnTo>
                                <a:lnTo>
                                  <a:pt x="2561" y="35"/>
                                </a:lnTo>
                                <a:close/>
                                <a:moveTo>
                                  <a:pt x="2442" y="260"/>
                                </a:moveTo>
                                <a:lnTo>
                                  <a:pt x="2442" y="407"/>
                                </a:lnTo>
                                <a:lnTo>
                                  <a:pt x="2521" y="407"/>
                                </a:lnTo>
                                <a:lnTo>
                                  <a:pt x="2521" y="260"/>
                                </a:lnTo>
                                <a:lnTo>
                                  <a:pt x="2637" y="99"/>
                                </a:lnTo>
                                <a:lnTo>
                                  <a:pt x="2540" y="99"/>
                                </a:lnTo>
                                <a:lnTo>
                                  <a:pt x="2484" y="183"/>
                                </a:lnTo>
                                <a:lnTo>
                                  <a:pt x="2427" y="99"/>
                                </a:lnTo>
                                <a:lnTo>
                                  <a:pt x="2331" y="99"/>
                                </a:lnTo>
                                <a:lnTo>
                                  <a:pt x="2442" y="260"/>
                                </a:lnTo>
                                <a:close/>
                                <a:moveTo>
                                  <a:pt x="2143" y="226"/>
                                </a:moveTo>
                                <a:lnTo>
                                  <a:pt x="2143" y="99"/>
                                </a:lnTo>
                                <a:lnTo>
                                  <a:pt x="2063" y="99"/>
                                </a:lnTo>
                                <a:lnTo>
                                  <a:pt x="2063" y="407"/>
                                </a:lnTo>
                                <a:lnTo>
                                  <a:pt x="2143" y="407"/>
                                </a:lnTo>
                                <a:lnTo>
                                  <a:pt x="2143" y="274"/>
                                </a:lnTo>
                                <a:lnTo>
                                  <a:pt x="2247" y="407"/>
                                </a:lnTo>
                                <a:lnTo>
                                  <a:pt x="2351" y="407"/>
                                </a:lnTo>
                                <a:lnTo>
                                  <a:pt x="2217" y="245"/>
                                </a:lnTo>
                                <a:lnTo>
                                  <a:pt x="2340" y="99"/>
                                </a:lnTo>
                                <a:lnTo>
                                  <a:pt x="2240" y="99"/>
                                </a:lnTo>
                                <a:lnTo>
                                  <a:pt x="2143" y="226"/>
                                </a:lnTo>
                                <a:close/>
                                <a:moveTo>
                                  <a:pt x="2008" y="108"/>
                                </a:moveTo>
                                <a:lnTo>
                                  <a:pt x="1987" y="102"/>
                                </a:lnTo>
                                <a:lnTo>
                                  <a:pt x="1969" y="97"/>
                                </a:lnTo>
                                <a:lnTo>
                                  <a:pt x="1952" y="93"/>
                                </a:lnTo>
                                <a:lnTo>
                                  <a:pt x="1936" y="93"/>
                                </a:lnTo>
                                <a:lnTo>
                                  <a:pt x="1918" y="93"/>
                                </a:lnTo>
                                <a:lnTo>
                                  <a:pt x="1902" y="96"/>
                                </a:lnTo>
                                <a:lnTo>
                                  <a:pt x="1886" y="101"/>
                                </a:lnTo>
                                <a:lnTo>
                                  <a:pt x="1871" y="106"/>
                                </a:lnTo>
                                <a:lnTo>
                                  <a:pt x="1857" y="112"/>
                                </a:lnTo>
                                <a:lnTo>
                                  <a:pt x="1844" y="121"/>
                                </a:lnTo>
                                <a:lnTo>
                                  <a:pt x="1831" y="129"/>
                                </a:lnTo>
                                <a:lnTo>
                                  <a:pt x="1820" y="140"/>
                                </a:lnTo>
                                <a:lnTo>
                                  <a:pt x="1809" y="152"/>
                                </a:lnTo>
                                <a:lnTo>
                                  <a:pt x="1800" y="164"/>
                                </a:lnTo>
                                <a:lnTo>
                                  <a:pt x="1791" y="178"/>
                                </a:lnTo>
                                <a:lnTo>
                                  <a:pt x="1785" y="192"/>
                                </a:lnTo>
                                <a:lnTo>
                                  <a:pt x="1780" y="207"/>
                                </a:lnTo>
                                <a:lnTo>
                                  <a:pt x="1775" y="223"/>
                                </a:lnTo>
                                <a:lnTo>
                                  <a:pt x="1773" y="239"/>
                                </a:lnTo>
                                <a:lnTo>
                                  <a:pt x="1773" y="256"/>
                                </a:lnTo>
                                <a:lnTo>
                                  <a:pt x="1773" y="271"/>
                                </a:lnTo>
                                <a:lnTo>
                                  <a:pt x="1775" y="286"/>
                                </a:lnTo>
                                <a:lnTo>
                                  <a:pt x="1778" y="300"/>
                                </a:lnTo>
                                <a:lnTo>
                                  <a:pt x="1783" y="314"/>
                                </a:lnTo>
                                <a:lnTo>
                                  <a:pt x="1789" y="327"/>
                                </a:lnTo>
                                <a:lnTo>
                                  <a:pt x="1795" y="340"/>
                                </a:lnTo>
                                <a:lnTo>
                                  <a:pt x="1804" y="351"/>
                                </a:lnTo>
                                <a:lnTo>
                                  <a:pt x="1813" y="362"/>
                                </a:lnTo>
                                <a:lnTo>
                                  <a:pt x="1825" y="373"/>
                                </a:lnTo>
                                <a:lnTo>
                                  <a:pt x="1839" y="385"/>
                                </a:lnTo>
                                <a:lnTo>
                                  <a:pt x="1854" y="393"/>
                                </a:lnTo>
                                <a:lnTo>
                                  <a:pt x="1869" y="401"/>
                                </a:lnTo>
                                <a:lnTo>
                                  <a:pt x="1885" y="407"/>
                                </a:lnTo>
                                <a:lnTo>
                                  <a:pt x="1902" y="412"/>
                                </a:lnTo>
                                <a:lnTo>
                                  <a:pt x="1918" y="415"/>
                                </a:lnTo>
                                <a:lnTo>
                                  <a:pt x="1936" y="416"/>
                                </a:lnTo>
                                <a:lnTo>
                                  <a:pt x="1951" y="415"/>
                                </a:lnTo>
                                <a:lnTo>
                                  <a:pt x="1966" y="413"/>
                                </a:lnTo>
                                <a:lnTo>
                                  <a:pt x="1983" y="408"/>
                                </a:lnTo>
                                <a:lnTo>
                                  <a:pt x="2008" y="401"/>
                                </a:lnTo>
                                <a:lnTo>
                                  <a:pt x="2008" y="306"/>
                                </a:lnTo>
                                <a:lnTo>
                                  <a:pt x="1999" y="314"/>
                                </a:lnTo>
                                <a:lnTo>
                                  <a:pt x="1992" y="320"/>
                                </a:lnTo>
                                <a:lnTo>
                                  <a:pt x="1983" y="326"/>
                                </a:lnTo>
                                <a:lnTo>
                                  <a:pt x="1976" y="330"/>
                                </a:lnTo>
                                <a:lnTo>
                                  <a:pt x="1967" y="334"/>
                                </a:lnTo>
                                <a:lnTo>
                                  <a:pt x="1957" y="336"/>
                                </a:lnTo>
                                <a:lnTo>
                                  <a:pt x="1948" y="337"/>
                                </a:lnTo>
                                <a:lnTo>
                                  <a:pt x="1938" y="337"/>
                                </a:lnTo>
                                <a:lnTo>
                                  <a:pt x="1931" y="337"/>
                                </a:lnTo>
                                <a:lnTo>
                                  <a:pt x="1923" y="336"/>
                                </a:lnTo>
                                <a:lnTo>
                                  <a:pt x="1916" y="335"/>
                                </a:lnTo>
                                <a:lnTo>
                                  <a:pt x="1908" y="332"/>
                                </a:lnTo>
                                <a:lnTo>
                                  <a:pt x="1902" y="330"/>
                                </a:lnTo>
                                <a:lnTo>
                                  <a:pt x="1896" y="326"/>
                                </a:lnTo>
                                <a:lnTo>
                                  <a:pt x="1889" y="322"/>
                                </a:lnTo>
                                <a:lnTo>
                                  <a:pt x="1884" y="317"/>
                                </a:lnTo>
                                <a:lnTo>
                                  <a:pt x="1876" y="311"/>
                                </a:lnTo>
                                <a:lnTo>
                                  <a:pt x="1871" y="305"/>
                                </a:lnTo>
                                <a:lnTo>
                                  <a:pt x="1866" y="299"/>
                                </a:lnTo>
                                <a:lnTo>
                                  <a:pt x="1862" y="291"/>
                                </a:lnTo>
                                <a:lnTo>
                                  <a:pt x="1860" y="283"/>
                                </a:lnTo>
                                <a:lnTo>
                                  <a:pt x="1857" y="274"/>
                                </a:lnTo>
                                <a:lnTo>
                                  <a:pt x="1856" y="265"/>
                                </a:lnTo>
                                <a:lnTo>
                                  <a:pt x="1856" y="255"/>
                                </a:lnTo>
                                <a:lnTo>
                                  <a:pt x="1856" y="246"/>
                                </a:lnTo>
                                <a:lnTo>
                                  <a:pt x="1857" y="238"/>
                                </a:lnTo>
                                <a:lnTo>
                                  <a:pt x="1860" y="229"/>
                                </a:lnTo>
                                <a:lnTo>
                                  <a:pt x="1862" y="221"/>
                                </a:lnTo>
                                <a:lnTo>
                                  <a:pt x="1865" y="214"/>
                                </a:lnTo>
                                <a:lnTo>
                                  <a:pt x="1870" y="207"/>
                                </a:lnTo>
                                <a:lnTo>
                                  <a:pt x="1874" y="200"/>
                                </a:lnTo>
                                <a:lnTo>
                                  <a:pt x="1879" y="194"/>
                                </a:lnTo>
                                <a:lnTo>
                                  <a:pt x="1885" y="189"/>
                                </a:lnTo>
                                <a:lnTo>
                                  <a:pt x="1891" y="184"/>
                                </a:lnTo>
                                <a:lnTo>
                                  <a:pt x="1898" y="180"/>
                                </a:lnTo>
                                <a:lnTo>
                                  <a:pt x="1905" y="177"/>
                                </a:lnTo>
                                <a:lnTo>
                                  <a:pt x="1913" y="174"/>
                                </a:lnTo>
                                <a:lnTo>
                                  <a:pt x="1921" y="172"/>
                                </a:lnTo>
                                <a:lnTo>
                                  <a:pt x="1930" y="170"/>
                                </a:lnTo>
                                <a:lnTo>
                                  <a:pt x="1938" y="170"/>
                                </a:lnTo>
                                <a:lnTo>
                                  <a:pt x="1948" y="170"/>
                                </a:lnTo>
                                <a:lnTo>
                                  <a:pt x="1958" y="173"/>
                                </a:lnTo>
                                <a:lnTo>
                                  <a:pt x="1967" y="175"/>
                                </a:lnTo>
                                <a:lnTo>
                                  <a:pt x="1977" y="179"/>
                                </a:lnTo>
                                <a:lnTo>
                                  <a:pt x="1984" y="184"/>
                                </a:lnTo>
                                <a:lnTo>
                                  <a:pt x="1993" y="189"/>
                                </a:lnTo>
                                <a:lnTo>
                                  <a:pt x="2001" y="197"/>
                                </a:lnTo>
                                <a:lnTo>
                                  <a:pt x="2008" y="204"/>
                                </a:lnTo>
                                <a:lnTo>
                                  <a:pt x="2008" y="108"/>
                                </a:lnTo>
                                <a:close/>
                                <a:moveTo>
                                  <a:pt x="1727" y="99"/>
                                </a:moveTo>
                                <a:lnTo>
                                  <a:pt x="1647" y="99"/>
                                </a:lnTo>
                                <a:lnTo>
                                  <a:pt x="1647" y="407"/>
                                </a:lnTo>
                                <a:lnTo>
                                  <a:pt x="1727" y="407"/>
                                </a:lnTo>
                                <a:lnTo>
                                  <a:pt x="1727" y="99"/>
                                </a:lnTo>
                                <a:close/>
                                <a:moveTo>
                                  <a:pt x="1538" y="167"/>
                                </a:moveTo>
                                <a:lnTo>
                                  <a:pt x="1604" y="167"/>
                                </a:lnTo>
                                <a:lnTo>
                                  <a:pt x="1604" y="99"/>
                                </a:lnTo>
                                <a:lnTo>
                                  <a:pt x="1394" y="99"/>
                                </a:lnTo>
                                <a:lnTo>
                                  <a:pt x="1394" y="167"/>
                                </a:lnTo>
                                <a:lnTo>
                                  <a:pt x="1459" y="167"/>
                                </a:lnTo>
                                <a:lnTo>
                                  <a:pt x="1459" y="407"/>
                                </a:lnTo>
                                <a:lnTo>
                                  <a:pt x="1538" y="407"/>
                                </a:lnTo>
                                <a:lnTo>
                                  <a:pt x="1538" y="167"/>
                                </a:lnTo>
                                <a:close/>
                                <a:moveTo>
                                  <a:pt x="1360" y="117"/>
                                </a:moveTo>
                                <a:lnTo>
                                  <a:pt x="1349" y="111"/>
                                </a:lnTo>
                                <a:lnTo>
                                  <a:pt x="1337" y="106"/>
                                </a:lnTo>
                                <a:lnTo>
                                  <a:pt x="1324" y="102"/>
                                </a:lnTo>
                                <a:lnTo>
                                  <a:pt x="1313" y="98"/>
                                </a:lnTo>
                                <a:lnTo>
                                  <a:pt x="1300" y="96"/>
                                </a:lnTo>
                                <a:lnTo>
                                  <a:pt x="1288" y="93"/>
                                </a:lnTo>
                                <a:lnTo>
                                  <a:pt x="1276" y="92"/>
                                </a:lnTo>
                                <a:lnTo>
                                  <a:pt x="1263" y="92"/>
                                </a:lnTo>
                                <a:lnTo>
                                  <a:pt x="1252" y="92"/>
                                </a:lnTo>
                                <a:lnTo>
                                  <a:pt x="1241" y="94"/>
                                </a:lnTo>
                                <a:lnTo>
                                  <a:pt x="1231" y="96"/>
                                </a:lnTo>
                                <a:lnTo>
                                  <a:pt x="1221" y="99"/>
                                </a:lnTo>
                                <a:lnTo>
                                  <a:pt x="1211" y="103"/>
                                </a:lnTo>
                                <a:lnTo>
                                  <a:pt x="1203" y="108"/>
                                </a:lnTo>
                                <a:lnTo>
                                  <a:pt x="1195" y="114"/>
                                </a:lnTo>
                                <a:lnTo>
                                  <a:pt x="1187" y="121"/>
                                </a:lnTo>
                                <a:lnTo>
                                  <a:pt x="1181" y="128"/>
                                </a:lnTo>
                                <a:lnTo>
                                  <a:pt x="1175" y="136"/>
                                </a:lnTo>
                                <a:lnTo>
                                  <a:pt x="1170" y="144"/>
                                </a:lnTo>
                                <a:lnTo>
                                  <a:pt x="1166" y="153"/>
                                </a:lnTo>
                                <a:lnTo>
                                  <a:pt x="1162" y="163"/>
                                </a:lnTo>
                                <a:lnTo>
                                  <a:pt x="1161" y="174"/>
                                </a:lnTo>
                                <a:lnTo>
                                  <a:pt x="1158" y="184"/>
                                </a:lnTo>
                                <a:lnTo>
                                  <a:pt x="1158" y="195"/>
                                </a:lnTo>
                                <a:lnTo>
                                  <a:pt x="1158" y="205"/>
                                </a:lnTo>
                                <a:lnTo>
                                  <a:pt x="1160" y="215"/>
                                </a:lnTo>
                                <a:lnTo>
                                  <a:pt x="1162" y="224"/>
                                </a:lnTo>
                                <a:lnTo>
                                  <a:pt x="1165" y="231"/>
                                </a:lnTo>
                                <a:lnTo>
                                  <a:pt x="1168" y="239"/>
                                </a:lnTo>
                                <a:lnTo>
                                  <a:pt x="1172" y="245"/>
                                </a:lnTo>
                                <a:lnTo>
                                  <a:pt x="1177" y="251"/>
                                </a:lnTo>
                                <a:lnTo>
                                  <a:pt x="1183" y="256"/>
                                </a:lnTo>
                                <a:lnTo>
                                  <a:pt x="1192" y="263"/>
                                </a:lnTo>
                                <a:lnTo>
                                  <a:pt x="1203" y="269"/>
                                </a:lnTo>
                                <a:lnTo>
                                  <a:pt x="1219" y="275"/>
                                </a:lnTo>
                                <a:lnTo>
                                  <a:pt x="1242" y="281"/>
                                </a:lnTo>
                                <a:lnTo>
                                  <a:pt x="1254" y="286"/>
                                </a:lnTo>
                                <a:lnTo>
                                  <a:pt x="1264" y="290"/>
                                </a:lnTo>
                                <a:lnTo>
                                  <a:pt x="1273" y="294"/>
                                </a:lnTo>
                                <a:lnTo>
                                  <a:pt x="1279" y="297"/>
                                </a:lnTo>
                                <a:lnTo>
                                  <a:pt x="1284" y="301"/>
                                </a:lnTo>
                                <a:lnTo>
                                  <a:pt x="1287" y="306"/>
                                </a:lnTo>
                                <a:lnTo>
                                  <a:pt x="1289" y="311"/>
                                </a:lnTo>
                                <a:lnTo>
                                  <a:pt x="1289" y="317"/>
                                </a:lnTo>
                                <a:lnTo>
                                  <a:pt x="1289" y="324"/>
                                </a:lnTo>
                                <a:lnTo>
                                  <a:pt x="1287" y="330"/>
                                </a:lnTo>
                                <a:lnTo>
                                  <a:pt x="1283" y="335"/>
                                </a:lnTo>
                                <a:lnTo>
                                  <a:pt x="1279" y="339"/>
                                </a:lnTo>
                                <a:lnTo>
                                  <a:pt x="1273" y="342"/>
                                </a:lnTo>
                                <a:lnTo>
                                  <a:pt x="1267" y="345"/>
                                </a:lnTo>
                                <a:lnTo>
                                  <a:pt x="1259" y="346"/>
                                </a:lnTo>
                                <a:lnTo>
                                  <a:pt x="1251" y="347"/>
                                </a:lnTo>
                                <a:lnTo>
                                  <a:pt x="1242" y="347"/>
                                </a:lnTo>
                                <a:lnTo>
                                  <a:pt x="1233" y="345"/>
                                </a:lnTo>
                                <a:lnTo>
                                  <a:pt x="1224" y="344"/>
                                </a:lnTo>
                                <a:lnTo>
                                  <a:pt x="1216" y="340"/>
                                </a:lnTo>
                                <a:lnTo>
                                  <a:pt x="1207" y="335"/>
                                </a:lnTo>
                                <a:lnTo>
                                  <a:pt x="1198" y="330"/>
                                </a:lnTo>
                                <a:lnTo>
                                  <a:pt x="1190" y="324"/>
                                </a:lnTo>
                                <a:lnTo>
                                  <a:pt x="1180" y="316"/>
                                </a:lnTo>
                                <a:lnTo>
                                  <a:pt x="1146" y="381"/>
                                </a:lnTo>
                                <a:lnTo>
                                  <a:pt x="1158" y="388"/>
                                </a:lnTo>
                                <a:lnTo>
                                  <a:pt x="1171" y="396"/>
                                </a:lnTo>
                                <a:lnTo>
                                  <a:pt x="1185" y="401"/>
                                </a:lnTo>
                                <a:lnTo>
                                  <a:pt x="1198" y="406"/>
                                </a:lnTo>
                                <a:lnTo>
                                  <a:pt x="1212" y="410"/>
                                </a:lnTo>
                                <a:lnTo>
                                  <a:pt x="1226" y="413"/>
                                </a:lnTo>
                                <a:lnTo>
                                  <a:pt x="1239" y="415"/>
                                </a:lnTo>
                                <a:lnTo>
                                  <a:pt x="1253" y="415"/>
                                </a:lnTo>
                                <a:lnTo>
                                  <a:pt x="1266" y="415"/>
                                </a:lnTo>
                                <a:lnTo>
                                  <a:pt x="1278" y="413"/>
                                </a:lnTo>
                                <a:lnTo>
                                  <a:pt x="1290" y="411"/>
                                </a:lnTo>
                                <a:lnTo>
                                  <a:pt x="1302" y="407"/>
                                </a:lnTo>
                                <a:lnTo>
                                  <a:pt x="1313" y="403"/>
                                </a:lnTo>
                                <a:lnTo>
                                  <a:pt x="1323" y="398"/>
                                </a:lnTo>
                                <a:lnTo>
                                  <a:pt x="1333" y="392"/>
                                </a:lnTo>
                                <a:lnTo>
                                  <a:pt x="1342" y="386"/>
                                </a:lnTo>
                                <a:lnTo>
                                  <a:pt x="1349" y="378"/>
                                </a:lnTo>
                                <a:lnTo>
                                  <a:pt x="1355" y="371"/>
                                </a:lnTo>
                                <a:lnTo>
                                  <a:pt x="1360" y="362"/>
                                </a:lnTo>
                                <a:lnTo>
                                  <a:pt x="1365" y="352"/>
                                </a:lnTo>
                                <a:lnTo>
                                  <a:pt x="1369" y="342"/>
                                </a:lnTo>
                                <a:lnTo>
                                  <a:pt x="1371" y="331"/>
                                </a:lnTo>
                                <a:lnTo>
                                  <a:pt x="1373" y="319"/>
                                </a:lnTo>
                                <a:lnTo>
                                  <a:pt x="1373" y="306"/>
                                </a:lnTo>
                                <a:lnTo>
                                  <a:pt x="1371" y="290"/>
                                </a:lnTo>
                                <a:lnTo>
                                  <a:pt x="1369" y="275"/>
                                </a:lnTo>
                                <a:lnTo>
                                  <a:pt x="1366" y="269"/>
                                </a:lnTo>
                                <a:lnTo>
                                  <a:pt x="1363" y="263"/>
                                </a:lnTo>
                                <a:lnTo>
                                  <a:pt x="1359" y="258"/>
                                </a:lnTo>
                                <a:lnTo>
                                  <a:pt x="1355" y="251"/>
                                </a:lnTo>
                                <a:lnTo>
                                  <a:pt x="1350" y="246"/>
                                </a:lnTo>
                                <a:lnTo>
                                  <a:pt x="1345" y="241"/>
                                </a:lnTo>
                                <a:lnTo>
                                  <a:pt x="1339" y="238"/>
                                </a:lnTo>
                                <a:lnTo>
                                  <a:pt x="1332" y="234"/>
                                </a:lnTo>
                                <a:lnTo>
                                  <a:pt x="1315" y="226"/>
                                </a:lnTo>
                                <a:lnTo>
                                  <a:pt x="1298" y="220"/>
                                </a:lnTo>
                                <a:lnTo>
                                  <a:pt x="1276" y="213"/>
                                </a:lnTo>
                                <a:lnTo>
                                  <a:pt x="1263" y="209"/>
                                </a:lnTo>
                                <a:lnTo>
                                  <a:pt x="1256" y="205"/>
                                </a:lnTo>
                                <a:lnTo>
                                  <a:pt x="1249" y="200"/>
                                </a:lnTo>
                                <a:lnTo>
                                  <a:pt x="1247" y="198"/>
                                </a:lnTo>
                                <a:lnTo>
                                  <a:pt x="1244" y="194"/>
                                </a:lnTo>
                                <a:lnTo>
                                  <a:pt x="1242" y="189"/>
                                </a:lnTo>
                                <a:lnTo>
                                  <a:pt x="1242" y="185"/>
                                </a:lnTo>
                                <a:lnTo>
                                  <a:pt x="1243" y="179"/>
                                </a:lnTo>
                                <a:lnTo>
                                  <a:pt x="1244" y="174"/>
                                </a:lnTo>
                                <a:lnTo>
                                  <a:pt x="1248" y="170"/>
                                </a:lnTo>
                                <a:lnTo>
                                  <a:pt x="1252" y="167"/>
                                </a:lnTo>
                                <a:lnTo>
                                  <a:pt x="1257" y="163"/>
                                </a:lnTo>
                                <a:lnTo>
                                  <a:pt x="1263" y="160"/>
                                </a:lnTo>
                                <a:lnTo>
                                  <a:pt x="1269" y="159"/>
                                </a:lnTo>
                                <a:lnTo>
                                  <a:pt x="1277" y="158"/>
                                </a:lnTo>
                                <a:lnTo>
                                  <a:pt x="1283" y="159"/>
                                </a:lnTo>
                                <a:lnTo>
                                  <a:pt x="1289" y="159"/>
                                </a:lnTo>
                                <a:lnTo>
                                  <a:pt x="1297" y="162"/>
                                </a:lnTo>
                                <a:lnTo>
                                  <a:pt x="1303" y="163"/>
                                </a:lnTo>
                                <a:lnTo>
                                  <a:pt x="1315" y="170"/>
                                </a:lnTo>
                                <a:lnTo>
                                  <a:pt x="1329" y="179"/>
                                </a:lnTo>
                                <a:lnTo>
                                  <a:pt x="1360" y="117"/>
                                </a:lnTo>
                                <a:close/>
                                <a:moveTo>
                                  <a:pt x="1091" y="99"/>
                                </a:moveTo>
                                <a:lnTo>
                                  <a:pt x="1011" y="99"/>
                                </a:lnTo>
                                <a:lnTo>
                                  <a:pt x="1011" y="407"/>
                                </a:lnTo>
                                <a:lnTo>
                                  <a:pt x="1091" y="407"/>
                                </a:lnTo>
                                <a:lnTo>
                                  <a:pt x="1091" y="99"/>
                                </a:lnTo>
                                <a:close/>
                                <a:moveTo>
                                  <a:pt x="904" y="167"/>
                                </a:moveTo>
                                <a:lnTo>
                                  <a:pt x="970" y="167"/>
                                </a:lnTo>
                                <a:lnTo>
                                  <a:pt x="970" y="99"/>
                                </a:lnTo>
                                <a:lnTo>
                                  <a:pt x="758" y="99"/>
                                </a:lnTo>
                                <a:lnTo>
                                  <a:pt x="758" y="167"/>
                                </a:lnTo>
                                <a:lnTo>
                                  <a:pt x="825" y="167"/>
                                </a:lnTo>
                                <a:lnTo>
                                  <a:pt x="825" y="407"/>
                                </a:lnTo>
                                <a:lnTo>
                                  <a:pt x="904" y="407"/>
                                </a:lnTo>
                                <a:lnTo>
                                  <a:pt x="904" y="167"/>
                                </a:lnTo>
                                <a:close/>
                                <a:moveTo>
                                  <a:pt x="644" y="292"/>
                                </a:moveTo>
                                <a:lnTo>
                                  <a:pt x="578" y="292"/>
                                </a:lnTo>
                                <a:lnTo>
                                  <a:pt x="611" y="194"/>
                                </a:lnTo>
                                <a:lnTo>
                                  <a:pt x="644" y="292"/>
                                </a:lnTo>
                                <a:close/>
                                <a:moveTo>
                                  <a:pt x="666" y="354"/>
                                </a:moveTo>
                                <a:lnTo>
                                  <a:pt x="686" y="407"/>
                                </a:lnTo>
                                <a:lnTo>
                                  <a:pt x="771" y="407"/>
                                </a:lnTo>
                                <a:lnTo>
                                  <a:pt x="655" y="99"/>
                                </a:lnTo>
                                <a:lnTo>
                                  <a:pt x="568" y="99"/>
                                </a:lnTo>
                                <a:lnTo>
                                  <a:pt x="450" y="407"/>
                                </a:lnTo>
                                <a:lnTo>
                                  <a:pt x="534" y="407"/>
                                </a:lnTo>
                                <a:lnTo>
                                  <a:pt x="555" y="354"/>
                                </a:lnTo>
                                <a:lnTo>
                                  <a:pt x="666" y="354"/>
                                </a:lnTo>
                                <a:close/>
                                <a:moveTo>
                                  <a:pt x="395" y="167"/>
                                </a:moveTo>
                                <a:lnTo>
                                  <a:pt x="461" y="167"/>
                                </a:lnTo>
                                <a:lnTo>
                                  <a:pt x="461" y="99"/>
                                </a:lnTo>
                                <a:lnTo>
                                  <a:pt x="249" y="99"/>
                                </a:lnTo>
                                <a:lnTo>
                                  <a:pt x="249" y="167"/>
                                </a:lnTo>
                                <a:lnTo>
                                  <a:pt x="315" y="167"/>
                                </a:lnTo>
                                <a:lnTo>
                                  <a:pt x="315" y="407"/>
                                </a:lnTo>
                                <a:lnTo>
                                  <a:pt x="395" y="407"/>
                                </a:lnTo>
                                <a:lnTo>
                                  <a:pt x="395" y="167"/>
                                </a:lnTo>
                                <a:close/>
                                <a:moveTo>
                                  <a:pt x="214" y="117"/>
                                </a:moveTo>
                                <a:lnTo>
                                  <a:pt x="203" y="111"/>
                                </a:lnTo>
                                <a:lnTo>
                                  <a:pt x="190" y="106"/>
                                </a:lnTo>
                                <a:lnTo>
                                  <a:pt x="178" y="102"/>
                                </a:lnTo>
                                <a:lnTo>
                                  <a:pt x="167" y="98"/>
                                </a:lnTo>
                                <a:lnTo>
                                  <a:pt x="154" y="96"/>
                                </a:lnTo>
                                <a:lnTo>
                                  <a:pt x="142" y="93"/>
                                </a:lnTo>
                                <a:lnTo>
                                  <a:pt x="129" y="92"/>
                                </a:lnTo>
                                <a:lnTo>
                                  <a:pt x="117" y="92"/>
                                </a:lnTo>
                                <a:lnTo>
                                  <a:pt x="106" y="92"/>
                                </a:lnTo>
                                <a:lnTo>
                                  <a:pt x="94" y="94"/>
                                </a:lnTo>
                                <a:lnTo>
                                  <a:pt x="84" y="96"/>
                                </a:lnTo>
                                <a:lnTo>
                                  <a:pt x="75" y="99"/>
                                </a:lnTo>
                                <a:lnTo>
                                  <a:pt x="65" y="103"/>
                                </a:lnTo>
                                <a:lnTo>
                                  <a:pt x="56" y="108"/>
                                </a:lnTo>
                                <a:lnTo>
                                  <a:pt x="48" y="114"/>
                                </a:lnTo>
                                <a:lnTo>
                                  <a:pt x="41" y="121"/>
                                </a:lnTo>
                                <a:lnTo>
                                  <a:pt x="35" y="128"/>
                                </a:lnTo>
                                <a:lnTo>
                                  <a:pt x="28" y="136"/>
                                </a:lnTo>
                                <a:lnTo>
                                  <a:pt x="23" y="144"/>
                                </a:lnTo>
                                <a:lnTo>
                                  <a:pt x="20" y="153"/>
                                </a:lnTo>
                                <a:lnTo>
                                  <a:pt x="16" y="163"/>
                                </a:lnTo>
                                <a:lnTo>
                                  <a:pt x="15" y="174"/>
                                </a:lnTo>
                                <a:lnTo>
                                  <a:pt x="12" y="184"/>
                                </a:lnTo>
                                <a:lnTo>
                                  <a:pt x="12" y="195"/>
                                </a:lnTo>
                                <a:lnTo>
                                  <a:pt x="12" y="205"/>
                                </a:lnTo>
                                <a:lnTo>
                                  <a:pt x="13" y="215"/>
                                </a:lnTo>
                                <a:lnTo>
                                  <a:pt x="16" y="224"/>
                                </a:lnTo>
                                <a:lnTo>
                                  <a:pt x="18" y="231"/>
                                </a:lnTo>
                                <a:lnTo>
                                  <a:pt x="22" y="239"/>
                                </a:lnTo>
                                <a:lnTo>
                                  <a:pt x="26" y="245"/>
                                </a:lnTo>
                                <a:lnTo>
                                  <a:pt x="31" y="251"/>
                                </a:lnTo>
                                <a:lnTo>
                                  <a:pt x="37" y="256"/>
                                </a:lnTo>
                                <a:lnTo>
                                  <a:pt x="46" y="263"/>
                                </a:lnTo>
                                <a:lnTo>
                                  <a:pt x="57" y="269"/>
                                </a:lnTo>
                                <a:lnTo>
                                  <a:pt x="73" y="275"/>
                                </a:lnTo>
                                <a:lnTo>
                                  <a:pt x="96" y="281"/>
                                </a:lnTo>
                                <a:lnTo>
                                  <a:pt x="108" y="286"/>
                                </a:lnTo>
                                <a:lnTo>
                                  <a:pt x="118" y="290"/>
                                </a:lnTo>
                                <a:lnTo>
                                  <a:pt x="127" y="294"/>
                                </a:lnTo>
                                <a:lnTo>
                                  <a:pt x="133" y="297"/>
                                </a:lnTo>
                                <a:lnTo>
                                  <a:pt x="138" y="301"/>
                                </a:lnTo>
                                <a:lnTo>
                                  <a:pt x="141" y="306"/>
                                </a:lnTo>
                                <a:lnTo>
                                  <a:pt x="143" y="311"/>
                                </a:lnTo>
                                <a:lnTo>
                                  <a:pt x="143" y="317"/>
                                </a:lnTo>
                                <a:lnTo>
                                  <a:pt x="143" y="324"/>
                                </a:lnTo>
                                <a:lnTo>
                                  <a:pt x="141" y="330"/>
                                </a:lnTo>
                                <a:lnTo>
                                  <a:pt x="137" y="335"/>
                                </a:lnTo>
                                <a:lnTo>
                                  <a:pt x="133" y="339"/>
                                </a:lnTo>
                                <a:lnTo>
                                  <a:pt x="127" y="342"/>
                                </a:lnTo>
                                <a:lnTo>
                                  <a:pt x="121" y="345"/>
                                </a:lnTo>
                                <a:lnTo>
                                  <a:pt x="113" y="346"/>
                                </a:lnTo>
                                <a:lnTo>
                                  <a:pt x="104" y="347"/>
                                </a:lnTo>
                                <a:lnTo>
                                  <a:pt x="96" y="347"/>
                                </a:lnTo>
                                <a:lnTo>
                                  <a:pt x="87" y="345"/>
                                </a:lnTo>
                                <a:lnTo>
                                  <a:pt x="78" y="344"/>
                                </a:lnTo>
                                <a:lnTo>
                                  <a:pt x="70" y="340"/>
                                </a:lnTo>
                                <a:lnTo>
                                  <a:pt x="61" y="335"/>
                                </a:lnTo>
                                <a:lnTo>
                                  <a:pt x="52" y="330"/>
                                </a:lnTo>
                                <a:lnTo>
                                  <a:pt x="43" y="324"/>
                                </a:lnTo>
                                <a:lnTo>
                                  <a:pt x="33" y="316"/>
                                </a:lnTo>
                                <a:lnTo>
                                  <a:pt x="0" y="381"/>
                                </a:lnTo>
                                <a:lnTo>
                                  <a:pt x="12" y="388"/>
                                </a:lnTo>
                                <a:lnTo>
                                  <a:pt x="25" y="396"/>
                                </a:lnTo>
                                <a:lnTo>
                                  <a:pt x="38" y="401"/>
                                </a:lnTo>
                                <a:lnTo>
                                  <a:pt x="52" y="406"/>
                                </a:lnTo>
                                <a:lnTo>
                                  <a:pt x="66" y="410"/>
                                </a:lnTo>
                                <a:lnTo>
                                  <a:pt x="79" y="413"/>
                                </a:lnTo>
                                <a:lnTo>
                                  <a:pt x="93" y="415"/>
                                </a:lnTo>
                                <a:lnTo>
                                  <a:pt x="107" y="415"/>
                                </a:lnTo>
                                <a:lnTo>
                                  <a:pt x="119" y="415"/>
                                </a:lnTo>
                                <a:lnTo>
                                  <a:pt x="132" y="413"/>
                                </a:lnTo>
                                <a:lnTo>
                                  <a:pt x="144" y="411"/>
                                </a:lnTo>
                                <a:lnTo>
                                  <a:pt x="155" y="407"/>
                                </a:lnTo>
                                <a:lnTo>
                                  <a:pt x="167" y="403"/>
                                </a:lnTo>
                                <a:lnTo>
                                  <a:pt x="177" y="398"/>
                                </a:lnTo>
                                <a:lnTo>
                                  <a:pt x="187" y="392"/>
                                </a:lnTo>
                                <a:lnTo>
                                  <a:pt x="195" y="386"/>
                                </a:lnTo>
                                <a:lnTo>
                                  <a:pt x="203" y="378"/>
                                </a:lnTo>
                                <a:lnTo>
                                  <a:pt x="209" y="371"/>
                                </a:lnTo>
                                <a:lnTo>
                                  <a:pt x="214" y="362"/>
                                </a:lnTo>
                                <a:lnTo>
                                  <a:pt x="219" y="352"/>
                                </a:lnTo>
                                <a:lnTo>
                                  <a:pt x="223" y="342"/>
                                </a:lnTo>
                                <a:lnTo>
                                  <a:pt x="225" y="331"/>
                                </a:lnTo>
                                <a:lnTo>
                                  <a:pt x="227" y="319"/>
                                </a:lnTo>
                                <a:lnTo>
                                  <a:pt x="227" y="306"/>
                                </a:lnTo>
                                <a:lnTo>
                                  <a:pt x="225" y="290"/>
                                </a:lnTo>
                                <a:lnTo>
                                  <a:pt x="223" y="275"/>
                                </a:lnTo>
                                <a:lnTo>
                                  <a:pt x="220" y="269"/>
                                </a:lnTo>
                                <a:lnTo>
                                  <a:pt x="217" y="263"/>
                                </a:lnTo>
                                <a:lnTo>
                                  <a:pt x="213" y="258"/>
                                </a:lnTo>
                                <a:lnTo>
                                  <a:pt x="209" y="251"/>
                                </a:lnTo>
                                <a:lnTo>
                                  <a:pt x="204" y="246"/>
                                </a:lnTo>
                                <a:lnTo>
                                  <a:pt x="199" y="241"/>
                                </a:lnTo>
                                <a:lnTo>
                                  <a:pt x="193" y="238"/>
                                </a:lnTo>
                                <a:lnTo>
                                  <a:pt x="185" y="234"/>
                                </a:lnTo>
                                <a:lnTo>
                                  <a:pt x="169" y="226"/>
                                </a:lnTo>
                                <a:lnTo>
                                  <a:pt x="151" y="220"/>
                                </a:lnTo>
                                <a:lnTo>
                                  <a:pt x="129" y="213"/>
                                </a:lnTo>
                                <a:lnTo>
                                  <a:pt x="117" y="209"/>
                                </a:lnTo>
                                <a:lnTo>
                                  <a:pt x="109" y="205"/>
                                </a:lnTo>
                                <a:lnTo>
                                  <a:pt x="103" y="200"/>
                                </a:lnTo>
                                <a:lnTo>
                                  <a:pt x="99" y="198"/>
                                </a:lnTo>
                                <a:lnTo>
                                  <a:pt x="98" y="194"/>
                                </a:lnTo>
                                <a:lnTo>
                                  <a:pt x="96" y="189"/>
                                </a:lnTo>
                                <a:lnTo>
                                  <a:pt x="96" y="185"/>
                                </a:lnTo>
                                <a:lnTo>
                                  <a:pt x="97" y="179"/>
                                </a:lnTo>
                                <a:lnTo>
                                  <a:pt x="98" y="174"/>
                                </a:lnTo>
                                <a:lnTo>
                                  <a:pt x="102" y="170"/>
                                </a:lnTo>
                                <a:lnTo>
                                  <a:pt x="106" y="167"/>
                                </a:lnTo>
                                <a:lnTo>
                                  <a:pt x="111" y="163"/>
                                </a:lnTo>
                                <a:lnTo>
                                  <a:pt x="117" y="160"/>
                                </a:lnTo>
                                <a:lnTo>
                                  <a:pt x="123" y="159"/>
                                </a:lnTo>
                                <a:lnTo>
                                  <a:pt x="129" y="158"/>
                                </a:lnTo>
                                <a:lnTo>
                                  <a:pt x="137" y="159"/>
                                </a:lnTo>
                                <a:lnTo>
                                  <a:pt x="143" y="159"/>
                                </a:lnTo>
                                <a:lnTo>
                                  <a:pt x="151" y="162"/>
                                </a:lnTo>
                                <a:lnTo>
                                  <a:pt x="157" y="163"/>
                                </a:lnTo>
                                <a:lnTo>
                                  <a:pt x="169" y="170"/>
                                </a:lnTo>
                                <a:lnTo>
                                  <a:pt x="183" y="179"/>
                                </a:lnTo>
                                <a:lnTo>
                                  <a:pt x="214" y="117"/>
                                </a:lnTo>
                                <a:close/>
                              </a:path>
                            </a:pathLst>
                          </a:custGeom>
                          <a:solidFill>
                            <a:srgbClr val="BD1B2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noChangeAspect="1" noEditPoints="1"/>
                        </wps:cNvSpPr>
                        <wps:spPr bwMode="auto">
                          <a:xfrm>
                            <a:off x="1962" y="851"/>
                            <a:ext cx="679" cy="208"/>
                          </a:xfrm>
                          <a:custGeom>
                            <a:avLst/>
                            <a:gdLst>
                              <a:gd name="T0" fmla="*/ 641 w 1358"/>
                              <a:gd name="T1" fmla="*/ 18 h 416"/>
                              <a:gd name="T2" fmla="*/ 679 w 1358"/>
                              <a:gd name="T3" fmla="*/ 50 h 416"/>
                              <a:gd name="T4" fmla="*/ 581 w 1358"/>
                              <a:gd name="T5" fmla="*/ 130 h 416"/>
                              <a:gd name="T6" fmla="*/ 432 w 1358"/>
                              <a:gd name="T7" fmla="*/ 204 h 416"/>
                              <a:gd name="T8" fmla="*/ 530 w 1358"/>
                              <a:gd name="T9" fmla="*/ 50 h 416"/>
                              <a:gd name="T10" fmla="*/ 349 w 1358"/>
                              <a:gd name="T11" fmla="*/ 54 h 416"/>
                              <a:gd name="T12" fmla="*/ 318 w 1358"/>
                              <a:gd name="T13" fmla="*/ 46 h 416"/>
                              <a:gd name="T14" fmla="*/ 290 w 1358"/>
                              <a:gd name="T15" fmla="*/ 50 h 416"/>
                              <a:gd name="T16" fmla="*/ 271 w 1358"/>
                              <a:gd name="T17" fmla="*/ 64 h 416"/>
                              <a:gd name="T18" fmla="*/ 261 w 1358"/>
                              <a:gd name="T19" fmla="*/ 87 h 416"/>
                              <a:gd name="T20" fmla="*/ 261 w 1358"/>
                              <a:gd name="T21" fmla="*/ 112 h 416"/>
                              <a:gd name="T22" fmla="*/ 272 w 1358"/>
                              <a:gd name="T23" fmla="*/ 129 h 416"/>
                              <a:gd name="T24" fmla="*/ 307 w 1358"/>
                              <a:gd name="T25" fmla="*/ 144 h 416"/>
                              <a:gd name="T26" fmla="*/ 324 w 1358"/>
                              <a:gd name="T27" fmla="*/ 153 h 416"/>
                              <a:gd name="T28" fmla="*/ 322 w 1358"/>
                              <a:gd name="T29" fmla="*/ 168 h 416"/>
                              <a:gd name="T30" fmla="*/ 306 w 1358"/>
                              <a:gd name="T31" fmla="*/ 174 h 416"/>
                              <a:gd name="T32" fmla="*/ 284 w 1358"/>
                              <a:gd name="T33" fmla="*/ 168 h 416"/>
                              <a:gd name="T34" fmla="*/ 260 w 1358"/>
                              <a:gd name="T35" fmla="*/ 195 h 416"/>
                              <a:gd name="T36" fmla="*/ 293 w 1358"/>
                              <a:gd name="T37" fmla="*/ 207 h 416"/>
                              <a:gd name="T38" fmla="*/ 326 w 1358"/>
                              <a:gd name="T39" fmla="*/ 206 h 416"/>
                              <a:gd name="T40" fmla="*/ 351 w 1358"/>
                              <a:gd name="T41" fmla="*/ 193 h 416"/>
                              <a:gd name="T42" fmla="*/ 365 w 1358"/>
                              <a:gd name="T43" fmla="*/ 172 h 416"/>
                              <a:gd name="T44" fmla="*/ 365 w 1358"/>
                              <a:gd name="T45" fmla="*/ 138 h 416"/>
                              <a:gd name="T46" fmla="*/ 356 w 1358"/>
                              <a:gd name="T47" fmla="*/ 124 h 416"/>
                              <a:gd name="T48" fmla="*/ 329 w 1358"/>
                              <a:gd name="T49" fmla="*/ 111 h 416"/>
                              <a:gd name="T50" fmla="*/ 304 w 1358"/>
                              <a:gd name="T51" fmla="*/ 99 h 416"/>
                              <a:gd name="T52" fmla="*/ 303 w 1358"/>
                              <a:gd name="T53" fmla="*/ 87 h 416"/>
                              <a:gd name="T54" fmla="*/ 315 w 1358"/>
                              <a:gd name="T55" fmla="*/ 80 h 416"/>
                              <a:gd name="T56" fmla="*/ 332 w 1358"/>
                              <a:gd name="T57" fmla="*/ 82 h 416"/>
                              <a:gd name="T58" fmla="*/ 232 w 1358"/>
                              <a:gd name="T59" fmla="*/ 50 h 416"/>
                              <a:gd name="T60" fmla="*/ 185 w 1358"/>
                              <a:gd name="T61" fmla="*/ 170 h 416"/>
                              <a:gd name="T62" fmla="*/ 185 w 1358"/>
                              <a:gd name="T63" fmla="*/ 84 h 416"/>
                              <a:gd name="T64" fmla="*/ 105 w 1358"/>
                              <a:gd name="T65" fmla="*/ 1 h 416"/>
                              <a:gd name="T66" fmla="*/ 108 w 1358"/>
                              <a:gd name="T67" fmla="*/ 51 h 416"/>
                              <a:gd name="T68" fmla="*/ 65 w 1358"/>
                              <a:gd name="T69" fmla="*/ 48 h 416"/>
                              <a:gd name="T70" fmla="*/ 29 w 1358"/>
                              <a:gd name="T71" fmla="*/ 65 h 416"/>
                              <a:gd name="T72" fmla="*/ 6 w 1358"/>
                              <a:gd name="T73" fmla="*/ 96 h 416"/>
                              <a:gd name="T74" fmla="*/ 0 w 1358"/>
                              <a:gd name="T75" fmla="*/ 136 h 416"/>
                              <a:gd name="T76" fmla="*/ 11 w 1358"/>
                              <a:gd name="T77" fmla="*/ 170 h 416"/>
                              <a:gd name="T78" fmla="*/ 41 w 1358"/>
                              <a:gd name="T79" fmla="*/ 197 h 416"/>
                              <a:gd name="T80" fmla="*/ 82 w 1358"/>
                              <a:gd name="T81" fmla="*/ 208 h 416"/>
                              <a:gd name="T82" fmla="*/ 118 w 1358"/>
                              <a:gd name="T83" fmla="*/ 153 h 416"/>
                              <a:gd name="T84" fmla="*/ 97 w 1358"/>
                              <a:gd name="T85" fmla="*/ 167 h 416"/>
                              <a:gd name="T86" fmla="*/ 76 w 1358"/>
                              <a:gd name="T87" fmla="*/ 168 h 416"/>
                              <a:gd name="T88" fmla="*/ 59 w 1358"/>
                              <a:gd name="T89" fmla="*/ 162 h 416"/>
                              <a:gd name="T90" fmla="*/ 45 w 1358"/>
                              <a:gd name="T91" fmla="*/ 146 h 416"/>
                              <a:gd name="T92" fmla="*/ 42 w 1358"/>
                              <a:gd name="T93" fmla="*/ 124 h 416"/>
                              <a:gd name="T94" fmla="*/ 49 w 1358"/>
                              <a:gd name="T95" fmla="*/ 104 h 416"/>
                              <a:gd name="T96" fmla="*/ 63 w 1358"/>
                              <a:gd name="T97" fmla="*/ 91 h 416"/>
                              <a:gd name="T98" fmla="*/ 83 w 1358"/>
                              <a:gd name="T99" fmla="*/ 86 h 416"/>
                              <a:gd name="T100" fmla="*/ 107 w 1358"/>
                              <a:gd name="T101" fmla="*/ 92 h 41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358" h="416">
                                <a:moveTo>
                                  <a:pt x="1282" y="36"/>
                                </a:moveTo>
                                <a:lnTo>
                                  <a:pt x="1243" y="0"/>
                                </a:lnTo>
                                <a:lnTo>
                                  <a:pt x="1178" y="56"/>
                                </a:lnTo>
                                <a:lnTo>
                                  <a:pt x="1205" y="85"/>
                                </a:lnTo>
                                <a:lnTo>
                                  <a:pt x="1282" y="36"/>
                                </a:lnTo>
                                <a:close/>
                                <a:moveTo>
                                  <a:pt x="1162" y="260"/>
                                </a:moveTo>
                                <a:lnTo>
                                  <a:pt x="1162" y="407"/>
                                </a:lnTo>
                                <a:lnTo>
                                  <a:pt x="1242" y="407"/>
                                </a:lnTo>
                                <a:lnTo>
                                  <a:pt x="1242" y="260"/>
                                </a:lnTo>
                                <a:lnTo>
                                  <a:pt x="1358" y="100"/>
                                </a:lnTo>
                                <a:lnTo>
                                  <a:pt x="1261" y="100"/>
                                </a:lnTo>
                                <a:lnTo>
                                  <a:pt x="1205" y="183"/>
                                </a:lnTo>
                                <a:lnTo>
                                  <a:pt x="1146" y="100"/>
                                </a:lnTo>
                                <a:lnTo>
                                  <a:pt x="1051" y="100"/>
                                </a:lnTo>
                                <a:lnTo>
                                  <a:pt x="1162" y="260"/>
                                </a:lnTo>
                                <a:close/>
                                <a:moveTo>
                                  <a:pt x="863" y="227"/>
                                </a:moveTo>
                                <a:lnTo>
                                  <a:pt x="863" y="100"/>
                                </a:lnTo>
                                <a:lnTo>
                                  <a:pt x="783" y="100"/>
                                </a:lnTo>
                                <a:lnTo>
                                  <a:pt x="783" y="407"/>
                                </a:lnTo>
                                <a:lnTo>
                                  <a:pt x="863" y="407"/>
                                </a:lnTo>
                                <a:lnTo>
                                  <a:pt x="863" y="274"/>
                                </a:lnTo>
                                <a:lnTo>
                                  <a:pt x="967" y="407"/>
                                </a:lnTo>
                                <a:lnTo>
                                  <a:pt x="1071" y="407"/>
                                </a:lnTo>
                                <a:lnTo>
                                  <a:pt x="938" y="245"/>
                                </a:lnTo>
                                <a:lnTo>
                                  <a:pt x="1059" y="100"/>
                                </a:lnTo>
                                <a:lnTo>
                                  <a:pt x="960" y="100"/>
                                </a:lnTo>
                                <a:lnTo>
                                  <a:pt x="863" y="227"/>
                                </a:lnTo>
                                <a:close/>
                                <a:moveTo>
                                  <a:pt x="721" y="117"/>
                                </a:moveTo>
                                <a:lnTo>
                                  <a:pt x="709" y="112"/>
                                </a:lnTo>
                                <a:lnTo>
                                  <a:pt x="697" y="107"/>
                                </a:lnTo>
                                <a:lnTo>
                                  <a:pt x="685" y="102"/>
                                </a:lnTo>
                                <a:lnTo>
                                  <a:pt x="673" y="98"/>
                                </a:lnTo>
                                <a:lnTo>
                                  <a:pt x="660" y="96"/>
                                </a:lnTo>
                                <a:lnTo>
                                  <a:pt x="648" y="93"/>
                                </a:lnTo>
                                <a:lnTo>
                                  <a:pt x="635" y="92"/>
                                </a:lnTo>
                                <a:lnTo>
                                  <a:pt x="624" y="92"/>
                                </a:lnTo>
                                <a:lnTo>
                                  <a:pt x="611" y="92"/>
                                </a:lnTo>
                                <a:lnTo>
                                  <a:pt x="602" y="95"/>
                                </a:lnTo>
                                <a:lnTo>
                                  <a:pt x="590" y="97"/>
                                </a:lnTo>
                                <a:lnTo>
                                  <a:pt x="580" y="100"/>
                                </a:lnTo>
                                <a:lnTo>
                                  <a:pt x="572" y="103"/>
                                </a:lnTo>
                                <a:lnTo>
                                  <a:pt x="563" y="108"/>
                                </a:lnTo>
                                <a:lnTo>
                                  <a:pt x="555" y="115"/>
                                </a:lnTo>
                                <a:lnTo>
                                  <a:pt x="548" y="121"/>
                                </a:lnTo>
                                <a:lnTo>
                                  <a:pt x="542" y="128"/>
                                </a:lnTo>
                                <a:lnTo>
                                  <a:pt x="535" y="136"/>
                                </a:lnTo>
                                <a:lnTo>
                                  <a:pt x="531" y="145"/>
                                </a:lnTo>
                                <a:lnTo>
                                  <a:pt x="527" y="153"/>
                                </a:lnTo>
                                <a:lnTo>
                                  <a:pt x="523" y="163"/>
                                </a:lnTo>
                                <a:lnTo>
                                  <a:pt x="521" y="174"/>
                                </a:lnTo>
                                <a:lnTo>
                                  <a:pt x="519" y="184"/>
                                </a:lnTo>
                                <a:lnTo>
                                  <a:pt x="519" y="196"/>
                                </a:lnTo>
                                <a:lnTo>
                                  <a:pt x="519" y="206"/>
                                </a:lnTo>
                                <a:lnTo>
                                  <a:pt x="521" y="216"/>
                                </a:lnTo>
                                <a:lnTo>
                                  <a:pt x="522" y="224"/>
                                </a:lnTo>
                                <a:lnTo>
                                  <a:pt x="524" y="232"/>
                                </a:lnTo>
                                <a:lnTo>
                                  <a:pt x="528" y="239"/>
                                </a:lnTo>
                                <a:lnTo>
                                  <a:pt x="533" y="245"/>
                                </a:lnTo>
                                <a:lnTo>
                                  <a:pt x="538" y="252"/>
                                </a:lnTo>
                                <a:lnTo>
                                  <a:pt x="543" y="257"/>
                                </a:lnTo>
                                <a:lnTo>
                                  <a:pt x="552" y="263"/>
                                </a:lnTo>
                                <a:lnTo>
                                  <a:pt x="564" y="269"/>
                                </a:lnTo>
                                <a:lnTo>
                                  <a:pt x="580" y="275"/>
                                </a:lnTo>
                                <a:lnTo>
                                  <a:pt x="602" y="282"/>
                                </a:lnTo>
                                <a:lnTo>
                                  <a:pt x="614" y="287"/>
                                </a:lnTo>
                                <a:lnTo>
                                  <a:pt x="625" y="290"/>
                                </a:lnTo>
                                <a:lnTo>
                                  <a:pt x="634" y="294"/>
                                </a:lnTo>
                                <a:lnTo>
                                  <a:pt x="640" y="298"/>
                                </a:lnTo>
                                <a:lnTo>
                                  <a:pt x="644" y="301"/>
                                </a:lnTo>
                                <a:lnTo>
                                  <a:pt x="648" y="306"/>
                                </a:lnTo>
                                <a:lnTo>
                                  <a:pt x="649" y="311"/>
                                </a:lnTo>
                                <a:lnTo>
                                  <a:pt x="650" y="318"/>
                                </a:lnTo>
                                <a:lnTo>
                                  <a:pt x="649" y="324"/>
                                </a:lnTo>
                                <a:lnTo>
                                  <a:pt x="648" y="330"/>
                                </a:lnTo>
                                <a:lnTo>
                                  <a:pt x="644" y="335"/>
                                </a:lnTo>
                                <a:lnTo>
                                  <a:pt x="639" y="339"/>
                                </a:lnTo>
                                <a:lnTo>
                                  <a:pt x="634" y="343"/>
                                </a:lnTo>
                                <a:lnTo>
                                  <a:pt x="626" y="345"/>
                                </a:lnTo>
                                <a:lnTo>
                                  <a:pt x="619" y="348"/>
                                </a:lnTo>
                                <a:lnTo>
                                  <a:pt x="611" y="348"/>
                                </a:lnTo>
                                <a:lnTo>
                                  <a:pt x="603" y="348"/>
                                </a:lnTo>
                                <a:lnTo>
                                  <a:pt x="594" y="345"/>
                                </a:lnTo>
                                <a:lnTo>
                                  <a:pt x="585" y="344"/>
                                </a:lnTo>
                                <a:lnTo>
                                  <a:pt x="577" y="340"/>
                                </a:lnTo>
                                <a:lnTo>
                                  <a:pt x="568" y="335"/>
                                </a:lnTo>
                                <a:lnTo>
                                  <a:pt x="559" y="330"/>
                                </a:lnTo>
                                <a:lnTo>
                                  <a:pt x="549" y="324"/>
                                </a:lnTo>
                                <a:lnTo>
                                  <a:pt x="540" y="316"/>
                                </a:lnTo>
                                <a:lnTo>
                                  <a:pt x="507" y="381"/>
                                </a:lnTo>
                                <a:lnTo>
                                  <a:pt x="519" y="389"/>
                                </a:lnTo>
                                <a:lnTo>
                                  <a:pt x="532" y="396"/>
                                </a:lnTo>
                                <a:lnTo>
                                  <a:pt x="544" y="401"/>
                                </a:lnTo>
                                <a:lnTo>
                                  <a:pt x="558" y="406"/>
                                </a:lnTo>
                                <a:lnTo>
                                  <a:pt x="572" y="410"/>
                                </a:lnTo>
                                <a:lnTo>
                                  <a:pt x="585" y="414"/>
                                </a:lnTo>
                                <a:lnTo>
                                  <a:pt x="599" y="415"/>
                                </a:lnTo>
                                <a:lnTo>
                                  <a:pt x="613" y="415"/>
                                </a:lnTo>
                                <a:lnTo>
                                  <a:pt x="626" y="415"/>
                                </a:lnTo>
                                <a:lnTo>
                                  <a:pt x="639" y="414"/>
                                </a:lnTo>
                                <a:lnTo>
                                  <a:pt x="651" y="411"/>
                                </a:lnTo>
                                <a:lnTo>
                                  <a:pt x="663" y="407"/>
                                </a:lnTo>
                                <a:lnTo>
                                  <a:pt x="674" y="404"/>
                                </a:lnTo>
                                <a:lnTo>
                                  <a:pt x="684" y="399"/>
                                </a:lnTo>
                                <a:lnTo>
                                  <a:pt x="694" y="392"/>
                                </a:lnTo>
                                <a:lnTo>
                                  <a:pt x="702" y="386"/>
                                </a:lnTo>
                                <a:lnTo>
                                  <a:pt x="709" y="379"/>
                                </a:lnTo>
                                <a:lnTo>
                                  <a:pt x="716" y="371"/>
                                </a:lnTo>
                                <a:lnTo>
                                  <a:pt x="721" y="363"/>
                                </a:lnTo>
                                <a:lnTo>
                                  <a:pt x="725" y="353"/>
                                </a:lnTo>
                                <a:lnTo>
                                  <a:pt x="729" y="343"/>
                                </a:lnTo>
                                <a:lnTo>
                                  <a:pt x="731" y="331"/>
                                </a:lnTo>
                                <a:lnTo>
                                  <a:pt x="732" y="319"/>
                                </a:lnTo>
                                <a:lnTo>
                                  <a:pt x="734" y="306"/>
                                </a:lnTo>
                                <a:lnTo>
                                  <a:pt x="732" y="290"/>
                                </a:lnTo>
                                <a:lnTo>
                                  <a:pt x="729" y="275"/>
                                </a:lnTo>
                                <a:lnTo>
                                  <a:pt x="726" y="269"/>
                                </a:lnTo>
                                <a:lnTo>
                                  <a:pt x="724" y="263"/>
                                </a:lnTo>
                                <a:lnTo>
                                  <a:pt x="720" y="258"/>
                                </a:lnTo>
                                <a:lnTo>
                                  <a:pt x="716" y="252"/>
                                </a:lnTo>
                                <a:lnTo>
                                  <a:pt x="711" y="247"/>
                                </a:lnTo>
                                <a:lnTo>
                                  <a:pt x="705" y="243"/>
                                </a:lnTo>
                                <a:lnTo>
                                  <a:pt x="699" y="238"/>
                                </a:lnTo>
                                <a:lnTo>
                                  <a:pt x="692" y="234"/>
                                </a:lnTo>
                                <a:lnTo>
                                  <a:pt x="676" y="227"/>
                                </a:lnTo>
                                <a:lnTo>
                                  <a:pt x="658" y="221"/>
                                </a:lnTo>
                                <a:lnTo>
                                  <a:pt x="636" y="214"/>
                                </a:lnTo>
                                <a:lnTo>
                                  <a:pt x="624" y="209"/>
                                </a:lnTo>
                                <a:lnTo>
                                  <a:pt x="615" y="206"/>
                                </a:lnTo>
                                <a:lnTo>
                                  <a:pt x="610" y="201"/>
                                </a:lnTo>
                                <a:lnTo>
                                  <a:pt x="607" y="198"/>
                                </a:lnTo>
                                <a:lnTo>
                                  <a:pt x="604" y="194"/>
                                </a:lnTo>
                                <a:lnTo>
                                  <a:pt x="603" y="189"/>
                                </a:lnTo>
                                <a:lnTo>
                                  <a:pt x="603" y="186"/>
                                </a:lnTo>
                                <a:lnTo>
                                  <a:pt x="603" y="181"/>
                                </a:lnTo>
                                <a:lnTo>
                                  <a:pt x="605" y="174"/>
                                </a:lnTo>
                                <a:lnTo>
                                  <a:pt x="608" y="171"/>
                                </a:lnTo>
                                <a:lnTo>
                                  <a:pt x="611" y="167"/>
                                </a:lnTo>
                                <a:lnTo>
                                  <a:pt x="618" y="163"/>
                                </a:lnTo>
                                <a:lnTo>
                                  <a:pt x="623" y="161"/>
                                </a:lnTo>
                                <a:lnTo>
                                  <a:pt x="629" y="159"/>
                                </a:lnTo>
                                <a:lnTo>
                                  <a:pt x="636" y="158"/>
                                </a:lnTo>
                                <a:lnTo>
                                  <a:pt x="643" y="159"/>
                                </a:lnTo>
                                <a:lnTo>
                                  <a:pt x="650" y="159"/>
                                </a:lnTo>
                                <a:lnTo>
                                  <a:pt x="656" y="162"/>
                                </a:lnTo>
                                <a:lnTo>
                                  <a:pt x="663" y="163"/>
                                </a:lnTo>
                                <a:lnTo>
                                  <a:pt x="676" y="171"/>
                                </a:lnTo>
                                <a:lnTo>
                                  <a:pt x="689" y="179"/>
                                </a:lnTo>
                                <a:lnTo>
                                  <a:pt x="721" y="117"/>
                                </a:lnTo>
                                <a:close/>
                                <a:moveTo>
                                  <a:pt x="463" y="167"/>
                                </a:moveTo>
                                <a:lnTo>
                                  <a:pt x="463" y="100"/>
                                </a:lnTo>
                                <a:lnTo>
                                  <a:pt x="289" y="100"/>
                                </a:lnTo>
                                <a:lnTo>
                                  <a:pt x="289" y="407"/>
                                </a:lnTo>
                                <a:lnTo>
                                  <a:pt x="463" y="407"/>
                                </a:lnTo>
                                <a:lnTo>
                                  <a:pt x="463" y="340"/>
                                </a:lnTo>
                                <a:lnTo>
                                  <a:pt x="369" y="340"/>
                                </a:lnTo>
                                <a:lnTo>
                                  <a:pt x="369" y="287"/>
                                </a:lnTo>
                                <a:lnTo>
                                  <a:pt x="458" y="287"/>
                                </a:lnTo>
                                <a:lnTo>
                                  <a:pt x="458" y="219"/>
                                </a:lnTo>
                                <a:lnTo>
                                  <a:pt x="369" y="219"/>
                                </a:lnTo>
                                <a:lnTo>
                                  <a:pt x="369" y="167"/>
                                </a:lnTo>
                                <a:lnTo>
                                  <a:pt x="463" y="167"/>
                                </a:lnTo>
                                <a:close/>
                                <a:moveTo>
                                  <a:pt x="66" y="36"/>
                                </a:moveTo>
                                <a:lnTo>
                                  <a:pt x="148" y="82"/>
                                </a:lnTo>
                                <a:lnTo>
                                  <a:pt x="231" y="36"/>
                                </a:lnTo>
                                <a:lnTo>
                                  <a:pt x="210" y="2"/>
                                </a:lnTo>
                                <a:lnTo>
                                  <a:pt x="148" y="34"/>
                                </a:lnTo>
                                <a:lnTo>
                                  <a:pt x="87" y="2"/>
                                </a:lnTo>
                                <a:lnTo>
                                  <a:pt x="66" y="36"/>
                                </a:lnTo>
                                <a:close/>
                                <a:moveTo>
                                  <a:pt x="235" y="108"/>
                                </a:moveTo>
                                <a:lnTo>
                                  <a:pt x="215" y="102"/>
                                </a:lnTo>
                                <a:lnTo>
                                  <a:pt x="197" y="97"/>
                                </a:lnTo>
                                <a:lnTo>
                                  <a:pt x="180" y="95"/>
                                </a:lnTo>
                                <a:lnTo>
                                  <a:pt x="163" y="93"/>
                                </a:lnTo>
                                <a:lnTo>
                                  <a:pt x="146" y="95"/>
                                </a:lnTo>
                                <a:lnTo>
                                  <a:pt x="129" y="96"/>
                                </a:lnTo>
                                <a:lnTo>
                                  <a:pt x="114" y="101"/>
                                </a:lnTo>
                                <a:lnTo>
                                  <a:pt x="99" y="106"/>
                                </a:lnTo>
                                <a:lnTo>
                                  <a:pt x="84" y="112"/>
                                </a:lnTo>
                                <a:lnTo>
                                  <a:pt x="71" y="121"/>
                                </a:lnTo>
                                <a:lnTo>
                                  <a:pt x="58" y="130"/>
                                </a:lnTo>
                                <a:lnTo>
                                  <a:pt x="47" y="141"/>
                                </a:lnTo>
                                <a:lnTo>
                                  <a:pt x="37" y="152"/>
                                </a:lnTo>
                                <a:lnTo>
                                  <a:pt x="27" y="164"/>
                                </a:lnTo>
                                <a:lnTo>
                                  <a:pt x="20" y="178"/>
                                </a:lnTo>
                                <a:lnTo>
                                  <a:pt x="12" y="192"/>
                                </a:lnTo>
                                <a:lnTo>
                                  <a:pt x="7" y="207"/>
                                </a:lnTo>
                                <a:lnTo>
                                  <a:pt x="3" y="223"/>
                                </a:lnTo>
                                <a:lnTo>
                                  <a:pt x="1" y="239"/>
                                </a:lnTo>
                                <a:lnTo>
                                  <a:pt x="0" y="257"/>
                                </a:lnTo>
                                <a:lnTo>
                                  <a:pt x="0" y="272"/>
                                </a:lnTo>
                                <a:lnTo>
                                  <a:pt x="2" y="287"/>
                                </a:lnTo>
                                <a:lnTo>
                                  <a:pt x="6" y="300"/>
                                </a:lnTo>
                                <a:lnTo>
                                  <a:pt x="10" y="314"/>
                                </a:lnTo>
                                <a:lnTo>
                                  <a:pt x="16" y="328"/>
                                </a:lnTo>
                                <a:lnTo>
                                  <a:pt x="22" y="340"/>
                                </a:lnTo>
                                <a:lnTo>
                                  <a:pt x="31" y="351"/>
                                </a:lnTo>
                                <a:lnTo>
                                  <a:pt x="41" y="363"/>
                                </a:lnTo>
                                <a:lnTo>
                                  <a:pt x="53" y="374"/>
                                </a:lnTo>
                                <a:lnTo>
                                  <a:pt x="66" y="385"/>
                                </a:lnTo>
                                <a:lnTo>
                                  <a:pt x="81" y="394"/>
                                </a:lnTo>
                                <a:lnTo>
                                  <a:pt x="97" y="401"/>
                                </a:lnTo>
                                <a:lnTo>
                                  <a:pt x="113" y="407"/>
                                </a:lnTo>
                                <a:lnTo>
                                  <a:pt x="129" y="412"/>
                                </a:lnTo>
                                <a:lnTo>
                                  <a:pt x="147" y="415"/>
                                </a:lnTo>
                                <a:lnTo>
                                  <a:pt x="163" y="416"/>
                                </a:lnTo>
                                <a:lnTo>
                                  <a:pt x="179" y="415"/>
                                </a:lnTo>
                                <a:lnTo>
                                  <a:pt x="193" y="414"/>
                                </a:lnTo>
                                <a:lnTo>
                                  <a:pt x="212" y="409"/>
                                </a:lnTo>
                                <a:lnTo>
                                  <a:pt x="235" y="401"/>
                                </a:lnTo>
                                <a:lnTo>
                                  <a:pt x="235" y="306"/>
                                </a:lnTo>
                                <a:lnTo>
                                  <a:pt x="228" y="314"/>
                                </a:lnTo>
                                <a:lnTo>
                                  <a:pt x="219" y="320"/>
                                </a:lnTo>
                                <a:lnTo>
                                  <a:pt x="212" y="326"/>
                                </a:lnTo>
                                <a:lnTo>
                                  <a:pt x="203" y="330"/>
                                </a:lnTo>
                                <a:lnTo>
                                  <a:pt x="194" y="334"/>
                                </a:lnTo>
                                <a:lnTo>
                                  <a:pt x="185" y="336"/>
                                </a:lnTo>
                                <a:lnTo>
                                  <a:pt x="175" y="338"/>
                                </a:lnTo>
                                <a:lnTo>
                                  <a:pt x="165" y="339"/>
                                </a:lnTo>
                                <a:lnTo>
                                  <a:pt x="158" y="338"/>
                                </a:lnTo>
                                <a:lnTo>
                                  <a:pt x="151" y="336"/>
                                </a:lnTo>
                                <a:lnTo>
                                  <a:pt x="143" y="335"/>
                                </a:lnTo>
                                <a:lnTo>
                                  <a:pt x="137" y="333"/>
                                </a:lnTo>
                                <a:lnTo>
                                  <a:pt x="129" y="330"/>
                                </a:lnTo>
                                <a:lnTo>
                                  <a:pt x="123" y="326"/>
                                </a:lnTo>
                                <a:lnTo>
                                  <a:pt x="117" y="323"/>
                                </a:lnTo>
                                <a:lnTo>
                                  <a:pt x="111" y="318"/>
                                </a:lnTo>
                                <a:lnTo>
                                  <a:pt x="104" y="311"/>
                                </a:lnTo>
                                <a:lnTo>
                                  <a:pt x="98" y="305"/>
                                </a:lnTo>
                                <a:lnTo>
                                  <a:pt x="93" y="299"/>
                                </a:lnTo>
                                <a:lnTo>
                                  <a:pt x="89" y="292"/>
                                </a:lnTo>
                                <a:lnTo>
                                  <a:pt x="87" y="283"/>
                                </a:lnTo>
                                <a:lnTo>
                                  <a:pt x="84" y="274"/>
                                </a:lnTo>
                                <a:lnTo>
                                  <a:pt x="83" y="265"/>
                                </a:lnTo>
                                <a:lnTo>
                                  <a:pt x="83" y="255"/>
                                </a:lnTo>
                                <a:lnTo>
                                  <a:pt x="83" y="247"/>
                                </a:lnTo>
                                <a:lnTo>
                                  <a:pt x="84" y="238"/>
                                </a:lnTo>
                                <a:lnTo>
                                  <a:pt x="87" y="229"/>
                                </a:lnTo>
                                <a:lnTo>
                                  <a:pt x="89" y="222"/>
                                </a:lnTo>
                                <a:lnTo>
                                  <a:pt x="93" y="214"/>
                                </a:lnTo>
                                <a:lnTo>
                                  <a:pt x="97" y="207"/>
                                </a:lnTo>
                                <a:lnTo>
                                  <a:pt x="102" y="201"/>
                                </a:lnTo>
                                <a:lnTo>
                                  <a:pt x="107" y="194"/>
                                </a:lnTo>
                                <a:lnTo>
                                  <a:pt x="112" y="189"/>
                                </a:lnTo>
                                <a:lnTo>
                                  <a:pt x="118" y="184"/>
                                </a:lnTo>
                                <a:lnTo>
                                  <a:pt x="126" y="181"/>
                                </a:lnTo>
                                <a:lnTo>
                                  <a:pt x="133" y="177"/>
                                </a:lnTo>
                                <a:lnTo>
                                  <a:pt x="141" y="174"/>
                                </a:lnTo>
                                <a:lnTo>
                                  <a:pt x="148" y="172"/>
                                </a:lnTo>
                                <a:lnTo>
                                  <a:pt x="157" y="171"/>
                                </a:lnTo>
                                <a:lnTo>
                                  <a:pt x="165" y="171"/>
                                </a:lnTo>
                                <a:lnTo>
                                  <a:pt x="175" y="171"/>
                                </a:lnTo>
                                <a:lnTo>
                                  <a:pt x="185" y="173"/>
                                </a:lnTo>
                                <a:lnTo>
                                  <a:pt x="195" y="176"/>
                                </a:lnTo>
                                <a:lnTo>
                                  <a:pt x="204" y="179"/>
                                </a:lnTo>
                                <a:lnTo>
                                  <a:pt x="213" y="184"/>
                                </a:lnTo>
                                <a:lnTo>
                                  <a:pt x="220" y="189"/>
                                </a:lnTo>
                                <a:lnTo>
                                  <a:pt x="228" y="197"/>
                                </a:lnTo>
                                <a:lnTo>
                                  <a:pt x="235" y="204"/>
                                </a:lnTo>
                                <a:lnTo>
                                  <a:pt x="235" y="108"/>
                                </a:lnTo>
                                <a:close/>
                              </a:path>
                            </a:pathLst>
                          </a:custGeom>
                          <a:solidFill>
                            <a:srgbClr val="BD1B2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5D947F" id="Group 24" o:spid="_x0000_s1026" style="position:absolute;margin-left:45pt;margin-top:36.75pt;width:177.15pt;height:43.65pt;z-index:251657728;mso-position-horizontal-relative:page;mso-position-vertical-relative:page" coordorigin="567,851" coordsize="27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93Ndy0AAHsMAQAOAAAAZHJzL2Uyb0RvYy54bWzsfVFvJEeO5vsC9x8EPR5gd2VmZVZVY9qL&#10;sb0eLDC3a9zofoCsVreE7VZpq2S3Zxf73+9jBMmMUCXjy50d7AB39oNTajEYESSDwSAZjN/9/a+f&#10;P139cn86Px6f3l13X2+ur+6f7o7vH58+vrv+Pzc/fLW/vjq/3D69v/10fLp/d/3n+/P133/zP/7u&#10;d1+e3973x4fjp/f3pysgeTq//fL87vrh5eX57Zs357uH+8+356+Pz/dP+OOH4+nz7Qt+PX188/50&#10;+wXYP396028205svx9P759Px7v58xr9+n/94/U3C/+HD/d3LP3/4cL5/ufr07hpje0n/P6X//yT/&#10;f/PN727ffjzdPj883ukwbv+CUXy+fXxCp47q+9uX26ufT48XqD4/3p2O5+OHl6/vjp/fHD98eLy7&#10;T3PAbLrNq9n84XT8+TnN5ePbLx+fnUwg7Ss6/cVo7/7plx9PV4/v312P11dPt5/BotTrVb8V2nx5&#10;/vgWIH84Pf/p+cdTniB+/OPx7l/OV0/H7x5unz7e//78DDqD+9Lizesm8vvH3P7qpy//6/geXdz+&#10;/HJM5Pr1w+mzYAUhrn5NXPmzc+X+15erO/xj328P+w2Gd4e/jeN2GMfMtrsH8FaajdPu+gp/3I9p&#10;CLdv7x7+wRrvum1uOQFIxnf7NneaBqoDk4lC/s4zic//NRL/6eH2+T5x7iz0UxJPRuL/DXqBcp/u&#10;rw6ZygnKSHwO6TuT/HQ6fnm4v32PcRrZCxwymzMYRgne9R0IC9IdNko6o/q0w2iF4t2YJMHpdvv2&#10;+XR++cP98fOV/PDu+oTJJGbe/vLH80smsYEIb8/HT4/vf3j89Cn9cvr403efTle/3MqC3Oy6b79T&#10;rlRgn54E+OkozTLG/C8YHfqQv8k40wL790PXbzff9oevfpj2u6+2H7bjV4fdZv/Vpjt8e5g228P2&#10;+x/+Qzux9mB+plDm/E/H938GtU5HTAdaAvoMPzwcT/92ffUFuuHd9flff7493V9fffrHJ1D80G23&#10;okzSL9tx1+OXU/mXn8q/3D7dAdW765frq/zjdy9ZAf38fHr8+ICeukS+p+PvsSw+PCYSyvjyqNKS&#10;SsL53ySlWEtZEcxS2iVFKWOCMP8NxNQWeNcNr8S0G6CofpPT/x/lFJbFhZwm6fjbyWnX7zEqUZrD&#10;9EpQp81gcjpU+9Bv+vT/cX16MDn94XR/L5bsVdf/Z3f9f3j/+PLj8fHp5b+63x8mDCcJaHchoNjF&#10;ZMPvN7WhBHPq57zhy75rmzxM3fe6FX98rwvxBhg+fP4EA/p/vrka+83VF0x1Y0a2Q3UF1H579XC1&#10;hRGCXV5QGqa+gBmHXYAJS8r72++XMWF7cJhxjMYEK8ihus1mGRUsIgcax2hQ2D8dquuC+UFNONA4&#10;HoL5gVcOha1veVTYnGco2McBLvB7Buu2uwBZRfhtiKykfDcF9BLT28c/DhHtxQR1sG4K+NhV1N9M&#10;0TQr8u+ikVX034YjKxnQb/plmon55+OHqRKMrK8YcAhG1lcM2IfIagYcgpFVDDhEYtZXDNhG06wY&#10;ECOrGNAFQttXDIinWTIg0hXDOvrDdJzZNA3LFBsq8oeCMZTkH4M5DiX1t1MksUNJ/X4TKIyhpP4A&#10;ZbesW4eK+tspmGVJ/eEwRMhK6kN1LmpqOQm59A/bCNe2pH63C9TPtiR/H6rYbUn+LlAY25L83S5S&#10;ZduS/CGukvp9F7FyW1J/H4jFtiR+D62+zMltSfxocxtL4vfDGOCCX2TmUReJ2FgRvw+RVcQHLRbF&#10;Al6DuUuR6uVZwpczg3VdoMfGivxjJPxjSf4O1FgeWUX/XUT/saQ//CTLyKaKAbtIMHAaKKYZbSRT&#10;xYBdxICpZMA+UGRTRf9Q+Uwl/bF1LVJsqsnfB7wUL5xrgjGg/lRRfwhxldSPVM+uIn4oY7uS+KGC&#10;3VXED/XYriR+tw3EYldSP7QIdiXxo21X/HBO1chQ2ZWk74ZgGe1K2keKeldSvoPgLIrEviR9F3Fx&#10;X1K+i/bvfUn5IdIU+5LwcJYH41pF+H1JeJx3Alwl5Q/R0t6XpA9tRPELOBdFzy2rw31F/H1A/ENF&#10;/HAHOVTUjzh5KKnfheQ/lOQPJexQkv8QKbBDSf4OS21RxA4l+fcRxQ4l+bvIrDuU5N9F+8ehon54&#10;dsCJduYlelxmZQeP+gzW7QKrutuU9B+jldSJ+2gWoPCQtCkZAJUSja3iwBjIWbcpWRAawx0cBvPY&#10;ImXdbUoebK6mDf67msYRlu2rw3+3KRnRBq1OvwS0ZAgBLZlCQEvGENCSOQS0ZBABLZlEQEtGEdD1&#10;3OrWc6s6KrcHUB2XCeh6bvXruSWBBV9xZADrudWv51a/nlvVcZqMdT23qoN1G2t1uCag67lVHbMJ&#10;1vXcqg7cBOt6blUnb4J1/doa1nOrOoi3B1Adxgnoem5Vp3KCdT23qvM5wbqeW9VJnWBdz63qzN7G&#10;Wp3cCej6fas6whOs6zVhdZYnWNdrwupQT7Cu14Tjem5VJ/z2AKpjPgFtcgtpFB43uX3I+RIIsPz6&#10;pLEU/IQsAST43Ii9JDGR5+NZclwktoLgzE2K2gALAOWvJfyhgse6FXgLNl7Cw3Iq8WNFCnyKxCzi&#10;RwChhMdaE3iLFS3g7yt48EXgU8LLMv6hghfDThrkONVyi23dQqfcNeY81i100jn+tNzHVLfQaXeN&#10;ee/qFjpxWEk5k2WBUjWnxUiSmcMCClu84rXOHNZN1AJIS+6JcZP6iPmN7qsWOnNYJWEfNcfFKEl9&#10;xDPHgMs+xOCQFjnLY5EfGHjVwsS8MfOa5+KVT300Zl7zXFzvqUVj5jXPB505du+QVjXPZfOWPrAz&#10;hy1qnourPLWIZw5ylrQSh3hqEc8chK9a6MyxW0ajQsCkaqEzx04Ytqh5LhuhjCrn7i3yHCwr+5BN&#10;LrVozLzmuWxgqUVj5jXPZXNKLRozr3kuG09q0Zh5zXPZVKRFThVZnnnNc3EQpxbxzCFIJa3EDZxa&#10;xDOHyFUtdOaeLnmpryB6VQudOVILIp7DNCxbiONWRgXPbNii5rl4Z1OLxsxrnosLNrVozLzmuXha&#10;U4uY51gI1Tx05vCZhvOoeS5+U+kDntGwRc1z8Y6mFvHMsYTKUe115vByRn1gsVUtdObwZYYtap5r&#10;ntMNHJZhi5rn4rSUecArGbaoeS6eydSiMfOa5+J+TC0aM695Lk7G1KIx85rn4kpMLRozr3mOfJLc&#10;RFyC4dxrrie3oHQjjr+oDRRIyUUE9qyfeP5QNnUbJYA48Yp+sjZSo1QyfF8n0J+ur5BA/5O0gY16&#10;+yK2rP149QUZcJL4c/Xw7lqSe+QPn4+/3N8cE8iLGLQgBixlTHHwPW8G+fS0CNq5UjIA+z4rTrUg&#10;OKBuuJ0rLcNkX8MoZzqMsoPOyvQxAPsaoBwnEqAx2QDsa4ASJ0uAllhtAPY1QFVhiJaTrlVHdPi2&#10;x2jpib7QrUv7Wte6kjp82xjFZ47JaJoXxMYw2VcxmnD28Ck3MSY/sWB0M94w2dcwIo0ude12sgHY&#10;1wHzuuhhkLa7lhwj6Rq+HAKYWdjDObEOcLRVbGOzr49RMWKLJxh1jL53Gib7OkadNaJ+BKPSkQmF&#10;c4YJhfF6cH1nY7OvjnGj0jPgrNsc40blcUBKWRtQJXxgQrHRNTPAIdvGqKtw8EOJTcK+Nhld1wPM&#10;1TZG1RQDEzPcXUjyOOA80cao2mzwA4eNzb42RtWPs841APsa4IVyNoC7T8fzPUZzqdEP4gTG8tk6&#10;N2OFrjObQQ29fW0casBufXsyAPsaoMStU+eM+hLJTIBEoaewFgAHhCub1EdySGaTG0M2NvvqGDvx&#10;ZwtGWIFtjHpUG2D2tgElf0YwUrUhiR4C6McsG5t9bYwu7mbfGIB9DXDtAupsSVKFrou8h4nVnrXa&#10;YD0s3SZgskEw655t3g7I9LQDsiXZ2RjdJ2P0s6/R0Wbtq8YA7GuAtnlTeXRzgFgiSIpLQkGNoE6l&#10;p0OGVZPgncpjtyVaFTeoctc5+tuwG3TNdExP2ypEcgUZo4SrIRS4TNQG3KimkH2vOeuN6p7ZVjfW&#10;2VdZuFFtNh8EDMC+BmhWZ86eD8ljKleOGK0hGtylvo3V+U7Sk2TxgAwZd6TOcdvuFaRNx755Wjv1&#10;WXVEgi97NjyN0UoiSFJwphOi0e7huxXIS1pYL3m0ciVyDdxOsolEnggPJtUIDG6UrKkV45t0UbJ5&#10;TPtsMQ5+kdPmaV/lzgUF7e8x1QeJownVTS9ERN+q4YEsrpacjliTFT4bgn3zULeS2iTdNpFZn8Qe&#10;G/RKTBvZxUxtRDFxxGaRUfa+V4TUMZXkrkDDbl+dt9wOAMaOwUkae4Jr2w9bW5DQSy22bE0dIRO0&#10;CWfqn+y3W4w/jQ8utyY+yTyVeZCD7dZuNblzyehmX6WfOh7ZadXw9UTzI6k/jQ8Z4WQeeb49MQa2&#10;Sr8eq6VJF+VHj82xDadHO7LLblVe2MF3q/I3S7TR175K5wvJt783Vouq0d55Ha4WM63IyXa0bQkb&#10;WYtKox37idSOck9G1jMSsJv49ByE+wsETqUH/tsmPjjIUr9YrW04HR+RitGkB/Np4pNrAzJfD48a&#10;F+2buT1qQKZHkYY2PtVKZPs3fB02rja+dVrE5sucgiOM1qRtcD5v9mtak/FNUoJEe7mD0+hmX6Wf&#10;aWuyUY2SOyb4iB9rlIS8BEfkSs/4HeOv+pU7hORbdNmCr6lf4uLbusFEdh01QJm1vJULETJfYoBt&#10;NdTI4AZJvFuBz+CYAWZ2wFq4nvgRtpIKj/ExfKOeAxmc8WPWvCafsbbuNT0DuXRZJCJl3cntCwy2&#10;LTqd1HcBFMKuLQkzB4pHtmyg9s0L6mJw9ud4PhqXm0Ujmk8O5cxwhtq+eQQZqicblEL5+cpw2Fdn&#10;kyjDXKRqNxO3Z6byQDYI9ToiaNtmRh4Yc5noCYF4qGAZiQCIMd7qVFXl4BFXo5V9M80kFVGwkZWk&#10;eQEDTj6tTuXOErBtPRRnndk3d+rLsj0F9XlvmfsBWjn1SrSzrQm9RB+6Cjrd9SmcHSvZ+Nzh2p5u&#10;p2HcLXaRFpElMJR4Bvo04fT4PgBvE07TjwZy5BRbNvVLfK29WgcDsf56rIeEj6yLXhNGcGW2PQ9N&#10;+mCLtjcPL1EBvYUpyNmmV6mf3T8m7fZV9WRwRNkZPqY6O6xZod9aOJlPSw4MX8/CW/h74hsLWqn1&#10;MnhiotHDvpkunbpxaCRK7u6JrmIOTk2BoXEo4y+xJsWHkPp174SN3746DwsxECvW9AuTZ7GGU7/w&#10;ADf5hvFnOGITqFU8MHyaVknHJ1UrhB/ktGXR0BUxN6Vzex56qB2ww7XIoj5psT1bYLqIBhzYm2A6&#10;11yRJtw7TJRxV62JTQ0aBCrWgJGFe2GSmVyaFYfhSuJJqunnGSj4x7JcTVVV7lwWn/v2++5bV5UV&#10;2G/F5/52xeckpyNX9ZqrJaX98T9T1OuvWC1JPRabnK+Xyw5KUUpU48E2lcslmbRbMctS/laXS+p6&#10;lBj4cgXfUlrYZS0k6Eu/h2bX15MuKYEwUAfq5Nr2Mi7YJg6mNzUvUEEnOAyC4HKJdGlYME9nMJRo&#10;kku8F7hg081Am3RFfwkXtkAHQwWjRVQw0xzmkO7nL2ECVxxKC7NcDErOrg50wC3U5QmKe8TB9vn+&#10;7iWukvD7VMhmaVgS13BcqA63PMWqYNIB99KDgVWk1zojlyMraX9INaYWR1bSHg7vYGQl9WGahTQr&#10;6Y9w8TI22YqdGihJFsxT8iocDEHqAFnJgcNWLp0vzVMOmAWyXD/ggmjVpc9DH46s4kAk/GKZeJeH&#10;QW6KL46s5AAWXDDNkgOHMURWMgC35heXkgTj5oGhLsPywMSP7WBaguaCYnIin4GmEFdJ/kjziMk3&#10;40KZlGBcJfVDXCXxp30ksOKj9S6xSJbpVdJ+GqR+wBIjq8uaWnvpgl6SquUdTuEcxUp2sEgliiN6&#10;BoIiWB6XeEMcLFJkkpDhQCPKygS4Stpjo1kmmJyVHdnURcSX6LGDdaDrIvWrgklTqkm3RH3xb8zI&#10;sEAWkYkP2KGw2QbTlNCHg8GHGSAr6T9Bdy7TTDwCBbJcSOtCMKpbliNqfwTIKgYcAppVlyunUPVU&#10;FZNC5V/dqZxSxaQlBlT3KTtUFVtkQHWVEhWbg2nK6XSmmVYYvKCZ+EYcakqFPZZGVlVMQiZRMLJy&#10;BcSrXPws3meorquaSVNo28lh3ZGFJKvVT7TDSRDccUHhLZJfIuAOhBSSgPxVzSStVXhBffFIOK5t&#10;ql2yRP2qZJIWAbrEVRK/gaskfmgMVzWTck26xYGVxI+RldSHFy6iWEl9K3B3MU051DrJulTJbGlk&#10;cuB2sHBkEt9xqHAXF7e0Q22DHU7uDM1A0cYrrq8ZKlA9km7kQKh/uqzGxNvmUFrO5pJaJekjhSiu&#10;DseEFLxlua9rJkV2XV0yqQ9mWJVMCi0e8dTM49KCqxdTlOxPhwpVq0RWHQrZmMEcS8pvo92orpiE&#10;uoiLekLcUXOPkZaWWMYMBXFexCWu3Bks1RFaEnqJ885gVpbrgmJ1xaRQ7OuKSVaYawFbyQCEuAN5&#10;TRHKeaqo9BdMteRBC10p/1arcGF0JRtSoc5lylV86IIjhATwZwLDcF5eml118EWh1+WZiqvGCRKe&#10;RyTLdgaLtD/qJBdQqYzi4jwlJuZ9hgdfyedxqHa1BgkmrQUtWUGwluxog1ZHYQJaLg8CWvKGgJb8&#10;IaAlkwhoySgCup5bv1VEkmz4lfJaHabbLPitIlJ13G4Tqzp0E9D13KqO3wTr+rVVncMJ1vWasDqQ&#10;E6zrNWF1Mm9jrU7nBHS9JqyO6QTrek0o4dOVK7Y6tJMBrOdWdXonWNdzqzrGt7FWR3kCup5b1Zme&#10;YF3PrepwT7Cu37eqUz7But7KqM77bazVqZ+ArrcyqvM/wdrUhAjarq2KBdsu1RBYWxULBl4JD/lC&#10;bP/GUm4ua5t0de0GSI7AW5bjAnxdtwEyIfAWnL+Eh71XjgfcFnhLeVqAf12vITfw5JOFFnWlDr0l&#10;f+PpXAst6kodmgBx44lnCy3qSh2aQH8DYufA/0KLulIHyJwm7pf1FlrUnNb0jVZVLJiHJW31ssKN&#10;X7pY6KPm9pqqWDW/NfnkxtMxLvtAsKUalc68j3mOuEvZQq9OtapiIQhTtTAxj+UchmTVQgXd83kX&#10;5lHzfEVVLCCr+tCZ+yX1hT5qnuu19lZVLMRvyj7EOJMF5Ul1C33UPBfDK7WI1zgGXPWhixzRi0ja&#10;MfCqhc4cIYqwRc1zTVVvVcXCVMs+VlTFAlGqFqbc4pmDOFULnblfbLmkLipiVC105n6lYqFFzfMV&#10;VbFA+LIPTZC88cTMhT5qnq+pilXzXC963XjO0mUfYFk1Kp25JzQvtKh5rpfTWlWxwOSyD00JvIGH&#10;PZIrGLVVC+W5X4laGFXN8xVVsWDiVn3ozD1He6GPmuea6tWqigWRK/vQqw03nty70EfN8zVVsWqe&#10;673ZG08cvezjVQUmvaHfqooFY7icx4qqWBDvqoVqOL81sDCqmudaYODGr10ttKh5vqIqFgzlalTK&#10;c0/eXuij5nlyCovina/3LLSpub6uKlbNdytGg35iPYdFWs4mFb7PY4t1PJZr3UZJINXro9WIsFrV&#10;Rm/RoMiplWq4pAEWed1GBWCuX7DQppaA5F5N86ltOkmW9NKzf0mVr+SkzVW+MnfnazOaHT5amrER&#10;f4awfE6DVOurfVMIJZcynclVod5uNZEaIf3FAG1YlmZ6Weimt3vTPdZ/ZnU4KwNlBWz6UbKdwKPV&#10;gHPnNmL7KkEllVAw+pq0v9vXCK9mFoPbqgrtXOkaIvsqwq34aVd0LKnsa+CMhpczbvAI74ok5L3n&#10;1Yc8MlBGgI34HFbMy+AoK63j1YA9KrZkgTOS21dJ30tKzRopkkJAqwB7vW/Dap31w0ox6lfCGXFm&#10;BtpcG1zf6J3vuWZLxHUU6Mmkkk2lRdPO3kwlt8RQ1SRrZt+Zbbz2zTxCZkw2oymcHpIpnDwhI2KZ&#10;wofQ6daffbXfvRo084ZrAPY1QL2zKdtgkzJ7yR9Czx25P4Cnn7LdKUV62hhVJXR+PLax2dfGqP6A&#10;DtLUxiiPycgYwR0CiOioAJJiGN1Oq4905MYT/g7fr2AkV9UAmLuen9612dpXZ+2VcdynYQD2dUDV&#10;fn7YNgD7vgYk+ykyWhQjhKNJRx8jub4PjHknH8i9bZAnd02r/+382ouZbTZb+9qs9aq66KzmZPZ6&#10;953WTdtLnBu8ppXY9lpFYvBDm43NvjrGvaSTCkZy27nb+zVWOwYaJvsaRvEYA+OWXnFTwWX7UndQ&#10;1bNlCuCguozePjXlqHcJYm12sA3MTVqbrX111gc9u9MLtwcVM3ZfHtVjsuAyOjrgwBTpAaZH4jV8&#10;r015POht2gHqrw1oa8bNHyOLfY08esAfSM0ZbINZ2dP6lgfdFQZSdQbFZVUB5DsvDV7bHV0OmK0a&#10;WlrzYPfN6RjVtz24Z9ToZ1+jowoFu8Dna4YSfK/HcHozdO9qj21xasEP7qi3SdjXNIUJhZ9LDcC+&#10;DqgE98O1AdjXAK1UEjGyUfQlWzM9qeUEQN00yXEE+jELLjOeAZgNM7lK3VxcDgjP1zpABOIJoI6R&#10;3cb1WVMDyehITS6JeWJX6Jnu2auDklope60rycpsdXsrnAgXVZs8ZklB0tuAZpuRYz9uhWfd08H0&#10;amI8aGkSWoX7oBaAVNVsY9STPt6EJIAa+aG1xw+qHzmgalwOqF6Wjlkptit07lG2hW9f0496zx3m&#10;M5m1uxkYHXEwEsGVG/4tgkMMs5LqyAnO92tkXDOMKj0XRRTisynYnde4a8DwaDrpKd4hjZb2VZoa&#10;HLXTrOvVgBc9N+Y1mvR5cCSemJWSclCbkX1tZgp4MY5XcIM6t9fCsRpg3VaLc68GpCQ18qwGvOy6&#10;QfxBd8HOt/SQ+INWgJmdzUZM+yrxxXpKC4uZrYO6bKkLZVDdCKXbWqmdHAWlZ+bK6DXSwlwjvdox&#10;7AAOP3bul2hkeGnXwWmRC7av9eYBJeYBLofnftuaDu4V1XSkVBFe51DdeaHAXsmC1OpNssCsA2zm&#10;GZDZG1YYhZWxg0Rr18xGl90sjRFepqZ44V58BiS1eXCvMfMZD0ozjEpwtunjrk/umhkmDujhOuOI&#10;fXWVGiAru4jJqKHMTso26x7LmtBRTUaILwHMs+6ZG0psIWEh8zJDKNRQxvG/3bUegBHgIYB6pBYd&#10;0MRoa6b3kL5xxL7KmV4LMPbMJuo1XaXP5SXiA3CvLp6e+dR6TW3oEVhuT8bceVRFqY3eE+MJyzn7&#10;eOmrH1KJSXhNvSJSCDEBslPoDEj8fg7IJNzHyLwivflZmH+gVzrSekG9coYWIPJKXuwVml5tmoGd&#10;Qnv1qUmx67b0qOByQLmwILymY1RTgpdxMocMc93KMTV1zThjTzVQhwxcNxkjkx45VGbBZbpHEvSF&#10;PEwBmLIfSG0l6Me8IQ3MhIK3I3XNnJh4TyHr8C2zBntNNd0iq6EtPZo1ST2ysm0IeajX2IrucUB3&#10;BhPPjdTuzF2zXUGFYsuU1GC+cshlkzxmLLN6k91gTkxqVtsqZHaw6Jwsj0Rw7SwxsBjYYOXjWNjI&#10;DjI0gDKov2pgAT0v7I9JtQlua4aZMxKzSeTxtGXb+e1rJygDZGtm0K7pfm2ToTbFYI5WZqVIIUuZ&#10;DLV7Bt0+pGJlm47Ka9lGCKBapGxDkm0jjRHnqTZG1RRSzZMAqqHJyiMOsJZT1yyAIs8VZUCm9vQw&#10;Sl+2s9No75lkJl72NUPTHNbM+97r0Z96ZC1/RJR+k47IgUqzpi8Emo3LvHTdDMhUs2b2UE+ij5Ed&#10;zpAslieDg2R71nr+v3TRXHBGT8P0UKGrUA5p7a41eNt5KrV1aV8TCnO0suVqpivHqHY4B5TaAlAp&#10;cpBsTmYw9wMjj61C6rAeEA9JXTP3su0zs8PM6Nfwsm00rOBuxtDJZq+aOqRht69yyeCoV9C6Xg14&#10;0XM8r8OFOzaa18FcLMRxa3AXg6inv1NvyEowttwsp2ItHKOl0WUt3GW/Mc1RwCoJau+2WETzUU3Q&#10;GdKIaN8sS5M5/chR/rJnw9MYrVoT8+NR0WjtmSlGs51aPAxuUmOCiMio5acJmL39wHodteowhTOz&#10;Fo6ZlqabLujHaS4PTmYtageFiOb+jhJZlQZHiGRWwkqwS6m3uWW5dN1NRmdwjOZGl7Vwl+OL5VyC&#10;34nmNIxiXkAaRdFzIU2i1FVOYyigooyQGWbqKWTHfz3o0QBK3lVdVxmH7au7meYIMzCchtIU2taB&#10;hfTaK0u9jWSeGkIgEq0nSvZ+o1rbc26xUcG+mRpmTJKIiYaIWEosvFdJMMmjP/raAUrLNvWRegzk&#10;+c2W2rLkWhYn0XAKs+J0CtQMzzNlERINzbD4iJ7z2NFID8EsNpJnSiMjehQkjgR/Rq0dzlM3GYuJ&#10;aAyRnbo1qMviIeqRZF4By6kiXgaLMpBICFaxCDmNg2iOHQ2DaLYp9apoRkZPLCd7Y4XGQDQTgoZA&#10;dO3TCIiedOlbEw5nFoNpJPuqnjY45sC28bHoh8oUTY40/yMLAyo/eOhDndwsqmBJ2czPpOcgFs5Q&#10;MWVgFt8io9ONn0U89OTFUtXtnh2JdqgDg8U6VgqK8RUxmdZ2otEQFuQw33Pb9WT582Tn16XIwhtK&#10;Dxbc8LBB20ujMT4W2NDENRqt0AgWhdN4M4XT17PY8OxxbhrS0EMQM8jFEBf1TgMa9hQOs3FtgTF7&#10;Uw9SA4mam0nPghnij5V5iNO+Je52mGChDMsTYJEMeTY29UsCGb0tDWp+ZH7IGxbNeZg6JlEM65dt&#10;tzYPFsPo1fxkiRZ+NZHYn+JwT+YF8Ygaf5klJemhCR/bVnDsyHBtecGNwAzHghcassVVyybf8FRC&#10;xsdCFxruF3q35EAu46V5gI5NOD0G0riFriOauaReYha1UDKzmIXGaVjEQjd5Fq9wsHa0wjzixC1t&#10;Y2NHJI0hU3e4nrQvXSCvDEJzHZIVJM5ykQAepciSvCJSkPGRFdlZJioLeqi9QvtViacBCrvYyuhi&#10;QRkWONIsIRaysp0jDk4gR+y3R692skGc/vHpDHcYjBX88lP6ZTumv9w+3T0cT++uX66v8o/fveA3&#10;QP38fHr8+PACOU4lNZ6Ov//55fjh8UWUmjww9dPx/Z9/POkvX87P3/xO/hU/XP36+dMTfnpGjw8v&#10;L89v37w53z3cf749f/358e50PB8/vHx9d/z85vjhw+Pd/Zsvx9P7N/2m26Sfnk/Hu/vz+fHp458e&#10;bp/v0be+ZvXj6erxPUaDRfP60auk4RXsT88yqNu35+c/Hu/+5Xz1dPzu4fbp4/3vz8/3d2k2+Ke/&#10;+qNX+xzFn9+8msS6/Ss+eTVt5cES1L5O9n75mBVOd14yswuKiuOw4DAYWYAJlHWo6KUYbOYzTHpE&#10;ZWlM8GE5FPLUl4tiw43hQNtByugvoYIudai4uH8BNKK/ZVTgiKOK5ldV/UbiToBKtoIZV1AWXlK8&#10;HGgAb5aHJRLtYNFLOOJydyDYjhGukvLhHEvK96mO/hLlZRvzLlG5f7myOZx4DtRPoZCWtMc7Jou4&#10;RFGtwCXp/Q6GagoBspL4fXqYbWmSclqYkeENq+WRldQf0ltji8hK6kPXBshK8uNWSMBKOU/MI4ue&#10;6BFXtkPhBcsIWUn/LnpCQq7Qzcg28ojE0jTFh+pguMG3PM3qrSvkO0fIKgaEIysZgNI2EbKKAYfg&#10;6Qe4/efx48neCFnJgPCFBXGdODFw+zhCVjIAzzcv00x25xkZnuRbZoB4HB0sfDxIolYOhUTACFnF&#10;ACyUxRUggfg1yCoGhI9UlQwYxohmcrHP+0TKUzCymgGRxpakrhlZFz1SVTEgPcG4tALEMnZk0aMP&#10;4i1zICTxBPSvKmlHqlEClTOuLuKl+JgcLHrVSCJzDoQb+NG4SupHD6FJaorj6mNcJfGjbUlu3jgu&#10;ZFwH46oqZONstywVcidpDbJS+KMHN+SayIxrEw6sJH4gX+IaLVBFJoH4AB0seplTkjkcKFzecuhy&#10;KLxzs7i6xW3uQOkhxyWpl2QUh4re1ZG7STNQwEOJdDnQIVCGON7PQJHGl5i1YwrfCpVk0hkqUqvi&#10;UZ2hIsmSSIRDhVa5mP8OhbvUy3SXqw8OhTW2rO5fPXAV8LB64KoLrU05XHuXXWRWSMKAQ2H0wcAq&#10;4k/RJEvip+dqloRL3NTeY2ihyFVWh0rPtC7iqog/BVua5Jw4rvQU6hIuSWZ0qC4yz+Fcn6G2ESPF&#10;dTnjijY0SelwqPAEIu56h0LdzmUBE8ebQ03RFiR+N4c6BKpLvG4OlJ68XCRXSXq8y7iobuo3ruRZ&#10;wGX5qh+5OgR8TIVOfWTt0vriJF0LWrKBYC15QUBLhhDQkisEtOQNAS0Z1AatzsIEtFwlBLRcKgR0&#10;Pbeq8zHBup5bcn1upbhUp2UygPXckmDlygFUp+f2AKoTNAFdz63qKE2wrl9bEqZbS4H13KoO12Ss&#10;67kloZ+VY62O2u0BVMdtArqeW5KNsHas67klCXhrsa7nlgQ21mJdzy25BbUSa3Uub7OgOpsT0PXc&#10;kpDN2rGu55ZcGFuLdT23qmM7ocB6blXn9zbWv8XjWAg1rX2VB2HJskY5rFAEC28s6n1Znxw2SwkP&#10;oRF4iy4vwNf16SEOAm+R1wX4ujo9GC3wlhy3AF/XpgcLBd6yIxbgX9elzw38CvBCi1dV6XXKHlFf&#10;aPGqJr1O2hNVL1vAuCmpqhflW6/yYMBVC52454Us9FFzWnZoIZUXfVlo8YrXOnNsrTmXYKFFzW2t&#10;DHCDbTNsUfNbE2dbr/KAOOXMNX36xqvqLYyq5rnsdjJzz7VZaFHzXLOvbrBNhfOoea6XUW48p++y&#10;DzCgnIf4gdOoYlkHq6oWynNPzVzoo+a57BzSB7aFaB5gbtmHXjZovcoDJlctVNo9hXJhVDXPNW/5&#10;xktXLLSoea55+jdQw+E8ap6veJUHglTOQ9MLbzyRfmFUNc/1/sYN/J7RqCB6VR/Kc+QshC1qnouL&#10;UzjoWRWXo3r1opSWELqBpzLso+a5VlBqvcoD8S7nseJVHiyEqoXO3C8YLcyj5rneFrvxtPWFFjXP&#10;Nf229SoP4iXlqLSUUetVHiy2qoVKu2fJX44Ki65qYVtazHMsz6qF8twTkRb6qNe5FjFpvcoDG67s&#10;Y8WrPAi6VC105shsi+QKKqBqoTOHcy1sUfN8xas8UBplH3p168ZL0C7Qqua5OMtkRfl9qoUWNc/1&#10;llPrVZ5XL0ppxtmNF2K67ANBnGoeynO//rTQouZ59CoPbEG0/eP5RdD/JS/FJMda66UY1I/KNPQb&#10;TNGtR4TNcHQAtUnWotTnFzBWAEzSEAXOZdBy5OyrlycuBmh/j68VeiG5+emScFZWfY1mU1uhhNWA&#10;c+c2YvvqzCQFRygg3M+LygDsayTQWwYc0KrmwjffxAj387quN5a6x8ZodLycdcynPfL8hAA9nCh5&#10;uBGbDJJRwN4sWAvHmGn9roVjxa6tbi/DB082/KAgDQO0GsTsthqe4YKTYoWwHdTmYBQ0ysy8M6GN&#10;+b0Td6GMAS7ONr939nwIeeFgskRfUt1p0hxudt130ptz5CrEpETC3tBaZpPaur49GYnsm9f3JL4u&#10;kIXcq5j0RMbANLmYgWlOM7nPOeqm7LufDd2+eQqjWi1MapApqlLYVlCjagZ26XfUuzCdn89tXPbV&#10;8dntYD8x29/ta3A6PhwoWpwdlWXs4u8oLleReD9RWX/21X71zgfCqO1+xTUu+EiGtD1rxqqij3qH&#10;CU8Ftfs1OCLxhg95SW18qgl6coVttDu75OrkqGsDiSOk37zlssqoo16xY2rVqkxLheKmvKjt1Ptp&#10;0fhvX5UDPbnSe8BWcNRPVIbHvopP1yW7+zOpNhBjqzWPSQs2SKHOJpzeiWJ3kyb1tbCrwJN6P6Tq&#10;V7NfLfPCrgKbZmZXgSdxFmO9savAk/ookJtLxqf4iDz7+OB0WDVf91UZ/+2b5WCSEIXMw/1N9nf7&#10;Glw+GQ6Q12a/6utjBUYn1RsD9G8Tn25aFE7vJjG4Uc95bHyj2gXsNvBodyQhh615WF0cdjV7VGuM&#10;XQgeTf6IvIy6PgamT606K7kUbHp8II88jOpdZXVPR12X9F6wHonYxWCzI1jRU+PvllQFGfUyG7vL&#10;O0mKPdYRhdP1QeF0XbLxTXoMY3eDJ7Wb2LFhkpQ4mQfuVLbkedJ6L4P7Mkxf2Ff1hq03YnXudJ9h&#10;d4PN/h/cb2b92Tf3u9NoC7sbbCcPqb7Zmu/O7vISO2yndzOZntyp/Sdvrjb7tXXkMSCbp311vrpf&#10;sn1rp/jY/mvzYPbBTuWZ3Q3emR1G6ZyjGay4qfGX2Vc73T+kkGaTzuogEV9WC25SfcAKm06Qd1lH&#10;7G7wZEVI3dNhfLWvriPVf/LyRHN8GnGSm4tNOOMHqWk6WdlVYrdPkskl8yVvGU66z7DLwZPe6Wa3&#10;gyfd99n14Bmuff6Y4QidzaFGbghPWiJH6oA3+aFyym4IT1pKh53zJj8Pkn5VX7GbupPKlRQ+b85D&#10;zzMUn9rFHE79kaSEqe1vlC663ig/rMYq22cuPFe2bmNv11b34pnXkXfTIYmT1d5RYF4Wg2NWgPW7&#10;Fo4Vw7Fq2Wvh2CnSHp1fDUd2TxufVABpSbfBzZwzbts3a2uj3yVcLBVWmdL0UyQTnXqsyIHcnjLy&#10;8I2N0L55pL3p7ea8rU8YGS3yaB0Y4inIC/piXDFlevOp+eNIEW163a2YN1denpPdijgv7d0I4goV&#10;nZOwtU0HC60wbKqRiUOtU4cLez1c7RVW9lLNefZyuAYfWJFEi18RJwVsMqFb55krJpv2zTLqRSfa&#10;gmWeUnjAWkKqKVISjWyB6eMZ7K3wPAP2BKdFs4iAZAuKeGLMPm7bswoFr3prkmqjMp9dGhd9Fjx3&#10;SR8F1+VP/Ojq3qUbRvais+fAIWAiaOyQJ/ckBYzZdDoFEqCWO1WCDSfgFg9UFTEHSGcOBhLQsuJA&#10;9AlwXXzMEWHKjT4ALtfRMF2KT4srMceGv15DDii2OTD6GRw7IPeaesjk2IuFQZ+02GvzYK9Ge9Ez&#10;ojPlQJTEiuzF9p4QffVbS/IOrNiVPfNC1JO/jMTwqeOKjk8PFMxxaqWJBk/ntE3EvnkzsfXBHKyd&#10;HqAY36wUkzz+05IDqU+d+EYCAbhnp3Dtg5tWqBpwDm11q6utJ246Pe2w0vZm4JEsEjUmWM6DFmFi&#10;z3sbmGdgGkPtmxlrYMTRY2Mj4mkz9QRk68y+2mlWej22qzVcIE4Z3QqYNZFuI0LVMl8LckWSKDEf&#10;ihh9IprMh4IbvwrX3tE69QnKy6ItqlgZX/qUt27fLGZtpxT6kLdVEyM+mc7qkDM4VaHMp2AqmT/i&#10;ndM+OvgqWvSzuoe8ilm2a1gs3+o8MjmwLZK+363nNvp898X5zhaZnQl/q7J2rbXU/luqrKH42se3&#10;Xz6i3prcOTrdPj883n1/+3Jb/p6qsr29748Px0/v70/f/F8BAAAA//8DAFBLAwQUAAYACAAAACEA&#10;QwOc6OAAAAAJAQAADwAAAGRycy9kb3ducmV2LnhtbEyPQUvDQBSE74L/YXmCN7sbk9YasymlqKdS&#10;sBXE22vymoRm34bsNkn/vetJj8MMM99kq8m0YqDeNZY1RDMFgriwZcOVhs/D28MShPPIJbaWScOV&#10;HKzy25sM09KO/EHD3lcilLBLUUPtfZdK6YqaDLqZ7YiDd7K9QR9kX8myxzGUm1Y+KrWQBhsOCzV2&#10;tKmpOO8vRsP7iOM6jl6H7fm0uX4f5ruvbURa399N6xcQnib/F4Zf/IAOeWA62guXTrQanlW44jU8&#10;xXMQwU+SJAZxDMGFWoLMM/n/Qf4DAAD//wMAUEsBAi0AFAAGAAgAAAAhALaDOJL+AAAA4QEAABMA&#10;AAAAAAAAAAAAAAAAAAAAAFtDb250ZW50X1R5cGVzXS54bWxQSwECLQAUAAYACAAAACEAOP0h/9YA&#10;AACUAQAACwAAAAAAAAAAAAAAAAAvAQAAX3JlbHMvLnJlbHNQSwECLQAUAAYACAAAACEA36PdzXct&#10;AAB7DAEADgAAAAAAAAAAAAAAAAAuAgAAZHJzL2Uyb0RvYy54bWxQSwECLQAUAAYACAAAACEAQwOc&#10;6OAAAAAJAQAADwAAAAAAAAAAAAAAAADRLwAAZHJzL2Rvd25yZXYueG1sUEsFBgAAAAAEAAQA8wAA&#10;AN4wAAAAAA==&#10;">
                <o:lock v:ext="edit" aspectratio="t"/>
                <v:rect id="Rectangle 9" o:spid="_x0000_s1027" style="position:absolute;left:1215;top:901;width:67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yUwgAAANoAAAAPAAAAZHJzL2Rvd25yZXYueG1sRI9Ba8JA&#10;FITvgv9heYXezKY9RImuIkqh0HpoFHJ9Zp/JYvZtyK5J+u+7hUKPw8x8w2x2k23FQL03jhW8JCkI&#10;4sppw7WCy/ltsQLhA7LG1jEp+CYPu+18tsFcu5G/aChCLSKEfY4KmhC6XEpfNWTRJ64jjt7N9RZD&#10;lH0tdY9jhNtWvqZpJi0ajgsNdnRoqLoXD6vAyM/RFqfy6NJHdzbl8rry4UOp56dpvwYRaAr/4b/2&#10;u1aQwe+VeAPk9gcAAP//AwBQSwECLQAUAAYACAAAACEA2+H2y+4AAACFAQAAEwAAAAAAAAAAAAAA&#10;AAAAAAAAW0NvbnRlbnRfVHlwZXNdLnhtbFBLAQItABQABgAIAAAAIQBa9CxbvwAAABUBAAALAAAA&#10;AAAAAAAAAAAAAB8BAABfcmVscy8ucmVsc1BLAQItABQABgAIAAAAIQBFEiyUwgAAANoAAAAPAAAA&#10;AAAAAAAAAAAAAAcCAABkcnMvZG93bnJldi54bWxQSwUGAAAAAAMAAwC3AAAA9gIAAAAA&#10;" fillcolor="#0071bc" stroked="f">
                  <o:lock v:ext="edit" aspectratio="t"/>
                </v:rect>
                <v:rect id="Rectangle 10" o:spid="_x0000_s1028" style="position:absolute;left:567;top:1131;width:132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kPwQAAANoAAAAPAAAAZHJzL2Rvd25yZXYueG1sRI9Bi8Iw&#10;FITvgv8hPMGbpnpQqUZZVoSFXQ+2gtdn87YN27yUJtruvzeC4HGYmW+Yza63tbhT641jBbNpAoK4&#10;cNpwqeCcHyYrED4ga6wdk4J/8rDbDgcbTLXr+ET3LJQiQtinqKAKoUml9EVFFv3UNcTR+3WtxRBl&#10;W0rdYhfhtpbzJFlIi4bjQoUNfVZU/GU3q8DIn85mx8veJbcmN5fldeXDt1LjUf+xBhGoD+/wq/2l&#10;FSzheSXeALl9AAAA//8DAFBLAQItABQABgAIAAAAIQDb4fbL7gAAAIUBAAATAAAAAAAAAAAAAAAA&#10;AAAAAABbQ29udGVudF9UeXBlc10ueG1sUEsBAi0AFAAGAAgAAAAhAFr0LFu/AAAAFQEAAAsAAAAA&#10;AAAAAAAAAAAAHwEAAF9yZWxzLy5yZWxzUEsBAi0AFAAGAAgAAAAhACpeiQ/BAAAA2gAAAA8AAAAA&#10;AAAAAAAAAAAABwIAAGRycy9kb3ducmV2LnhtbFBLBQYAAAAAAwADALcAAAD1AgAAAAA=&#10;" fillcolor="#0071bc" stroked="f">
                  <o:lock v:ext="edit" aspectratio="t"/>
                </v:rect>
                <v:rect id="Rectangle 11" o:spid="_x0000_s1029" style="position:absolute;left:1288;top:1361;width:60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19vgAAANoAAAAPAAAAZHJzL2Rvd25yZXYueG1sRE9Ni8Iw&#10;EL0v+B/CCN7WVA+uVNMiiiC4HrYKXsdmbIPNpDTRdv+9OSzs8fG+1/lgG/GizhvHCmbTBARx6bTh&#10;SsHlvP9cgvABWWPjmBT8koc8G32sMdWu5x96FaESMYR9igrqENpUSl/WZNFPXUscubvrLIYIu0rq&#10;DvsYbhs5T5KFtGg4NtTY0ram8lE8rQIjv3tbnK47lzzbs7l+3ZY+HJWajIfNCkSgIfyL/9wHrSBu&#10;jVfiDZDZGwAA//8DAFBLAQItABQABgAIAAAAIQDb4fbL7gAAAIUBAAATAAAAAAAAAAAAAAAAAAAA&#10;AABbQ29udGVudF9UeXBlc10ueG1sUEsBAi0AFAAGAAgAAAAhAFr0LFu/AAAAFQEAAAsAAAAAAAAA&#10;AAAAAAAAHwEAAF9yZWxzLy5yZWxzUEsBAi0AFAAGAAgAAAAhAFvBHX2+AAAA2gAAAA8AAAAAAAAA&#10;AAAAAAAABwIAAGRycy9kb3ducmV2LnhtbFBLBQYAAAAAAwADALcAAADyAgAAAAA=&#10;" fillcolor="#0071bc" stroked="f">
                  <o:lock v:ext="edit" aspectratio="t"/>
                </v:rect>
                <v:shape id="Freeform 12" o:spid="_x0000_s1030" style="position:absolute;left:1969;top:1311;width:600;height:207;visibility:visible;mso-wrap-style:square;v-text-anchor:top" coordsize="120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F73wQAAANoAAAAPAAAAZHJzL2Rvd25yZXYueG1sRI9Ba8JA&#10;FITvBf/D8oTe6kYPpUbXEIKlDZ6Men9kn9lg9m3Ibk38926h0OMwM98w22yynbjT4FvHCpaLBARx&#10;7XTLjYLz6fPtA4QPyBo7x6TgQR6y3exli6l2Ix/pXoVGRAj7FBWYEPpUSl8bsugXrieO3tUNFkOU&#10;QyP1gGOE206ukuRdWmw5LhjsqTBU36ofq2Cfk6H83BcVl93l63I7rNryoNTrfMo3IAJN4T/81/7W&#10;CtbweyXeALl7AgAA//8DAFBLAQItABQABgAIAAAAIQDb4fbL7gAAAIUBAAATAAAAAAAAAAAAAAAA&#10;AAAAAABbQ29udGVudF9UeXBlc10ueG1sUEsBAi0AFAAGAAgAAAAhAFr0LFu/AAAAFQEAAAsAAAAA&#10;AAAAAAAAAAAAHwEAAF9yZWxzLy5yZWxzUEsBAi0AFAAGAAgAAAAhAPHQXvfBAAAA2gAAAA8AAAAA&#10;AAAAAAAAAAAABwIAAGRycy9kb3ducmV2LnhtbFBLBQYAAAAAAwADALcAAAD1AgAAAAA=&#10;" path="m1011,341r,-174l1030,167r10,2l1049,170r10,1l1067,174r7,3l1082,182r6,5l1094,194r5,6l1104,206r4,7l1112,221r2,7l1116,237r1,8l1117,253r,9l1116,271r-2,7l1112,287r-4,7l1104,301r-5,7l1094,314r-6,7l1082,326r-8,5l1067,334r-8,3l1049,338r-9,1l1030,341r-19,xm931,408r118,l1064,407r15,-3l1093,400r14,-5l1121,389r12,-9l1144,372r11,-10l1165,351r9,-12l1182,326r6,-13l1194,298r4,-14l1200,270r,-17l1200,238r-2,-15l1194,208r-6,-13l1182,181r-8,-12l1165,157r-10,-11l1144,136r-11,-10l1121,119r-14,-6l1093,108r-14,-5l1064,101r-15,-1l931,100r,308xm775,293r-67,l742,195r33,98xm797,354r20,54l901,408,785,100r-87,l581,408r84,l686,354r111,xm347,37r83,46l513,37,491,3,430,34,369,3,347,37xm407,238r,-77l422,161r10,1l442,164r7,2l455,170r6,6l466,182r3,9l470,200r-1,8l466,216r-5,7l455,230r-6,3l442,236r-10,1l422,238r-15,xm485,282r13,-4l508,275r8,-5l525,263r6,-6l536,250r5,-8l545,233r4,-8l551,215r1,-10l552,195r,-9l551,176r-2,-9l546,159r-4,-9l537,141r-5,-7l526,128r-7,-8l511,115r-7,-5l495,106r-10,-2l475,101r-12,-1l450,100r-123,l327,408r80,l407,289r76,119l582,408,485,282xm210,35l171,,105,56r28,29l210,35xm80,100l,100,,278r,15l2,308r1,13l5,333r4,10l13,353r4,9l23,369r9,10l43,389r11,8l68,403r15,6l99,413r16,2l133,415r16,l165,413r14,-4l192,404r14,-5l217,392r11,-9l238,372r8,-9l253,353r5,-10l262,333r3,-12l267,308r1,-15l268,278r,-178l189,100r,167l189,287r-2,14l185,311r-4,10l177,326r-5,5l167,334r-6,4l155,341r-6,2l141,344r-7,2l126,344r-6,-1l114,342r-6,-3l103,336r-5,-4l93,327r-4,-5l84,312,81,302,80,288r,-21l80,100xe" fillcolor="#bd1b21" stroked="f">
                  <v:path arrowok="t" o:connecttype="custom" o:connectlocs="260,42;269,44;275,50;279,57;280,65;277,73;272,80;265,84;253,85;270,101;284,95;294,84;300,71;300,55;294,42;284,31;270,25;233,102;194,73;197,25;172,88;129,9;87,9;108,40;116,44;118,52;113,58;102,59;129,67;136,60;138,51;138,41;133,33;126,27;116,25;102,102;122,70;34,21;0,69;2,83;6,92;17,100;34,103;48,101;60,93;66,83;67,69;48,71;45,81;39,85;32,86;26,84;21,78;20,25" o:connectangles="0,0,0,0,0,0,0,0,0,0,0,0,0,0,0,0,0,0,0,0,0,0,0,0,0,0,0,0,0,0,0,0,0,0,0,0,0,0,0,0,0,0,0,0,0,0,0,0,0,0,0,0,0,0"/>
                  <o:lock v:ext="edit" aspectratio="t" verticies="t"/>
                </v:shape>
                <v:shape id="Freeform 13" o:spid="_x0000_s1031" style="position:absolute;left:1962;top:1081;width:1319;height:208;visibility:visible;mso-wrap-style:square;v-text-anchor:top" coordsize="263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5a+xAAAANsAAAAPAAAAZHJzL2Rvd25yZXYueG1sRE9Na8JA&#10;EL0X+h+WKfQidVMFKdFNKJaCaAU1evA2ZKdJaHY27G5N/PddQehtHu9zFvlgWnEh5xvLCl7HCQji&#10;0uqGKwXH4vPlDYQPyBpby6TgSh7y7PFhgam2Pe/pcgiViCHsU1RQh9ClUvqyJoN+bDviyH1bZzBE&#10;6CqpHfYx3LRykiQzabDh2FBjR8uayp/Dr1GwLNqTm371m70bfazW520li+1Oqeen4X0OItAQ/sV3&#10;90rH+RO4/RIPkNkfAAAA//8DAFBLAQItABQABgAIAAAAIQDb4fbL7gAAAIUBAAATAAAAAAAAAAAA&#10;AAAAAAAAAABbQ29udGVudF9UeXBlc10ueG1sUEsBAi0AFAAGAAgAAAAhAFr0LFu/AAAAFQEAAAsA&#10;AAAAAAAAAAAAAAAAHwEAAF9yZWxzLy5yZWxzUEsBAi0AFAAGAAgAAAAhAM7vlr7EAAAA2wAAAA8A&#10;AAAAAAAAAAAAAAAABwIAAGRycy9kb3ducmV2LnhtbFBLBQYAAAAAAwADALcAAAD4AgAAAAA=&#10;" path="m2561,35l2524,r-66,56l2485,84r76,-49xm2442,260r,147l2521,407r,-147l2637,99r-97,l2484,183,2427,99r-96,l2442,260xm2143,226r,-127l2063,99r,308l2143,407r,-133l2247,407r104,l2217,245,2340,99r-100,l2143,226xm2008,108r-21,-6l1969,97r-17,-4l1936,93r-18,l1902,96r-16,5l1871,106r-14,6l1844,121r-13,8l1820,140r-11,12l1800,164r-9,14l1785,192r-5,15l1775,223r-2,16l1773,256r,15l1775,286r3,14l1783,314r6,13l1795,340r9,11l1813,362r12,11l1839,385r15,8l1869,401r16,6l1902,412r16,3l1936,416r15,-1l1966,413r17,-5l2008,401r,-95l1999,314r-7,6l1983,326r-7,4l1967,334r-10,2l1948,337r-10,l1931,337r-8,-1l1916,335r-8,-3l1902,330r-6,-4l1889,322r-5,-5l1876,311r-5,-6l1866,299r-4,-8l1860,283r-3,-9l1856,265r,-10l1856,246r1,-8l1860,229r2,-8l1865,214r5,-7l1874,200r5,-6l1885,189r6,-5l1898,180r7,-3l1913,174r8,-2l1930,170r8,l1948,170r10,3l1967,175r10,4l1984,184r9,5l2001,197r7,7l2008,108xm1727,99r-80,l1647,407r80,l1727,99xm1538,167r66,l1604,99r-210,l1394,167r65,l1459,407r79,l1538,167xm1360,117r-11,-6l1337,106r-13,-4l1313,98r-13,-2l1288,93r-12,-1l1263,92r-11,l1241,94r-10,2l1221,99r-10,4l1203,108r-8,6l1187,121r-6,7l1175,136r-5,8l1166,153r-4,10l1161,174r-3,10l1158,195r,10l1160,215r2,9l1165,231r3,8l1172,245r5,6l1183,256r9,7l1203,269r16,6l1242,281r12,5l1264,290r9,4l1279,297r5,4l1287,306r2,5l1289,317r,7l1287,330r-4,5l1279,339r-6,3l1267,345r-8,1l1251,347r-9,l1233,345r-9,-1l1216,340r-9,-5l1198,330r-8,-6l1180,316r-34,65l1158,388r13,8l1185,401r13,5l1212,410r14,3l1239,415r14,l1266,415r12,-2l1290,411r12,-4l1313,403r10,-5l1333,392r9,-6l1349,378r6,-7l1360,362r5,-10l1369,342r2,-11l1373,319r,-13l1371,290r-2,-15l1366,269r-3,-6l1359,258r-4,-7l1350,246r-5,-5l1339,238r-7,-4l1315,226r-17,-6l1276,213r-13,-4l1256,205r-7,-5l1247,198r-3,-4l1242,189r,-4l1243,179r1,-5l1248,170r4,-3l1257,163r6,-3l1269,159r8,-1l1283,159r6,l1297,162r6,1l1315,170r14,9l1360,117xm1091,99r-80,l1011,407r80,l1091,99xm904,167r66,l970,99r-212,l758,167r67,l825,407r79,l904,167xm644,292r-66,l611,194r33,98xm666,354r20,53l771,407,655,99r-87,l450,407r84,l555,354r111,xm395,167r66,l461,99r-212,l249,167r66,l315,407r80,l395,167xm214,117r-11,-6l190,106r-12,-4l167,98,154,96,142,93,129,92r-12,l106,92,94,94,84,96r-9,3l65,103r-9,5l48,114r-7,7l35,128r-7,8l23,144r-3,9l16,163r-1,11l12,184r,11l12,205r1,10l16,224r2,7l22,239r4,6l31,251r6,5l46,263r11,6l73,275r23,6l108,286r10,4l127,294r6,3l138,301r3,5l143,311r,6l143,324r-2,6l137,335r-4,4l127,342r-6,3l113,346r-9,1l96,347r-9,-2l78,344r-8,-4l61,335r-9,-5l43,324,33,316,,381r12,7l25,396r13,5l52,406r14,4l79,413r14,2l107,415r12,l132,413r12,-2l155,407r12,-4l177,398r10,-6l195,386r8,-8l209,371r5,-9l219,352r4,-10l225,331r2,-12l227,306r-2,-16l223,275r-3,-6l217,263r-4,-5l209,251r-5,-5l199,241r-6,-3l185,234r-16,-8l151,220r-22,-7l117,209r-8,-4l103,200r-4,-2l98,194r-2,-5l96,185r1,-6l98,174r4,-4l106,167r5,-4l117,160r6,-1l129,158r8,1l143,159r8,3l157,163r12,7l183,179r31,-62xe" fillcolor="#bd1b21" stroked="f">
                  <v:path arrowok="t" o:connecttype="custom" o:connectlocs="611,102;583,25;536,69;502,27;472,26;450,41;444,68;454,91;480,104;500,79;485,85;473,81;465,69;467,54;477,45;492,44;432,25;401,25;340,30;319,23;301,27;291,41;292,58;305,69;322,77;319,86;304,85;293,99;317,104;336,97;344,80;339,63;319,54;311,47;318,40;333,45;226,42;226,102;172,102;167,89;79,102;42,25;21,24;7,34;3,52;10,64;32,74;36,83;24,87;9,79;20,104;42,101;55,88;55,68;47,59;25,50;27,42;38,41" o:connectangles="0,0,0,0,0,0,0,0,0,0,0,0,0,0,0,0,0,0,0,0,0,0,0,0,0,0,0,0,0,0,0,0,0,0,0,0,0,0,0,0,0,0,0,0,0,0,0,0,0,0,0,0,0,0,0,0,0,0"/>
                  <o:lock v:ext="edit" aspectratio="t" verticies="t"/>
                </v:shape>
                <v:shape id="Freeform 14" o:spid="_x0000_s1032" style="position:absolute;left:1962;top:851;width:679;height:208;visibility:visible;mso-wrap-style:square;v-text-anchor:top" coordsize="135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wgAAANsAAAAPAAAAZHJzL2Rvd25yZXYueG1sRE9Na8JA&#10;EL0X/A/LCF5EN1qQEl2lKlFvpSqex+yYhGZn4+5q0n/fLRR6m8f7nMWqM7V4kvOVZQWTcQKCOLe6&#10;4kLB+ZSN3kD4gKyxtkwKvsnDatl7WWCqbcuf9DyGQsQQ9ikqKENoUil9XpJBP7YNceRu1hkMEbpC&#10;aodtDDe1nCbJTBqsODaU2NCmpPzr+DAKprPLdZ8divVHvbsPnb5ts2G7VWrQ797nIAJ14V/85z7o&#10;OP8Vfn+JB8jlDwAAAP//AwBQSwECLQAUAAYACAAAACEA2+H2y+4AAACFAQAAEwAAAAAAAAAAAAAA&#10;AAAAAAAAW0NvbnRlbnRfVHlwZXNdLnhtbFBLAQItABQABgAIAAAAIQBa9CxbvwAAABUBAAALAAAA&#10;AAAAAAAAAAAAAB8BAABfcmVscy8ucmVsc1BLAQItABQABgAIAAAAIQAYH/+kwgAAANsAAAAPAAAA&#10;AAAAAAAAAAAAAAcCAABkcnMvZG93bnJldi54bWxQSwUGAAAAAAMAAwC3AAAA9gIAAAAA&#10;" path="m1282,36l1243,r-65,56l1205,85r77,-49xm1162,260r,147l1242,407r,-147l1358,100r-97,l1205,183r-59,-83l1051,100r111,160xm863,227r,-127l783,100r,307l863,407r,-133l967,407r104,l938,245,1059,100r-99,l863,227xm721,117r-12,-5l697,107r-12,-5l673,98,660,96,648,93,635,92r-11,l611,92r-9,3l590,97r-10,3l572,103r-9,5l555,115r-7,6l542,128r-7,8l531,145r-4,8l523,163r-2,11l519,184r,12l519,206r2,10l522,224r2,8l528,239r5,6l538,252r5,5l552,263r12,6l580,275r22,7l614,287r11,3l634,294r6,4l644,301r4,5l649,311r1,7l649,324r-1,6l644,335r-5,4l634,343r-8,2l619,348r-8,l603,348r-9,-3l585,344r-8,-4l568,335r-9,-5l549,324r-9,-8l507,381r12,8l532,396r12,5l558,406r14,4l585,414r14,1l613,415r13,l639,414r12,-3l663,407r11,-3l684,399r10,-7l702,386r7,-7l716,371r5,-8l725,353r4,-10l731,331r1,-12l734,306r-2,-16l729,275r-3,-6l724,263r-4,-5l716,252r-5,-5l705,243r-6,-5l692,234r-16,-7l658,221r-22,-7l624,209r-9,-3l610,201r-3,-3l604,194r-1,-5l603,186r,-5l605,174r3,-3l611,167r7,-4l623,161r6,-2l636,158r7,1l650,159r6,3l663,163r13,8l689,179r32,-62xm463,167r,-67l289,100r,307l463,407r,-67l369,340r,-53l458,287r,-68l369,219r,-52l463,167xm66,36r82,46l231,36,210,2,148,34,87,2,66,36xm235,108r-20,-6l197,97,180,95,163,93r-17,2l129,96r-15,5l99,106r-15,6l71,121r-13,9l47,141,37,152,27,164r-7,14l12,192,7,207,3,223,1,239,,257r,15l2,287r4,13l10,314r6,14l22,340r9,11l41,363r12,11l66,385r15,9l97,401r16,6l129,412r18,3l163,416r16,-1l193,414r19,-5l235,401r,-95l228,314r-9,6l212,326r-9,4l194,334r-9,2l175,338r-10,1l158,338r-7,-2l143,335r-6,-2l129,330r-6,-4l117,323r-6,-5l104,311r-6,-6l93,299r-4,-7l87,283r-3,-9l83,265r,-10l83,247r1,-9l87,229r2,-7l93,214r4,-7l102,201r5,-7l112,189r6,-5l126,181r7,-4l141,174r7,-2l157,171r8,l175,171r10,2l195,176r9,3l213,184r7,5l228,197r7,7l235,108xe" fillcolor="#bd1b21" stroked="f">
                  <v:path arrowok="t" o:connecttype="custom" o:connectlocs="321,9;340,25;291,65;216,102;265,25;175,27;159,23;145,25;136,32;131,44;131,56;136,65;154,72;162,77;161,84;153,87;142,84;130,98;147,104;163,103;176,97;183,86;183,69;178,62;165,56;152,50;152,44;158,40;166,41;116,25;93,85;93,42;53,1;54,26;33,24;15,33;3,48;0,68;6,85;21,99;41,104;59,77;49,84;38,84;30,81;23,73;21,62;25,52;32,46;42,43;54,46" o:connectangles="0,0,0,0,0,0,0,0,0,0,0,0,0,0,0,0,0,0,0,0,0,0,0,0,0,0,0,0,0,0,0,0,0,0,0,0,0,0,0,0,0,0,0,0,0,0,0,0,0,0,0"/>
                  <o:lock v:ext="edit" aspectratio="t" verticies="t"/>
                </v:shape>
                <w10:wrap type="square" anchorx="page" anchory="page"/>
                <w10:anchorlock/>
              </v:group>
            </w:pict>
          </mc:Fallback>
        </mc:AlternateContent>
      </w:r>
      <w:r>
        <w:rPr>
          <w:noProof/>
        </w:rPr>
        <mc:AlternateContent>
          <mc:Choice Requires="wps">
            <w:drawing>
              <wp:anchor distT="0" distB="0" distL="114300" distR="114300" simplePos="0" relativeHeight="251656704" behindDoc="0" locked="1" layoutInCell="1" allowOverlap="1" wp14:anchorId="7DB0F6ED" wp14:editId="08FDDC9C">
                <wp:simplePos x="0" y="0"/>
                <wp:positionH relativeFrom="page">
                  <wp:posOffset>1705610</wp:posOffset>
                </wp:positionH>
                <wp:positionV relativeFrom="page">
                  <wp:posOffset>8173085</wp:posOffset>
                </wp:positionV>
                <wp:extent cx="5130165" cy="925195"/>
                <wp:effectExtent l="381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9251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7670B1B2" w14:textId="77777777" w:rsidR="004930CE" w:rsidRPr="006C5577" w:rsidRDefault="004930CE" w:rsidP="004924DC">
                            <w:r>
                              <w:t>Z</w:t>
                            </w:r>
                            <w:r w:rsidRPr="006C5577">
                              <w:t xml:space="preserve">pracoval: Odbor </w:t>
                            </w:r>
                            <w:r>
                              <w:t>statistik rozvoje společnosti</w:t>
                            </w:r>
                          </w:p>
                          <w:p w14:paraId="5C5DE170" w14:textId="77777777" w:rsidR="004930CE" w:rsidRPr="006C5577" w:rsidRDefault="004930CE" w:rsidP="004924DC">
                            <w:r w:rsidRPr="006C5577">
                              <w:t xml:space="preserve">Ředitel odboru: </w:t>
                            </w:r>
                            <w:r>
                              <w:t>Ing. Martin Mana</w:t>
                            </w:r>
                          </w:p>
                          <w:p w14:paraId="189E758F" w14:textId="77777777" w:rsidR="004930CE" w:rsidRPr="006C5577" w:rsidRDefault="004930CE" w:rsidP="004924DC">
                            <w:r w:rsidRPr="006C5577">
                              <w:t xml:space="preserve">Kontaktní osoba: </w:t>
                            </w:r>
                            <w:r>
                              <w:t>Ing. Alena Hykyšová</w:t>
                            </w:r>
                            <w:r w:rsidRPr="006C5577">
                              <w:t>,</w:t>
                            </w:r>
                            <w:r>
                              <w:t xml:space="preserve"> e-mail: alena.hykysova@czso.cz</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B0F6ED" id="_x0000_t202" coordsize="21600,21600" o:spt="202" path="m,l,21600r21600,l21600,xe">
                <v:stroke joinstyle="miter"/>
                <v:path gradientshapeok="t" o:connecttype="rect"/>
              </v:shapetype>
              <v:shape id="Textové pole 2" o:spid="_x0000_s1026" type="#_x0000_t202" style="position:absolute;margin-left:134.3pt;margin-top:643.55pt;width:403.95pt;height:72.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80zSAIAADoEAAAOAAAAZHJzL2Uyb0RvYy54bWysU9tu2zAMfR+wfxD07vhSJ42NOkWbNMOA&#10;7gK0+wBFlmNjtqhJSuys2AftO/Zjo+Qky7a3YS8CJZGH5Dnkze3QtWQvtGlAFjSeRJQIyaFs5Lag&#10;n57XwZwSY5ksWQtSFPQgDL1dvH5106tcJFBDWwpNEESavFcFra1VeRgaXouOmQkoIfGzAt0xi1e9&#10;DUvNekTv2jCJolnYgy6VBi6MwdfV+EkXHr+qBLcfqsoIS9qCYm3Wn9qfG3eGixuWbzVTdcOPZbB/&#10;qKJjjcSkZ6gVs4zsdPMXVNdwDQYqO+HQhVBVDRe+B+wmjv7o5qlmSvhekByjzjSZ/wfL3+8/atKU&#10;BU0pkaxDiZ7FYGH/4ztR0AqSOIp6ZXL0fFLoa4d7GFBq365Rj8A/GyJhWTO5FXdaQ18LVmKJsYsM&#10;L0JHHONANv07KDEX21nwQEOlO8cfMkIQHaU6nOXBegjHx2l8FcWzKSUc/7JkGmdTn4Llp2iljX0j&#10;oCPOKKhG+T062z8a66ph+cnFJZOwbtrWj0Arf3tAx/EFc2Oo+3NVeEVfsih7mD/M0yBNZg9BGpVl&#10;cLdepsFsHV9PV1er5XIVfxsn6yIoTtLoPsmC9Wx+HaRVOg2y62geRHF2n82iNEtXax+EqU9JPXmO&#10;r5E5O2yGoxgbKA9Io4ZxoHEB0ahBf6Wkx2EuqPmyY1pQ0r6VKIWb/JOhT8bmZDDJMbSglpLRXNpx&#10;Q3ZKN9sakUexJdyhXFXjmXS6jlUcRcYB9QQfl8ltwOXde/1a+cVPAAAA//8DAFBLAwQUAAYACAAA&#10;ACEAVPeuaeIAAAAOAQAADwAAAGRycy9kb3ducmV2LnhtbEyPwU7DMAyG70i8Q2QkbixZga6UptOE&#10;4ISE6MqBY9pkbbTGKU22lbfHO42brf/T78/FenYDO5opWI8SlgsBzGDrtcVOwlf9dpcBC1GhVoNH&#10;I+HXBFiX11eFyrU/YWWO29gxKsGQKwl9jGPOeWh741RY+NEgZTs/ORVpnTquJ3WicjfwRIiUO2WR&#10;LvRqNC+9affbg5Ow+cbq1f58NJ/VrrJ1/STwPd1LeXszb56BRTPHCwxnfVKHkpwaf0Ad2CAhSbOU&#10;UAqSbLUEdkbEKn0E1tD0cJ9kwMuC/3+j/AMAAP//AwBQSwECLQAUAAYACAAAACEAtoM4kv4AAADh&#10;AQAAEwAAAAAAAAAAAAAAAAAAAAAAW0NvbnRlbnRfVHlwZXNdLnhtbFBLAQItABQABgAIAAAAIQA4&#10;/SH/1gAAAJQBAAALAAAAAAAAAAAAAAAAAC8BAABfcmVscy8ucmVsc1BLAQItABQABgAIAAAAIQAm&#10;k80zSAIAADoEAAAOAAAAAAAAAAAAAAAAAC4CAABkcnMvZTJvRG9jLnhtbFBLAQItABQABgAIAAAA&#10;IQBU965p4gAAAA4BAAAPAAAAAAAAAAAAAAAAAKIEAABkcnMvZG93bnJldi54bWxQSwUGAAAAAAQA&#10;BADzAAAAsQUAAAAA&#10;" filled="f" stroked="f">
                <v:textbox inset="0,0,0,0">
                  <w:txbxContent>
                    <w:p w14:paraId="7670B1B2" w14:textId="77777777" w:rsidR="004930CE" w:rsidRPr="006C5577" w:rsidRDefault="004930CE" w:rsidP="004924DC">
                      <w:r>
                        <w:t>Z</w:t>
                      </w:r>
                      <w:r w:rsidRPr="006C5577">
                        <w:t xml:space="preserve">pracoval: Odbor </w:t>
                      </w:r>
                      <w:r>
                        <w:t>statistik rozvoje společnosti</w:t>
                      </w:r>
                    </w:p>
                    <w:p w14:paraId="5C5DE170" w14:textId="77777777" w:rsidR="004930CE" w:rsidRPr="006C5577" w:rsidRDefault="004930CE" w:rsidP="004924DC">
                      <w:r w:rsidRPr="006C5577">
                        <w:t xml:space="preserve">Ředitel odboru: </w:t>
                      </w:r>
                      <w:r>
                        <w:t>Ing. Martin Mana</w:t>
                      </w:r>
                    </w:p>
                    <w:p w14:paraId="189E758F" w14:textId="77777777" w:rsidR="004930CE" w:rsidRPr="006C5577" w:rsidRDefault="004930CE" w:rsidP="004924DC">
                      <w:r w:rsidRPr="006C5577">
                        <w:t xml:space="preserve">Kontaktní osoba: </w:t>
                      </w:r>
                      <w:r>
                        <w:t>Ing. Alena Hykyšová</w:t>
                      </w:r>
                      <w:r w:rsidRPr="006C5577">
                        <w:t>,</w:t>
                      </w:r>
                      <w:r>
                        <w:t xml:space="preserve"> e-mail: alena.hykysova@czso.cz</w:t>
                      </w:r>
                    </w:p>
                  </w:txbxContent>
                </v:textbox>
                <w10:wrap anchorx="page" anchory="page"/>
                <w10:anchorlock/>
              </v:shape>
            </w:pict>
          </mc:Fallback>
        </mc:AlternateContent>
      </w:r>
      <w:r>
        <w:rPr>
          <w:noProof/>
        </w:rPr>
        <mc:AlternateContent>
          <mc:Choice Requires="wps">
            <w:drawing>
              <wp:anchor distT="0" distB="0" distL="114300" distR="114300" simplePos="0" relativeHeight="251655680" behindDoc="0" locked="1" layoutInCell="1" allowOverlap="1" wp14:anchorId="0E04FF8D" wp14:editId="70CC8482">
                <wp:simplePos x="0" y="0"/>
                <wp:positionH relativeFrom="page">
                  <wp:posOffset>1710055</wp:posOffset>
                </wp:positionH>
                <wp:positionV relativeFrom="page">
                  <wp:posOffset>4680585</wp:posOffset>
                </wp:positionV>
                <wp:extent cx="5129530" cy="1686560"/>
                <wp:effectExtent l="0" t="0" r="1270" b="15240"/>
                <wp:wrapNone/>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16865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44AD4BA" w14:textId="77777777" w:rsidR="004930CE" w:rsidRPr="004924DC" w:rsidRDefault="004930CE" w:rsidP="009D7913">
                            <w:pPr>
                              <w:pStyle w:val="TLIdentifikace-sted"/>
                            </w:pPr>
                            <w:r>
                              <w:t>Zdravotnictví, pracovní neschopnost</w:t>
                            </w:r>
                          </w:p>
                          <w:p w14:paraId="65CFACD9" w14:textId="77777777" w:rsidR="004930CE" w:rsidRPr="004924DC" w:rsidRDefault="004930CE" w:rsidP="009D7913">
                            <w:pPr>
                              <w:pStyle w:val="TLIdentifikace-sted"/>
                            </w:pPr>
                            <w:r>
                              <w:t>Praha</w:t>
                            </w:r>
                            <w:r w:rsidRPr="004924DC">
                              <w:t xml:space="preserve">, </w:t>
                            </w:r>
                            <w:r>
                              <w:t>31. 5. 2022</w:t>
                            </w:r>
                          </w:p>
                          <w:p w14:paraId="6B26F365" w14:textId="77777777" w:rsidR="004930CE" w:rsidRPr="004924DC" w:rsidRDefault="004930CE" w:rsidP="004924DC">
                            <w:pPr>
                              <w:pStyle w:val="TLIdentifikace-sted"/>
                            </w:pPr>
                            <w:r w:rsidRPr="004924DC">
                              <w:t xml:space="preserve">Kód publikace: </w:t>
                            </w:r>
                            <w:r>
                              <w:rPr>
                                <w:rStyle w:val="content"/>
                                <w:rFonts w:eastAsia="MS Gothic"/>
                              </w:rPr>
                              <w:t>260004-21</w:t>
                            </w:r>
                          </w:p>
                          <w:p w14:paraId="50545F7A" w14:textId="77777777" w:rsidR="004930CE" w:rsidRPr="004924DC" w:rsidRDefault="004930CE" w:rsidP="004924DC">
                            <w:pPr>
                              <w:pStyle w:val="TLIdentifikace-sted"/>
                            </w:pPr>
                            <w:r w:rsidRPr="00E369BA">
                              <w:t>Č. j.: CSU-007076/2022-63</w:t>
                            </w:r>
                          </w:p>
                          <w:p w14:paraId="4FDFB9D7" w14:textId="77777777" w:rsidR="004930CE" w:rsidRPr="004924DC" w:rsidRDefault="004930CE" w:rsidP="004924DC">
                            <w:pPr>
                              <w:pStyle w:val="TLIdentifikace-sted"/>
                            </w:pPr>
                            <w:r w:rsidRPr="004924DC">
                              <w:t xml:space="preserve">Pořadové číslo v roce: </w:t>
                            </w:r>
                            <w:r>
                              <w:t>2</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E04FF8D" id="_x0000_s1027" type="#_x0000_t202" style="position:absolute;margin-left:134.65pt;margin-top:368.55pt;width:403.9pt;height:132.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rYSQIAAEMEAAAOAAAAZHJzL2Uyb0RvYy54bWysU9tu2zAMfR+wfxD07vpSx42NOEWa1MOA&#10;7gK0+wDFlmNjtqhJSuxu2AftO/Zjo+S47ba3YS8CJZGH5Dnk6nrsO3LiSrcgchpeBJRwUULVikNO&#10;Pz0U3pISbZioWAeC5/SRa3q9fv1qNciMR9BAV3FFEETobJA5bYyRme/rsuE90xcgucDPGlTPDF7V&#10;wa8UGxC97/woCBJ/AFVJBSXXGl930yddO/y65qX5UNeaG9LlFGsz7lTu3NvTX69YdlBMNm15LoP9&#10;QxU9awUmfYLaMcPIUbV/QfVtqUBDbS5K6H2o67bkrgfsJgz+6Oa+YZK7XpAcLZ9o0v8Ptnx/+qhI&#10;W+X0EukRrEeNHvho4PTzB5HQcRJZjgapM3S9l+hsxhsYUWvXr5Z3UH7WRMC2YeLAN0rB0HBWYY2h&#10;jfRfhE442oLsh3dQYS52NOCAxlr1lkCkhCA6FvP4pA/WQ0p8XIRRurB1lvgXJstkkTgFfZbN4VJp&#10;84ZDT6yRU4UD4ODZ6U4bWw7LZhebTUDRdp0bgk789oCO0wsmx1D7Z8twmn5Lg/R2ebuMvThKbr04&#10;qCpvU2xjLynCq8Xucrfd7sLv02y9CAqjOLiJUq9IlldeXMcLL70Kll4QpjdpEsRpvCtcEKaekzr2&#10;LGETdWbcj04sR61ldg/VI9KpYJps3EQ0GlBfKRlwqnOqvxyZ4pR0bwVKYldgNtRs7GeDiRJDc2oo&#10;mcytmVblKFV7aBB5Fn2DshWtI/S5irPYOKmO5/NW2VV4eXdez7u//gUAAP//AwBQSwMEFAAGAAgA&#10;AAAhAOihwvreAAAADQEAAA8AAABkcnMvZG93bnJldi54bWxMj7FOwzAQhnck3sE6JBZEbadSQkOc&#10;CiFY2GhZ2Nz4SCLscxS7SejT40yw/af79N931X5xlk04ht6TArkRwJAab3pqFXwcX+8fgIWoyWjr&#10;CRX8YIB9fX1V6dL4md5xOsSWpRIKpVbQxTiUnIemQ6fDxg9IafflR6djGseWm1HPqdxZngmRc6d7&#10;Shc6PeBzh8334ewU5MvLcPe2w2y+NHaiz4uUEaVStzfL0yOwiEv8g2HVT+pQJ6eTP5MJzCrI8t02&#10;oQqKbSGBrYQo1nRak8gK4HXF/39R/wIAAP//AwBQSwECLQAUAAYACAAAACEAtoM4kv4AAADhAQAA&#10;EwAAAAAAAAAAAAAAAAAAAAAAW0NvbnRlbnRfVHlwZXNdLnhtbFBLAQItABQABgAIAAAAIQA4/SH/&#10;1gAAAJQBAAALAAAAAAAAAAAAAAAAAC8BAABfcmVscy8ucmVsc1BLAQItABQABgAIAAAAIQDpRrrY&#10;SQIAAEMEAAAOAAAAAAAAAAAAAAAAAC4CAABkcnMvZTJvRG9jLnhtbFBLAQItABQABgAIAAAAIQDo&#10;ocL63gAAAA0BAAAPAAAAAAAAAAAAAAAAAKMEAABkcnMvZG93bnJldi54bWxQSwUGAAAAAAQABADz&#10;AAAArgUAAAAA&#10;" filled="f" stroked="f">
                <v:textbox style="mso-fit-shape-to-text:t" inset="0,0,0,0">
                  <w:txbxContent>
                    <w:p w14:paraId="244AD4BA" w14:textId="77777777" w:rsidR="004930CE" w:rsidRPr="004924DC" w:rsidRDefault="004930CE" w:rsidP="009D7913">
                      <w:pPr>
                        <w:pStyle w:val="TLIdentifikace-sted"/>
                      </w:pPr>
                      <w:r>
                        <w:t>Zdravotnictví, pracovní neschopnost</w:t>
                      </w:r>
                    </w:p>
                    <w:p w14:paraId="65CFACD9" w14:textId="77777777" w:rsidR="004930CE" w:rsidRPr="004924DC" w:rsidRDefault="004930CE" w:rsidP="009D7913">
                      <w:pPr>
                        <w:pStyle w:val="TLIdentifikace-sted"/>
                      </w:pPr>
                      <w:r>
                        <w:t>Praha</w:t>
                      </w:r>
                      <w:r w:rsidRPr="004924DC">
                        <w:t xml:space="preserve">, </w:t>
                      </w:r>
                      <w:r>
                        <w:t>31. 5. 2022</w:t>
                      </w:r>
                    </w:p>
                    <w:p w14:paraId="6B26F365" w14:textId="77777777" w:rsidR="004930CE" w:rsidRPr="004924DC" w:rsidRDefault="004930CE" w:rsidP="004924DC">
                      <w:pPr>
                        <w:pStyle w:val="TLIdentifikace-sted"/>
                      </w:pPr>
                      <w:r w:rsidRPr="004924DC">
                        <w:t xml:space="preserve">Kód publikace: </w:t>
                      </w:r>
                      <w:r>
                        <w:rPr>
                          <w:rStyle w:val="content"/>
                          <w:rFonts w:eastAsia="MS Gothic"/>
                        </w:rPr>
                        <w:t>260004-21</w:t>
                      </w:r>
                    </w:p>
                    <w:p w14:paraId="50545F7A" w14:textId="77777777" w:rsidR="004930CE" w:rsidRPr="004924DC" w:rsidRDefault="004930CE" w:rsidP="004924DC">
                      <w:pPr>
                        <w:pStyle w:val="TLIdentifikace-sted"/>
                      </w:pPr>
                      <w:r w:rsidRPr="00E369BA">
                        <w:t>Č. j.: CSU-007076/2022-63</w:t>
                      </w:r>
                    </w:p>
                    <w:p w14:paraId="4FDFB9D7" w14:textId="77777777" w:rsidR="004930CE" w:rsidRPr="004924DC" w:rsidRDefault="004930CE" w:rsidP="004924DC">
                      <w:pPr>
                        <w:pStyle w:val="TLIdentifikace-sted"/>
                      </w:pPr>
                      <w:r w:rsidRPr="004924DC">
                        <w:t xml:space="preserve">Pořadové číslo v roce: </w:t>
                      </w:r>
                      <w:r>
                        <w:t>2</w:t>
                      </w:r>
                    </w:p>
                  </w:txbxContent>
                </v:textbox>
                <w10:wrap anchorx="page" anchory="page"/>
                <w10:anchorlock/>
              </v:shape>
            </w:pict>
          </mc:Fallback>
        </mc:AlternateContent>
      </w:r>
      <w:r>
        <w:rPr>
          <w:noProof/>
        </w:rPr>
        <mc:AlternateContent>
          <mc:Choice Requires="wps">
            <w:drawing>
              <wp:anchor distT="0" distB="0" distL="114300" distR="114300" simplePos="0" relativeHeight="251654656" behindDoc="0" locked="1" layoutInCell="1" allowOverlap="1" wp14:anchorId="71046995" wp14:editId="51536ACB">
                <wp:simplePos x="0" y="0"/>
                <wp:positionH relativeFrom="page">
                  <wp:posOffset>1710055</wp:posOffset>
                </wp:positionH>
                <wp:positionV relativeFrom="page">
                  <wp:posOffset>1476375</wp:posOffset>
                </wp:positionV>
                <wp:extent cx="5129530" cy="2207895"/>
                <wp:effectExtent l="0" t="0" r="1270" b="1905"/>
                <wp:wrapNone/>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22078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3DDA8E4" w14:textId="77777777" w:rsidR="004930CE" w:rsidRPr="000E6FBD" w:rsidRDefault="004930CE" w:rsidP="009D7913">
                            <w:pPr>
                              <w:pStyle w:val="Nzev"/>
                            </w:pPr>
                            <w:r>
                              <w:t>Pracovní neschopnost pro nemoc a úraz v české republice</w:t>
                            </w:r>
                          </w:p>
                          <w:p w14:paraId="39A4F55D" w14:textId="77777777" w:rsidR="004930CE" w:rsidRPr="0012192F" w:rsidRDefault="004930CE" w:rsidP="0012192F">
                            <w:pPr>
                              <w:pStyle w:val="Podnadpis"/>
                            </w:pPr>
                          </w:p>
                          <w:p w14:paraId="0865D604" w14:textId="77777777" w:rsidR="004930CE" w:rsidRPr="0012192F" w:rsidRDefault="004930CE" w:rsidP="0012192F">
                            <w:pPr>
                              <w:pStyle w:val="Podnadpis"/>
                            </w:pPr>
                            <w:r>
                              <w:t>za rok 2021</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1046995" id="_x0000_s1028" type="#_x0000_t202" style="position:absolute;margin-left:134.65pt;margin-top:116.25pt;width:403.9pt;height:173.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oLSQIAAEMEAAAOAAAAZHJzL2Uyb0RvYy54bWysU0tu3DAM3RfoHQTtHX/i+diIJ0hm4qJA&#10;+gGSHkAjy2OjtqhKmrHToAfqOXqxUnKcpu2u6EagRPGRfI+8uBz7jpyENi3IgsZnESVCcqhaeSjo&#10;p/syWFNiLJMV60CKgj4IQy83r19dDCoXCTTQVUITBJEmH1RBG2tVHoaGN6Jn5gyUkOisQffM4lUf&#10;wkqzAdH7LkyiaBkOoCulgQtj8HU3OenG49e14PZDXRthSVdQrM36U/tz785wc8Hyg2aqaflTGewf&#10;quhZKzHpM9SOWUaOuv0Lqm+5BgO1PePQh1DXLRe+B+wmjv7o5q5hSvhekByjnmky/w+Wvz991KSt&#10;CppklEjWo0b3YrRw+vGdKOgESRxHgzI5fr1T+NmO1zCi1r5fo26BfzZEwrZh8iCutIahEazCGmMX&#10;Gb4InXCMA9kP76DCXOxowQONte4dgUgJQXTU6uFZH6yHcHxcxEm2OEcXR1+SRKt1tvA5WD6HK23s&#10;GwE9cUZBNQ6Ah2enW2NdOSyfv7hsEsq26/wQdPK3B/w4vWByDHU+V4bX9DGLspv1zToN0mR5E6RR&#10;VQVX5TYNlmW8WuzOd9vtLv42zdaLoDhJo+skC8rlehWkdboIslW0DqI4u86WUZqlu9IHYeo5qWfP&#10;ETZRZ8f9OIk1i7KH6gHp1DBNNm4iGg3or5QMONUFNV+OTAtKurcSJXErMBt6NvazwSTH0IJaSiZz&#10;a6dVOSrdHhpEnkW/QtnK1hPq9J2qeBIbJ9Xz/LRVbhVe3v2vX7u/+QkAAP//AwBQSwMEFAAGAAgA&#10;AAAhAHvuk7fgAAAADAEAAA8AAABkcnMvZG93bnJldi54bWxMj7FOwzAQhnck3sE6JBbU2nHVtA1x&#10;KoRgYaOwsLnxNYmwz1HsJqFPjzvBdqf79N/3l/vZWTbiEDpPCrKlAIZUe9NRo+Dz43WxBRaiJqOt&#10;J1TwgwH21e1NqQvjJ3rH8RAblkIoFFpBG2NfcB7qFp0OS98jpdvJD07HtA4NN4OeUrizXAqRc6c7&#10;Sh9a3eNzi/X34ewU5PNL//C2QzldajvS1yXLImZK3d/NT4/AIs7xD4arflKHKjkd/ZlMYFaBzHer&#10;hKZhJdfAroTYbDJgRwXrrZDAq5L/L1H9AgAA//8DAFBLAQItABQABgAIAAAAIQC2gziS/gAAAOEB&#10;AAATAAAAAAAAAAAAAAAAAAAAAABbQ29udGVudF9UeXBlc10ueG1sUEsBAi0AFAAGAAgAAAAhADj9&#10;If/WAAAAlAEAAAsAAAAAAAAAAAAAAAAALwEAAF9yZWxzLy5yZWxzUEsBAi0AFAAGAAgAAAAhANFQ&#10;SgtJAgAAQwQAAA4AAAAAAAAAAAAAAAAALgIAAGRycy9lMm9Eb2MueG1sUEsBAi0AFAAGAAgAAAAh&#10;AHvuk7fgAAAADAEAAA8AAAAAAAAAAAAAAAAAowQAAGRycy9kb3ducmV2LnhtbFBLBQYAAAAABAAE&#10;APMAAACwBQAAAAA=&#10;" filled="f" stroked="f">
                <v:textbox style="mso-fit-shape-to-text:t" inset="0,0,0,0">
                  <w:txbxContent>
                    <w:p w14:paraId="13DDA8E4" w14:textId="77777777" w:rsidR="004930CE" w:rsidRPr="000E6FBD" w:rsidRDefault="004930CE" w:rsidP="009D7913">
                      <w:pPr>
                        <w:pStyle w:val="Nzev"/>
                      </w:pPr>
                      <w:r>
                        <w:t>Pracovní neschopnost pro nemoc a úraz v české republice</w:t>
                      </w:r>
                    </w:p>
                    <w:p w14:paraId="39A4F55D" w14:textId="77777777" w:rsidR="004930CE" w:rsidRPr="0012192F" w:rsidRDefault="004930CE" w:rsidP="0012192F">
                      <w:pPr>
                        <w:pStyle w:val="Podnadpis"/>
                      </w:pPr>
                    </w:p>
                    <w:p w14:paraId="0865D604" w14:textId="77777777" w:rsidR="004930CE" w:rsidRPr="0012192F" w:rsidRDefault="004930CE" w:rsidP="0012192F">
                      <w:pPr>
                        <w:pStyle w:val="Podnadpis"/>
                      </w:pPr>
                      <w:r>
                        <w:t>za rok 2021</w:t>
                      </w:r>
                    </w:p>
                  </w:txbxContent>
                </v:textbox>
                <w10:wrap anchorx="page" anchory="page"/>
                <w10:anchorlock/>
              </v:shape>
            </w:pict>
          </mc:Fallback>
        </mc:AlternateContent>
      </w:r>
      <w:r>
        <w:rPr>
          <w:noProof/>
        </w:rPr>
        <mc:AlternateContent>
          <mc:Choice Requires="wps">
            <w:drawing>
              <wp:anchor distT="0" distB="0" distL="114300" distR="114300" simplePos="0" relativeHeight="251658752" behindDoc="0" locked="1" layoutInCell="1" allowOverlap="1" wp14:anchorId="0834DCB8" wp14:editId="6F0432B1">
                <wp:simplePos x="0" y="0"/>
                <wp:positionH relativeFrom="page">
                  <wp:posOffset>1710055</wp:posOffset>
                </wp:positionH>
                <wp:positionV relativeFrom="page">
                  <wp:posOffset>9649460</wp:posOffset>
                </wp:positionV>
                <wp:extent cx="5130165" cy="179705"/>
                <wp:effectExtent l="0" t="0" r="5080" b="635"/>
                <wp:wrapNone/>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1797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B87A3E1" w14:textId="77777777" w:rsidR="004930CE" w:rsidRPr="004924DC" w:rsidRDefault="004930CE" w:rsidP="004924DC">
                            <w:r w:rsidRPr="004924DC">
                              <w:t xml:space="preserve">© Český statistický úřad, </w:t>
                            </w:r>
                            <w:r>
                              <w:t>Praha</w:t>
                            </w:r>
                            <w:r w:rsidRPr="004924DC">
                              <w:t xml:space="preserve">, </w:t>
                            </w:r>
                            <w:r>
                              <w:t>2022</w:t>
                            </w:r>
                          </w:p>
                          <w:p w14:paraId="7DA6CF8B" w14:textId="77777777" w:rsidR="004930CE" w:rsidRPr="005251DD" w:rsidRDefault="004930CE" w:rsidP="00665BA4"/>
                          <w:p w14:paraId="0374FB6A" w14:textId="77777777" w:rsidR="004930CE" w:rsidRPr="005251DD" w:rsidRDefault="004930CE" w:rsidP="00FC684B"/>
                          <w:p w14:paraId="39DDC4FC" w14:textId="77777777" w:rsidR="004930CE" w:rsidRDefault="004930CE"/>
                          <w:p w14:paraId="0BDAC939" w14:textId="77777777" w:rsidR="004930CE" w:rsidRPr="00097407" w:rsidRDefault="004930CE" w:rsidP="00665BA4">
                            <w:r w:rsidRPr="00097407">
                              <w:t xml:space="preserve">© </w:t>
                            </w:r>
                            <w:r w:rsidRPr="005251DD">
                              <w:t>Český statistický úřad</w:t>
                            </w:r>
                            <w:r>
                              <w:t xml:space="preserve"> / </w:t>
                            </w:r>
                            <w:r w:rsidRPr="009A1902">
                              <w:rPr>
                                <w:i/>
                              </w:rPr>
                              <w:t xml:space="preserve">Czech </w:t>
                            </w:r>
                            <w:r w:rsidRPr="009A1902">
                              <w:rPr>
                                <w:rFonts w:cs="Arial"/>
                                <w:i/>
                                <w:szCs w:val="20"/>
                              </w:rPr>
                              <w:t>Statistical Office</w:t>
                            </w:r>
                            <w:r w:rsidRPr="00097407">
                              <w:t>, místo, rok vydání</w:t>
                            </w:r>
                          </w:p>
                          <w:p w14:paraId="636642BB" w14:textId="77777777" w:rsidR="004930CE" w:rsidRPr="005251DD" w:rsidRDefault="004930CE" w:rsidP="00665BA4"/>
                          <w:p w14:paraId="651AF485" w14:textId="77777777" w:rsidR="004930CE" w:rsidRPr="005251DD" w:rsidRDefault="004930CE" w:rsidP="00FC684B"/>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34DCB8" id="_x0000_s1029" type="#_x0000_t202" style="position:absolute;margin-left:134.65pt;margin-top:759.8pt;width:403.95pt;height:14.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XKSQIAAEEEAAAOAAAAZHJzL2Uyb0RvYy54bWysU0uO2zAM3RfoHQTtHdsZ52NjnMHkVxSY&#10;foCZHkCR5dioLaqSEjsd9EA9Ry9WSk7SabsruhEoiXwk3yNv7/q2IUehTQ0yp/EookRIDkUt9zn9&#10;9LQN5pQYy2TBGpAipydh6N3i9avbTmViDBU0hdAEQaTJOpXTylqVhaHhlWiZGYESEj9L0C2zeNX7&#10;sNCsQ/S2CcdRNA070IXSwIUx+LoePunC45el4PZDWRphSZNTrM36U/tz585wccuyvWaqqvm5DPYP&#10;VbSslpj0CrVmlpGDrv+CamuuwUBpRxzaEMqy5sL3gN3E0R/dPFZMCd8LkmPUlSbz/2D5++NHTeoi&#10;pzeUSNaiRE+it3D88Z0oaAQZO4o6ZTL0fFToa/sl9Ci1b9eoB+CfDZGwqpjci3utoasEK7DE2EWG&#10;L0IHHONAdt07KDAXO1jwQH2pW8cfMkIQHaU6XeXBegjHx0l8E8XTCSUc/+JZOosmPgXLLtFKG/tG&#10;QEuckVON8nt0dnww1lXDsouLSyZhWzeNH4FG/vaAjsML5sZQ9+eq8Io+p1G6mW/mSZCMp5sgiYoi&#10;uN+ukmC6jWeT9c16tVrH34bJehEUj5NoOU6D7XQ+C5IymQTYwDyI4nSZTqMkTdZbH4SpL0k9eY6v&#10;gTnb7/qzVGdNdlCckE0Nw1zjHqJRgf5KSYcznVPz5cC0oKR5K1ERtwAXQ1+M3cVgkmNoTi0lg7my&#10;w6IclK73FSIPmku4R9XK2hPq5B2qOGuNc+p5Pu+UW4SXd+/1a/MXPwEAAP//AwBQSwMEFAAGAAgA&#10;AAAhAAdlcHfhAAAADgEAAA8AAABkcnMvZG93bnJldi54bWxMj8FOhDAQhu8mvkMzJt7cdlFBkLLZ&#10;GD2ZGFk8eCwwC83SKdLuLr695bQeZ/4v/3yTb2YzsBNOTluSsF4JYEiNbTV1Er6qt7snYM4ratVg&#10;CSX8ooNNcX2Vq6y1ZyrxtPMdCyXkMiWh937MOHdNj0a5lR2RQra3k1E+jFPH20mdQ7kZeCREzI3S&#10;FC70asSXHpvD7mgkbL+pfNU/H/VnuS91VaWC3uODlLc38/YZmMfZX2BY9IM6FMGptkdqHRskRHF6&#10;H9AQPK7TGNiCiCSJgNXL7iFJgRc5//9G8QcAAP//AwBQSwECLQAUAAYACAAAACEAtoM4kv4AAADh&#10;AQAAEwAAAAAAAAAAAAAAAAAAAAAAW0NvbnRlbnRfVHlwZXNdLnhtbFBLAQItABQABgAIAAAAIQA4&#10;/SH/1gAAAJQBAAALAAAAAAAAAAAAAAAAAC8BAABfcmVscy8ucmVsc1BLAQItABQABgAIAAAAIQCq&#10;VfXKSQIAAEEEAAAOAAAAAAAAAAAAAAAAAC4CAABkcnMvZTJvRG9jLnhtbFBLAQItABQABgAIAAAA&#10;IQAHZXB34QAAAA4BAAAPAAAAAAAAAAAAAAAAAKMEAABkcnMvZG93bnJldi54bWxQSwUGAAAAAAQA&#10;BADzAAAAsQUAAAAA&#10;" filled="f" stroked="f">
                <v:textbox inset="0,0,0,0">
                  <w:txbxContent>
                    <w:p w14:paraId="5B87A3E1" w14:textId="77777777" w:rsidR="004930CE" w:rsidRPr="004924DC" w:rsidRDefault="004930CE" w:rsidP="004924DC">
                      <w:r w:rsidRPr="004924DC">
                        <w:t xml:space="preserve">© Český statistický úřad, </w:t>
                      </w:r>
                      <w:r>
                        <w:t>Praha</w:t>
                      </w:r>
                      <w:r w:rsidRPr="004924DC">
                        <w:t xml:space="preserve">, </w:t>
                      </w:r>
                      <w:r>
                        <w:t>2022</w:t>
                      </w:r>
                    </w:p>
                    <w:p w14:paraId="7DA6CF8B" w14:textId="77777777" w:rsidR="004930CE" w:rsidRPr="005251DD" w:rsidRDefault="004930CE" w:rsidP="00665BA4"/>
                    <w:p w14:paraId="0374FB6A" w14:textId="77777777" w:rsidR="004930CE" w:rsidRPr="005251DD" w:rsidRDefault="004930CE" w:rsidP="00FC684B"/>
                    <w:p w14:paraId="39DDC4FC" w14:textId="77777777" w:rsidR="004930CE" w:rsidRDefault="004930CE"/>
                    <w:p w14:paraId="0BDAC939" w14:textId="77777777" w:rsidR="004930CE" w:rsidRPr="00097407" w:rsidRDefault="004930CE" w:rsidP="00665BA4">
                      <w:r w:rsidRPr="00097407">
                        <w:t xml:space="preserve">© </w:t>
                      </w:r>
                      <w:r w:rsidRPr="005251DD">
                        <w:t>Český statistický úřad</w:t>
                      </w:r>
                      <w:r>
                        <w:t xml:space="preserve"> / </w:t>
                      </w:r>
                      <w:r w:rsidRPr="009A1902">
                        <w:rPr>
                          <w:i/>
                        </w:rPr>
                        <w:t xml:space="preserve">Czech </w:t>
                      </w:r>
                      <w:r w:rsidRPr="009A1902">
                        <w:rPr>
                          <w:rFonts w:cs="Arial"/>
                          <w:i/>
                          <w:szCs w:val="20"/>
                        </w:rPr>
                        <w:t>Statistical Office</w:t>
                      </w:r>
                      <w:r w:rsidRPr="00097407">
                        <w:t>, místo, rok vydání</w:t>
                      </w:r>
                    </w:p>
                    <w:p w14:paraId="636642BB" w14:textId="77777777" w:rsidR="004930CE" w:rsidRPr="005251DD" w:rsidRDefault="004930CE" w:rsidP="00665BA4"/>
                    <w:p w14:paraId="651AF485" w14:textId="77777777" w:rsidR="004930CE" w:rsidRPr="005251DD" w:rsidRDefault="004930CE" w:rsidP="00FC684B"/>
                  </w:txbxContent>
                </v:textbox>
                <w10:wrap anchorx="page" anchory="page"/>
                <w10:anchorlock/>
              </v:shape>
            </w:pict>
          </mc:Fallback>
        </mc:AlternateContent>
      </w:r>
      <w:r>
        <w:rPr>
          <w:noProof/>
        </w:rPr>
        <mc:AlternateContent>
          <mc:Choice Requires="wps">
            <w:drawing>
              <wp:anchor distT="4294967294" distB="4294967294" distL="114300" distR="114300" simplePos="0" relativeHeight="251653632" behindDoc="0" locked="1" layoutInCell="0" allowOverlap="1" wp14:anchorId="0F19A4D1" wp14:editId="65D4AAC8">
                <wp:simplePos x="0" y="0"/>
                <wp:positionH relativeFrom="page">
                  <wp:posOffset>1710055</wp:posOffset>
                </wp:positionH>
                <wp:positionV relativeFrom="page">
                  <wp:posOffset>9361169</wp:posOffset>
                </wp:positionV>
                <wp:extent cx="5130165" cy="0"/>
                <wp:effectExtent l="0" t="0" r="26035" b="25400"/>
                <wp:wrapNone/>
                <wp:docPr id="33" name="Přímá spojnic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016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AECF35" id="Přímá spojnice 33" o:spid="_x0000_s1026" style="position:absolute;z-index:25165363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134.65pt,737.1pt" to="538.6pt,7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lB3AEAAI8DAAAOAAAAZHJzL2Uyb0RvYy54bWysU0tu2zAQ3RfoHQjua8k2khaC5SxipJug&#10;NZD0ABOKlNjyBw5ryUfpsgfoKYLeq0P606TZBdWCIPlmHt+8Ga2uJmvYTkbU3rV8Pqs5k074Tru+&#10;5V/ub9594AwTuA6Md7Lle4n8av32zWoMjVz4wZtORkYkDpsxtHxIKTRVhWKQFnDmg3QEKh8tJDrG&#10;vuoijMRuTbWo68tq9LEL0QuJSLebA8jXhV8pKdJnpVAmZlpO2lJZY1kf8lqtV9D0EcKgxVEGvEKF&#10;Be3o0TPVBhKw71G/oLJaRI9epZnwtvJKaSFLDVTNvP6nmrsBgiy1kDkYzjbh/6MVn3bbyHTX8uWS&#10;MweWerT9/ePxl338yTD4r44EMsLIqDFgQ/HXbhtzqWJyd+HWi29IWPUMzAcMh7BJRZvDqVY2FeP3&#10;Z+PllJigy4v5sp5fXnAmTlgFzSkxREwfpbcsb1putMueQAO7W0z5aWhOIfna+RttTOmrcWykoVy8&#10;r6n1Ami8lIFEWxuoYHQ9Z2B6mluRYqFEb3SX0zMR7vHaRLYDGh2auM6P96SXMwOYCKAiypedIQnP&#10;UrOeDeBwSC7QMcy4TC3LZB7l/zUr7x58t9/Gk6PU9cJ+nNA8Vk/PtH/6H63/AAAA//8DAFBLAwQU&#10;AAYACAAAACEAj4R2TOIAAAAOAQAADwAAAGRycy9kb3ducmV2LnhtbEyPzUvDQBDF74L/wzKCF2k3&#10;XUtjYzZFIkLAg9gqeJxm13y4HyG7beN/7/QgepuZ93jze/lmsoYd9Rg67yQs5gkw7WqvOtdIeNs9&#10;ze6AhYhOofFOS/jWATbF5UWOmfIn96qP29gwCnEhQwltjEPGeahbbTHM/aAdaZ9+tBhpHRuuRjxR&#10;uDVcJMmKW+wcfWhx0GWr66/twUqonhfr8qYUvur7/uMRX97FWBkpr6+mh3tgUU/xzwxnfEKHgpj2&#10;/uBUYEaCWK1vyUrCMl0KYGdLkqY07X9vvMj5/xrFDwAAAP//AwBQSwECLQAUAAYACAAAACEAtoM4&#10;kv4AAADhAQAAEwAAAAAAAAAAAAAAAAAAAAAAW0NvbnRlbnRfVHlwZXNdLnhtbFBLAQItABQABgAI&#10;AAAAIQA4/SH/1gAAAJQBAAALAAAAAAAAAAAAAAAAAC8BAABfcmVscy8ucmVsc1BLAQItABQABgAI&#10;AAAAIQC/3IlB3AEAAI8DAAAOAAAAAAAAAAAAAAAAAC4CAABkcnMvZTJvRG9jLnhtbFBLAQItABQA&#10;BgAIAAAAIQCPhHZM4gAAAA4BAAAPAAAAAAAAAAAAAAAAADYEAABkcnMvZG93bnJldi54bWxQSwUG&#10;AAAAAAQABADzAAAARQUAAAAA&#10;" o:allowincell="f" strokecolor="windowText" strokeweight="1pt">
                <o:lock v:ext="edit" shapetype="f"/>
                <w10:wrap anchorx="page" anchory="page"/>
                <w10:anchorlock/>
              </v:line>
            </w:pict>
          </mc:Fallback>
        </mc:AlternateContent>
      </w:r>
      <w:r w:rsidR="00F63FB7">
        <w:br w:type="page"/>
      </w:r>
      <w:r>
        <w:lastRenderedPageBreak/>
        <w:br w:type="page"/>
      </w:r>
      <w:r>
        <w:rPr>
          <w:noProof/>
        </w:rPr>
        <mc:AlternateContent>
          <mc:Choice Requires="wps">
            <w:drawing>
              <wp:anchor distT="0" distB="0" distL="114300" distR="114300" simplePos="0" relativeHeight="251659776" behindDoc="0" locked="1" layoutInCell="1" allowOverlap="1" wp14:anchorId="2AA8B816" wp14:editId="25AB0061">
                <wp:simplePos x="0" y="0"/>
                <wp:positionH relativeFrom="page">
                  <wp:posOffset>723900</wp:posOffset>
                </wp:positionH>
                <wp:positionV relativeFrom="page">
                  <wp:posOffset>1440180</wp:posOffset>
                </wp:positionV>
                <wp:extent cx="6119495" cy="7690485"/>
                <wp:effectExtent l="0" t="5080" r="1905" b="635"/>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76904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B9C624E" w14:textId="77777777" w:rsidR="004930CE" w:rsidRPr="006F5416" w:rsidRDefault="004930CE" w:rsidP="000B30FA">
                            <w:pPr>
                              <w:pStyle w:val="TLKontaktyerven"/>
                            </w:pPr>
                            <w:r w:rsidRPr="006F5416">
                              <w:t>KONTAKTY V ÚSTŘEDÍ</w:t>
                            </w:r>
                          </w:p>
                          <w:p w14:paraId="297404DB" w14:textId="77777777" w:rsidR="004930CE" w:rsidRPr="007D40DF" w:rsidRDefault="004930CE" w:rsidP="000B30FA">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14:paraId="62EB1A13" w14:textId="77777777" w:rsidR="004930CE" w:rsidRPr="00D235B7" w:rsidRDefault="004930CE" w:rsidP="000B30FA">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274 052 304, 274 052 451 | e-mail: infoservis@czso.cz</w:t>
                            </w:r>
                          </w:p>
                          <w:p w14:paraId="705446E8" w14:textId="77777777" w:rsidR="004930CE" w:rsidRPr="00D235B7" w:rsidRDefault="004930CE" w:rsidP="000B30FA">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14:paraId="6C3123B8" w14:textId="77777777" w:rsidR="004930CE" w:rsidRPr="00D235B7" w:rsidRDefault="004930CE" w:rsidP="000B30FA">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274 052 757 | e-mail: esds@czso.cz</w:t>
                            </w:r>
                          </w:p>
                          <w:p w14:paraId="34344A59" w14:textId="77777777" w:rsidR="004930CE" w:rsidRPr="00D235B7" w:rsidRDefault="004930CE" w:rsidP="000B30FA">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14:paraId="5514FF96" w14:textId="77777777" w:rsidR="004930CE" w:rsidRPr="004A61C5" w:rsidRDefault="004930CE" w:rsidP="000B30FA">
                            <w:pPr>
                              <w:pStyle w:val="TLKontakty"/>
                              <w:spacing w:after="80" w:line="240" w:lineRule="auto"/>
                              <w:contextualSpacing w:val="0"/>
                              <w:rPr>
                                <w:color w:val="auto"/>
                              </w:rPr>
                            </w:pPr>
                          </w:p>
                          <w:p w14:paraId="219E13BB" w14:textId="77777777" w:rsidR="004930CE" w:rsidRPr="00D66223" w:rsidRDefault="004930CE" w:rsidP="000B30FA">
                            <w:pPr>
                              <w:pStyle w:val="TLKontaktyerven"/>
                            </w:pPr>
                            <w:r w:rsidRPr="00D66223">
                              <w:t>INFORMAČNÍ SLUŽBY V REGIONECH</w:t>
                            </w:r>
                          </w:p>
                          <w:p w14:paraId="4867B889" w14:textId="77777777" w:rsidR="004930CE" w:rsidRPr="00992CF3" w:rsidRDefault="004930CE" w:rsidP="000B30FA">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14:paraId="4E1F442C" w14:textId="77777777" w:rsidR="004930CE" w:rsidRPr="00992CF3" w:rsidRDefault="004930CE" w:rsidP="000B30FA">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14:paraId="2087351C" w14:textId="77777777" w:rsidR="004930CE" w:rsidRPr="004A61C5" w:rsidRDefault="004930CE" w:rsidP="000B30FA">
                            <w:pPr>
                              <w:pStyle w:val="TLKontakty"/>
                              <w:spacing w:after="80" w:line="240" w:lineRule="auto"/>
                              <w:rPr>
                                <w:color w:val="auto"/>
                              </w:rPr>
                            </w:pPr>
                          </w:p>
                          <w:p w14:paraId="7E0D46F0" w14:textId="77777777" w:rsidR="004930CE" w:rsidRPr="00992CF3" w:rsidRDefault="004930CE" w:rsidP="000B30FA">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14:paraId="5E67683C" w14:textId="77777777" w:rsidR="004930CE" w:rsidRPr="00992CF3" w:rsidRDefault="004930CE" w:rsidP="000B30FA">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14:paraId="4016BA29" w14:textId="77777777" w:rsidR="004930CE" w:rsidRPr="004A61C5" w:rsidRDefault="004930CE" w:rsidP="000B30FA">
                            <w:pPr>
                              <w:pStyle w:val="TLKontakty"/>
                              <w:spacing w:after="80" w:line="240" w:lineRule="auto"/>
                              <w:rPr>
                                <w:color w:val="auto"/>
                              </w:rPr>
                            </w:pPr>
                          </w:p>
                          <w:p w14:paraId="42F0941B" w14:textId="77777777" w:rsidR="004930CE" w:rsidRPr="00992CF3" w:rsidRDefault="004930CE" w:rsidP="000B30FA">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14:paraId="226EA827" w14:textId="77777777" w:rsidR="004930CE" w:rsidRPr="00992CF3" w:rsidRDefault="004930CE" w:rsidP="000B30FA">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14:paraId="0A359991" w14:textId="77777777" w:rsidR="004930CE" w:rsidRPr="004A61C5" w:rsidRDefault="004930CE" w:rsidP="000B30FA">
                            <w:pPr>
                              <w:pStyle w:val="TLKontakty"/>
                              <w:spacing w:after="80" w:line="240" w:lineRule="auto"/>
                              <w:rPr>
                                <w:color w:val="auto"/>
                              </w:rPr>
                            </w:pPr>
                          </w:p>
                          <w:p w14:paraId="45510866" w14:textId="77777777" w:rsidR="004930CE" w:rsidRPr="00BC731E" w:rsidRDefault="004930CE" w:rsidP="000B30FA">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w:t>
                            </w:r>
                            <w:r w:rsidRPr="00BC731E">
                              <w:rPr>
                                <w:b w:val="0"/>
                                <w:color w:val="auto"/>
                              </w:rPr>
                              <w:t>, 377 612 145</w:t>
                            </w:r>
                          </w:p>
                          <w:p w14:paraId="50BBF7C9" w14:textId="77777777" w:rsidR="004930CE" w:rsidRPr="004A61C5" w:rsidRDefault="004930CE" w:rsidP="000B30FA">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14:paraId="561DC5D7" w14:textId="77777777" w:rsidR="004930CE" w:rsidRPr="004A61C5" w:rsidRDefault="004930CE" w:rsidP="000B30FA">
                            <w:pPr>
                              <w:pStyle w:val="TLKontakty"/>
                              <w:spacing w:after="80" w:line="240" w:lineRule="auto"/>
                              <w:rPr>
                                <w:color w:val="auto"/>
                              </w:rPr>
                            </w:pPr>
                          </w:p>
                          <w:p w14:paraId="4F3BB18E" w14:textId="77777777" w:rsidR="004930CE" w:rsidRPr="004A61C5" w:rsidRDefault="004930CE" w:rsidP="000B30FA">
                            <w:pPr>
                              <w:pStyle w:val="TLKontakty"/>
                              <w:spacing w:after="80" w:line="240" w:lineRule="auto"/>
                              <w:rPr>
                                <w:b w:val="0"/>
                                <w:color w:val="auto"/>
                              </w:rPr>
                            </w:pPr>
                            <w:r w:rsidRPr="00D66223">
                              <w:t>Karlovy Vary</w:t>
                            </w:r>
                            <w:r w:rsidRPr="004A61C5">
                              <w:rPr>
                                <w:b w:val="0"/>
                                <w:color w:val="auto"/>
                              </w:rPr>
                              <w:t xml:space="preserve"> | </w:t>
                            </w:r>
                            <w:r w:rsidRPr="00095135">
                              <w:rPr>
                                <w:b w:val="0"/>
                                <w:color w:val="auto"/>
                              </w:rPr>
                              <w:t>Závodní 360/94, 360 06 Karlovy Vary</w:t>
                            </w:r>
                            <w:r w:rsidRPr="004A61C5">
                              <w:rPr>
                                <w:b w:val="0"/>
                                <w:color w:val="auto"/>
                              </w:rPr>
                              <w:t>, tel.</w:t>
                            </w:r>
                            <w:r>
                              <w:rPr>
                                <w:b w:val="0"/>
                                <w:color w:val="auto"/>
                              </w:rPr>
                              <w:t xml:space="preserve">: </w:t>
                            </w:r>
                            <w:r w:rsidRPr="004A61C5">
                              <w:rPr>
                                <w:b w:val="0"/>
                                <w:color w:val="auto"/>
                              </w:rPr>
                              <w:t>353 114 529, 353 114 525</w:t>
                            </w:r>
                          </w:p>
                          <w:p w14:paraId="4017765E" w14:textId="77777777" w:rsidR="004930CE" w:rsidRPr="004A61C5" w:rsidRDefault="004930CE" w:rsidP="000B30FA">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14:paraId="5F24CF8F" w14:textId="77777777" w:rsidR="004930CE" w:rsidRPr="004A61C5" w:rsidRDefault="004930CE" w:rsidP="000B30FA">
                            <w:pPr>
                              <w:pStyle w:val="TLKontakty"/>
                              <w:spacing w:after="80" w:line="240" w:lineRule="auto"/>
                              <w:rPr>
                                <w:color w:val="auto"/>
                              </w:rPr>
                            </w:pPr>
                          </w:p>
                          <w:p w14:paraId="223B91DE" w14:textId="77777777" w:rsidR="004930CE" w:rsidRPr="004A61C5" w:rsidRDefault="004930CE" w:rsidP="000B30FA">
                            <w:pPr>
                              <w:pStyle w:val="TLKontakty"/>
                              <w:spacing w:after="80" w:line="240" w:lineRule="auto"/>
                              <w:rPr>
                                <w:b w:val="0"/>
                                <w:color w:val="auto"/>
                              </w:rPr>
                            </w:pPr>
                            <w:r w:rsidRPr="00D66223">
                              <w:t>Ústí nad Labem</w:t>
                            </w:r>
                            <w:r w:rsidRPr="004A61C5">
                              <w:rPr>
                                <w:b w:val="0"/>
                                <w:color w:val="auto"/>
                              </w:rPr>
                              <w:t xml:space="preserve"> | Špálova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14:paraId="6257C138" w14:textId="77777777" w:rsidR="004930CE" w:rsidRPr="004A61C5" w:rsidRDefault="004930CE" w:rsidP="000B30FA">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14:paraId="5B9C7DCC" w14:textId="77777777" w:rsidR="004930CE" w:rsidRPr="004A61C5" w:rsidRDefault="004930CE" w:rsidP="000B30FA">
                            <w:pPr>
                              <w:pStyle w:val="TLKontakty"/>
                              <w:spacing w:after="80" w:line="240" w:lineRule="auto"/>
                              <w:rPr>
                                <w:color w:val="auto"/>
                              </w:rPr>
                            </w:pPr>
                          </w:p>
                          <w:p w14:paraId="1D92F000" w14:textId="77777777" w:rsidR="004930CE" w:rsidRPr="004A61C5" w:rsidRDefault="004930CE" w:rsidP="000B30FA">
                            <w:pPr>
                              <w:pStyle w:val="TLKontakty"/>
                              <w:spacing w:after="80" w:line="240" w:lineRule="auto"/>
                              <w:rPr>
                                <w:b w:val="0"/>
                                <w:color w:val="auto"/>
                              </w:rPr>
                            </w:pPr>
                            <w:r w:rsidRPr="00D66223">
                              <w:t>Liberec</w:t>
                            </w:r>
                            <w:r w:rsidRPr="004A61C5">
                              <w:rPr>
                                <w:b w:val="0"/>
                                <w:color w:val="auto"/>
                              </w:rPr>
                              <w:t xml:space="preserve"> | Nám. Dr. Edvarda Beneše 585/26, 460 01 Liberec 1, tel.</w:t>
                            </w:r>
                            <w:r>
                              <w:rPr>
                                <w:b w:val="0"/>
                                <w:color w:val="auto"/>
                              </w:rPr>
                              <w:t xml:space="preserve">: </w:t>
                            </w:r>
                            <w:r w:rsidRPr="004A61C5">
                              <w:rPr>
                                <w:b w:val="0"/>
                                <w:color w:val="auto"/>
                              </w:rPr>
                              <w:t>485 238 811</w:t>
                            </w:r>
                          </w:p>
                          <w:p w14:paraId="290DF144" w14:textId="77777777" w:rsidR="004930CE" w:rsidRPr="004A61C5" w:rsidRDefault="004930CE" w:rsidP="000B30FA">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14:paraId="16ED7933" w14:textId="77777777" w:rsidR="004930CE" w:rsidRPr="004A61C5" w:rsidRDefault="004930CE" w:rsidP="000B30FA">
                            <w:pPr>
                              <w:pStyle w:val="TLKontakty"/>
                              <w:spacing w:after="80" w:line="240" w:lineRule="auto"/>
                              <w:rPr>
                                <w:b w:val="0"/>
                                <w:color w:val="auto"/>
                              </w:rPr>
                            </w:pPr>
                          </w:p>
                          <w:p w14:paraId="2F4F558C" w14:textId="77777777" w:rsidR="004930CE" w:rsidRPr="004A61C5" w:rsidRDefault="004930CE" w:rsidP="000B30FA">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14:paraId="1191A24C" w14:textId="77777777" w:rsidR="004930CE" w:rsidRPr="004A61C5" w:rsidRDefault="004930CE" w:rsidP="000B30FA">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14:paraId="1B0BE732" w14:textId="77777777" w:rsidR="004930CE" w:rsidRPr="004A61C5" w:rsidRDefault="004930CE" w:rsidP="000B30FA">
                            <w:pPr>
                              <w:pStyle w:val="TLKontakty"/>
                              <w:spacing w:after="80" w:line="240" w:lineRule="auto"/>
                              <w:rPr>
                                <w:color w:val="auto"/>
                              </w:rPr>
                            </w:pPr>
                          </w:p>
                          <w:p w14:paraId="32B13BBC" w14:textId="77777777" w:rsidR="004930CE" w:rsidRPr="004A61C5" w:rsidRDefault="004930CE" w:rsidP="000B30FA">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14:paraId="544D7B94" w14:textId="77777777" w:rsidR="004930CE" w:rsidRPr="004A61C5" w:rsidRDefault="004930CE" w:rsidP="000B30FA">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14:paraId="3B8AC644" w14:textId="77777777" w:rsidR="004930CE" w:rsidRPr="004A61C5" w:rsidRDefault="004930CE" w:rsidP="000B30FA">
                            <w:pPr>
                              <w:pStyle w:val="TLKontakty"/>
                              <w:spacing w:after="80" w:line="240" w:lineRule="auto"/>
                              <w:rPr>
                                <w:b w:val="0"/>
                                <w:color w:val="auto"/>
                              </w:rPr>
                            </w:pPr>
                          </w:p>
                          <w:p w14:paraId="55E4EEF3" w14:textId="77777777" w:rsidR="004930CE" w:rsidRPr="004A61C5" w:rsidRDefault="004930CE" w:rsidP="000B30FA">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 xml:space="preserve">567 109 </w:t>
                            </w:r>
                            <w:r w:rsidRPr="00BC731E">
                              <w:rPr>
                                <w:b w:val="0"/>
                                <w:color w:val="auto"/>
                              </w:rPr>
                              <w:t>062, 567 109 073</w:t>
                            </w:r>
                          </w:p>
                          <w:p w14:paraId="4AAFCEB9" w14:textId="77777777" w:rsidR="004930CE" w:rsidRPr="004A61C5" w:rsidRDefault="004930CE" w:rsidP="000B30FA">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14:paraId="559A5F01" w14:textId="77777777" w:rsidR="004930CE" w:rsidRDefault="004930CE" w:rsidP="000B30FA">
                            <w:pPr>
                              <w:pStyle w:val="TLKontakty"/>
                              <w:spacing w:after="80" w:line="240" w:lineRule="auto"/>
                            </w:pPr>
                          </w:p>
                          <w:p w14:paraId="1E3B945D" w14:textId="77777777" w:rsidR="004930CE" w:rsidRPr="00BC731E" w:rsidRDefault="004930CE" w:rsidP="000B30FA">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 xml:space="preserve">542 528 </w:t>
                            </w:r>
                            <w:r w:rsidRPr="00BC731E">
                              <w:rPr>
                                <w:b w:val="0"/>
                                <w:color w:val="auto"/>
                              </w:rPr>
                              <w:t>115, 542 528 200</w:t>
                            </w:r>
                          </w:p>
                          <w:p w14:paraId="6EB775F2" w14:textId="77777777" w:rsidR="004930CE" w:rsidRPr="004A61C5" w:rsidRDefault="004930CE" w:rsidP="000B30FA">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14:paraId="0F34ADAB" w14:textId="77777777" w:rsidR="004930CE" w:rsidRPr="004A61C5" w:rsidRDefault="004930CE" w:rsidP="000B30FA">
                            <w:pPr>
                              <w:pStyle w:val="TLKontakty"/>
                              <w:spacing w:after="80" w:line="240" w:lineRule="auto"/>
                              <w:rPr>
                                <w:b w:val="0"/>
                                <w:color w:val="auto"/>
                              </w:rPr>
                            </w:pPr>
                          </w:p>
                          <w:p w14:paraId="72F72A32" w14:textId="77777777" w:rsidR="004930CE" w:rsidRPr="005E7C78" w:rsidRDefault="004930CE" w:rsidP="000B30FA">
                            <w:pPr>
                              <w:pStyle w:val="TLKontakty"/>
                              <w:spacing w:after="80" w:line="240" w:lineRule="auto"/>
                              <w:rPr>
                                <w:b w:val="0"/>
                                <w:color w:val="auto"/>
                              </w:rPr>
                            </w:pPr>
                            <w:r w:rsidRPr="00D66223">
                              <w:t>Olomouc</w:t>
                            </w:r>
                            <w:r w:rsidRPr="005E7C78">
                              <w:rPr>
                                <w:b w:val="0"/>
                                <w:color w:val="auto"/>
                              </w:rPr>
                              <w:t xml:space="preserve"> | Jeremenkova 1142/42, 772 11 Olomouc, </w:t>
                            </w:r>
                            <w:r>
                              <w:rPr>
                                <w:b w:val="0"/>
                                <w:color w:val="auto"/>
                              </w:rPr>
                              <w:t xml:space="preserve">tel.: </w:t>
                            </w:r>
                            <w:r w:rsidRPr="005E7C78">
                              <w:rPr>
                                <w:b w:val="0"/>
                                <w:color w:val="auto"/>
                              </w:rPr>
                              <w:t xml:space="preserve">585 731 </w:t>
                            </w:r>
                            <w:r w:rsidRPr="00BC731E">
                              <w:rPr>
                                <w:b w:val="0"/>
                                <w:color w:val="auto"/>
                              </w:rPr>
                              <w:t>516, 585 731 511</w:t>
                            </w:r>
                          </w:p>
                          <w:p w14:paraId="0F1ABF65" w14:textId="77777777" w:rsidR="004930CE" w:rsidRPr="005E7C78" w:rsidRDefault="004930CE" w:rsidP="000B30FA">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14:paraId="102D49A8" w14:textId="77777777" w:rsidR="004930CE" w:rsidRPr="005E7C78" w:rsidRDefault="004930CE" w:rsidP="000B30FA">
                            <w:pPr>
                              <w:pStyle w:val="TLKontakty"/>
                              <w:spacing w:after="80" w:line="240" w:lineRule="auto"/>
                              <w:rPr>
                                <w:b w:val="0"/>
                                <w:color w:val="auto"/>
                              </w:rPr>
                            </w:pPr>
                          </w:p>
                          <w:p w14:paraId="346F5BD8" w14:textId="77777777" w:rsidR="004930CE" w:rsidRPr="005E7C78" w:rsidRDefault="004930CE" w:rsidP="000B30FA">
                            <w:pPr>
                              <w:pStyle w:val="TLKontakty"/>
                              <w:spacing w:after="80" w:line="240" w:lineRule="auto"/>
                              <w:rPr>
                                <w:b w:val="0"/>
                                <w:color w:val="auto"/>
                              </w:rPr>
                            </w:pPr>
                            <w:r w:rsidRPr="00D66223">
                              <w:t>Zlín</w:t>
                            </w:r>
                            <w:r w:rsidRPr="005E7C78">
                              <w:rPr>
                                <w:b w:val="0"/>
                                <w:color w:val="auto"/>
                              </w:rPr>
                              <w:t xml:space="preserve"> | tř. Tomáše Bati 1565, 761 76 Zlín, </w:t>
                            </w:r>
                            <w:r w:rsidRPr="00BC731E">
                              <w:rPr>
                                <w:b w:val="0"/>
                                <w:color w:val="auto"/>
                              </w:rPr>
                              <w:t>tel.: 577 004 932, 5</w:t>
                            </w:r>
                            <w:r w:rsidRPr="005E7C78">
                              <w:rPr>
                                <w:b w:val="0"/>
                                <w:color w:val="auto"/>
                              </w:rPr>
                              <w:t>77 004 935</w:t>
                            </w:r>
                          </w:p>
                          <w:p w14:paraId="2F232E95" w14:textId="77777777" w:rsidR="004930CE" w:rsidRDefault="004930CE" w:rsidP="000B30FA">
                            <w:pPr>
                              <w:pStyle w:val="TLKontakty"/>
                              <w:spacing w:after="80" w:line="240" w:lineRule="auto"/>
                              <w:rPr>
                                <w:color w:val="auto"/>
                              </w:rPr>
                            </w:pPr>
                            <w:r w:rsidRPr="005E7C78">
                              <w:rPr>
                                <w:b w:val="0"/>
                                <w:color w:val="auto"/>
                              </w:rPr>
                              <w:t xml:space="preserve">e-mail: infoservis-zl@czso.cz | </w:t>
                            </w:r>
                            <w:r w:rsidRPr="00227A53">
                              <w:rPr>
                                <w:color w:val="auto"/>
                              </w:rPr>
                              <w:t>www.zlin.czso.cz</w:t>
                            </w:r>
                          </w:p>
                          <w:p w14:paraId="73BEDE0C" w14:textId="77777777" w:rsidR="004930CE" w:rsidRPr="005E7C78" w:rsidRDefault="004930CE" w:rsidP="000B30FA">
                            <w:pPr>
                              <w:pStyle w:val="TLKontakty"/>
                              <w:spacing w:after="80" w:line="240" w:lineRule="auto"/>
                              <w:rPr>
                                <w:b w:val="0"/>
                                <w:color w:val="auto"/>
                              </w:rPr>
                            </w:pPr>
                          </w:p>
                          <w:p w14:paraId="7C595CFB" w14:textId="77777777" w:rsidR="004930CE" w:rsidRPr="005E7C78" w:rsidRDefault="004930CE" w:rsidP="000B30FA">
                            <w:pPr>
                              <w:pStyle w:val="TLKontakty"/>
                              <w:spacing w:after="80" w:line="240" w:lineRule="auto"/>
                              <w:rPr>
                                <w:b w:val="0"/>
                                <w:color w:val="auto"/>
                              </w:rPr>
                            </w:pPr>
                            <w:r w:rsidRPr="00D66223">
                              <w:t>Ostrava</w:t>
                            </w:r>
                            <w:r w:rsidRPr="005E7C78">
                              <w:rPr>
                                <w:b w:val="0"/>
                                <w:color w:val="auto"/>
                              </w:rPr>
                              <w:t xml:space="preserve"> | Repinova 17, 702 03 Ostrava,</w:t>
                            </w:r>
                            <w:r>
                              <w:rPr>
                                <w:b w:val="0"/>
                                <w:color w:val="auto"/>
                              </w:rPr>
                              <w:t xml:space="preserve"> tel: </w:t>
                            </w:r>
                            <w:r w:rsidRPr="005E7C78">
                              <w:rPr>
                                <w:b w:val="0"/>
                                <w:color w:val="auto"/>
                              </w:rPr>
                              <w:t>595 131 230, 595 131 232</w:t>
                            </w:r>
                          </w:p>
                          <w:p w14:paraId="0B50F54F" w14:textId="77777777" w:rsidR="004930CE" w:rsidRPr="0010437D" w:rsidRDefault="004930CE" w:rsidP="00825C4D">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AA8B816" id="_x0000_s1030" type="#_x0000_t202" style="position:absolute;margin-left:57pt;margin-top:113.4pt;width:481.85pt;height:605.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mqSQIAAEIEAAAOAAAAZHJzL2Uyb0RvYy54bWysU9uO0zAQfUfiHyy/Z3MhTZuo6arbbhDS&#10;cpF2+QA3cZqIxGNst8mC+CC+gx9j7DTLAm+IF2tsz5yZOWdmfT32HTlzpVsQOQ2vAkq4KKFqxTGn&#10;Hx8Kb0WJNkxUrAPBc/rINb3evHyxHmTGI2igq7giCCJ0NsicNsbIzPd12fCe6SuQXOBnDapnBq/q&#10;6FeKDYjed34UBIk/gKqkgpJrja/76ZNuHH5d89K8r2vNDelyirUZdyp3Huzpb9YsOyomm7a8lMH+&#10;oYqetQKTPkHtmWHkpNq/oPq2VKChNlcl9D7UdVty1wN2EwZ/dHPfMMldL0iOlk806f8HW747f1Ck&#10;rXIaUSJYjxI98NHA+cd3IqHjJLIUDVJn6Hkv0deMNzCi1K5dLe+g/KSJgF3DxJFvlYKh4azCEkMb&#10;6T8LnXC0BTkMb6HCXOxkwAGNteotf8gIQXSU6vFJHqyHlPiYhGEapwtKSvxbJmkQrxYuB8vmcKm0&#10;ec2hJ9bIqUL9HTw732ljy2HZ7GKzCSjarnMz0InfHtBxesHkGGr/bBlO0q9pkN6ublexF0fJrRcH&#10;VeVti13sJUW4XOxf7Xe7ffhtGq1nQWEUBzdR6hXJaunFdbzw0mWw8oIwvUmTIE7jfeGCMPWc1LFn&#10;CZuoM+NhdFrFsygHqB6RTgXTYOMiotGA+kLJgEOdU/35xBSnpHsjUBK7AbOhZuMwG0yUGJpTQ8lk&#10;7sy0KSep2mODyLPoW5StaB2hVt+piovYOKiO58tS2U14fndev1Z/8xMAAP//AwBQSwMEFAAGAAgA&#10;AAAhAA33fzzgAAAADQEAAA8AAABkcnMvZG93bnJldi54bWxMj8FOwzAQRO9I/IO1SFxQ6yRUSRvi&#10;VAjBhRuFCzc3XpIIex3FbhL69WxPcNvRjmbmVfvFWTHhGHpPCtJ1AgKp8aanVsHH+8tqCyJETUZb&#10;T6jgBwPs6+urSpfGz/SG0yG2gkMolFpBF+NQShmaDp0Oaz8g8e/Lj05HlmMrzahnDndWZkmSS6d7&#10;4oZOD/jUYfN9ODkF+fI83L3uMJvPjZ3o85ymEVOlbm+WxwcQEZf4Z4bLfJ4ONW86+hOZICzrdMMs&#10;UUGW5cxwcSRFUYA48rW5L3Yg60r+p6h/AQAA//8DAFBLAQItABQABgAIAAAAIQC2gziS/gAAAOEB&#10;AAATAAAAAAAAAAAAAAAAAAAAAABbQ29udGVudF9UeXBlc10ueG1sUEsBAi0AFAAGAAgAAAAhADj9&#10;If/WAAAAlAEAAAsAAAAAAAAAAAAAAAAALwEAAF9yZWxzLy5yZWxzUEsBAi0AFAAGAAgAAAAhAMn3&#10;+apJAgAAQgQAAA4AAAAAAAAAAAAAAAAALgIAAGRycy9lMm9Eb2MueG1sUEsBAi0AFAAGAAgAAAAh&#10;AA33fzzgAAAADQEAAA8AAAAAAAAAAAAAAAAAowQAAGRycy9kb3ducmV2LnhtbFBLBQYAAAAABAAE&#10;APMAAACwBQAAAAA=&#10;" filled="f" stroked="f">
                <v:textbox style="mso-fit-shape-to-text:t" inset="0,0,0,0">
                  <w:txbxContent>
                    <w:p w14:paraId="2B9C624E" w14:textId="77777777" w:rsidR="004930CE" w:rsidRPr="006F5416" w:rsidRDefault="004930CE" w:rsidP="000B30FA">
                      <w:pPr>
                        <w:pStyle w:val="TLKontaktyerven"/>
                      </w:pPr>
                      <w:r w:rsidRPr="006F5416">
                        <w:t>KONTAKTY V ÚSTŘEDÍ</w:t>
                      </w:r>
                    </w:p>
                    <w:p w14:paraId="297404DB" w14:textId="77777777" w:rsidR="004930CE" w:rsidRPr="007D40DF" w:rsidRDefault="004930CE" w:rsidP="000B30FA">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14:paraId="62EB1A13" w14:textId="77777777" w:rsidR="004930CE" w:rsidRPr="00D235B7" w:rsidRDefault="004930CE" w:rsidP="000B30FA">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274 052 304, 274 052 451 | e-mail: infoservis@czso.cz</w:t>
                      </w:r>
                    </w:p>
                    <w:p w14:paraId="705446E8" w14:textId="77777777" w:rsidR="004930CE" w:rsidRPr="00D235B7" w:rsidRDefault="004930CE" w:rsidP="000B30FA">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14:paraId="6C3123B8" w14:textId="77777777" w:rsidR="004930CE" w:rsidRPr="00D235B7" w:rsidRDefault="004930CE" w:rsidP="000B30FA">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274 052 757 | e-mail: esds@czso.cz</w:t>
                      </w:r>
                    </w:p>
                    <w:p w14:paraId="34344A59" w14:textId="77777777" w:rsidR="004930CE" w:rsidRPr="00D235B7" w:rsidRDefault="004930CE" w:rsidP="000B30FA">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14:paraId="5514FF96" w14:textId="77777777" w:rsidR="004930CE" w:rsidRPr="004A61C5" w:rsidRDefault="004930CE" w:rsidP="000B30FA">
                      <w:pPr>
                        <w:pStyle w:val="TLKontakty"/>
                        <w:spacing w:after="80" w:line="240" w:lineRule="auto"/>
                        <w:contextualSpacing w:val="0"/>
                        <w:rPr>
                          <w:color w:val="auto"/>
                        </w:rPr>
                      </w:pPr>
                    </w:p>
                    <w:p w14:paraId="219E13BB" w14:textId="77777777" w:rsidR="004930CE" w:rsidRPr="00D66223" w:rsidRDefault="004930CE" w:rsidP="000B30FA">
                      <w:pPr>
                        <w:pStyle w:val="TLKontaktyerven"/>
                      </w:pPr>
                      <w:r w:rsidRPr="00D66223">
                        <w:t>INFORMAČNÍ SLUŽBY V REGIONECH</w:t>
                      </w:r>
                    </w:p>
                    <w:p w14:paraId="4867B889" w14:textId="77777777" w:rsidR="004930CE" w:rsidRPr="00992CF3" w:rsidRDefault="004930CE" w:rsidP="000B30FA">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14:paraId="4E1F442C" w14:textId="77777777" w:rsidR="004930CE" w:rsidRPr="00992CF3" w:rsidRDefault="004930CE" w:rsidP="000B30FA">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14:paraId="2087351C" w14:textId="77777777" w:rsidR="004930CE" w:rsidRPr="004A61C5" w:rsidRDefault="004930CE" w:rsidP="000B30FA">
                      <w:pPr>
                        <w:pStyle w:val="TLKontakty"/>
                        <w:spacing w:after="80" w:line="240" w:lineRule="auto"/>
                        <w:rPr>
                          <w:color w:val="auto"/>
                        </w:rPr>
                      </w:pPr>
                    </w:p>
                    <w:p w14:paraId="7E0D46F0" w14:textId="77777777" w:rsidR="004930CE" w:rsidRPr="00992CF3" w:rsidRDefault="004930CE" w:rsidP="000B30FA">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14:paraId="5E67683C" w14:textId="77777777" w:rsidR="004930CE" w:rsidRPr="00992CF3" w:rsidRDefault="004930CE" w:rsidP="000B30FA">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14:paraId="4016BA29" w14:textId="77777777" w:rsidR="004930CE" w:rsidRPr="004A61C5" w:rsidRDefault="004930CE" w:rsidP="000B30FA">
                      <w:pPr>
                        <w:pStyle w:val="TLKontakty"/>
                        <w:spacing w:after="80" w:line="240" w:lineRule="auto"/>
                        <w:rPr>
                          <w:color w:val="auto"/>
                        </w:rPr>
                      </w:pPr>
                    </w:p>
                    <w:p w14:paraId="42F0941B" w14:textId="77777777" w:rsidR="004930CE" w:rsidRPr="00992CF3" w:rsidRDefault="004930CE" w:rsidP="000B30FA">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14:paraId="226EA827" w14:textId="77777777" w:rsidR="004930CE" w:rsidRPr="00992CF3" w:rsidRDefault="004930CE" w:rsidP="000B30FA">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14:paraId="0A359991" w14:textId="77777777" w:rsidR="004930CE" w:rsidRPr="004A61C5" w:rsidRDefault="004930CE" w:rsidP="000B30FA">
                      <w:pPr>
                        <w:pStyle w:val="TLKontakty"/>
                        <w:spacing w:after="80" w:line="240" w:lineRule="auto"/>
                        <w:rPr>
                          <w:color w:val="auto"/>
                        </w:rPr>
                      </w:pPr>
                    </w:p>
                    <w:p w14:paraId="45510866" w14:textId="77777777" w:rsidR="004930CE" w:rsidRPr="00BC731E" w:rsidRDefault="004930CE" w:rsidP="000B30FA">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w:t>
                      </w:r>
                      <w:r w:rsidRPr="00BC731E">
                        <w:rPr>
                          <w:b w:val="0"/>
                          <w:color w:val="auto"/>
                        </w:rPr>
                        <w:t>, 377 612 145</w:t>
                      </w:r>
                    </w:p>
                    <w:p w14:paraId="50BBF7C9" w14:textId="77777777" w:rsidR="004930CE" w:rsidRPr="004A61C5" w:rsidRDefault="004930CE" w:rsidP="000B30FA">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14:paraId="561DC5D7" w14:textId="77777777" w:rsidR="004930CE" w:rsidRPr="004A61C5" w:rsidRDefault="004930CE" w:rsidP="000B30FA">
                      <w:pPr>
                        <w:pStyle w:val="TLKontakty"/>
                        <w:spacing w:after="80" w:line="240" w:lineRule="auto"/>
                        <w:rPr>
                          <w:color w:val="auto"/>
                        </w:rPr>
                      </w:pPr>
                    </w:p>
                    <w:p w14:paraId="4F3BB18E" w14:textId="77777777" w:rsidR="004930CE" w:rsidRPr="004A61C5" w:rsidRDefault="004930CE" w:rsidP="000B30FA">
                      <w:pPr>
                        <w:pStyle w:val="TLKontakty"/>
                        <w:spacing w:after="80" w:line="240" w:lineRule="auto"/>
                        <w:rPr>
                          <w:b w:val="0"/>
                          <w:color w:val="auto"/>
                        </w:rPr>
                      </w:pPr>
                      <w:r w:rsidRPr="00D66223">
                        <w:t>Karlovy Vary</w:t>
                      </w:r>
                      <w:r w:rsidRPr="004A61C5">
                        <w:rPr>
                          <w:b w:val="0"/>
                          <w:color w:val="auto"/>
                        </w:rPr>
                        <w:t xml:space="preserve"> | </w:t>
                      </w:r>
                      <w:r w:rsidRPr="00095135">
                        <w:rPr>
                          <w:b w:val="0"/>
                          <w:color w:val="auto"/>
                        </w:rPr>
                        <w:t>Závodní 360/94, 360 06 Karlovy Vary</w:t>
                      </w:r>
                      <w:r w:rsidRPr="004A61C5">
                        <w:rPr>
                          <w:b w:val="0"/>
                          <w:color w:val="auto"/>
                        </w:rPr>
                        <w:t>, tel.</w:t>
                      </w:r>
                      <w:r>
                        <w:rPr>
                          <w:b w:val="0"/>
                          <w:color w:val="auto"/>
                        </w:rPr>
                        <w:t xml:space="preserve">: </w:t>
                      </w:r>
                      <w:r w:rsidRPr="004A61C5">
                        <w:rPr>
                          <w:b w:val="0"/>
                          <w:color w:val="auto"/>
                        </w:rPr>
                        <w:t>353 114 529, 353 114 525</w:t>
                      </w:r>
                    </w:p>
                    <w:p w14:paraId="4017765E" w14:textId="77777777" w:rsidR="004930CE" w:rsidRPr="004A61C5" w:rsidRDefault="004930CE" w:rsidP="000B30FA">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14:paraId="5F24CF8F" w14:textId="77777777" w:rsidR="004930CE" w:rsidRPr="004A61C5" w:rsidRDefault="004930CE" w:rsidP="000B30FA">
                      <w:pPr>
                        <w:pStyle w:val="TLKontakty"/>
                        <w:spacing w:after="80" w:line="240" w:lineRule="auto"/>
                        <w:rPr>
                          <w:color w:val="auto"/>
                        </w:rPr>
                      </w:pPr>
                    </w:p>
                    <w:p w14:paraId="223B91DE" w14:textId="77777777" w:rsidR="004930CE" w:rsidRPr="004A61C5" w:rsidRDefault="004930CE" w:rsidP="000B30FA">
                      <w:pPr>
                        <w:pStyle w:val="TLKontakty"/>
                        <w:spacing w:after="80" w:line="240" w:lineRule="auto"/>
                        <w:rPr>
                          <w:b w:val="0"/>
                          <w:color w:val="auto"/>
                        </w:rPr>
                      </w:pPr>
                      <w:r w:rsidRPr="00D66223">
                        <w:t>Ústí nad Labem</w:t>
                      </w:r>
                      <w:r w:rsidRPr="004A61C5">
                        <w:rPr>
                          <w:b w:val="0"/>
                          <w:color w:val="auto"/>
                        </w:rPr>
                        <w:t xml:space="preserve"> | Špálova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14:paraId="6257C138" w14:textId="77777777" w:rsidR="004930CE" w:rsidRPr="004A61C5" w:rsidRDefault="004930CE" w:rsidP="000B30FA">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14:paraId="5B9C7DCC" w14:textId="77777777" w:rsidR="004930CE" w:rsidRPr="004A61C5" w:rsidRDefault="004930CE" w:rsidP="000B30FA">
                      <w:pPr>
                        <w:pStyle w:val="TLKontakty"/>
                        <w:spacing w:after="80" w:line="240" w:lineRule="auto"/>
                        <w:rPr>
                          <w:color w:val="auto"/>
                        </w:rPr>
                      </w:pPr>
                    </w:p>
                    <w:p w14:paraId="1D92F000" w14:textId="77777777" w:rsidR="004930CE" w:rsidRPr="004A61C5" w:rsidRDefault="004930CE" w:rsidP="000B30FA">
                      <w:pPr>
                        <w:pStyle w:val="TLKontakty"/>
                        <w:spacing w:after="80" w:line="240" w:lineRule="auto"/>
                        <w:rPr>
                          <w:b w:val="0"/>
                          <w:color w:val="auto"/>
                        </w:rPr>
                      </w:pPr>
                      <w:r w:rsidRPr="00D66223">
                        <w:t>Liberec</w:t>
                      </w:r>
                      <w:r w:rsidRPr="004A61C5">
                        <w:rPr>
                          <w:b w:val="0"/>
                          <w:color w:val="auto"/>
                        </w:rPr>
                        <w:t xml:space="preserve"> | Nám. Dr. Edvarda Beneše 585/26, 460 01 Liberec 1, tel.</w:t>
                      </w:r>
                      <w:r>
                        <w:rPr>
                          <w:b w:val="0"/>
                          <w:color w:val="auto"/>
                        </w:rPr>
                        <w:t xml:space="preserve">: </w:t>
                      </w:r>
                      <w:r w:rsidRPr="004A61C5">
                        <w:rPr>
                          <w:b w:val="0"/>
                          <w:color w:val="auto"/>
                        </w:rPr>
                        <w:t>485 238 811</w:t>
                      </w:r>
                    </w:p>
                    <w:p w14:paraId="290DF144" w14:textId="77777777" w:rsidR="004930CE" w:rsidRPr="004A61C5" w:rsidRDefault="004930CE" w:rsidP="000B30FA">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14:paraId="16ED7933" w14:textId="77777777" w:rsidR="004930CE" w:rsidRPr="004A61C5" w:rsidRDefault="004930CE" w:rsidP="000B30FA">
                      <w:pPr>
                        <w:pStyle w:val="TLKontakty"/>
                        <w:spacing w:after="80" w:line="240" w:lineRule="auto"/>
                        <w:rPr>
                          <w:b w:val="0"/>
                          <w:color w:val="auto"/>
                        </w:rPr>
                      </w:pPr>
                    </w:p>
                    <w:p w14:paraId="2F4F558C" w14:textId="77777777" w:rsidR="004930CE" w:rsidRPr="004A61C5" w:rsidRDefault="004930CE" w:rsidP="000B30FA">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14:paraId="1191A24C" w14:textId="77777777" w:rsidR="004930CE" w:rsidRPr="004A61C5" w:rsidRDefault="004930CE" w:rsidP="000B30FA">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14:paraId="1B0BE732" w14:textId="77777777" w:rsidR="004930CE" w:rsidRPr="004A61C5" w:rsidRDefault="004930CE" w:rsidP="000B30FA">
                      <w:pPr>
                        <w:pStyle w:val="TLKontakty"/>
                        <w:spacing w:after="80" w:line="240" w:lineRule="auto"/>
                        <w:rPr>
                          <w:color w:val="auto"/>
                        </w:rPr>
                      </w:pPr>
                    </w:p>
                    <w:p w14:paraId="32B13BBC" w14:textId="77777777" w:rsidR="004930CE" w:rsidRPr="004A61C5" w:rsidRDefault="004930CE" w:rsidP="000B30FA">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14:paraId="544D7B94" w14:textId="77777777" w:rsidR="004930CE" w:rsidRPr="004A61C5" w:rsidRDefault="004930CE" w:rsidP="000B30FA">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14:paraId="3B8AC644" w14:textId="77777777" w:rsidR="004930CE" w:rsidRPr="004A61C5" w:rsidRDefault="004930CE" w:rsidP="000B30FA">
                      <w:pPr>
                        <w:pStyle w:val="TLKontakty"/>
                        <w:spacing w:after="80" w:line="240" w:lineRule="auto"/>
                        <w:rPr>
                          <w:b w:val="0"/>
                          <w:color w:val="auto"/>
                        </w:rPr>
                      </w:pPr>
                    </w:p>
                    <w:p w14:paraId="55E4EEF3" w14:textId="77777777" w:rsidR="004930CE" w:rsidRPr="004A61C5" w:rsidRDefault="004930CE" w:rsidP="000B30FA">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 xml:space="preserve">567 109 </w:t>
                      </w:r>
                      <w:r w:rsidRPr="00BC731E">
                        <w:rPr>
                          <w:b w:val="0"/>
                          <w:color w:val="auto"/>
                        </w:rPr>
                        <w:t>062, 567 109 073</w:t>
                      </w:r>
                    </w:p>
                    <w:p w14:paraId="4AAFCEB9" w14:textId="77777777" w:rsidR="004930CE" w:rsidRPr="004A61C5" w:rsidRDefault="004930CE" w:rsidP="000B30FA">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14:paraId="559A5F01" w14:textId="77777777" w:rsidR="004930CE" w:rsidRDefault="004930CE" w:rsidP="000B30FA">
                      <w:pPr>
                        <w:pStyle w:val="TLKontakty"/>
                        <w:spacing w:after="80" w:line="240" w:lineRule="auto"/>
                      </w:pPr>
                    </w:p>
                    <w:p w14:paraId="1E3B945D" w14:textId="77777777" w:rsidR="004930CE" w:rsidRPr="00BC731E" w:rsidRDefault="004930CE" w:rsidP="000B30FA">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 xml:space="preserve">542 528 </w:t>
                      </w:r>
                      <w:r w:rsidRPr="00BC731E">
                        <w:rPr>
                          <w:b w:val="0"/>
                          <w:color w:val="auto"/>
                        </w:rPr>
                        <w:t>115, 542 528 200</w:t>
                      </w:r>
                    </w:p>
                    <w:p w14:paraId="6EB775F2" w14:textId="77777777" w:rsidR="004930CE" w:rsidRPr="004A61C5" w:rsidRDefault="004930CE" w:rsidP="000B30FA">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14:paraId="0F34ADAB" w14:textId="77777777" w:rsidR="004930CE" w:rsidRPr="004A61C5" w:rsidRDefault="004930CE" w:rsidP="000B30FA">
                      <w:pPr>
                        <w:pStyle w:val="TLKontakty"/>
                        <w:spacing w:after="80" w:line="240" w:lineRule="auto"/>
                        <w:rPr>
                          <w:b w:val="0"/>
                          <w:color w:val="auto"/>
                        </w:rPr>
                      </w:pPr>
                    </w:p>
                    <w:p w14:paraId="72F72A32" w14:textId="77777777" w:rsidR="004930CE" w:rsidRPr="005E7C78" w:rsidRDefault="004930CE" w:rsidP="000B30FA">
                      <w:pPr>
                        <w:pStyle w:val="TLKontakty"/>
                        <w:spacing w:after="80" w:line="240" w:lineRule="auto"/>
                        <w:rPr>
                          <w:b w:val="0"/>
                          <w:color w:val="auto"/>
                        </w:rPr>
                      </w:pPr>
                      <w:r w:rsidRPr="00D66223">
                        <w:t>Olomouc</w:t>
                      </w:r>
                      <w:r w:rsidRPr="005E7C78">
                        <w:rPr>
                          <w:b w:val="0"/>
                          <w:color w:val="auto"/>
                        </w:rPr>
                        <w:t xml:space="preserve"> | Jeremenkova 1142/42, 772 11 Olomouc, </w:t>
                      </w:r>
                      <w:r>
                        <w:rPr>
                          <w:b w:val="0"/>
                          <w:color w:val="auto"/>
                        </w:rPr>
                        <w:t xml:space="preserve">tel.: </w:t>
                      </w:r>
                      <w:r w:rsidRPr="005E7C78">
                        <w:rPr>
                          <w:b w:val="0"/>
                          <w:color w:val="auto"/>
                        </w:rPr>
                        <w:t xml:space="preserve">585 731 </w:t>
                      </w:r>
                      <w:r w:rsidRPr="00BC731E">
                        <w:rPr>
                          <w:b w:val="0"/>
                          <w:color w:val="auto"/>
                        </w:rPr>
                        <w:t>516, 585 731 511</w:t>
                      </w:r>
                    </w:p>
                    <w:p w14:paraId="0F1ABF65" w14:textId="77777777" w:rsidR="004930CE" w:rsidRPr="005E7C78" w:rsidRDefault="004930CE" w:rsidP="000B30FA">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14:paraId="102D49A8" w14:textId="77777777" w:rsidR="004930CE" w:rsidRPr="005E7C78" w:rsidRDefault="004930CE" w:rsidP="000B30FA">
                      <w:pPr>
                        <w:pStyle w:val="TLKontakty"/>
                        <w:spacing w:after="80" w:line="240" w:lineRule="auto"/>
                        <w:rPr>
                          <w:b w:val="0"/>
                          <w:color w:val="auto"/>
                        </w:rPr>
                      </w:pPr>
                    </w:p>
                    <w:p w14:paraId="346F5BD8" w14:textId="77777777" w:rsidR="004930CE" w:rsidRPr="005E7C78" w:rsidRDefault="004930CE" w:rsidP="000B30FA">
                      <w:pPr>
                        <w:pStyle w:val="TLKontakty"/>
                        <w:spacing w:after="80" w:line="240" w:lineRule="auto"/>
                        <w:rPr>
                          <w:b w:val="0"/>
                          <w:color w:val="auto"/>
                        </w:rPr>
                      </w:pPr>
                      <w:r w:rsidRPr="00D66223">
                        <w:t>Zlín</w:t>
                      </w:r>
                      <w:r w:rsidRPr="005E7C78">
                        <w:rPr>
                          <w:b w:val="0"/>
                          <w:color w:val="auto"/>
                        </w:rPr>
                        <w:t xml:space="preserve"> | tř. Tomáše Bati 1565, 761 76 Zlín, </w:t>
                      </w:r>
                      <w:r w:rsidRPr="00BC731E">
                        <w:rPr>
                          <w:b w:val="0"/>
                          <w:color w:val="auto"/>
                        </w:rPr>
                        <w:t>tel.: 577 004 932, 5</w:t>
                      </w:r>
                      <w:r w:rsidRPr="005E7C78">
                        <w:rPr>
                          <w:b w:val="0"/>
                          <w:color w:val="auto"/>
                        </w:rPr>
                        <w:t>77 004 935</w:t>
                      </w:r>
                    </w:p>
                    <w:p w14:paraId="2F232E95" w14:textId="77777777" w:rsidR="004930CE" w:rsidRDefault="004930CE" w:rsidP="000B30FA">
                      <w:pPr>
                        <w:pStyle w:val="TLKontakty"/>
                        <w:spacing w:after="80" w:line="240" w:lineRule="auto"/>
                        <w:rPr>
                          <w:color w:val="auto"/>
                        </w:rPr>
                      </w:pPr>
                      <w:r w:rsidRPr="005E7C78">
                        <w:rPr>
                          <w:b w:val="0"/>
                          <w:color w:val="auto"/>
                        </w:rPr>
                        <w:t xml:space="preserve">e-mail: infoservis-zl@czso.cz | </w:t>
                      </w:r>
                      <w:r w:rsidRPr="00227A53">
                        <w:rPr>
                          <w:color w:val="auto"/>
                        </w:rPr>
                        <w:t>www.zlin.czso.cz</w:t>
                      </w:r>
                    </w:p>
                    <w:p w14:paraId="73BEDE0C" w14:textId="77777777" w:rsidR="004930CE" w:rsidRPr="005E7C78" w:rsidRDefault="004930CE" w:rsidP="000B30FA">
                      <w:pPr>
                        <w:pStyle w:val="TLKontakty"/>
                        <w:spacing w:after="80" w:line="240" w:lineRule="auto"/>
                        <w:rPr>
                          <w:b w:val="0"/>
                          <w:color w:val="auto"/>
                        </w:rPr>
                      </w:pPr>
                    </w:p>
                    <w:p w14:paraId="7C595CFB" w14:textId="77777777" w:rsidR="004930CE" w:rsidRPr="005E7C78" w:rsidRDefault="004930CE" w:rsidP="000B30FA">
                      <w:pPr>
                        <w:pStyle w:val="TLKontakty"/>
                        <w:spacing w:after="80" w:line="240" w:lineRule="auto"/>
                        <w:rPr>
                          <w:b w:val="0"/>
                          <w:color w:val="auto"/>
                        </w:rPr>
                      </w:pPr>
                      <w:r w:rsidRPr="00D66223">
                        <w:t>Ostrava</w:t>
                      </w:r>
                      <w:r w:rsidRPr="005E7C78">
                        <w:rPr>
                          <w:b w:val="0"/>
                          <w:color w:val="auto"/>
                        </w:rPr>
                        <w:t xml:space="preserve"> | Repinova 17, 702 03 Ostrava,</w:t>
                      </w:r>
                      <w:r>
                        <w:rPr>
                          <w:b w:val="0"/>
                          <w:color w:val="auto"/>
                        </w:rPr>
                        <w:t xml:space="preserve"> tel: </w:t>
                      </w:r>
                      <w:r w:rsidRPr="005E7C78">
                        <w:rPr>
                          <w:b w:val="0"/>
                          <w:color w:val="auto"/>
                        </w:rPr>
                        <w:t>595 131 230, 595 131 232</w:t>
                      </w:r>
                    </w:p>
                    <w:p w14:paraId="0B50F54F" w14:textId="77777777" w:rsidR="004930CE" w:rsidRPr="0010437D" w:rsidRDefault="004930CE" w:rsidP="00825C4D">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txbxContent>
                </v:textbox>
                <w10:wrap anchorx="page" anchory="page"/>
                <w10:anchorlock/>
              </v:shape>
            </w:pict>
          </mc:Fallback>
        </mc:AlternateContent>
      </w:r>
      <w:r>
        <w:rPr>
          <w:noProof/>
        </w:rPr>
        <mc:AlternateContent>
          <mc:Choice Requires="wps">
            <w:drawing>
              <wp:anchor distT="0" distB="0" distL="114300" distR="114300" simplePos="0" relativeHeight="251661824" behindDoc="0" locked="1" layoutInCell="1" allowOverlap="1" wp14:anchorId="2C3A61A8" wp14:editId="56C12A65">
                <wp:simplePos x="0" y="0"/>
                <wp:positionH relativeFrom="page">
                  <wp:posOffset>720090</wp:posOffset>
                </wp:positionH>
                <wp:positionV relativeFrom="page">
                  <wp:posOffset>9486900</wp:posOffset>
                </wp:positionV>
                <wp:extent cx="6120130" cy="360045"/>
                <wp:effectExtent l="0" t="0" r="1270" b="20955"/>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600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A8C07C8" w14:textId="77777777" w:rsidR="004930CE" w:rsidRPr="00321924" w:rsidRDefault="004930CE" w:rsidP="008F029B">
                            <w:r w:rsidRPr="00321924">
                              <w:br/>
                              <w:t xml:space="preserve">© Český statistický úřad, </w:t>
                            </w:r>
                            <w:r>
                              <w:t>Praha</w:t>
                            </w:r>
                            <w:r w:rsidRPr="00321924">
                              <w:t xml:space="preserve">, </w:t>
                            </w:r>
                            <w:r>
                              <w:t>2022</w:t>
                            </w:r>
                          </w:p>
                          <w:p w14:paraId="39133615" w14:textId="77777777" w:rsidR="004930CE" w:rsidRDefault="004930CE"/>
                          <w:p w14:paraId="310EA6D6" w14:textId="77777777" w:rsidR="004930CE" w:rsidRPr="00841D9F" w:rsidRDefault="004930CE" w:rsidP="000A3A2C">
                            <w:r w:rsidRPr="00841D9F">
                              <w:rPr>
                                <w:szCs w:val="26"/>
                              </w:rPr>
                              <w:t xml:space="preserve">ISBN XX-XXXX-XXX-X  </w:t>
                            </w:r>
                            <w:r w:rsidRPr="00841D9F">
                              <w:t>(pouze u nepravidelných a ročních publikací)</w:t>
                            </w:r>
                          </w:p>
                          <w:p w14:paraId="1A23261A" w14:textId="77777777" w:rsidR="004930CE" w:rsidRPr="00AF2852" w:rsidRDefault="004930CE" w:rsidP="000A3A2C">
                            <w:r w:rsidRPr="00841D9F">
                              <w:t>© Český sta</w:t>
                            </w:r>
                            <w:r>
                              <w:t xml:space="preserve">tistický úřad / </w:t>
                            </w:r>
                            <w:r w:rsidRPr="009A1902">
                              <w:rPr>
                                <w:i/>
                              </w:rPr>
                              <w:t xml:space="preserve">Czech </w:t>
                            </w:r>
                            <w:r w:rsidRPr="009A1902">
                              <w:rPr>
                                <w:rFonts w:cs="Arial"/>
                                <w:i/>
                                <w:szCs w:val="20"/>
                              </w:rPr>
                              <w:t>Statistical Office</w:t>
                            </w:r>
                            <w:r>
                              <w:t>, místo, rok vydání</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A61A8" id="_x0000_s1031" type="#_x0000_t202" style="position:absolute;margin-left:56.7pt;margin-top:747pt;width:481.9pt;height:28.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1SQIAAEIEAAAOAAAAZHJzL2Uyb0RvYy54bWysU9tu2zAMfR+wfxD07voS142NOEWaNMOA&#10;7gK0+wBFlmNjtqhJSuxu2AftO/Zjo+Sk7ba3YS8CJZKH5Dni4nrsO3IU2rQgSxpfRJQIyaFq5b6k&#10;nx62wZwSY5msWAdSlPRRGHq9fP1qMahCJNBAVwlNEESaYlAlbaxVRRga3oiemQtQQqKzBt0zi1e9&#10;DyvNBkTvuzCJoiwcQFdKAxfG4OtmctKlx69rwe2HujbCkq6k2Jv1p/bnzp3hcsGKvWaqafmpDfYP&#10;XfSslVj0CWrDLCMH3f4F1bdcg4HaXnDoQ6jrlgs/A04TR39Mc98wJfwsSI5RTzSZ/wfL3x8/atJW&#10;JU1mlEjWo0YPYrRw/PmDKOgESRxHgzIFht4rDLbjDYyotZ/XqDvgnw2RsG6Y3IuV1jA0glXYY+wy&#10;wxepE45xILvhHVRYix0seKCx1r0jECkhiI5aPT7pg/0Qjo9ZjCTN0MXRN8uiKL30JVhxzlba2DcC&#10;euKMkmrU36Oz452xrhtWnENcMQnbtuv8H+jkbw8YOL1gbUx1PteFl/RbHuW389t5GqRJdhukUVUF&#10;q+06DbJtfHW5mW3W6038ffpaL5LiJI1ukjzYZvOrIK3TyyC/iuZBFOc3eRalebrZ+iQsfS7qyXN8&#10;TczZcTd6rfzYjtgdVI/IpobpY+MiotGA/krJgJ+6pObLgWlBSfdWoiJuA86GPhu7s8Ekx9SSWkom&#10;c22nTTko3e4bRJ40l7BC1erWE/rcxUlr/Kie59NSuU14efdRz6u//AUAAP//AwBQSwMEFAAGAAgA&#10;AAAhANXbivriAAAADgEAAA8AAABkcnMvZG93bnJldi54bWxMj8FOwzAQRO9I/IO1SNyo3ZI2NMSp&#10;KgQnJEQaDhyd2E2sxusQu234e7ancpvRPs3O5JvJ9exkxmA9SpjPBDCDjdcWWwlf1dvDE7AQFWrV&#10;ezQSfk2ATXF7k6tM+zOW5rSLLaMQDJmS0MU4ZJyHpjNOhZkfDNJt70enItmx5XpUZwp3PV8IseJO&#10;WaQPnRrMS2eaw+7oJGy/sXy1Px/1Z7kvbVWtBb6vDlLe303bZ2DRTPEKw6U+VYeCOtX+iDqwnvz8&#10;MSGURLJOaNUFEWm6AFaTWi5FCrzI+f8ZxR8AAAD//wMAUEsBAi0AFAAGAAgAAAAhALaDOJL+AAAA&#10;4QEAABMAAAAAAAAAAAAAAAAAAAAAAFtDb250ZW50X1R5cGVzXS54bWxQSwECLQAUAAYACAAAACEA&#10;OP0h/9YAAACUAQAACwAAAAAAAAAAAAAAAAAvAQAAX3JlbHMvLnJlbHNQSwECLQAUAAYACAAAACEA&#10;q/qsdUkCAABCBAAADgAAAAAAAAAAAAAAAAAuAgAAZHJzL2Uyb0RvYy54bWxQSwECLQAUAAYACAAA&#10;ACEA1duK+uIAAAAOAQAADwAAAAAAAAAAAAAAAACjBAAAZHJzL2Rvd25yZXYueG1sUEsFBgAAAAAE&#10;AAQA8wAAALIFAAAAAA==&#10;" filled="f" stroked="f">
                <v:textbox inset="0,0,0,0">
                  <w:txbxContent>
                    <w:p w14:paraId="0A8C07C8" w14:textId="77777777" w:rsidR="004930CE" w:rsidRPr="00321924" w:rsidRDefault="004930CE" w:rsidP="008F029B">
                      <w:r w:rsidRPr="00321924">
                        <w:br/>
                        <w:t xml:space="preserve">© Český statistický úřad, </w:t>
                      </w:r>
                      <w:r>
                        <w:t>Praha</w:t>
                      </w:r>
                      <w:r w:rsidRPr="00321924">
                        <w:t xml:space="preserve">, </w:t>
                      </w:r>
                      <w:r>
                        <w:t>2022</w:t>
                      </w:r>
                    </w:p>
                    <w:p w14:paraId="39133615" w14:textId="77777777" w:rsidR="004930CE" w:rsidRDefault="004930CE"/>
                    <w:p w14:paraId="310EA6D6" w14:textId="77777777" w:rsidR="004930CE" w:rsidRPr="00841D9F" w:rsidRDefault="004930CE" w:rsidP="000A3A2C">
                      <w:r w:rsidRPr="00841D9F">
                        <w:rPr>
                          <w:szCs w:val="26"/>
                        </w:rPr>
                        <w:t xml:space="preserve">ISBN XX-XXXX-XXX-X  </w:t>
                      </w:r>
                      <w:r w:rsidRPr="00841D9F">
                        <w:t>(pouze u nepravidelných a ročních publikací)</w:t>
                      </w:r>
                    </w:p>
                    <w:p w14:paraId="1A23261A" w14:textId="77777777" w:rsidR="004930CE" w:rsidRPr="00AF2852" w:rsidRDefault="004930CE" w:rsidP="000A3A2C">
                      <w:r w:rsidRPr="00841D9F">
                        <w:t>© Český sta</w:t>
                      </w:r>
                      <w:r>
                        <w:t xml:space="preserve">tistický úřad / </w:t>
                      </w:r>
                      <w:r w:rsidRPr="009A1902">
                        <w:rPr>
                          <w:i/>
                        </w:rPr>
                        <w:t xml:space="preserve">Czech </w:t>
                      </w:r>
                      <w:r w:rsidRPr="009A1902">
                        <w:rPr>
                          <w:rFonts w:cs="Arial"/>
                          <w:i/>
                          <w:szCs w:val="20"/>
                        </w:rPr>
                        <w:t>Statistical Office</w:t>
                      </w:r>
                      <w:r>
                        <w:t>, místo, rok vydání</w:t>
                      </w:r>
                    </w:p>
                  </w:txbxContent>
                </v:textbox>
                <w10:wrap anchorx="page" anchory="page"/>
                <w10:anchorlock/>
              </v:shape>
            </w:pict>
          </mc:Fallback>
        </mc:AlternateContent>
      </w:r>
      <w:r>
        <w:rPr>
          <w:noProof/>
        </w:rPr>
        <mc:AlternateContent>
          <mc:Choice Requires="wps">
            <w:drawing>
              <wp:anchor distT="0" distB="0" distL="114300" distR="114300" simplePos="0" relativeHeight="251660800" behindDoc="0" locked="1" layoutInCell="1" allowOverlap="1" wp14:anchorId="4B843FA7" wp14:editId="2B8AD724">
                <wp:simplePos x="0" y="0"/>
                <wp:positionH relativeFrom="page">
                  <wp:posOffset>723265</wp:posOffset>
                </wp:positionH>
                <wp:positionV relativeFrom="page">
                  <wp:posOffset>723265</wp:posOffset>
                </wp:positionV>
                <wp:extent cx="6119495" cy="572770"/>
                <wp:effectExtent l="0" t="0" r="2540" b="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5727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3CA7384A" w14:textId="77777777" w:rsidR="004930CE" w:rsidRPr="009A1902" w:rsidRDefault="004930CE" w:rsidP="000A3A2C">
                            <w:pPr>
                              <w:rPr>
                                <w:b/>
                                <w:bCs/>
                                <w:i/>
                                <w:sz w:val="24"/>
                              </w:rPr>
                            </w:pPr>
                            <w:r w:rsidRPr="00B95F50">
                              <w:rPr>
                                <w:b/>
                                <w:color w:val="0071BC"/>
                                <w:sz w:val="24"/>
                              </w:rPr>
                              <w:t xml:space="preserve">Zajímají Vás nejnovější údaje o inflaci, HDP, obyvatelstvu, průměrných mzdách </w:t>
                            </w:r>
                            <w:r>
                              <w:rPr>
                                <w:b/>
                                <w:color w:val="0071BC"/>
                                <w:sz w:val="24"/>
                              </w:rPr>
                              <w:br/>
                            </w:r>
                            <w:r w:rsidRPr="00B95F50">
                              <w:rPr>
                                <w:b/>
                                <w:color w:val="0071BC"/>
                                <w:sz w:val="24"/>
                              </w:rPr>
                              <w:t xml:space="preserve">a mnohé další? Najdete je na stránkách ČSÚ na internetu: </w:t>
                            </w:r>
                            <w:r>
                              <w:rPr>
                                <w:b/>
                                <w:bCs/>
                                <w:sz w:val="24"/>
                              </w:rPr>
                              <w:t>www.czso.cz</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B843FA7" id="_x0000_s1032" type="#_x0000_t202" style="position:absolute;margin-left:56.95pt;margin-top:56.95pt;width:481.85pt;height:45.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RJsSAIAAEEEAAAOAAAAZHJzL2Uyb0RvYy54bWysU9uO0zAQfUfiHyy/Z3MhTZuo6arbbhDS&#10;cpF2+QA3cZqIxGNst8mC+CC+gx9j7DTLAm+IF2tsz5yZOWdmfT32HTlzpVsQOQ2vAkq4KKFqxTGn&#10;Hx8Kb0WJNkxUrAPBc/rINb3evHyxHmTGI2igq7giCCJ0NsicNsbIzPd12fCe6SuQXOBnDapnBq/q&#10;6FeKDYjed34UBIk/gKqkgpJrja/76ZNuHH5d89K8r2vNDelyirUZdyp3Huzpb9YsOyomm7a8lMH+&#10;oYqetQKTPkHtmWHkpNq/oPq2VKChNlcl9D7UdVty1wN2EwZ/dHPfMMldL0iOlk806f8HW747f1Ck&#10;rVA7SgTrUaIHPho4//hOJHScRJaiQeoMPe8l+prxBkbrbtvV8g7KT5oI2DVMHPlWKRgaziosMbSR&#10;/rPQCUdbkMPwFirMxU4GHNBYq94CIiME0VGqxyd5sB5S4mMShmmcLigp8W+xjJZLp5/PsjlaKm1e&#10;c+iJNXKqUH6Hzs532thqWDa72GQCirbr3Ah04rcHdJxeMDeG2j9bhVP0axqkt6vbVezFUXLrxUFV&#10;edtiF3tJES4X+1f73W4ffpsm61lQGMXBTZR6RbJaenEdL7x0Gay8IExv0iSI03hfuCBMPSd15Fm+&#10;JubMeBidVMmsyQGqR2RTwTTXuIdoNKC+UDLgTOdUfz4xxSnp3ghUxC7AbKjZOMwGEyWG5tRQMpk7&#10;My3KSar22CDyrPkWVStaR6iVd6riojXOqeP5slN2EZ7fndevzd/8BAAA//8DAFBLAwQUAAYACAAA&#10;ACEAJ8vu9d0AAAAMAQAADwAAAGRycy9kb3ducmV2LnhtbEyPsU7DMBCG90q8g3WVWCpqO6CUhjgV&#10;QrCwUVjY3PhIotrnKHaT0KfHHRBs9+s+/fdduZudZSMOofOkQK4FMKTam44aBR/vLzf3wELUZLT1&#10;hAq+McCuulqUujB+ojcc97FhqYRCoRW0MfYF56Fu0emw9j1S2n35wemY4tBwM+gplTvLMyFy7nRH&#10;6UKre3xqsT7uT05BPj/3q9ctZtO5tiN9nqWMKJW6Xs6PD8AizvEPhot+UocqOR38iUxgNmV5u03o&#10;73AhxGaTAzsoyMSdBF6V/P8T1Q8AAAD//wMAUEsBAi0AFAAGAAgAAAAhALaDOJL+AAAA4QEAABMA&#10;AAAAAAAAAAAAAAAAAAAAAFtDb250ZW50X1R5cGVzXS54bWxQSwECLQAUAAYACAAAACEAOP0h/9YA&#10;AACUAQAACwAAAAAAAAAAAAAAAAAvAQAAX3JlbHMvLnJlbHNQSwECLQAUAAYACAAAACEAU+kSbEgC&#10;AABBBAAADgAAAAAAAAAAAAAAAAAuAgAAZHJzL2Uyb0RvYy54bWxQSwECLQAUAAYACAAAACEAJ8vu&#10;9d0AAAAMAQAADwAAAAAAAAAAAAAAAACiBAAAZHJzL2Rvd25yZXYueG1sUEsFBgAAAAAEAAQA8wAA&#10;AKwFAAAAAA==&#10;" filled="f" stroked="f">
                <v:textbox style="mso-fit-shape-to-text:t" inset="0,0,0,0">
                  <w:txbxContent>
                    <w:p w14:paraId="3CA7384A" w14:textId="77777777" w:rsidR="004930CE" w:rsidRPr="009A1902" w:rsidRDefault="004930CE" w:rsidP="000A3A2C">
                      <w:pPr>
                        <w:rPr>
                          <w:b/>
                          <w:bCs/>
                          <w:i/>
                          <w:sz w:val="24"/>
                        </w:rPr>
                      </w:pPr>
                      <w:r w:rsidRPr="00B95F50">
                        <w:rPr>
                          <w:b/>
                          <w:color w:val="0071BC"/>
                          <w:sz w:val="24"/>
                        </w:rPr>
                        <w:t xml:space="preserve">Zajímají Vás nejnovější údaje o inflaci, HDP, obyvatelstvu, průměrných mzdách </w:t>
                      </w:r>
                      <w:r>
                        <w:rPr>
                          <w:b/>
                          <w:color w:val="0071BC"/>
                          <w:sz w:val="24"/>
                        </w:rPr>
                        <w:br/>
                      </w:r>
                      <w:r w:rsidRPr="00B95F50">
                        <w:rPr>
                          <w:b/>
                          <w:color w:val="0071BC"/>
                          <w:sz w:val="24"/>
                        </w:rPr>
                        <w:t xml:space="preserve">a mnohé další? Najdete je na stránkách ČSÚ na internetu: </w:t>
                      </w:r>
                      <w:r>
                        <w:rPr>
                          <w:b/>
                          <w:bCs/>
                          <w:sz w:val="24"/>
                        </w:rPr>
                        <w:t>www.czso.cz</w:t>
                      </w:r>
                    </w:p>
                  </w:txbxContent>
                </v:textbox>
                <w10:wrap anchorx="page" anchory="page"/>
                <w10:anchorlock/>
              </v:shape>
            </w:pict>
          </mc:Fallback>
        </mc:AlternateContent>
      </w:r>
    </w:p>
    <w:p w14:paraId="09E79853" w14:textId="77777777" w:rsidR="00EE4B1B" w:rsidRPr="006F5416" w:rsidRDefault="00EE4B1B" w:rsidP="006F5416">
      <w:pPr>
        <w:pStyle w:val="Obsah"/>
      </w:pPr>
      <w:r w:rsidRPr="006F5416">
        <w:lastRenderedPageBreak/>
        <w:t>Obsah</w:t>
      </w:r>
    </w:p>
    <w:p w14:paraId="37C64B5A" w14:textId="11459BAC" w:rsidR="00841DC4" w:rsidRDefault="00841DC4">
      <w:pPr>
        <w:pStyle w:val="Obsah2"/>
        <w:rPr>
          <w:rFonts w:asciiTheme="minorHAnsi" w:eastAsiaTheme="minorEastAsia" w:hAnsiTheme="minorHAnsi" w:cstheme="minorBidi"/>
          <w:noProof/>
          <w:sz w:val="22"/>
          <w:szCs w:val="22"/>
        </w:rPr>
      </w:pPr>
      <w:r>
        <w:rPr>
          <w:b/>
        </w:rPr>
        <w:fldChar w:fldCharType="begin"/>
      </w:r>
      <w:r>
        <w:rPr>
          <w:b/>
        </w:rPr>
        <w:instrText xml:space="preserve"> TOC \o "1-4" \h \z \u </w:instrText>
      </w:r>
      <w:r>
        <w:rPr>
          <w:b/>
        </w:rPr>
        <w:fldChar w:fldCharType="separate"/>
      </w:r>
      <w:hyperlink w:anchor="_Toc104792897" w:history="1">
        <w:r w:rsidRPr="0091401A">
          <w:rPr>
            <w:rStyle w:val="Hypertextovodkaz"/>
            <w:noProof/>
          </w:rPr>
          <w:t>1. Úvod</w:t>
        </w:r>
        <w:r>
          <w:rPr>
            <w:noProof/>
            <w:webHidden/>
          </w:rPr>
          <w:tab/>
        </w:r>
        <w:r>
          <w:rPr>
            <w:noProof/>
            <w:webHidden/>
          </w:rPr>
          <w:fldChar w:fldCharType="begin"/>
        </w:r>
        <w:r>
          <w:rPr>
            <w:noProof/>
            <w:webHidden/>
          </w:rPr>
          <w:instrText xml:space="preserve"> PAGEREF _Toc104792897 \h </w:instrText>
        </w:r>
        <w:r>
          <w:rPr>
            <w:noProof/>
            <w:webHidden/>
          </w:rPr>
        </w:r>
        <w:r>
          <w:rPr>
            <w:noProof/>
            <w:webHidden/>
          </w:rPr>
          <w:fldChar w:fldCharType="separate"/>
        </w:r>
        <w:r>
          <w:rPr>
            <w:noProof/>
            <w:webHidden/>
          </w:rPr>
          <w:t>4</w:t>
        </w:r>
        <w:r>
          <w:rPr>
            <w:noProof/>
            <w:webHidden/>
          </w:rPr>
          <w:fldChar w:fldCharType="end"/>
        </w:r>
      </w:hyperlink>
    </w:p>
    <w:p w14:paraId="4D4583C7" w14:textId="218BB02C" w:rsidR="00841DC4" w:rsidRDefault="00F61C13">
      <w:pPr>
        <w:pStyle w:val="Obsah2"/>
        <w:rPr>
          <w:rFonts w:asciiTheme="minorHAnsi" w:eastAsiaTheme="minorEastAsia" w:hAnsiTheme="minorHAnsi" w:cstheme="minorBidi"/>
          <w:noProof/>
          <w:sz w:val="22"/>
          <w:szCs w:val="22"/>
        </w:rPr>
      </w:pPr>
      <w:hyperlink w:anchor="_Toc104792898" w:history="1">
        <w:r w:rsidR="00841DC4" w:rsidRPr="0091401A">
          <w:rPr>
            <w:rStyle w:val="Hypertextovodkaz"/>
            <w:noProof/>
          </w:rPr>
          <w:t>2. Legislativní úprava nemocenského pojištění</w:t>
        </w:r>
        <w:r w:rsidR="00841DC4">
          <w:rPr>
            <w:noProof/>
            <w:webHidden/>
          </w:rPr>
          <w:tab/>
        </w:r>
        <w:r w:rsidR="00841DC4">
          <w:rPr>
            <w:noProof/>
            <w:webHidden/>
          </w:rPr>
          <w:fldChar w:fldCharType="begin"/>
        </w:r>
        <w:r w:rsidR="00841DC4">
          <w:rPr>
            <w:noProof/>
            <w:webHidden/>
          </w:rPr>
          <w:instrText xml:space="preserve"> PAGEREF _Toc104792898 \h </w:instrText>
        </w:r>
        <w:r w:rsidR="00841DC4">
          <w:rPr>
            <w:noProof/>
            <w:webHidden/>
          </w:rPr>
        </w:r>
        <w:r w:rsidR="00841DC4">
          <w:rPr>
            <w:noProof/>
            <w:webHidden/>
          </w:rPr>
          <w:fldChar w:fldCharType="separate"/>
        </w:r>
        <w:r w:rsidR="00841DC4">
          <w:rPr>
            <w:noProof/>
            <w:webHidden/>
          </w:rPr>
          <w:t>6</w:t>
        </w:r>
        <w:r w:rsidR="00841DC4">
          <w:rPr>
            <w:noProof/>
            <w:webHidden/>
          </w:rPr>
          <w:fldChar w:fldCharType="end"/>
        </w:r>
      </w:hyperlink>
    </w:p>
    <w:p w14:paraId="7EDD3917" w14:textId="334ADE61" w:rsidR="00841DC4" w:rsidRDefault="00F61C13">
      <w:pPr>
        <w:pStyle w:val="Obsah3"/>
        <w:rPr>
          <w:rFonts w:asciiTheme="minorHAnsi" w:eastAsiaTheme="minorEastAsia" w:hAnsiTheme="minorHAnsi" w:cstheme="minorBidi"/>
          <w:noProof/>
          <w:sz w:val="22"/>
          <w:szCs w:val="22"/>
        </w:rPr>
      </w:pPr>
      <w:hyperlink w:anchor="_Toc104792899" w:history="1">
        <w:r w:rsidR="00841DC4" w:rsidRPr="0091401A">
          <w:rPr>
            <w:rStyle w:val="Hypertextovodkaz"/>
            <w:noProof/>
          </w:rPr>
          <w:t>2.1 Účast na nemocenském pojištění</w:t>
        </w:r>
        <w:r w:rsidR="00841DC4">
          <w:rPr>
            <w:noProof/>
            <w:webHidden/>
          </w:rPr>
          <w:tab/>
        </w:r>
        <w:r w:rsidR="00841DC4">
          <w:rPr>
            <w:noProof/>
            <w:webHidden/>
          </w:rPr>
          <w:fldChar w:fldCharType="begin"/>
        </w:r>
        <w:r w:rsidR="00841DC4">
          <w:rPr>
            <w:noProof/>
            <w:webHidden/>
          </w:rPr>
          <w:instrText xml:space="preserve"> PAGEREF _Toc104792899 \h </w:instrText>
        </w:r>
        <w:r w:rsidR="00841DC4">
          <w:rPr>
            <w:noProof/>
            <w:webHidden/>
          </w:rPr>
        </w:r>
        <w:r w:rsidR="00841DC4">
          <w:rPr>
            <w:noProof/>
            <w:webHidden/>
          </w:rPr>
          <w:fldChar w:fldCharType="separate"/>
        </w:r>
        <w:r w:rsidR="00841DC4">
          <w:rPr>
            <w:noProof/>
            <w:webHidden/>
          </w:rPr>
          <w:t>6</w:t>
        </w:r>
        <w:r w:rsidR="00841DC4">
          <w:rPr>
            <w:noProof/>
            <w:webHidden/>
          </w:rPr>
          <w:fldChar w:fldCharType="end"/>
        </w:r>
      </w:hyperlink>
    </w:p>
    <w:p w14:paraId="07E4125B" w14:textId="679FF7A3" w:rsidR="00841DC4" w:rsidRDefault="00F61C13">
      <w:pPr>
        <w:pStyle w:val="Obsah3"/>
        <w:rPr>
          <w:rFonts w:asciiTheme="minorHAnsi" w:eastAsiaTheme="minorEastAsia" w:hAnsiTheme="minorHAnsi" w:cstheme="minorBidi"/>
          <w:noProof/>
          <w:sz w:val="22"/>
          <w:szCs w:val="22"/>
        </w:rPr>
      </w:pPr>
      <w:hyperlink w:anchor="_Toc104792900" w:history="1">
        <w:r w:rsidR="00841DC4" w:rsidRPr="0091401A">
          <w:rPr>
            <w:rStyle w:val="Hypertextovodkaz"/>
            <w:noProof/>
          </w:rPr>
          <w:t>2.2 Nemocenské</w:t>
        </w:r>
        <w:r w:rsidR="00841DC4">
          <w:rPr>
            <w:noProof/>
            <w:webHidden/>
          </w:rPr>
          <w:tab/>
        </w:r>
        <w:r w:rsidR="00841DC4">
          <w:rPr>
            <w:noProof/>
            <w:webHidden/>
          </w:rPr>
          <w:fldChar w:fldCharType="begin"/>
        </w:r>
        <w:r w:rsidR="00841DC4">
          <w:rPr>
            <w:noProof/>
            <w:webHidden/>
          </w:rPr>
          <w:instrText xml:space="preserve"> PAGEREF _Toc104792900 \h </w:instrText>
        </w:r>
        <w:r w:rsidR="00841DC4">
          <w:rPr>
            <w:noProof/>
            <w:webHidden/>
          </w:rPr>
        </w:r>
        <w:r w:rsidR="00841DC4">
          <w:rPr>
            <w:noProof/>
            <w:webHidden/>
          </w:rPr>
          <w:fldChar w:fldCharType="separate"/>
        </w:r>
        <w:r w:rsidR="00841DC4">
          <w:rPr>
            <w:noProof/>
            <w:webHidden/>
          </w:rPr>
          <w:t>7</w:t>
        </w:r>
        <w:r w:rsidR="00841DC4">
          <w:rPr>
            <w:noProof/>
            <w:webHidden/>
          </w:rPr>
          <w:fldChar w:fldCharType="end"/>
        </w:r>
      </w:hyperlink>
    </w:p>
    <w:p w14:paraId="53A0EF38" w14:textId="1EB9721B" w:rsidR="00841DC4" w:rsidRDefault="00F61C13">
      <w:pPr>
        <w:pStyle w:val="Obsah3"/>
        <w:rPr>
          <w:rFonts w:asciiTheme="minorHAnsi" w:eastAsiaTheme="minorEastAsia" w:hAnsiTheme="minorHAnsi" w:cstheme="minorBidi"/>
          <w:noProof/>
          <w:sz w:val="22"/>
          <w:szCs w:val="22"/>
        </w:rPr>
      </w:pPr>
      <w:hyperlink w:anchor="_Toc104792901" w:history="1">
        <w:r w:rsidR="00841DC4" w:rsidRPr="0091401A">
          <w:rPr>
            <w:rStyle w:val="Hypertextovodkaz"/>
            <w:noProof/>
          </w:rPr>
          <w:t>2.3 Uplatnění nároku na dávku nemocenského</w:t>
        </w:r>
        <w:r w:rsidR="00841DC4">
          <w:rPr>
            <w:noProof/>
            <w:webHidden/>
          </w:rPr>
          <w:tab/>
        </w:r>
        <w:r w:rsidR="00841DC4">
          <w:rPr>
            <w:noProof/>
            <w:webHidden/>
          </w:rPr>
          <w:fldChar w:fldCharType="begin"/>
        </w:r>
        <w:r w:rsidR="00841DC4">
          <w:rPr>
            <w:noProof/>
            <w:webHidden/>
          </w:rPr>
          <w:instrText xml:space="preserve"> PAGEREF _Toc104792901 \h </w:instrText>
        </w:r>
        <w:r w:rsidR="00841DC4">
          <w:rPr>
            <w:noProof/>
            <w:webHidden/>
          </w:rPr>
        </w:r>
        <w:r w:rsidR="00841DC4">
          <w:rPr>
            <w:noProof/>
            <w:webHidden/>
          </w:rPr>
          <w:fldChar w:fldCharType="separate"/>
        </w:r>
        <w:r w:rsidR="00841DC4">
          <w:rPr>
            <w:noProof/>
            <w:webHidden/>
          </w:rPr>
          <w:t>8</w:t>
        </w:r>
        <w:r w:rsidR="00841DC4">
          <w:rPr>
            <w:noProof/>
            <w:webHidden/>
          </w:rPr>
          <w:fldChar w:fldCharType="end"/>
        </w:r>
      </w:hyperlink>
    </w:p>
    <w:p w14:paraId="60062018" w14:textId="23D7FE53" w:rsidR="00841DC4" w:rsidRDefault="00F61C13">
      <w:pPr>
        <w:pStyle w:val="Obsah3"/>
        <w:rPr>
          <w:rFonts w:asciiTheme="minorHAnsi" w:eastAsiaTheme="minorEastAsia" w:hAnsiTheme="minorHAnsi" w:cstheme="minorBidi"/>
          <w:noProof/>
          <w:sz w:val="22"/>
          <w:szCs w:val="22"/>
        </w:rPr>
      </w:pPr>
      <w:hyperlink w:anchor="_Toc104792902" w:history="1">
        <w:r w:rsidR="00841DC4" w:rsidRPr="0091401A">
          <w:rPr>
            <w:rStyle w:val="Hypertextovodkaz"/>
            <w:noProof/>
          </w:rPr>
          <w:t>2.4 Uplatnění nároku na ostatní dávky nemocenského pojištění včetně nemocenského z důvodu nařízené karantény</w:t>
        </w:r>
        <w:r w:rsidR="00841DC4">
          <w:rPr>
            <w:noProof/>
            <w:webHidden/>
          </w:rPr>
          <w:tab/>
        </w:r>
        <w:r w:rsidR="00841DC4">
          <w:rPr>
            <w:noProof/>
            <w:webHidden/>
          </w:rPr>
          <w:fldChar w:fldCharType="begin"/>
        </w:r>
        <w:r w:rsidR="00841DC4">
          <w:rPr>
            <w:noProof/>
            <w:webHidden/>
          </w:rPr>
          <w:instrText xml:space="preserve"> PAGEREF _Toc104792902 \h </w:instrText>
        </w:r>
        <w:r w:rsidR="00841DC4">
          <w:rPr>
            <w:noProof/>
            <w:webHidden/>
          </w:rPr>
        </w:r>
        <w:r w:rsidR="00841DC4">
          <w:rPr>
            <w:noProof/>
            <w:webHidden/>
          </w:rPr>
          <w:fldChar w:fldCharType="separate"/>
        </w:r>
        <w:r w:rsidR="00841DC4">
          <w:rPr>
            <w:noProof/>
            <w:webHidden/>
          </w:rPr>
          <w:t>9</w:t>
        </w:r>
        <w:r w:rsidR="00841DC4">
          <w:rPr>
            <w:noProof/>
            <w:webHidden/>
          </w:rPr>
          <w:fldChar w:fldCharType="end"/>
        </w:r>
      </w:hyperlink>
    </w:p>
    <w:p w14:paraId="660A1002" w14:textId="40A72F79" w:rsidR="00841DC4" w:rsidRDefault="00F61C13">
      <w:pPr>
        <w:pStyle w:val="Obsah3"/>
        <w:rPr>
          <w:rFonts w:asciiTheme="minorHAnsi" w:eastAsiaTheme="minorEastAsia" w:hAnsiTheme="minorHAnsi" w:cstheme="minorBidi"/>
          <w:noProof/>
          <w:sz w:val="22"/>
          <w:szCs w:val="22"/>
        </w:rPr>
      </w:pPr>
      <w:hyperlink w:anchor="_Toc104792903" w:history="1">
        <w:r w:rsidR="00841DC4" w:rsidRPr="0091401A">
          <w:rPr>
            <w:rStyle w:val="Hypertextovodkaz"/>
            <w:noProof/>
          </w:rPr>
          <w:t>2.5 Výpočet dávky nemocenského</w:t>
        </w:r>
        <w:r w:rsidR="00841DC4">
          <w:rPr>
            <w:noProof/>
            <w:webHidden/>
          </w:rPr>
          <w:tab/>
        </w:r>
        <w:r w:rsidR="00841DC4">
          <w:rPr>
            <w:noProof/>
            <w:webHidden/>
          </w:rPr>
          <w:fldChar w:fldCharType="begin"/>
        </w:r>
        <w:r w:rsidR="00841DC4">
          <w:rPr>
            <w:noProof/>
            <w:webHidden/>
          </w:rPr>
          <w:instrText xml:space="preserve"> PAGEREF _Toc104792903 \h </w:instrText>
        </w:r>
        <w:r w:rsidR="00841DC4">
          <w:rPr>
            <w:noProof/>
            <w:webHidden/>
          </w:rPr>
        </w:r>
        <w:r w:rsidR="00841DC4">
          <w:rPr>
            <w:noProof/>
            <w:webHidden/>
          </w:rPr>
          <w:fldChar w:fldCharType="separate"/>
        </w:r>
        <w:r w:rsidR="00841DC4">
          <w:rPr>
            <w:noProof/>
            <w:webHidden/>
          </w:rPr>
          <w:t>9</w:t>
        </w:r>
        <w:r w:rsidR="00841DC4">
          <w:rPr>
            <w:noProof/>
            <w:webHidden/>
          </w:rPr>
          <w:fldChar w:fldCharType="end"/>
        </w:r>
      </w:hyperlink>
    </w:p>
    <w:p w14:paraId="2B150E05" w14:textId="0D2EAF58" w:rsidR="00841DC4" w:rsidRDefault="00F61C13">
      <w:pPr>
        <w:pStyle w:val="Obsah3"/>
        <w:rPr>
          <w:rFonts w:asciiTheme="minorHAnsi" w:eastAsiaTheme="minorEastAsia" w:hAnsiTheme="minorHAnsi" w:cstheme="minorBidi"/>
          <w:noProof/>
          <w:sz w:val="22"/>
          <w:szCs w:val="22"/>
        </w:rPr>
      </w:pPr>
      <w:hyperlink w:anchor="_Toc104792904" w:history="1">
        <w:r w:rsidR="00841DC4" w:rsidRPr="0091401A">
          <w:rPr>
            <w:rStyle w:val="Hypertextovodkaz"/>
            <w:noProof/>
          </w:rPr>
          <w:t>2.6 Nejvýznamnější legislativní změny v oblasti nemocenského pojištění</w:t>
        </w:r>
        <w:r w:rsidR="00841DC4">
          <w:rPr>
            <w:noProof/>
            <w:webHidden/>
          </w:rPr>
          <w:tab/>
        </w:r>
        <w:r w:rsidR="00841DC4">
          <w:rPr>
            <w:noProof/>
            <w:webHidden/>
          </w:rPr>
          <w:fldChar w:fldCharType="begin"/>
        </w:r>
        <w:r w:rsidR="00841DC4">
          <w:rPr>
            <w:noProof/>
            <w:webHidden/>
          </w:rPr>
          <w:instrText xml:space="preserve"> PAGEREF _Toc104792904 \h </w:instrText>
        </w:r>
        <w:r w:rsidR="00841DC4">
          <w:rPr>
            <w:noProof/>
            <w:webHidden/>
          </w:rPr>
        </w:r>
        <w:r w:rsidR="00841DC4">
          <w:rPr>
            <w:noProof/>
            <w:webHidden/>
          </w:rPr>
          <w:fldChar w:fldCharType="separate"/>
        </w:r>
        <w:r w:rsidR="00841DC4">
          <w:rPr>
            <w:noProof/>
            <w:webHidden/>
          </w:rPr>
          <w:t>9</w:t>
        </w:r>
        <w:r w:rsidR="00841DC4">
          <w:rPr>
            <w:noProof/>
            <w:webHidden/>
          </w:rPr>
          <w:fldChar w:fldCharType="end"/>
        </w:r>
      </w:hyperlink>
    </w:p>
    <w:p w14:paraId="61C7A1DE" w14:textId="176889C8" w:rsidR="00841DC4" w:rsidRDefault="00F61C13">
      <w:pPr>
        <w:pStyle w:val="Obsah2"/>
        <w:rPr>
          <w:rFonts w:asciiTheme="minorHAnsi" w:eastAsiaTheme="minorEastAsia" w:hAnsiTheme="minorHAnsi" w:cstheme="minorBidi"/>
          <w:noProof/>
          <w:sz w:val="22"/>
          <w:szCs w:val="22"/>
        </w:rPr>
      </w:pPr>
      <w:hyperlink w:anchor="_Toc104792905" w:history="1">
        <w:r w:rsidR="00841DC4" w:rsidRPr="0091401A">
          <w:rPr>
            <w:rStyle w:val="Hypertextovodkaz"/>
            <w:noProof/>
          </w:rPr>
          <w:t>3. Metodika a zdroje dat</w:t>
        </w:r>
        <w:r w:rsidR="00841DC4">
          <w:rPr>
            <w:noProof/>
            <w:webHidden/>
          </w:rPr>
          <w:tab/>
        </w:r>
        <w:r w:rsidR="00841DC4">
          <w:rPr>
            <w:noProof/>
            <w:webHidden/>
          </w:rPr>
          <w:fldChar w:fldCharType="begin"/>
        </w:r>
        <w:r w:rsidR="00841DC4">
          <w:rPr>
            <w:noProof/>
            <w:webHidden/>
          </w:rPr>
          <w:instrText xml:space="preserve"> PAGEREF _Toc104792905 \h </w:instrText>
        </w:r>
        <w:r w:rsidR="00841DC4">
          <w:rPr>
            <w:noProof/>
            <w:webHidden/>
          </w:rPr>
        </w:r>
        <w:r w:rsidR="00841DC4">
          <w:rPr>
            <w:noProof/>
            <w:webHidden/>
          </w:rPr>
          <w:fldChar w:fldCharType="separate"/>
        </w:r>
        <w:r w:rsidR="00841DC4">
          <w:rPr>
            <w:noProof/>
            <w:webHidden/>
          </w:rPr>
          <w:t>11</w:t>
        </w:r>
        <w:r w:rsidR="00841DC4">
          <w:rPr>
            <w:noProof/>
            <w:webHidden/>
          </w:rPr>
          <w:fldChar w:fldCharType="end"/>
        </w:r>
      </w:hyperlink>
    </w:p>
    <w:p w14:paraId="4299A980" w14:textId="1E38AA79" w:rsidR="00841DC4" w:rsidRDefault="00F61C13">
      <w:pPr>
        <w:pStyle w:val="Obsah2"/>
        <w:rPr>
          <w:rFonts w:asciiTheme="minorHAnsi" w:eastAsiaTheme="minorEastAsia" w:hAnsiTheme="minorHAnsi" w:cstheme="minorBidi"/>
          <w:noProof/>
          <w:sz w:val="22"/>
          <w:szCs w:val="22"/>
        </w:rPr>
      </w:pPr>
      <w:hyperlink w:anchor="_Toc104792906" w:history="1">
        <w:r w:rsidR="00841DC4" w:rsidRPr="0091401A">
          <w:rPr>
            <w:rStyle w:val="Hypertextovodkaz"/>
            <w:noProof/>
          </w:rPr>
          <w:t>4. Analytická část</w:t>
        </w:r>
        <w:r w:rsidR="00841DC4">
          <w:rPr>
            <w:noProof/>
            <w:webHidden/>
          </w:rPr>
          <w:tab/>
        </w:r>
        <w:r w:rsidR="00841DC4">
          <w:rPr>
            <w:noProof/>
            <w:webHidden/>
          </w:rPr>
          <w:fldChar w:fldCharType="begin"/>
        </w:r>
        <w:r w:rsidR="00841DC4">
          <w:rPr>
            <w:noProof/>
            <w:webHidden/>
          </w:rPr>
          <w:instrText xml:space="preserve"> PAGEREF _Toc104792906 \h </w:instrText>
        </w:r>
        <w:r w:rsidR="00841DC4">
          <w:rPr>
            <w:noProof/>
            <w:webHidden/>
          </w:rPr>
        </w:r>
        <w:r w:rsidR="00841DC4">
          <w:rPr>
            <w:noProof/>
            <w:webHidden/>
          </w:rPr>
          <w:fldChar w:fldCharType="separate"/>
        </w:r>
        <w:r w:rsidR="00841DC4">
          <w:rPr>
            <w:noProof/>
            <w:webHidden/>
          </w:rPr>
          <w:t>14</w:t>
        </w:r>
        <w:r w:rsidR="00841DC4">
          <w:rPr>
            <w:noProof/>
            <w:webHidden/>
          </w:rPr>
          <w:fldChar w:fldCharType="end"/>
        </w:r>
      </w:hyperlink>
    </w:p>
    <w:p w14:paraId="1C0863E7" w14:textId="6A3DB73E" w:rsidR="00841DC4" w:rsidRDefault="00F61C13">
      <w:pPr>
        <w:pStyle w:val="Obsah3"/>
        <w:rPr>
          <w:rFonts w:asciiTheme="minorHAnsi" w:eastAsiaTheme="minorEastAsia" w:hAnsiTheme="minorHAnsi" w:cstheme="minorBidi"/>
          <w:noProof/>
          <w:sz w:val="22"/>
          <w:szCs w:val="22"/>
        </w:rPr>
      </w:pPr>
      <w:hyperlink w:anchor="_Toc104792907" w:history="1">
        <w:r w:rsidR="00841DC4" w:rsidRPr="0091401A">
          <w:rPr>
            <w:rStyle w:val="Hypertextovodkaz"/>
            <w:noProof/>
          </w:rPr>
          <w:t>4.1 Nemocensky pojištěné osoby</w:t>
        </w:r>
        <w:r w:rsidR="00841DC4">
          <w:rPr>
            <w:noProof/>
            <w:webHidden/>
          </w:rPr>
          <w:tab/>
        </w:r>
        <w:r w:rsidR="00841DC4">
          <w:rPr>
            <w:noProof/>
            <w:webHidden/>
          </w:rPr>
          <w:fldChar w:fldCharType="begin"/>
        </w:r>
        <w:r w:rsidR="00841DC4">
          <w:rPr>
            <w:noProof/>
            <w:webHidden/>
          </w:rPr>
          <w:instrText xml:space="preserve"> PAGEREF _Toc104792907 \h </w:instrText>
        </w:r>
        <w:r w:rsidR="00841DC4">
          <w:rPr>
            <w:noProof/>
            <w:webHidden/>
          </w:rPr>
        </w:r>
        <w:r w:rsidR="00841DC4">
          <w:rPr>
            <w:noProof/>
            <w:webHidden/>
          </w:rPr>
          <w:fldChar w:fldCharType="separate"/>
        </w:r>
        <w:r w:rsidR="00841DC4">
          <w:rPr>
            <w:noProof/>
            <w:webHidden/>
          </w:rPr>
          <w:t>14</w:t>
        </w:r>
        <w:r w:rsidR="00841DC4">
          <w:rPr>
            <w:noProof/>
            <w:webHidden/>
          </w:rPr>
          <w:fldChar w:fldCharType="end"/>
        </w:r>
      </w:hyperlink>
    </w:p>
    <w:p w14:paraId="08ED4493" w14:textId="57FCDAD5" w:rsidR="00841DC4" w:rsidRDefault="00F61C13">
      <w:pPr>
        <w:pStyle w:val="Obsah3"/>
        <w:rPr>
          <w:rFonts w:asciiTheme="minorHAnsi" w:eastAsiaTheme="minorEastAsia" w:hAnsiTheme="minorHAnsi" w:cstheme="minorBidi"/>
          <w:noProof/>
          <w:sz w:val="22"/>
          <w:szCs w:val="22"/>
        </w:rPr>
      </w:pPr>
      <w:hyperlink w:anchor="_Toc104792908" w:history="1">
        <w:r w:rsidR="00841DC4" w:rsidRPr="0091401A">
          <w:rPr>
            <w:rStyle w:val="Hypertextovodkaz"/>
            <w:noProof/>
          </w:rPr>
          <w:t>4.2 Nově hlášené případy dočasné pracovní neschopnosti</w:t>
        </w:r>
        <w:r w:rsidR="00841DC4">
          <w:rPr>
            <w:noProof/>
            <w:webHidden/>
          </w:rPr>
          <w:tab/>
        </w:r>
        <w:r w:rsidR="00841DC4">
          <w:rPr>
            <w:noProof/>
            <w:webHidden/>
          </w:rPr>
          <w:fldChar w:fldCharType="begin"/>
        </w:r>
        <w:r w:rsidR="00841DC4">
          <w:rPr>
            <w:noProof/>
            <w:webHidden/>
          </w:rPr>
          <w:instrText xml:space="preserve"> PAGEREF _Toc104792908 \h </w:instrText>
        </w:r>
        <w:r w:rsidR="00841DC4">
          <w:rPr>
            <w:noProof/>
            <w:webHidden/>
          </w:rPr>
        </w:r>
        <w:r w:rsidR="00841DC4">
          <w:rPr>
            <w:noProof/>
            <w:webHidden/>
          </w:rPr>
          <w:fldChar w:fldCharType="separate"/>
        </w:r>
        <w:r w:rsidR="00841DC4">
          <w:rPr>
            <w:noProof/>
            <w:webHidden/>
          </w:rPr>
          <w:t>17</w:t>
        </w:r>
        <w:r w:rsidR="00841DC4">
          <w:rPr>
            <w:noProof/>
            <w:webHidden/>
          </w:rPr>
          <w:fldChar w:fldCharType="end"/>
        </w:r>
      </w:hyperlink>
    </w:p>
    <w:p w14:paraId="116C82F6" w14:textId="316BE8FB" w:rsidR="00841DC4" w:rsidRDefault="00F61C13">
      <w:pPr>
        <w:pStyle w:val="Obsah4"/>
        <w:rPr>
          <w:rFonts w:asciiTheme="minorHAnsi" w:eastAsiaTheme="minorEastAsia" w:hAnsiTheme="minorHAnsi" w:cstheme="minorBidi"/>
          <w:noProof/>
          <w:sz w:val="22"/>
          <w:szCs w:val="22"/>
        </w:rPr>
      </w:pPr>
      <w:hyperlink w:anchor="_Toc104792909" w:history="1">
        <w:r w:rsidR="00841DC4" w:rsidRPr="0091401A">
          <w:rPr>
            <w:rStyle w:val="Hypertextovodkaz"/>
            <w:noProof/>
          </w:rPr>
          <w:t>4.2.1 Počet případů dočasné pracovní neschopnosti</w:t>
        </w:r>
        <w:r w:rsidR="00841DC4">
          <w:rPr>
            <w:noProof/>
            <w:webHidden/>
          </w:rPr>
          <w:tab/>
        </w:r>
        <w:r w:rsidR="00841DC4">
          <w:rPr>
            <w:noProof/>
            <w:webHidden/>
          </w:rPr>
          <w:fldChar w:fldCharType="begin"/>
        </w:r>
        <w:r w:rsidR="00841DC4">
          <w:rPr>
            <w:noProof/>
            <w:webHidden/>
          </w:rPr>
          <w:instrText xml:space="preserve"> PAGEREF _Toc104792909 \h </w:instrText>
        </w:r>
        <w:r w:rsidR="00841DC4">
          <w:rPr>
            <w:noProof/>
            <w:webHidden/>
          </w:rPr>
        </w:r>
        <w:r w:rsidR="00841DC4">
          <w:rPr>
            <w:noProof/>
            <w:webHidden/>
          </w:rPr>
          <w:fldChar w:fldCharType="separate"/>
        </w:r>
        <w:r w:rsidR="00841DC4">
          <w:rPr>
            <w:noProof/>
            <w:webHidden/>
          </w:rPr>
          <w:t>17</w:t>
        </w:r>
        <w:r w:rsidR="00841DC4">
          <w:rPr>
            <w:noProof/>
            <w:webHidden/>
          </w:rPr>
          <w:fldChar w:fldCharType="end"/>
        </w:r>
      </w:hyperlink>
    </w:p>
    <w:p w14:paraId="0AE8DCC1" w14:textId="470FE52F" w:rsidR="00841DC4" w:rsidRDefault="00F61C13">
      <w:pPr>
        <w:pStyle w:val="Obsah4"/>
        <w:rPr>
          <w:rFonts w:asciiTheme="minorHAnsi" w:eastAsiaTheme="minorEastAsia" w:hAnsiTheme="minorHAnsi" w:cstheme="minorBidi"/>
          <w:noProof/>
          <w:sz w:val="22"/>
          <w:szCs w:val="22"/>
        </w:rPr>
      </w:pPr>
      <w:hyperlink w:anchor="_Toc104792910" w:history="1">
        <w:r w:rsidR="00841DC4" w:rsidRPr="0091401A">
          <w:rPr>
            <w:rStyle w:val="Hypertextovodkaz"/>
            <w:noProof/>
          </w:rPr>
          <w:t>4.2.2 Délka trvání dočasné pracovní neschopnosti</w:t>
        </w:r>
        <w:r w:rsidR="00841DC4">
          <w:rPr>
            <w:noProof/>
            <w:webHidden/>
          </w:rPr>
          <w:tab/>
        </w:r>
        <w:r w:rsidR="00841DC4">
          <w:rPr>
            <w:noProof/>
            <w:webHidden/>
          </w:rPr>
          <w:fldChar w:fldCharType="begin"/>
        </w:r>
        <w:r w:rsidR="00841DC4">
          <w:rPr>
            <w:noProof/>
            <w:webHidden/>
          </w:rPr>
          <w:instrText xml:space="preserve"> PAGEREF _Toc104792910 \h </w:instrText>
        </w:r>
        <w:r w:rsidR="00841DC4">
          <w:rPr>
            <w:noProof/>
            <w:webHidden/>
          </w:rPr>
        </w:r>
        <w:r w:rsidR="00841DC4">
          <w:rPr>
            <w:noProof/>
            <w:webHidden/>
          </w:rPr>
          <w:fldChar w:fldCharType="separate"/>
        </w:r>
        <w:r w:rsidR="00841DC4">
          <w:rPr>
            <w:noProof/>
            <w:webHidden/>
          </w:rPr>
          <w:t>25</w:t>
        </w:r>
        <w:r w:rsidR="00841DC4">
          <w:rPr>
            <w:noProof/>
            <w:webHidden/>
          </w:rPr>
          <w:fldChar w:fldCharType="end"/>
        </w:r>
      </w:hyperlink>
    </w:p>
    <w:p w14:paraId="2269933C" w14:textId="5ACF58BC" w:rsidR="00841DC4" w:rsidRDefault="00F61C13">
      <w:pPr>
        <w:pStyle w:val="Obsah4"/>
        <w:rPr>
          <w:rFonts w:asciiTheme="minorHAnsi" w:eastAsiaTheme="minorEastAsia" w:hAnsiTheme="minorHAnsi" w:cstheme="minorBidi"/>
          <w:noProof/>
          <w:sz w:val="22"/>
          <w:szCs w:val="22"/>
        </w:rPr>
      </w:pPr>
      <w:hyperlink w:anchor="_Toc104792911" w:history="1">
        <w:r w:rsidR="00841DC4" w:rsidRPr="0091401A">
          <w:rPr>
            <w:rStyle w:val="Hypertextovodkaz"/>
            <w:noProof/>
          </w:rPr>
          <w:t>4.2.3 Průměrné procento dočasné pracovní neschopnosti a průměrný denní stav dočasně práce neschopných</w:t>
        </w:r>
        <w:r w:rsidR="00841DC4">
          <w:rPr>
            <w:noProof/>
            <w:webHidden/>
          </w:rPr>
          <w:tab/>
        </w:r>
        <w:r w:rsidR="00841DC4">
          <w:rPr>
            <w:noProof/>
            <w:webHidden/>
          </w:rPr>
          <w:fldChar w:fldCharType="begin"/>
        </w:r>
        <w:r w:rsidR="00841DC4">
          <w:rPr>
            <w:noProof/>
            <w:webHidden/>
          </w:rPr>
          <w:instrText xml:space="preserve"> PAGEREF _Toc104792911 \h </w:instrText>
        </w:r>
        <w:r w:rsidR="00841DC4">
          <w:rPr>
            <w:noProof/>
            <w:webHidden/>
          </w:rPr>
        </w:r>
        <w:r w:rsidR="00841DC4">
          <w:rPr>
            <w:noProof/>
            <w:webHidden/>
          </w:rPr>
          <w:fldChar w:fldCharType="separate"/>
        </w:r>
        <w:r w:rsidR="00841DC4">
          <w:rPr>
            <w:noProof/>
            <w:webHidden/>
          </w:rPr>
          <w:t>32</w:t>
        </w:r>
        <w:r w:rsidR="00841DC4">
          <w:rPr>
            <w:noProof/>
            <w:webHidden/>
          </w:rPr>
          <w:fldChar w:fldCharType="end"/>
        </w:r>
      </w:hyperlink>
    </w:p>
    <w:p w14:paraId="47422456" w14:textId="0A31F7F0" w:rsidR="00841DC4" w:rsidRDefault="00F61C13">
      <w:pPr>
        <w:pStyle w:val="Obsah2"/>
        <w:rPr>
          <w:rFonts w:asciiTheme="minorHAnsi" w:eastAsiaTheme="minorEastAsia" w:hAnsiTheme="minorHAnsi" w:cstheme="minorBidi"/>
          <w:noProof/>
          <w:sz w:val="22"/>
          <w:szCs w:val="22"/>
        </w:rPr>
      </w:pPr>
      <w:hyperlink w:anchor="_Toc104792912" w:history="1">
        <w:r w:rsidR="00841DC4" w:rsidRPr="0091401A">
          <w:rPr>
            <w:rStyle w:val="Hypertextovodkaz"/>
            <w:noProof/>
          </w:rPr>
          <w:t>4.3 Ukončené případy dočasné pracovní neschopnosti</w:t>
        </w:r>
        <w:r w:rsidR="00841DC4">
          <w:rPr>
            <w:noProof/>
            <w:webHidden/>
          </w:rPr>
          <w:tab/>
        </w:r>
        <w:r w:rsidR="00841DC4">
          <w:rPr>
            <w:noProof/>
            <w:webHidden/>
          </w:rPr>
          <w:fldChar w:fldCharType="begin"/>
        </w:r>
        <w:r w:rsidR="00841DC4">
          <w:rPr>
            <w:noProof/>
            <w:webHidden/>
          </w:rPr>
          <w:instrText xml:space="preserve"> PAGEREF _Toc104792912 \h </w:instrText>
        </w:r>
        <w:r w:rsidR="00841DC4">
          <w:rPr>
            <w:noProof/>
            <w:webHidden/>
          </w:rPr>
        </w:r>
        <w:r w:rsidR="00841DC4">
          <w:rPr>
            <w:noProof/>
            <w:webHidden/>
          </w:rPr>
          <w:fldChar w:fldCharType="separate"/>
        </w:r>
        <w:r w:rsidR="00841DC4">
          <w:rPr>
            <w:noProof/>
            <w:webHidden/>
          </w:rPr>
          <w:t>37</w:t>
        </w:r>
        <w:r w:rsidR="00841DC4">
          <w:rPr>
            <w:noProof/>
            <w:webHidden/>
          </w:rPr>
          <w:fldChar w:fldCharType="end"/>
        </w:r>
      </w:hyperlink>
    </w:p>
    <w:p w14:paraId="4F78D248" w14:textId="12E16361" w:rsidR="00841DC4" w:rsidRDefault="00F61C13">
      <w:pPr>
        <w:pStyle w:val="Obsah2"/>
        <w:rPr>
          <w:rFonts w:asciiTheme="minorHAnsi" w:eastAsiaTheme="minorEastAsia" w:hAnsiTheme="minorHAnsi" w:cstheme="minorBidi"/>
          <w:noProof/>
          <w:sz w:val="22"/>
          <w:szCs w:val="22"/>
        </w:rPr>
      </w:pPr>
      <w:hyperlink w:anchor="_Toc104792913" w:history="1">
        <w:r w:rsidR="00841DC4" w:rsidRPr="0091401A">
          <w:rPr>
            <w:rStyle w:val="Hypertextovodkaz"/>
            <w:noProof/>
          </w:rPr>
          <w:t>4.4 Výdaje na dávky nemocenského pojištění</w:t>
        </w:r>
        <w:r w:rsidR="00841DC4">
          <w:rPr>
            <w:noProof/>
            <w:webHidden/>
          </w:rPr>
          <w:tab/>
        </w:r>
        <w:r w:rsidR="00841DC4">
          <w:rPr>
            <w:noProof/>
            <w:webHidden/>
          </w:rPr>
          <w:fldChar w:fldCharType="begin"/>
        </w:r>
        <w:r w:rsidR="00841DC4">
          <w:rPr>
            <w:noProof/>
            <w:webHidden/>
          </w:rPr>
          <w:instrText xml:space="preserve"> PAGEREF _Toc104792913 \h </w:instrText>
        </w:r>
        <w:r w:rsidR="00841DC4">
          <w:rPr>
            <w:noProof/>
            <w:webHidden/>
          </w:rPr>
        </w:r>
        <w:r w:rsidR="00841DC4">
          <w:rPr>
            <w:noProof/>
            <w:webHidden/>
          </w:rPr>
          <w:fldChar w:fldCharType="separate"/>
        </w:r>
        <w:r w:rsidR="00841DC4">
          <w:rPr>
            <w:noProof/>
            <w:webHidden/>
          </w:rPr>
          <w:t>40</w:t>
        </w:r>
        <w:r w:rsidR="00841DC4">
          <w:rPr>
            <w:noProof/>
            <w:webHidden/>
          </w:rPr>
          <w:fldChar w:fldCharType="end"/>
        </w:r>
      </w:hyperlink>
    </w:p>
    <w:p w14:paraId="6927E23B" w14:textId="13C27157" w:rsidR="00841DC4" w:rsidRDefault="00F61C13">
      <w:pPr>
        <w:pStyle w:val="Obsah4"/>
        <w:rPr>
          <w:rFonts w:asciiTheme="minorHAnsi" w:eastAsiaTheme="minorEastAsia" w:hAnsiTheme="minorHAnsi" w:cstheme="minorBidi"/>
          <w:noProof/>
          <w:sz w:val="22"/>
          <w:szCs w:val="22"/>
        </w:rPr>
      </w:pPr>
      <w:hyperlink w:anchor="_Toc104792914" w:history="1">
        <w:r w:rsidR="00841DC4" w:rsidRPr="0091401A">
          <w:rPr>
            <w:rStyle w:val="Hypertextovodkaz"/>
            <w:noProof/>
          </w:rPr>
          <w:t>4.4.1 Vliv pandemie covid-19 na dávky nemocenského pojištění</w:t>
        </w:r>
        <w:r w:rsidR="00841DC4">
          <w:rPr>
            <w:noProof/>
            <w:webHidden/>
          </w:rPr>
          <w:tab/>
        </w:r>
        <w:r w:rsidR="00841DC4">
          <w:rPr>
            <w:noProof/>
            <w:webHidden/>
          </w:rPr>
          <w:fldChar w:fldCharType="begin"/>
        </w:r>
        <w:r w:rsidR="00841DC4">
          <w:rPr>
            <w:noProof/>
            <w:webHidden/>
          </w:rPr>
          <w:instrText xml:space="preserve"> PAGEREF _Toc104792914 \h </w:instrText>
        </w:r>
        <w:r w:rsidR="00841DC4">
          <w:rPr>
            <w:noProof/>
            <w:webHidden/>
          </w:rPr>
        </w:r>
        <w:r w:rsidR="00841DC4">
          <w:rPr>
            <w:noProof/>
            <w:webHidden/>
          </w:rPr>
          <w:fldChar w:fldCharType="separate"/>
        </w:r>
        <w:r w:rsidR="00841DC4">
          <w:rPr>
            <w:noProof/>
            <w:webHidden/>
          </w:rPr>
          <w:t>42</w:t>
        </w:r>
        <w:r w:rsidR="00841DC4">
          <w:rPr>
            <w:noProof/>
            <w:webHidden/>
          </w:rPr>
          <w:fldChar w:fldCharType="end"/>
        </w:r>
      </w:hyperlink>
    </w:p>
    <w:p w14:paraId="3A1ED59D" w14:textId="0E4A5C5E" w:rsidR="00841DC4" w:rsidRDefault="00F61C13">
      <w:pPr>
        <w:pStyle w:val="Obsah2"/>
        <w:rPr>
          <w:rFonts w:asciiTheme="minorHAnsi" w:eastAsiaTheme="minorEastAsia" w:hAnsiTheme="minorHAnsi" w:cstheme="minorBidi"/>
          <w:noProof/>
          <w:sz w:val="22"/>
          <w:szCs w:val="22"/>
        </w:rPr>
      </w:pPr>
      <w:hyperlink w:anchor="_Toc104792915" w:history="1">
        <w:r w:rsidR="00841DC4" w:rsidRPr="0091401A">
          <w:rPr>
            <w:rStyle w:val="Hypertextovodkaz"/>
            <w:noProof/>
          </w:rPr>
          <w:t>4.5 Pracovní úrazy</w:t>
        </w:r>
        <w:r w:rsidR="00841DC4">
          <w:rPr>
            <w:noProof/>
            <w:webHidden/>
          </w:rPr>
          <w:tab/>
        </w:r>
        <w:r w:rsidR="00841DC4">
          <w:rPr>
            <w:noProof/>
            <w:webHidden/>
          </w:rPr>
          <w:fldChar w:fldCharType="begin"/>
        </w:r>
        <w:r w:rsidR="00841DC4">
          <w:rPr>
            <w:noProof/>
            <w:webHidden/>
          </w:rPr>
          <w:instrText xml:space="preserve"> PAGEREF _Toc104792915 \h </w:instrText>
        </w:r>
        <w:r w:rsidR="00841DC4">
          <w:rPr>
            <w:noProof/>
            <w:webHidden/>
          </w:rPr>
        </w:r>
        <w:r w:rsidR="00841DC4">
          <w:rPr>
            <w:noProof/>
            <w:webHidden/>
          </w:rPr>
          <w:fldChar w:fldCharType="separate"/>
        </w:r>
        <w:r w:rsidR="00841DC4">
          <w:rPr>
            <w:noProof/>
            <w:webHidden/>
          </w:rPr>
          <w:t>44</w:t>
        </w:r>
        <w:r w:rsidR="00841DC4">
          <w:rPr>
            <w:noProof/>
            <w:webHidden/>
          </w:rPr>
          <w:fldChar w:fldCharType="end"/>
        </w:r>
      </w:hyperlink>
    </w:p>
    <w:p w14:paraId="4BF5BC41" w14:textId="78DCBC03" w:rsidR="00841DC4" w:rsidRDefault="00F61C13">
      <w:pPr>
        <w:pStyle w:val="Obsah2"/>
        <w:rPr>
          <w:rFonts w:asciiTheme="minorHAnsi" w:eastAsiaTheme="minorEastAsia" w:hAnsiTheme="minorHAnsi" w:cstheme="minorBidi"/>
          <w:noProof/>
          <w:sz w:val="22"/>
          <w:szCs w:val="22"/>
        </w:rPr>
      </w:pPr>
      <w:hyperlink w:anchor="_Toc104792916" w:history="1">
        <w:r w:rsidR="00841DC4" w:rsidRPr="0091401A">
          <w:rPr>
            <w:rStyle w:val="Hypertextovodkaz"/>
            <w:noProof/>
          </w:rPr>
          <w:t>4.6 Evropská statistika pracovních úrazů (ESAW)</w:t>
        </w:r>
        <w:r w:rsidR="00841DC4">
          <w:rPr>
            <w:noProof/>
            <w:webHidden/>
          </w:rPr>
          <w:tab/>
        </w:r>
        <w:r w:rsidR="00841DC4">
          <w:rPr>
            <w:noProof/>
            <w:webHidden/>
          </w:rPr>
          <w:fldChar w:fldCharType="begin"/>
        </w:r>
        <w:r w:rsidR="00841DC4">
          <w:rPr>
            <w:noProof/>
            <w:webHidden/>
          </w:rPr>
          <w:instrText xml:space="preserve"> PAGEREF _Toc104792916 \h </w:instrText>
        </w:r>
        <w:r w:rsidR="00841DC4">
          <w:rPr>
            <w:noProof/>
            <w:webHidden/>
          </w:rPr>
        </w:r>
        <w:r w:rsidR="00841DC4">
          <w:rPr>
            <w:noProof/>
            <w:webHidden/>
          </w:rPr>
          <w:fldChar w:fldCharType="separate"/>
        </w:r>
        <w:r w:rsidR="00841DC4">
          <w:rPr>
            <w:noProof/>
            <w:webHidden/>
          </w:rPr>
          <w:t>47</w:t>
        </w:r>
        <w:r w:rsidR="00841DC4">
          <w:rPr>
            <w:noProof/>
            <w:webHidden/>
          </w:rPr>
          <w:fldChar w:fldCharType="end"/>
        </w:r>
      </w:hyperlink>
    </w:p>
    <w:p w14:paraId="2D43E9BF" w14:textId="0452EA1F" w:rsidR="00841DC4" w:rsidRDefault="00F61C13">
      <w:pPr>
        <w:pStyle w:val="Obsah2"/>
        <w:rPr>
          <w:rFonts w:asciiTheme="minorHAnsi" w:eastAsiaTheme="minorEastAsia" w:hAnsiTheme="minorHAnsi" w:cstheme="minorBidi"/>
          <w:noProof/>
          <w:sz w:val="22"/>
          <w:szCs w:val="22"/>
        </w:rPr>
      </w:pPr>
      <w:hyperlink w:anchor="_Toc104792917" w:history="1">
        <w:r w:rsidR="00841DC4" w:rsidRPr="0091401A">
          <w:rPr>
            <w:rStyle w:val="Hypertextovodkaz"/>
            <w:noProof/>
          </w:rPr>
          <w:t>4.6 Závěrečné shrnutí</w:t>
        </w:r>
        <w:r w:rsidR="00841DC4">
          <w:rPr>
            <w:noProof/>
            <w:webHidden/>
          </w:rPr>
          <w:tab/>
        </w:r>
        <w:r w:rsidR="00841DC4">
          <w:rPr>
            <w:noProof/>
            <w:webHidden/>
          </w:rPr>
          <w:fldChar w:fldCharType="begin"/>
        </w:r>
        <w:r w:rsidR="00841DC4">
          <w:rPr>
            <w:noProof/>
            <w:webHidden/>
          </w:rPr>
          <w:instrText xml:space="preserve"> PAGEREF _Toc104792917 \h </w:instrText>
        </w:r>
        <w:r w:rsidR="00841DC4">
          <w:rPr>
            <w:noProof/>
            <w:webHidden/>
          </w:rPr>
        </w:r>
        <w:r w:rsidR="00841DC4">
          <w:rPr>
            <w:noProof/>
            <w:webHidden/>
          </w:rPr>
          <w:fldChar w:fldCharType="separate"/>
        </w:r>
        <w:r w:rsidR="00841DC4">
          <w:rPr>
            <w:noProof/>
            <w:webHidden/>
          </w:rPr>
          <w:t>53</w:t>
        </w:r>
        <w:r w:rsidR="00841DC4">
          <w:rPr>
            <w:noProof/>
            <w:webHidden/>
          </w:rPr>
          <w:fldChar w:fldCharType="end"/>
        </w:r>
      </w:hyperlink>
    </w:p>
    <w:p w14:paraId="216B1FF4" w14:textId="3D2BBBEC" w:rsidR="00841DC4" w:rsidRDefault="00F61C13">
      <w:pPr>
        <w:pStyle w:val="Obsah2"/>
        <w:rPr>
          <w:rFonts w:asciiTheme="minorHAnsi" w:eastAsiaTheme="minorEastAsia" w:hAnsiTheme="minorHAnsi" w:cstheme="minorBidi"/>
          <w:noProof/>
          <w:sz w:val="22"/>
          <w:szCs w:val="22"/>
        </w:rPr>
      </w:pPr>
      <w:hyperlink w:anchor="_Toc104792918" w:history="1">
        <w:r w:rsidR="00841DC4" w:rsidRPr="0091401A">
          <w:rPr>
            <w:rStyle w:val="Hypertextovodkaz"/>
            <w:noProof/>
          </w:rPr>
          <w:t>5. Použité zkratky a značky</w:t>
        </w:r>
        <w:r w:rsidR="00841DC4">
          <w:rPr>
            <w:noProof/>
            <w:webHidden/>
          </w:rPr>
          <w:tab/>
        </w:r>
        <w:r w:rsidR="00841DC4">
          <w:rPr>
            <w:noProof/>
            <w:webHidden/>
          </w:rPr>
          <w:fldChar w:fldCharType="begin"/>
        </w:r>
        <w:r w:rsidR="00841DC4">
          <w:rPr>
            <w:noProof/>
            <w:webHidden/>
          </w:rPr>
          <w:instrText xml:space="preserve"> PAGEREF _Toc104792918 \h </w:instrText>
        </w:r>
        <w:r w:rsidR="00841DC4">
          <w:rPr>
            <w:noProof/>
            <w:webHidden/>
          </w:rPr>
        </w:r>
        <w:r w:rsidR="00841DC4">
          <w:rPr>
            <w:noProof/>
            <w:webHidden/>
          </w:rPr>
          <w:fldChar w:fldCharType="separate"/>
        </w:r>
        <w:r w:rsidR="00841DC4">
          <w:rPr>
            <w:noProof/>
            <w:webHidden/>
          </w:rPr>
          <w:t>55</w:t>
        </w:r>
        <w:r w:rsidR="00841DC4">
          <w:rPr>
            <w:noProof/>
            <w:webHidden/>
          </w:rPr>
          <w:fldChar w:fldCharType="end"/>
        </w:r>
      </w:hyperlink>
    </w:p>
    <w:p w14:paraId="25B585C5" w14:textId="0CEEE114" w:rsidR="00841DC4" w:rsidRDefault="00F61C13">
      <w:pPr>
        <w:pStyle w:val="Obsah2"/>
        <w:rPr>
          <w:rFonts w:asciiTheme="minorHAnsi" w:eastAsiaTheme="minorEastAsia" w:hAnsiTheme="minorHAnsi" w:cstheme="minorBidi"/>
          <w:noProof/>
          <w:sz w:val="22"/>
          <w:szCs w:val="22"/>
        </w:rPr>
      </w:pPr>
      <w:hyperlink w:anchor="_Toc104792919" w:history="1">
        <w:r w:rsidR="00841DC4" w:rsidRPr="0091401A">
          <w:rPr>
            <w:rStyle w:val="Hypertextovodkaz"/>
            <w:noProof/>
          </w:rPr>
          <w:t>6. Tabulková část – seznam tabulek</w:t>
        </w:r>
        <w:r w:rsidR="00841DC4">
          <w:rPr>
            <w:noProof/>
            <w:webHidden/>
          </w:rPr>
          <w:tab/>
        </w:r>
        <w:r w:rsidR="00841DC4">
          <w:rPr>
            <w:noProof/>
            <w:webHidden/>
          </w:rPr>
          <w:fldChar w:fldCharType="begin"/>
        </w:r>
        <w:r w:rsidR="00841DC4">
          <w:rPr>
            <w:noProof/>
            <w:webHidden/>
          </w:rPr>
          <w:instrText xml:space="preserve"> PAGEREF _Toc104792919 \h </w:instrText>
        </w:r>
        <w:r w:rsidR="00841DC4">
          <w:rPr>
            <w:noProof/>
            <w:webHidden/>
          </w:rPr>
        </w:r>
        <w:r w:rsidR="00841DC4">
          <w:rPr>
            <w:noProof/>
            <w:webHidden/>
          </w:rPr>
          <w:fldChar w:fldCharType="separate"/>
        </w:r>
        <w:r w:rsidR="00841DC4">
          <w:rPr>
            <w:noProof/>
            <w:webHidden/>
          </w:rPr>
          <w:t>56</w:t>
        </w:r>
        <w:r w:rsidR="00841DC4">
          <w:rPr>
            <w:noProof/>
            <w:webHidden/>
          </w:rPr>
          <w:fldChar w:fldCharType="end"/>
        </w:r>
      </w:hyperlink>
    </w:p>
    <w:p w14:paraId="7964CC5E" w14:textId="5C1EDBE9" w:rsidR="008E2C57" w:rsidRPr="006F5416" w:rsidRDefault="00841DC4" w:rsidP="006F5416">
      <w:pPr>
        <w:pStyle w:val="Obsahpoloky"/>
      </w:pPr>
      <w:r>
        <w:rPr>
          <w:b/>
        </w:rPr>
        <w:fldChar w:fldCharType="end"/>
      </w:r>
    </w:p>
    <w:p w14:paraId="2B01343A" w14:textId="77777777" w:rsidR="00EE4B1B" w:rsidRDefault="00852217" w:rsidP="003D2972">
      <w:pPr>
        <w:pStyle w:val="Nadpis2"/>
      </w:pPr>
      <w:r>
        <w:br w:type="page"/>
      </w:r>
      <w:bookmarkStart w:id="0" w:name="_Toc104792897"/>
      <w:r w:rsidR="00A403BA">
        <w:lastRenderedPageBreak/>
        <w:t>1. Úvod</w:t>
      </w:r>
      <w:bookmarkEnd w:id="0"/>
    </w:p>
    <w:p w14:paraId="683D5522" w14:textId="77777777" w:rsidR="00A403BA" w:rsidRPr="00D92E20" w:rsidRDefault="00A403BA" w:rsidP="00A403BA">
      <w:pPr>
        <w:pStyle w:val="Odstavecseseznamem"/>
        <w:spacing w:before="60"/>
        <w:ind w:left="0"/>
        <w:jc w:val="both"/>
        <w:rPr>
          <w:rFonts w:cs="Arial"/>
        </w:rPr>
      </w:pPr>
      <w:bookmarkStart w:id="1" w:name="_Toc444112495"/>
      <w:r w:rsidRPr="00D92E20">
        <w:rPr>
          <w:rFonts w:cs="Arial"/>
          <w:b/>
        </w:rPr>
        <w:t>Problematika pracovní neschopnosti pro nemoc a úraz</w:t>
      </w:r>
      <w:r w:rsidRPr="00D92E20">
        <w:rPr>
          <w:rFonts w:cs="Arial"/>
        </w:rPr>
        <w:t xml:space="preserve"> je závažná a z pohledu hodnocení vývoje v čase také zajímavá nejméně ze dvou následujících důvodů. </w:t>
      </w:r>
    </w:p>
    <w:p w14:paraId="13F7DECF" w14:textId="77777777" w:rsidR="00A403BA" w:rsidRPr="00D92E20" w:rsidRDefault="00A403BA" w:rsidP="00A403BA">
      <w:pPr>
        <w:pStyle w:val="Odstavecseseznamem"/>
        <w:numPr>
          <w:ilvl w:val="0"/>
          <w:numId w:val="16"/>
        </w:numPr>
        <w:spacing w:before="60"/>
        <w:jc w:val="both"/>
        <w:rPr>
          <w:rFonts w:cs="Arial"/>
        </w:rPr>
      </w:pPr>
      <w:r w:rsidRPr="00D92E20">
        <w:rPr>
          <w:rFonts w:cs="Arial"/>
          <w:b/>
        </w:rPr>
        <w:t xml:space="preserve">ze zdravotního </w:t>
      </w:r>
      <w:r w:rsidRPr="00D92E20">
        <w:rPr>
          <w:rFonts w:cs="Arial"/>
        </w:rPr>
        <w:t xml:space="preserve">– souvisí se zdravotním stavem zaměstnanců v návaznosti na určitou pracovní činnost, prostředí, pracovní podmínky, používanou techniku a technologii, bezpečnost a hygienu práce apod. </w:t>
      </w:r>
    </w:p>
    <w:p w14:paraId="272B5C6E" w14:textId="77777777" w:rsidR="00A403BA" w:rsidRPr="00D92E20" w:rsidRDefault="00A403BA" w:rsidP="00A403BA">
      <w:pPr>
        <w:pStyle w:val="Odstavecseseznamem"/>
        <w:numPr>
          <w:ilvl w:val="0"/>
          <w:numId w:val="16"/>
        </w:numPr>
        <w:spacing w:before="60" w:after="120"/>
        <w:ind w:left="714" w:hanging="357"/>
        <w:jc w:val="both"/>
        <w:rPr>
          <w:rFonts w:cs="Arial"/>
        </w:rPr>
      </w:pPr>
      <w:r w:rsidRPr="00D92E20">
        <w:rPr>
          <w:rFonts w:cs="Arial"/>
          <w:b/>
        </w:rPr>
        <w:t xml:space="preserve">z ekonomického </w:t>
      </w:r>
      <w:r w:rsidRPr="00D92E20">
        <w:rPr>
          <w:rFonts w:cs="Arial"/>
        </w:rPr>
        <w:t>– vztahuje se totiž k důsledkům nepřítomnosti dočasně práce neschopných v zaměstnání, ke snížení tvorby zdrojů, k čerpání fondu nemocenského pojištění a v neposlední řadě i k vyvolaným nákladům zdravotní péče.</w:t>
      </w:r>
    </w:p>
    <w:p w14:paraId="4585A866" w14:textId="77777777" w:rsidR="00A403BA" w:rsidRPr="00D92E20" w:rsidRDefault="00A403BA" w:rsidP="00A403BA">
      <w:pPr>
        <w:spacing w:before="60" w:after="120"/>
        <w:jc w:val="both"/>
        <w:rPr>
          <w:rFonts w:cs="Arial"/>
        </w:rPr>
      </w:pPr>
      <w:r w:rsidRPr="00D92E20">
        <w:rPr>
          <w:rFonts w:cs="Arial"/>
        </w:rPr>
        <w:t xml:space="preserve">Statistiky pracovní neschopnosti sice nabízí dlouhodobé časové řady, které ukazují mnohé souvislosti a trendy, nicméně je třeba si dobře uvědomit faktory, které zde působí. Zjednodušeně lze říci, že v průběhu času dochází ke změnám dvojího druhu. Jedny jsou projevem „přirozeného“ vývoje, zatímco druhé vycházejí z určitého vědomého rozhodnutí. Oba tyto druhy změn v různé míře ovlivňují hodnoty ukazatelů pracovní neschopnosti a je nutné k nim při analytickém hodnocení přihlížet. </w:t>
      </w:r>
    </w:p>
    <w:p w14:paraId="339A32FD" w14:textId="77777777" w:rsidR="00A403BA" w:rsidRPr="00D92E20" w:rsidRDefault="00A403BA" w:rsidP="00A403BA">
      <w:pPr>
        <w:pStyle w:val="Odstavecseseznamem"/>
        <w:numPr>
          <w:ilvl w:val="0"/>
          <w:numId w:val="17"/>
        </w:numPr>
        <w:spacing w:before="60" w:after="120"/>
        <w:jc w:val="both"/>
        <w:rPr>
          <w:rFonts w:cs="Arial"/>
        </w:rPr>
      </w:pPr>
      <w:r w:rsidRPr="00D92E20">
        <w:rPr>
          <w:rFonts w:cs="Arial"/>
        </w:rPr>
        <w:t xml:space="preserve">Přirozené vlivy jsou např. změny </w:t>
      </w:r>
      <w:r w:rsidRPr="00D92E20">
        <w:rPr>
          <w:rFonts w:cs="Arial"/>
          <w:b/>
        </w:rPr>
        <w:t>demografické</w:t>
      </w:r>
      <w:r w:rsidRPr="00D92E20">
        <w:rPr>
          <w:rFonts w:cs="Arial"/>
        </w:rPr>
        <w:t xml:space="preserve"> (změny počtu nemocensky pojištěných, stárnutí obyvatelstva) či </w:t>
      </w:r>
      <w:r w:rsidRPr="00D92E20">
        <w:rPr>
          <w:rFonts w:cs="Arial"/>
          <w:b/>
        </w:rPr>
        <w:t>ekonomické</w:t>
      </w:r>
      <w:r w:rsidRPr="00D92E20">
        <w:rPr>
          <w:rFonts w:cs="Arial"/>
        </w:rPr>
        <w:t xml:space="preserve"> (vývoj nezaměstnanosti, inflace), podobně jako technický a technologický rozvoj (mající dopad na bezpečnost a náročnost práce). </w:t>
      </w:r>
    </w:p>
    <w:p w14:paraId="3DA2D6E6" w14:textId="77777777" w:rsidR="00A403BA" w:rsidRPr="00D92E20" w:rsidRDefault="00A403BA" w:rsidP="00A403BA">
      <w:pPr>
        <w:pStyle w:val="Odstavecseseznamem"/>
        <w:numPr>
          <w:ilvl w:val="0"/>
          <w:numId w:val="17"/>
        </w:numPr>
        <w:spacing w:after="120"/>
        <w:ind w:left="714" w:hanging="357"/>
        <w:jc w:val="both"/>
        <w:rPr>
          <w:rFonts w:cs="Arial"/>
        </w:rPr>
      </w:pPr>
      <w:r w:rsidRPr="00D92E20">
        <w:rPr>
          <w:rFonts w:cs="Arial"/>
        </w:rPr>
        <w:t xml:space="preserve">Vedle toho působí i vědomě prováděná opatření v oblasti </w:t>
      </w:r>
      <w:r w:rsidRPr="00D92E20">
        <w:rPr>
          <w:rFonts w:cs="Arial"/>
          <w:b/>
        </w:rPr>
        <w:t xml:space="preserve">legislativy </w:t>
      </w:r>
      <w:r w:rsidRPr="00D92E20">
        <w:rPr>
          <w:rFonts w:cs="Arial"/>
        </w:rPr>
        <w:t>(např. změny výše dávek a</w:t>
      </w:r>
      <w:r>
        <w:rPr>
          <w:rFonts w:cs="Arial"/>
        </w:rPr>
        <w:t> </w:t>
      </w:r>
      <w:r w:rsidRPr="00D92E20">
        <w:rPr>
          <w:rFonts w:cs="Arial"/>
        </w:rPr>
        <w:t xml:space="preserve">jiných nároků, úpravy pojištění apod.), ale rovněž změny </w:t>
      </w:r>
      <w:r w:rsidRPr="00D92E20">
        <w:rPr>
          <w:rFonts w:cs="Arial"/>
          <w:b/>
        </w:rPr>
        <w:t>metodické</w:t>
      </w:r>
      <w:r w:rsidRPr="00D92E20">
        <w:rPr>
          <w:rFonts w:cs="Arial"/>
        </w:rPr>
        <w:t xml:space="preserve"> (způsob sběru dat, změny klasifikací).</w:t>
      </w:r>
    </w:p>
    <w:p w14:paraId="2B1AF7DE" w14:textId="77777777" w:rsidR="00A403BA" w:rsidRPr="00D92E20" w:rsidRDefault="00A403BA" w:rsidP="00A403BA">
      <w:pPr>
        <w:autoSpaceDE w:val="0"/>
        <w:autoSpaceDN w:val="0"/>
        <w:adjustRightInd w:val="0"/>
        <w:spacing w:after="120"/>
        <w:jc w:val="both"/>
        <w:rPr>
          <w:rFonts w:cs="Arial"/>
        </w:rPr>
      </w:pPr>
      <w:r w:rsidRPr="00D92E20">
        <w:rPr>
          <w:rFonts w:cs="Arial"/>
        </w:rPr>
        <w:t>Údaje o pracovní neschopnosti pro nemoc a úraz vycházejí ze společného zpracování dat</w:t>
      </w:r>
      <w:r w:rsidRPr="00D92E20">
        <w:rPr>
          <w:rFonts w:cs="Arial"/>
          <w:b/>
        </w:rPr>
        <w:t xml:space="preserve"> České správy sociálního zabezpečení </w:t>
      </w:r>
      <w:r w:rsidRPr="00D92E20">
        <w:rPr>
          <w:rFonts w:cs="Arial"/>
        </w:rPr>
        <w:t>(ČSSZ)</w:t>
      </w:r>
      <w:r w:rsidRPr="00D92E20">
        <w:rPr>
          <w:rFonts w:cs="Arial"/>
          <w:b/>
        </w:rPr>
        <w:t xml:space="preserve"> </w:t>
      </w:r>
      <w:r w:rsidRPr="00D92E20">
        <w:rPr>
          <w:rFonts w:cs="Arial"/>
        </w:rPr>
        <w:t>a</w:t>
      </w:r>
      <w:r w:rsidRPr="00D92E20">
        <w:rPr>
          <w:rFonts w:cs="Arial"/>
          <w:b/>
        </w:rPr>
        <w:t xml:space="preserve"> Českého statistického úřadu </w:t>
      </w:r>
      <w:r w:rsidRPr="00D92E20">
        <w:rPr>
          <w:rFonts w:cs="Arial"/>
        </w:rPr>
        <w:t>(ČSÚ) a jsou publikovány vždy za 1. pololetí (na konci října sledovaného roku)</w:t>
      </w:r>
      <w:r w:rsidRPr="00D92E20">
        <w:rPr>
          <w:rFonts w:cs="Arial"/>
          <w:vertAlign w:val="superscript"/>
        </w:rPr>
        <w:t xml:space="preserve"> </w:t>
      </w:r>
      <w:r w:rsidRPr="00D92E20">
        <w:rPr>
          <w:rFonts w:cs="Arial"/>
        </w:rPr>
        <w:t>a za celý rok (na konci května následujícího roku)</w:t>
      </w:r>
      <w:r w:rsidRPr="00D92E20">
        <w:rPr>
          <w:rStyle w:val="Znakapoznpodarou"/>
          <w:rFonts w:cs="Arial"/>
        </w:rPr>
        <w:footnoteReference w:id="1"/>
      </w:r>
      <w:r w:rsidRPr="00D92E20">
        <w:rPr>
          <w:rFonts w:cs="Arial"/>
        </w:rPr>
        <w:t>.</w:t>
      </w:r>
    </w:p>
    <w:p w14:paraId="44A3CFF9" w14:textId="77777777" w:rsidR="00A403BA" w:rsidRPr="00D92E20" w:rsidRDefault="00A403BA" w:rsidP="00A403BA">
      <w:pPr>
        <w:spacing w:after="120"/>
        <w:jc w:val="both"/>
      </w:pPr>
      <w:r w:rsidRPr="00D92E20">
        <w:t xml:space="preserve">Tato publikace přináší základní údaje o dočasné pracovní neschopnosti pracujících obyvatel ČR z důvodu nemoci či úrazu </w:t>
      </w:r>
      <w:r w:rsidRPr="00D92E20">
        <w:rPr>
          <w:b/>
        </w:rPr>
        <w:t>v</w:t>
      </w:r>
      <w:r>
        <w:rPr>
          <w:b/>
        </w:rPr>
        <w:t xml:space="preserve"> roce </w:t>
      </w:r>
      <w:r w:rsidRPr="00D92E20">
        <w:rPr>
          <w:b/>
        </w:rPr>
        <w:t>202</w:t>
      </w:r>
      <w:r>
        <w:rPr>
          <w:b/>
        </w:rPr>
        <w:t>1</w:t>
      </w:r>
      <w:r w:rsidRPr="00D92E20">
        <w:t xml:space="preserve"> a u vybraných ukazatelů jejich vývoj v delší </w:t>
      </w:r>
      <w:r w:rsidRPr="00D92E20">
        <w:rPr>
          <w:b/>
        </w:rPr>
        <w:t>časové řadě (201</w:t>
      </w:r>
      <w:r>
        <w:rPr>
          <w:b/>
        </w:rPr>
        <w:t>1</w:t>
      </w:r>
      <w:r w:rsidRPr="00D92E20">
        <w:rPr>
          <w:b/>
        </w:rPr>
        <w:t>–202</w:t>
      </w:r>
      <w:r>
        <w:rPr>
          <w:b/>
        </w:rPr>
        <w:t>1</w:t>
      </w:r>
      <w:r w:rsidRPr="00D92E20">
        <w:rPr>
          <w:b/>
        </w:rPr>
        <w:t>).</w:t>
      </w:r>
    </w:p>
    <w:p w14:paraId="5B6E5281" w14:textId="77777777" w:rsidR="00A403BA" w:rsidRPr="00D92E20" w:rsidRDefault="00A403BA" w:rsidP="00A403BA">
      <w:pPr>
        <w:autoSpaceDE w:val="0"/>
        <w:autoSpaceDN w:val="0"/>
        <w:adjustRightInd w:val="0"/>
        <w:spacing w:after="120"/>
        <w:jc w:val="both"/>
        <w:rPr>
          <w:rFonts w:cs="Arial"/>
        </w:rPr>
      </w:pPr>
      <w:r w:rsidRPr="00D92E20">
        <w:rPr>
          <w:rFonts w:cs="Arial"/>
        </w:rPr>
        <w:t xml:space="preserve">Publikace je členěna na textovou a tabulkovou část. </w:t>
      </w:r>
      <w:r w:rsidRPr="00D92E20">
        <w:rPr>
          <w:rFonts w:cs="Arial"/>
          <w:b/>
        </w:rPr>
        <w:t>Textová část</w:t>
      </w:r>
      <w:r w:rsidRPr="00D92E20">
        <w:rPr>
          <w:rFonts w:cs="Arial"/>
        </w:rPr>
        <w:t xml:space="preserve"> nejprve obsahuje stručné seznámení s legislativní úpravou nemocenského pojištění, vč. významných legislativních změn ovlivňujících podstatným způsobem vývoj ukazatelů pracovní neschopnosti. Dále textová část pokračuje popisem metodiky zpracování dat dočasné pracovní neschopnosti prostřednictvím systémů ČSSZ a ČSÚ a výčtem dalších možných </w:t>
      </w:r>
      <w:r>
        <w:rPr>
          <w:rFonts w:cs="Arial"/>
        </w:rPr>
        <w:t xml:space="preserve">zdrojů dat v oblasti statistiky </w:t>
      </w:r>
      <w:r w:rsidRPr="00D92E20">
        <w:rPr>
          <w:rFonts w:cs="Arial"/>
        </w:rPr>
        <w:t xml:space="preserve">nemocnosti a úrazovosti. Stěžejní část tvoří </w:t>
      </w:r>
      <w:r w:rsidRPr="00D92E20">
        <w:rPr>
          <w:rFonts w:cs="Arial"/>
          <w:b/>
        </w:rPr>
        <w:t>analýza</w:t>
      </w:r>
      <w:r w:rsidRPr="00D92E20">
        <w:rPr>
          <w:rFonts w:cs="Arial"/>
        </w:rPr>
        <w:t>, která přináší rozbor vývoje a intenzity základních ukazatelů dočasné pracovní neschopnosti pro nemoc a úraz v ČR vč</w:t>
      </w:r>
      <w:r>
        <w:rPr>
          <w:rFonts w:cs="Arial"/>
        </w:rPr>
        <w:t>etně</w:t>
      </w:r>
      <w:r w:rsidRPr="00D92E20">
        <w:rPr>
          <w:rFonts w:cs="Arial"/>
        </w:rPr>
        <w:t xml:space="preserve"> definic sledovaných indikátorů. Je doplněna i daty z jiných dostupných zdrojů. Data z ČSSZ do</w:t>
      </w:r>
      <w:r>
        <w:rPr>
          <w:rFonts w:cs="Arial"/>
        </w:rPr>
        <w:t>kreslují</w:t>
      </w:r>
      <w:r w:rsidRPr="00D92E20">
        <w:rPr>
          <w:rFonts w:cs="Arial"/>
        </w:rPr>
        <w:t xml:space="preserve"> pohled na tuto oblast statistiky pomocí ukončených případů dočasné pracovní neschopnosti, počtu karantén a výdajů na dávky nemocenského pojištění. Údaje ze Státního úřadu inspekce práce (SÚIP) </w:t>
      </w:r>
      <w:r>
        <w:rPr>
          <w:rFonts w:cs="Arial"/>
        </w:rPr>
        <w:t>a</w:t>
      </w:r>
      <w:r w:rsidR="003D2972">
        <w:rPr>
          <w:rFonts w:cs="Arial"/>
        </w:rPr>
        <w:t> </w:t>
      </w:r>
      <w:r>
        <w:rPr>
          <w:rFonts w:cs="Arial"/>
        </w:rPr>
        <w:t>Eurostatu popisují</w:t>
      </w:r>
      <w:r w:rsidRPr="00D92E20">
        <w:rPr>
          <w:rFonts w:cs="Arial"/>
        </w:rPr>
        <w:t xml:space="preserve"> pracovní</w:t>
      </w:r>
      <w:r>
        <w:rPr>
          <w:rFonts w:cs="Arial"/>
        </w:rPr>
        <w:t xml:space="preserve"> úrazovost</w:t>
      </w:r>
      <w:r w:rsidRPr="00D92E20">
        <w:rPr>
          <w:rFonts w:cs="Arial"/>
        </w:rPr>
        <w:t>.</w:t>
      </w:r>
    </w:p>
    <w:p w14:paraId="326010E8" w14:textId="77777777" w:rsidR="00A403BA" w:rsidRPr="00D92E20" w:rsidRDefault="00A403BA" w:rsidP="00A403BA">
      <w:pPr>
        <w:autoSpaceDE w:val="0"/>
        <w:autoSpaceDN w:val="0"/>
        <w:adjustRightInd w:val="0"/>
        <w:spacing w:after="60"/>
        <w:jc w:val="both"/>
        <w:rPr>
          <w:rFonts w:cs="Arial"/>
        </w:rPr>
      </w:pPr>
      <w:r w:rsidRPr="00D92E20">
        <w:rPr>
          <w:rFonts w:cs="Arial"/>
        </w:rPr>
        <w:t xml:space="preserve">Publikace nabízí zejména údaje o </w:t>
      </w:r>
      <w:r w:rsidRPr="00D92E20">
        <w:rPr>
          <w:rFonts w:cs="Arial"/>
          <w:b/>
        </w:rPr>
        <w:t>nově hlášených případech dočasné pracovní neschopnosti pro nemoc a úraz</w:t>
      </w:r>
      <w:r w:rsidRPr="00D92E20">
        <w:rPr>
          <w:rFonts w:cs="Arial"/>
        </w:rPr>
        <w:t xml:space="preserve"> (kapitola 4.2) a související ukazatele:</w:t>
      </w:r>
    </w:p>
    <w:p w14:paraId="2A75594B" w14:textId="77777777" w:rsidR="00A403BA" w:rsidRPr="00D92E20" w:rsidRDefault="00A403BA" w:rsidP="00A403BA">
      <w:pPr>
        <w:pStyle w:val="Odstavecseseznamem"/>
        <w:numPr>
          <w:ilvl w:val="0"/>
          <w:numId w:val="14"/>
        </w:numPr>
        <w:autoSpaceDE w:val="0"/>
        <w:autoSpaceDN w:val="0"/>
        <w:adjustRightInd w:val="0"/>
        <w:jc w:val="both"/>
        <w:rPr>
          <w:rFonts w:cs="Arial"/>
        </w:rPr>
      </w:pPr>
      <w:r w:rsidRPr="00D92E20">
        <w:rPr>
          <w:rFonts w:cs="Arial"/>
        </w:rPr>
        <w:t>průměrný počet nemocensky pojištěných osob,</w:t>
      </w:r>
    </w:p>
    <w:p w14:paraId="72EF50E2" w14:textId="77777777" w:rsidR="00A403BA" w:rsidRPr="00D92E20" w:rsidRDefault="00A403BA" w:rsidP="00A403BA">
      <w:pPr>
        <w:pStyle w:val="Odstavecseseznamem"/>
        <w:numPr>
          <w:ilvl w:val="0"/>
          <w:numId w:val="14"/>
        </w:numPr>
        <w:autoSpaceDE w:val="0"/>
        <w:autoSpaceDN w:val="0"/>
        <w:adjustRightInd w:val="0"/>
        <w:jc w:val="both"/>
        <w:rPr>
          <w:rFonts w:cs="Arial"/>
        </w:rPr>
      </w:pPr>
      <w:r w:rsidRPr="00D92E20">
        <w:rPr>
          <w:rFonts w:cs="Arial"/>
        </w:rPr>
        <w:t>počet nově hlášených případů pracovní neschopnosti na 100 nemocensky pojištěných osob,</w:t>
      </w:r>
    </w:p>
    <w:p w14:paraId="61FEE89C" w14:textId="77777777" w:rsidR="00A403BA" w:rsidRPr="00D92E20" w:rsidRDefault="00A403BA" w:rsidP="00A403BA">
      <w:pPr>
        <w:pStyle w:val="Odstavecseseznamem"/>
        <w:numPr>
          <w:ilvl w:val="0"/>
          <w:numId w:val="14"/>
        </w:numPr>
        <w:autoSpaceDE w:val="0"/>
        <w:autoSpaceDN w:val="0"/>
        <w:adjustRightInd w:val="0"/>
        <w:jc w:val="both"/>
        <w:rPr>
          <w:rFonts w:cs="Arial"/>
        </w:rPr>
      </w:pPr>
      <w:r w:rsidRPr="00D92E20">
        <w:rPr>
          <w:rFonts w:cs="Arial"/>
        </w:rPr>
        <w:t>počet kalendářních dnů pracovní neschopnosti,</w:t>
      </w:r>
    </w:p>
    <w:p w14:paraId="0B2E81EA" w14:textId="77777777" w:rsidR="00A403BA" w:rsidRPr="00D92E20" w:rsidRDefault="00A403BA" w:rsidP="00A403BA">
      <w:pPr>
        <w:pStyle w:val="Odstavecseseznamem"/>
        <w:numPr>
          <w:ilvl w:val="0"/>
          <w:numId w:val="14"/>
        </w:numPr>
        <w:autoSpaceDE w:val="0"/>
        <w:autoSpaceDN w:val="0"/>
        <w:adjustRightInd w:val="0"/>
        <w:jc w:val="both"/>
        <w:rPr>
          <w:rFonts w:cs="Arial"/>
        </w:rPr>
      </w:pPr>
      <w:r w:rsidRPr="00D92E20">
        <w:rPr>
          <w:rFonts w:cs="Arial"/>
        </w:rPr>
        <w:t>průměrná délka trvání jednoho případu pracovní neschopnosti,</w:t>
      </w:r>
    </w:p>
    <w:p w14:paraId="123AAE4D" w14:textId="77777777" w:rsidR="00A403BA" w:rsidRPr="00D92E20" w:rsidRDefault="00A403BA" w:rsidP="00A403BA">
      <w:pPr>
        <w:pStyle w:val="Odstavecseseznamem"/>
        <w:numPr>
          <w:ilvl w:val="0"/>
          <w:numId w:val="14"/>
        </w:numPr>
        <w:autoSpaceDE w:val="0"/>
        <w:autoSpaceDN w:val="0"/>
        <w:adjustRightInd w:val="0"/>
        <w:jc w:val="both"/>
        <w:rPr>
          <w:rFonts w:cs="Arial"/>
        </w:rPr>
      </w:pPr>
      <w:r w:rsidRPr="00D92E20">
        <w:rPr>
          <w:rFonts w:cs="Arial"/>
        </w:rPr>
        <w:t>průměrné procento pracovní neschopnosti,</w:t>
      </w:r>
    </w:p>
    <w:p w14:paraId="703D6D9A" w14:textId="77777777" w:rsidR="00A403BA" w:rsidRPr="00D92E20" w:rsidRDefault="00A403BA" w:rsidP="00A403BA">
      <w:pPr>
        <w:pStyle w:val="Odstavecseseznamem"/>
        <w:numPr>
          <w:ilvl w:val="0"/>
          <w:numId w:val="14"/>
        </w:numPr>
        <w:autoSpaceDE w:val="0"/>
        <w:autoSpaceDN w:val="0"/>
        <w:adjustRightInd w:val="0"/>
        <w:jc w:val="both"/>
        <w:rPr>
          <w:rFonts w:cs="Arial"/>
        </w:rPr>
      </w:pPr>
      <w:r w:rsidRPr="00D92E20">
        <w:rPr>
          <w:rFonts w:cs="Arial"/>
        </w:rPr>
        <w:t>průměrný denní stav dočasně práce neschopných,</w:t>
      </w:r>
    </w:p>
    <w:p w14:paraId="7FA29E88" w14:textId="77777777" w:rsidR="00A403BA" w:rsidRPr="00D92E20" w:rsidRDefault="00A403BA" w:rsidP="00A403BA">
      <w:pPr>
        <w:pStyle w:val="Odstavecseseznamem"/>
        <w:numPr>
          <w:ilvl w:val="0"/>
          <w:numId w:val="14"/>
        </w:numPr>
        <w:autoSpaceDE w:val="0"/>
        <w:autoSpaceDN w:val="0"/>
        <w:adjustRightInd w:val="0"/>
        <w:spacing w:after="120"/>
        <w:ind w:left="714" w:hanging="357"/>
        <w:jc w:val="both"/>
        <w:rPr>
          <w:rFonts w:cs="Arial"/>
        </w:rPr>
      </w:pPr>
      <w:r w:rsidRPr="00D92E20">
        <w:rPr>
          <w:rFonts w:cs="Arial"/>
        </w:rPr>
        <w:t>počet pracovních úrazů s pracovní neschopností delší než 3 dny</w:t>
      </w:r>
      <w:r>
        <w:rPr>
          <w:rFonts w:cs="Arial"/>
        </w:rPr>
        <w:t xml:space="preserve"> (kap. 4.5)</w:t>
      </w:r>
      <w:r w:rsidRPr="00D92E20">
        <w:rPr>
          <w:rFonts w:cs="Arial"/>
        </w:rPr>
        <w:t>.</w:t>
      </w:r>
    </w:p>
    <w:p w14:paraId="1CA8D5B3" w14:textId="77777777" w:rsidR="00A403BA" w:rsidRPr="00D92E20" w:rsidRDefault="00A403BA" w:rsidP="00A403BA">
      <w:pPr>
        <w:autoSpaceDE w:val="0"/>
        <w:autoSpaceDN w:val="0"/>
        <w:adjustRightInd w:val="0"/>
        <w:spacing w:after="120"/>
        <w:jc w:val="both"/>
        <w:rPr>
          <w:rFonts w:cs="Arial"/>
          <w:szCs w:val="20"/>
        </w:rPr>
      </w:pPr>
      <w:r w:rsidRPr="00D92E20">
        <w:rPr>
          <w:rFonts w:cs="Arial"/>
          <w:szCs w:val="20"/>
        </w:rPr>
        <w:lastRenderedPageBreak/>
        <w:t>Předkládané ukazatele jsou k dispozici v celé řadě třídění</w:t>
      </w:r>
      <w:r>
        <w:rPr>
          <w:rFonts w:cs="Arial"/>
          <w:szCs w:val="20"/>
        </w:rPr>
        <w:t>:</w:t>
      </w:r>
      <w:r w:rsidRPr="00D92E20">
        <w:rPr>
          <w:rFonts w:cs="Arial"/>
          <w:szCs w:val="20"/>
        </w:rPr>
        <w:t xml:space="preserve"> např. podle kraje a okresu, velikosti podniku, převažující ekonomické činnosti a sektoru zaměstnavatele nemocensky pojištěných osob. Členění do krajů a okresů vychází z údaje o sídle útvaru, </w:t>
      </w:r>
      <w:r w:rsidR="001E0F29">
        <w:rPr>
          <w:rFonts w:cs="Arial"/>
          <w:szCs w:val="20"/>
        </w:rPr>
        <w:t xml:space="preserve">kde je vedena evidence mezd </w:t>
      </w:r>
      <w:r w:rsidRPr="00D92E20">
        <w:rPr>
          <w:rFonts w:cs="Arial"/>
          <w:szCs w:val="20"/>
        </w:rPr>
        <w:t>zaměstnavateli osoby, která je v pracovní neschopnosti. Vedle údajů o zaměstnancích publikace poskytuje také data o nemocensky pojištěných osobách samostatně výdělečně činných (OSVČ).</w:t>
      </w:r>
    </w:p>
    <w:p w14:paraId="141AE51C" w14:textId="77777777" w:rsidR="00A403BA" w:rsidRPr="00D92E20" w:rsidRDefault="00A403BA" w:rsidP="00A403BA">
      <w:pPr>
        <w:autoSpaceDE w:val="0"/>
        <w:autoSpaceDN w:val="0"/>
        <w:adjustRightInd w:val="0"/>
        <w:spacing w:after="120"/>
        <w:jc w:val="both"/>
        <w:rPr>
          <w:rFonts w:cs="Arial"/>
          <w:szCs w:val="20"/>
        </w:rPr>
      </w:pPr>
      <w:r w:rsidRPr="00D92E20">
        <w:rPr>
          <w:rFonts w:cs="Arial"/>
          <w:szCs w:val="20"/>
        </w:rPr>
        <w:t xml:space="preserve">Kromě podrobných dat o nově hlášených případech, přináší publikace v kapitole 4.3 i údaje o </w:t>
      </w:r>
      <w:r w:rsidRPr="00D92E20">
        <w:rPr>
          <w:rFonts w:cs="Arial"/>
          <w:b/>
          <w:szCs w:val="20"/>
        </w:rPr>
        <w:t>ukončených případech</w:t>
      </w:r>
      <w:r w:rsidRPr="00D92E20">
        <w:rPr>
          <w:rFonts w:cs="Arial"/>
          <w:szCs w:val="20"/>
        </w:rPr>
        <w:t xml:space="preserve"> podle pohlaví a věku osob dočasně práce neschopných. Počty ukončených případů jsou dostupné také podle příčiny pracovní neschopnosti dle jednotlivých diagnóz či délky jejího trvání.</w:t>
      </w:r>
    </w:p>
    <w:p w14:paraId="66D415AC" w14:textId="77777777" w:rsidR="00A403BA" w:rsidRPr="00D92E20" w:rsidRDefault="00A403BA" w:rsidP="00A403BA">
      <w:pPr>
        <w:autoSpaceDE w:val="0"/>
        <w:autoSpaceDN w:val="0"/>
        <w:adjustRightInd w:val="0"/>
        <w:spacing w:after="120"/>
        <w:jc w:val="both"/>
        <w:rPr>
          <w:rFonts w:cs="Arial"/>
          <w:szCs w:val="20"/>
        </w:rPr>
      </w:pPr>
      <w:r w:rsidRPr="00D92E20">
        <w:rPr>
          <w:rFonts w:cs="Arial"/>
          <w:szCs w:val="20"/>
        </w:rPr>
        <w:t xml:space="preserve">Kapitola 4.4 je věnována výši výdajů na jednotlivé dávky placené z nemocenského pojištění. </w:t>
      </w:r>
      <w:r w:rsidRPr="00F51D73">
        <w:rPr>
          <w:rFonts w:cs="Arial"/>
          <w:szCs w:val="20"/>
        </w:rPr>
        <w:t>Součástí je i ukázka vlivu pandemie nemoci covid-19 na tyto výdaje.</w:t>
      </w:r>
      <w:r w:rsidRPr="00D92E20">
        <w:rPr>
          <w:rFonts w:cs="Arial"/>
          <w:szCs w:val="20"/>
        </w:rPr>
        <w:t xml:space="preserve"> Následuje kapitola </w:t>
      </w:r>
      <w:r>
        <w:rPr>
          <w:rFonts w:cs="Arial"/>
          <w:szCs w:val="20"/>
        </w:rPr>
        <w:t xml:space="preserve">4.5 </w:t>
      </w:r>
      <w:r w:rsidRPr="00D92E20">
        <w:rPr>
          <w:rFonts w:cs="Arial"/>
          <w:szCs w:val="20"/>
        </w:rPr>
        <w:t>o pracovních úrazech.</w:t>
      </w:r>
      <w:r w:rsidR="003D2972">
        <w:rPr>
          <w:rFonts w:cs="Arial"/>
          <w:szCs w:val="20"/>
        </w:rPr>
        <w:t xml:space="preserve"> Nejprve v národním pojetí, poté v evropském srovnání.</w:t>
      </w:r>
    </w:p>
    <w:p w14:paraId="715051A8" w14:textId="77777777" w:rsidR="00A403BA" w:rsidRPr="00D92E20" w:rsidRDefault="00A403BA" w:rsidP="00A403BA">
      <w:pPr>
        <w:autoSpaceDE w:val="0"/>
        <w:autoSpaceDN w:val="0"/>
        <w:adjustRightInd w:val="0"/>
        <w:spacing w:after="60"/>
        <w:jc w:val="both"/>
        <w:rPr>
          <w:rFonts w:cs="Arial"/>
          <w:szCs w:val="20"/>
        </w:rPr>
      </w:pPr>
      <w:r w:rsidRPr="00D92E20">
        <w:rPr>
          <w:rFonts w:cs="Arial"/>
          <w:b/>
          <w:szCs w:val="20"/>
        </w:rPr>
        <w:t>Tabulková část</w:t>
      </w:r>
      <w:r w:rsidRPr="00D92E20">
        <w:rPr>
          <w:rFonts w:cs="Arial"/>
          <w:szCs w:val="20"/>
        </w:rPr>
        <w:t xml:space="preserve"> publikace obsahuje datové výstupy ze zpracování nově hlášených případů dočasné pracovní neschopnosti zaměstnanců a OSVČ v členění dle:</w:t>
      </w:r>
    </w:p>
    <w:p w14:paraId="315982A2" w14:textId="77777777" w:rsidR="00A403BA" w:rsidRPr="00D92E20" w:rsidRDefault="00A403BA" w:rsidP="00A403BA">
      <w:pPr>
        <w:pStyle w:val="Odstavecseseznamem"/>
        <w:numPr>
          <w:ilvl w:val="0"/>
          <w:numId w:val="15"/>
        </w:numPr>
        <w:autoSpaceDE w:val="0"/>
        <w:autoSpaceDN w:val="0"/>
        <w:adjustRightInd w:val="0"/>
        <w:jc w:val="both"/>
        <w:rPr>
          <w:rFonts w:cs="Arial"/>
          <w:szCs w:val="20"/>
        </w:rPr>
      </w:pPr>
      <w:r w:rsidRPr="00D92E20">
        <w:rPr>
          <w:rFonts w:cs="Arial"/>
          <w:szCs w:val="20"/>
        </w:rPr>
        <w:t>pohlaví nemocensky pojištěných osob,</w:t>
      </w:r>
    </w:p>
    <w:p w14:paraId="51F54A35" w14:textId="77777777" w:rsidR="00A403BA" w:rsidRPr="00D92E20" w:rsidRDefault="00A403BA" w:rsidP="00A403BA">
      <w:pPr>
        <w:pStyle w:val="Odstavecseseznamem"/>
        <w:numPr>
          <w:ilvl w:val="0"/>
          <w:numId w:val="15"/>
        </w:numPr>
        <w:autoSpaceDE w:val="0"/>
        <w:autoSpaceDN w:val="0"/>
        <w:adjustRightInd w:val="0"/>
        <w:jc w:val="both"/>
        <w:rPr>
          <w:rFonts w:cs="Arial"/>
          <w:szCs w:val="20"/>
        </w:rPr>
      </w:pPr>
      <w:r w:rsidRPr="00D92E20">
        <w:rPr>
          <w:rFonts w:cs="Arial"/>
          <w:szCs w:val="20"/>
        </w:rPr>
        <w:t>postavení v zaměstnání nemocensky pojištěných osob (zaměstnanci, OSVČ),</w:t>
      </w:r>
    </w:p>
    <w:p w14:paraId="4A2CA66D" w14:textId="77777777" w:rsidR="00A403BA" w:rsidRPr="00D92E20" w:rsidRDefault="00A403BA" w:rsidP="00A403BA">
      <w:pPr>
        <w:pStyle w:val="Odstavecseseznamem"/>
        <w:numPr>
          <w:ilvl w:val="0"/>
          <w:numId w:val="15"/>
        </w:numPr>
        <w:autoSpaceDE w:val="0"/>
        <w:autoSpaceDN w:val="0"/>
        <w:adjustRightInd w:val="0"/>
        <w:jc w:val="both"/>
        <w:rPr>
          <w:rFonts w:cs="Arial"/>
          <w:szCs w:val="20"/>
        </w:rPr>
      </w:pPr>
      <w:r w:rsidRPr="00D92E20">
        <w:rPr>
          <w:rFonts w:cs="Arial"/>
          <w:szCs w:val="20"/>
        </w:rPr>
        <w:t>velikosti ekonomického subjektu (dle počtu zaměstnanců),</w:t>
      </w:r>
    </w:p>
    <w:p w14:paraId="2DF96EE7" w14:textId="77777777" w:rsidR="00A403BA" w:rsidRPr="00D92E20" w:rsidRDefault="00A403BA" w:rsidP="00A403BA">
      <w:pPr>
        <w:pStyle w:val="Odstavecseseznamem"/>
        <w:numPr>
          <w:ilvl w:val="0"/>
          <w:numId w:val="15"/>
        </w:numPr>
        <w:autoSpaceDE w:val="0"/>
        <w:autoSpaceDN w:val="0"/>
        <w:adjustRightInd w:val="0"/>
        <w:jc w:val="both"/>
        <w:rPr>
          <w:rFonts w:cs="Arial"/>
          <w:szCs w:val="20"/>
        </w:rPr>
      </w:pPr>
      <w:r w:rsidRPr="00D92E20">
        <w:rPr>
          <w:rFonts w:cs="Arial"/>
          <w:szCs w:val="20"/>
        </w:rPr>
        <w:t>sektoru zaměstnavatele (dle klasifikace institucionálních sektorů a subsektorů ESA 2010),</w:t>
      </w:r>
    </w:p>
    <w:p w14:paraId="55205C73" w14:textId="77777777" w:rsidR="00A403BA" w:rsidRPr="00D92E20" w:rsidRDefault="00A403BA" w:rsidP="00A403BA">
      <w:pPr>
        <w:pStyle w:val="Odstavecseseznamem"/>
        <w:numPr>
          <w:ilvl w:val="0"/>
          <w:numId w:val="15"/>
        </w:numPr>
        <w:autoSpaceDE w:val="0"/>
        <w:autoSpaceDN w:val="0"/>
        <w:adjustRightInd w:val="0"/>
        <w:spacing w:after="120"/>
        <w:ind w:left="714" w:hanging="357"/>
        <w:jc w:val="both"/>
        <w:rPr>
          <w:rFonts w:cs="Arial"/>
          <w:szCs w:val="20"/>
        </w:rPr>
      </w:pPr>
      <w:r w:rsidRPr="00D92E20">
        <w:rPr>
          <w:rFonts w:cs="Arial"/>
          <w:szCs w:val="20"/>
        </w:rPr>
        <w:t>převažující ekonomické činnosti (na úrovni sekcí či oddílů klasifikace CZ-NACE),</w:t>
      </w:r>
    </w:p>
    <w:p w14:paraId="55877B06" w14:textId="77777777" w:rsidR="00A403BA" w:rsidRPr="00D92E20" w:rsidRDefault="00A403BA" w:rsidP="00A403BA">
      <w:pPr>
        <w:pStyle w:val="Odstavecseseznamem"/>
        <w:numPr>
          <w:ilvl w:val="0"/>
          <w:numId w:val="15"/>
        </w:numPr>
        <w:autoSpaceDE w:val="0"/>
        <w:autoSpaceDN w:val="0"/>
        <w:adjustRightInd w:val="0"/>
        <w:spacing w:after="120"/>
        <w:ind w:left="714" w:hanging="357"/>
        <w:jc w:val="both"/>
        <w:rPr>
          <w:rFonts w:cs="Arial"/>
          <w:szCs w:val="20"/>
        </w:rPr>
      </w:pPr>
      <w:r w:rsidRPr="00D92E20">
        <w:rPr>
          <w:rFonts w:cs="Arial"/>
          <w:szCs w:val="20"/>
        </w:rPr>
        <w:t>sídla zaměstnavatele (kraje a okresy ČR dle klasifikace CZ-NUTS).</w:t>
      </w:r>
    </w:p>
    <w:p w14:paraId="49876773" w14:textId="77777777" w:rsidR="003D2972" w:rsidRDefault="00A403BA" w:rsidP="00A403BA">
      <w:pPr>
        <w:autoSpaceDE w:val="0"/>
        <w:autoSpaceDN w:val="0"/>
        <w:adjustRightInd w:val="0"/>
        <w:spacing w:after="120"/>
        <w:jc w:val="both"/>
        <w:rPr>
          <w:rFonts w:cs="Arial"/>
          <w:szCs w:val="20"/>
        </w:rPr>
      </w:pPr>
      <w:r w:rsidRPr="00D92E20">
        <w:rPr>
          <w:rFonts w:cs="Arial"/>
          <w:szCs w:val="20"/>
        </w:rPr>
        <w:t>Tabulková část dále obsahuje data o pracovní úrazovosti s dočasnou pracovní neschopností delší než 3 dny, se samostatným výstupem o pracovní úrazovosti mladistvých (tj. nemocensky pojištěných osob do 18 let).</w:t>
      </w:r>
    </w:p>
    <w:p w14:paraId="6A98918C" w14:textId="77777777" w:rsidR="003D2972" w:rsidRDefault="003D2972">
      <w:pPr>
        <w:spacing w:after="0" w:line="240" w:lineRule="auto"/>
        <w:rPr>
          <w:rFonts w:cs="Arial"/>
          <w:szCs w:val="20"/>
        </w:rPr>
      </w:pPr>
      <w:r>
        <w:rPr>
          <w:rFonts w:cs="Arial"/>
          <w:szCs w:val="20"/>
        </w:rPr>
        <w:br w:type="page"/>
      </w:r>
    </w:p>
    <w:p w14:paraId="7A14A1D7" w14:textId="77777777" w:rsidR="00A403BA" w:rsidRDefault="003D2972" w:rsidP="003D2972">
      <w:pPr>
        <w:pStyle w:val="Nadpis2"/>
      </w:pPr>
      <w:bookmarkStart w:id="2" w:name="_Toc104792898"/>
      <w:r>
        <w:lastRenderedPageBreak/>
        <w:t>2. Legislativní úprava nemocenského pojištění</w:t>
      </w:r>
      <w:bookmarkEnd w:id="2"/>
    </w:p>
    <w:p w14:paraId="0491AA39" w14:textId="77777777" w:rsidR="003D2972" w:rsidRPr="00D92E20" w:rsidRDefault="003D2972" w:rsidP="003D2972">
      <w:pPr>
        <w:spacing w:after="120"/>
        <w:jc w:val="both"/>
      </w:pPr>
      <w:r w:rsidRPr="00D92E20">
        <w:t>Systém nemocenského pojištění je určen pro výdělečně činné osoby, které při ztrátě příjmu v případech tzv. krátkodobých sociálních událostí (dočasné pracovní neschopnosti z důvodu nemoci nebo úrazu či karantény, ošetřování člena rodiny, těhotenství a mateřství, péče o dítě) zabezpečuje peněžitými dávkami nemocenského pojištění.</w:t>
      </w:r>
    </w:p>
    <w:p w14:paraId="633BFC96" w14:textId="77777777" w:rsidR="003D2972" w:rsidRPr="00D92E20" w:rsidRDefault="003D2972" w:rsidP="003D2972">
      <w:pPr>
        <w:spacing w:after="120"/>
        <w:jc w:val="both"/>
      </w:pPr>
      <w:r w:rsidRPr="00D92E20">
        <w:t xml:space="preserve">Od 1. ledna 2009 je nemocenské pojištění upraveno </w:t>
      </w:r>
      <w:r w:rsidRPr="00D92E20">
        <w:rPr>
          <w:b/>
          <w:bCs/>
        </w:rPr>
        <w:t>zákonem č. 187/2006 Sb., o nemocenském pojištění</w:t>
      </w:r>
      <w:r w:rsidRPr="00D92E20">
        <w:t>, ve znění pozdějších předpisů (dále též „zákon o nemocenském pojištění“). Jde o komplexní úpravu nemocenského pojištění, která zahrnuje jak okruh osob účastných nemocenského pojištění, jejich nároky z tohoto pojištění a stanovení výše poskytovaných dávek, posuzování zdravotního stavu pro účely nemocenského pojištění, tak organizační uspořádání nemocenského pojištění, jakož i řízení v tomto pojištění.</w:t>
      </w:r>
    </w:p>
    <w:p w14:paraId="0F55E2F5" w14:textId="77777777" w:rsidR="003D2972" w:rsidRPr="00D92E20" w:rsidRDefault="003D2972" w:rsidP="003D2972">
      <w:pPr>
        <w:pStyle w:val="Seznam"/>
        <w:spacing w:after="60"/>
        <w:jc w:val="both"/>
        <w:rPr>
          <w:b/>
          <w:bCs/>
        </w:rPr>
      </w:pPr>
      <w:r w:rsidRPr="00D92E20">
        <w:t>K oblasti nemocenského pojištění se kromě zákona o nemocenském pojištění dále vztahují následující právní předpisy:</w:t>
      </w:r>
    </w:p>
    <w:p w14:paraId="6CF08A06" w14:textId="77777777" w:rsidR="003D2972" w:rsidRPr="00D92E20" w:rsidRDefault="003D2972" w:rsidP="003D2972">
      <w:pPr>
        <w:pStyle w:val="Seznam"/>
        <w:numPr>
          <w:ilvl w:val="0"/>
          <w:numId w:val="18"/>
        </w:numPr>
        <w:jc w:val="both"/>
      </w:pPr>
      <w:r w:rsidRPr="00D92E20">
        <w:t>zákon č. 589/1992 Sb., o pojistném na sociální zabezpečení a příspěvku na státní politiku zaměstnanosti, ve znění pozdějších předpisů (upravuje pojistné na nemocenské pojištění),</w:t>
      </w:r>
    </w:p>
    <w:p w14:paraId="62EBEAC9" w14:textId="77777777" w:rsidR="003D2972" w:rsidRPr="00D92E20" w:rsidRDefault="003D2972" w:rsidP="003D2972">
      <w:pPr>
        <w:pStyle w:val="Seznam"/>
        <w:numPr>
          <w:ilvl w:val="0"/>
          <w:numId w:val="18"/>
        </w:numPr>
        <w:jc w:val="both"/>
      </w:pPr>
      <w:r w:rsidRPr="00D92E20">
        <w:t>zákon č. 262/2006 Sb., zákoník práce, ve znění pozdějších předpisů (upravuje náhradu mzdy nebo platu při pracovní neschopnosti),</w:t>
      </w:r>
    </w:p>
    <w:p w14:paraId="0F9AFC5C" w14:textId="77777777" w:rsidR="003D2972" w:rsidRPr="00D92E20" w:rsidRDefault="003D2972" w:rsidP="003D2972">
      <w:pPr>
        <w:pStyle w:val="Seznam"/>
        <w:numPr>
          <w:ilvl w:val="0"/>
          <w:numId w:val="18"/>
        </w:numPr>
        <w:jc w:val="both"/>
      </w:pPr>
      <w:r w:rsidRPr="00D92E20">
        <w:t xml:space="preserve">zákon č. 234/2014 Sb., o státní službě, ve znění pozdějších předpisů (upravuje </w:t>
      </w:r>
      <w:r>
        <w:t xml:space="preserve">náhradu </w:t>
      </w:r>
      <w:r w:rsidRPr="00D92E20">
        <w:t>plat</w:t>
      </w:r>
      <w:r>
        <w:t>u</w:t>
      </w:r>
      <w:r w:rsidRPr="00D92E20">
        <w:t xml:space="preserve"> při dočasné neschopnosti k výkonu služby),</w:t>
      </w:r>
    </w:p>
    <w:p w14:paraId="47D01902" w14:textId="77777777" w:rsidR="003D2972" w:rsidRPr="00D92E20" w:rsidRDefault="003D2972" w:rsidP="003D2972">
      <w:pPr>
        <w:pStyle w:val="Seznam"/>
        <w:numPr>
          <w:ilvl w:val="0"/>
          <w:numId w:val="18"/>
        </w:numPr>
        <w:jc w:val="both"/>
      </w:pPr>
      <w:r w:rsidRPr="00D92E20">
        <w:rPr>
          <w:bCs/>
        </w:rPr>
        <w:t xml:space="preserve">nařízení vlády č. </w:t>
      </w:r>
      <w:r w:rsidRPr="00E206F0">
        <w:rPr>
          <w:bCs/>
        </w:rPr>
        <w:t xml:space="preserve">381/2020 </w:t>
      </w:r>
      <w:r w:rsidRPr="00D92E20">
        <w:rPr>
          <w:bCs/>
        </w:rPr>
        <w:t>Sb., o výši všeobecného vyměřovacího základu za rok 201</w:t>
      </w:r>
      <w:r>
        <w:rPr>
          <w:bCs/>
        </w:rPr>
        <w:t>9</w:t>
      </w:r>
      <w:r w:rsidRPr="00D92E20">
        <w:rPr>
          <w:bCs/>
        </w:rPr>
        <w:t>, přepočítacího koeficientu pro úpravu všeobecného vyměřovacího základu za rok 201</w:t>
      </w:r>
      <w:r>
        <w:rPr>
          <w:bCs/>
        </w:rPr>
        <w:t>9</w:t>
      </w:r>
      <w:r w:rsidRPr="00D92E20">
        <w:rPr>
          <w:bCs/>
        </w:rPr>
        <w:t>, redukčních hranic pro stanovení výpočtového základu pro rok 202</w:t>
      </w:r>
      <w:r>
        <w:rPr>
          <w:bCs/>
        </w:rPr>
        <w:t xml:space="preserve">1 </w:t>
      </w:r>
      <w:r w:rsidRPr="003405F9">
        <w:rPr>
          <w:bCs/>
        </w:rPr>
        <w:t>a základní výměry důchodu stanovené pro rok 2021 a</w:t>
      </w:r>
      <w:r>
        <w:rPr>
          <w:bCs/>
        </w:rPr>
        <w:t> </w:t>
      </w:r>
      <w:r w:rsidRPr="003405F9">
        <w:rPr>
          <w:bCs/>
        </w:rPr>
        <w:t>o</w:t>
      </w:r>
      <w:r>
        <w:rPr>
          <w:bCs/>
        </w:rPr>
        <w:t> </w:t>
      </w:r>
      <w:r w:rsidRPr="003405F9">
        <w:rPr>
          <w:bCs/>
        </w:rPr>
        <w:t>zvýšení důchodů v roce 2021</w:t>
      </w:r>
      <w:r>
        <w:rPr>
          <w:bCs/>
        </w:rPr>
        <w:t>,</w:t>
      </w:r>
    </w:p>
    <w:p w14:paraId="155C356D" w14:textId="77777777" w:rsidR="003D2972" w:rsidRPr="00DE42AF" w:rsidRDefault="003D2972" w:rsidP="003D2972">
      <w:pPr>
        <w:pStyle w:val="Seznam"/>
        <w:numPr>
          <w:ilvl w:val="0"/>
          <w:numId w:val="18"/>
        </w:numPr>
        <w:spacing w:after="120"/>
        <w:jc w:val="both"/>
        <w:rPr>
          <w:i/>
        </w:rPr>
      </w:pPr>
      <w:r w:rsidRPr="00D92E20">
        <w:rPr>
          <w:bCs/>
        </w:rPr>
        <w:t xml:space="preserve">sdělení Ministerstva práce a sociálních věcí č. </w:t>
      </w:r>
      <w:r w:rsidRPr="00E206F0">
        <w:rPr>
          <w:bCs/>
        </w:rPr>
        <w:t>435/2020</w:t>
      </w:r>
      <w:r w:rsidRPr="00D92E20">
        <w:rPr>
          <w:bCs/>
        </w:rPr>
        <w:t xml:space="preserve"> Sb., kterým se vyhlašuje pro účely nemocenského pojištění výše redukčních hranic pro úpravu denního vyměřovacího základu platných v roce 202</w:t>
      </w:r>
      <w:r>
        <w:rPr>
          <w:bCs/>
        </w:rPr>
        <w:t>1,</w:t>
      </w:r>
    </w:p>
    <w:p w14:paraId="0D7A45F5" w14:textId="77777777" w:rsidR="003D2972" w:rsidRDefault="003D2972" w:rsidP="003D2972">
      <w:pPr>
        <w:pStyle w:val="Seznam"/>
        <w:numPr>
          <w:ilvl w:val="0"/>
          <w:numId w:val="18"/>
        </w:numPr>
        <w:spacing w:after="120"/>
        <w:jc w:val="both"/>
      </w:pPr>
      <w:r>
        <w:t>s</w:t>
      </w:r>
      <w:r w:rsidRPr="00DE42AF">
        <w:t>dělení Ministerstva práce a sociálních věcí č. 436/2020 Sb., kterým se vyhlašuje zvýšení částky rozhodné pro účast zaměstnanců na nemocenském pojištění</w:t>
      </w:r>
      <w:r>
        <w:t>.</w:t>
      </w:r>
    </w:p>
    <w:p w14:paraId="26DA73B0" w14:textId="77777777" w:rsidR="00F71F74" w:rsidRPr="00DE42AF" w:rsidRDefault="00F71F74" w:rsidP="00F71F74">
      <w:pPr>
        <w:pStyle w:val="Nadpis3"/>
      </w:pPr>
      <w:bookmarkStart w:id="3" w:name="_Toc104792899"/>
      <w:r>
        <w:t>2.1 Účast na nemocenském pojištění</w:t>
      </w:r>
      <w:bookmarkEnd w:id="3"/>
    </w:p>
    <w:p w14:paraId="2594FCCF" w14:textId="77777777" w:rsidR="00F71F74" w:rsidRDefault="00F71F74" w:rsidP="00F71F74">
      <w:pPr>
        <w:spacing w:after="120"/>
        <w:jc w:val="both"/>
      </w:pPr>
      <w:r w:rsidRPr="00D92E20">
        <w:t xml:space="preserve">Nemocenského pojištění jsou účastni </w:t>
      </w:r>
      <w:r w:rsidRPr="00D92E20">
        <w:rPr>
          <w:b/>
        </w:rPr>
        <w:t xml:space="preserve">zaměstnanci </w:t>
      </w:r>
      <w:r w:rsidRPr="00D92E20">
        <w:t>(bližší určení viz § 5 zákona o nemocenském pojištění) a </w:t>
      </w:r>
      <w:r w:rsidRPr="00D92E20">
        <w:rPr>
          <w:b/>
        </w:rPr>
        <w:t>osoby samostatně výdělečně činné</w:t>
      </w:r>
      <w:r w:rsidRPr="00D92E20">
        <w:t xml:space="preserve"> (dále též „OSVČ“). </w:t>
      </w:r>
      <w:r w:rsidRPr="00F71F74">
        <w:rPr>
          <w:b/>
        </w:rPr>
        <w:t>Zaměstnanci</w:t>
      </w:r>
      <w:r w:rsidRPr="00D92E20">
        <w:t xml:space="preserve"> jsou </w:t>
      </w:r>
      <w:r w:rsidRPr="00F71F74">
        <w:rPr>
          <w:b/>
        </w:rPr>
        <w:t>povinně</w:t>
      </w:r>
      <w:r w:rsidRPr="00D92E20">
        <w:t xml:space="preserve"> účastni nemocenského pojištění, na rozdíl od </w:t>
      </w:r>
      <w:r w:rsidRPr="00F71F74">
        <w:rPr>
          <w:b/>
        </w:rPr>
        <w:t>OSVČ</w:t>
      </w:r>
      <w:r w:rsidRPr="00D92E20">
        <w:t xml:space="preserve">, jejichž nemocenské pojištění je </w:t>
      </w:r>
      <w:r w:rsidRPr="00F71F74">
        <w:rPr>
          <w:b/>
        </w:rPr>
        <w:t>dobrovolné</w:t>
      </w:r>
      <w:r w:rsidRPr="00D92E20">
        <w:t>.</w:t>
      </w:r>
    </w:p>
    <w:p w14:paraId="5FB34AD1" w14:textId="77777777" w:rsidR="00F71F74" w:rsidRPr="00D92E20" w:rsidRDefault="00F71F74" w:rsidP="00F71F74">
      <w:pPr>
        <w:spacing w:after="120"/>
        <w:jc w:val="both"/>
      </w:pPr>
      <w:r>
        <w:t xml:space="preserve">Za </w:t>
      </w:r>
      <w:r w:rsidRPr="00F71F74">
        <w:rPr>
          <w:b/>
        </w:rPr>
        <w:t>zaměstnání</w:t>
      </w:r>
      <w:r>
        <w:t xml:space="preserve"> se pro účely nemocenského pojištění považuje činnost zaměstnance pro zaměstnavatele, z níž mu plynou nebo by mohly plynout od zaměstnavatele příjmy ze závislé činnosti bez ohledu na druh pracovního vztahu.</w:t>
      </w:r>
    </w:p>
    <w:p w14:paraId="7C4A27E9" w14:textId="77777777" w:rsidR="00F71F74" w:rsidRPr="00D92E20" w:rsidRDefault="00F71F74" w:rsidP="00F71F74">
      <w:pPr>
        <w:spacing w:after="120"/>
        <w:jc w:val="both"/>
      </w:pPr>
      <w:r w:rsidRPr="00D92E20">
        <w:rPr>
          <w:b/>
        </w:rPr>
        <w:t>Povinná účast na nemocenském pojištění</w:t>
      </w:r>
      <w:r w:rsidRPr="00D92E20">
        <w:t xml:space="preserve"> vzniká u zaměstnance (s výjimkou zaměstnance činného na základě dohody o provedení práce), pokud splňuje podmínky stanovené zákonem o nemocenském pojištění.</w:t>
      </w:r>
    </w:p>
    <w:p w14:paraId="43EA1CBE" w14:textId="77777777" w:rsidR="00F71F74" w:rsidRPr="00D92E20" w:rsidRDefault="00F71F74" w:rsidP="00F71F74">
      <w:pPr>
        <w:spacing w:after="60"/>
        <w:jc w:val="both"/>
      </w:pPr>
      <w:r w:rsidRPr="00D92E20">
        <w:t>Jedná se o dvě základní podmínky, a to o:</w:t>
      </w:r>
    </w:p>
    <w:p w14:paraId="075D6BAF" w14:textId="77777777" w:rsidR="00F71F74" w:rsidRPr="00D92E20" w:rsidRDefault="00F71F74" w:rsidP="00F71F74">
      <w:pPr>
        <w:pStyle w:val="Odstavecseseznamem"/>
        <w:numPr>
          <w:ilvl w:val="0"/>
          <w:numId w:val="20"/>
        </w:numPr>
        <w:jc w:val="both"/>
      </w:pPr>
      <w:r w:rsidRPr="00D92E20">
        <w:rPr>
          <w:b/>
        </w:rPr>
        <w:t>výkon práce</w:t>
      </w:r>
      <w:r w:rsidRPr="00D92E20">
        <w:t xml:space="preserve"> na území České republiky (dále též „ČR“) v zaměstnání vykonávaném v </w:t>
      </w:r>
      <w:r w:rsidRPr="00D92E20">
        <w:rPr>
          <w:b/>
          <w:bCs/>
        </w:rPr>
        <w:t>pracovním vztahu</w:t>
      </w:r>
      <w:r w:rsidRPr="00D92E20">
        <w:t>, který může účast na nemocenském pojištění založit,</w:t>
      </w:r>
    </w:p>
    <w:p w14:paraId="25F8D711" w14:textId="77777777" w:rsidR="00F71F74" w:rsidRPr="00D92E20" w:rsidRDefault="00F71F74" w:rsidP="00F71F74">
      <w:pPr>
        <w:pStyle w:val="Odstavecseseznamem"/>
        <w:numPr>
          <w:ilvl w:val="0"/>
          <w:numId w:val="19"/>
        </w:numPr>
        <w:spacing w:after="120"/>
        <w:ind w:left="714" w:hanging="357"/>
        <w:jc w:val="both"/>
      </w:pPr>
      <w:r w:rsidRPr="00D92E20">
        <w:rPr>
          <w:b/>
        </w:rPr>
        <w:t>minimální výši sjednaného příjmu</w:t>
      </w:r>
      <w:r w:rsidRPr="00D92E20">
        <w:t xml:space="preserve"> (jedná se o tzv. rozhodný příjem, jehož hranice byla od 1. 1. 20</w:t>
      </w:r>
      <w:r>
        <w:t>21</w:t>
      </w:r>
      <w:r w:rsidRPr="00D92E20">
        <w:t xml:space="preserve"> stanovena na</w:t>
      </w:r>
      <w:r w:rsidRPr="00D92E20">
        <w:rPr>
          <w:b/>
        </w:rPr>
        <w:t xml:space="preserve"> 3 </w:t>
      </w:r>
      <w:r>
        <w:rPr>
          <w:b/>
        </w:rPr>
        <w:t>5</w:t>
      </w:r>
      <w:r w:rsidRPr="00D92E20">
        <w:rPr>
          <w:b/>
        </w:rPr>
        <w:t>00 Kč</w:t>
      </w:r>
      <w:r w:rsidRPr="00D92E20">
        <w:t>/kalendářní měsíc</w:t>
      </w:r>
      <w:r w:rsidR="008929E5">
        <w:t>)</w:t>
      </w:r>
    </w:p>
    <w:p w14:paraId="565F6D62" w14:textId="77777777" w:rsidR="00F71F74" w:rsidRPr="00D92E20" w:rsidRDefault="00F71F74" w:rsidP="00E71A8F">
      <w:pPr>
        <w:spacing w:after="120"/>
        <w:jc w:val="both"/>
      </w:pPr>
      <w:r w:rsidRPr="00D92E20">
        <w:rPr>
          <w:rFonts w:cs="Arial"/>
          <w:szCs w:val="20"/>
        </w:rPr>
        <w:t xml:space="preserve">Zvláštní podmínky účasti zaměstnanců na nemocenském pojištění jsou stanoveny při výkonu </w:t>
      </w:r>
      <w:r w:rsidRPr="00D92E20">
        <w:rPr>
          <w:rFonts w:cs="Arial"/>
          <w:b/>
          <w:bCs/>
          <w:szCs w:val="20"/>
        </w:rPr>
        <w:t>zaměstnání malého rozsahu</w:t>
      </w:r>
      <w:r w:rsidRPr="00D92E20">
        <w:rPr>
          <w:rFonts w:cs="Arial"/>
          <w:szCs w:val="20"/>
        </w:rPr>
        <w:t xml:space="preserve">. Zaměstnáním malého rozsahu se rozumí zaměstnání, v němž jsou splněny podmínky výkonu zaměstnání na území ČR, avšak není splněna podmínka sjednání příjmu ze zaměstnání ve stanovené výši. Jde o situace, kdy je sjednaná měsíční částka započitatelného příjmu nižší než rozhodný příjem, anebo měsíční příjem nebyl sjednán vůbec. Při výkonu zaměstnání malého rozsahu je zaměstnanec pojištěn jen v těch kalendářních měsících, v nichž dosáhl příjmu </w:t>
      </w:r>
      <w:r w:rsidR="00366388" w:rsidRPr="00D92E20">
        <w:rPr>
          <w:rFonts w:cs="Arial"/>
          <w:szCs w:val="20"/>
        </w:rPr>
        <w:t>a</w:t>
      </w:r>
      <w:r w:rsidR="00366388">
        <w:rPr>
          <w:rFonts w:cs="Arial"/>
          <w:szCs w:val="20"/>
        </w:rPr>
        <w:t>le</w:t>
      </w:r>
      <w:r w:rsidR="00366388" w:rsidRPr="00D92E20">
        <w:rPr>
          <w:rFonts w:cs="Arial"/>
          <w:szCs w:val="20"/>
        </w:rPr>
        <w:t xml:space="preserve">spoň </w:t>
      </w:r>
      <w:r w:rsidRPr="00D92E20">
        <w:rPr>
          <w:rFonts w:cs="Arial"/>
          <w:szCs w:val="20"/>
        </w:rPr>
        <w:t>v příslušné rozhodné výši.</w:t>
      </w:r>
    </w:p>
    <w:p w14:paraId="25F42A03" w14:textId="77777777" w:rsidR="00F71F74" w:rsidRPr="00D92E20" w:rsidRDefault="00F71F74" w:rsidP="00F71F74">
      <w:pPr>
        <w:pStyle w:val="Seznam"/>
        <w:jc w:val="both"/>
      </w:pPr>
      <w:r w:rsidRPr="00D92E20">
        <w:lastRenderedPageBreak/>
        <w:t xml:space="preserve">U zaměstnance činného na základě </w:t>
      </w:r>
      <w:r w:rsidRPr="00D92E20">
        <w:rPr>
          <w:b/>
          <w:bCs/>
        </w:rPr>
        <w:t>dohody o provedení práce</w:t>
      </w:r>
      <w:r w:rsidRPr="00D92E20">
        <w:t xml:space="preserve"> vzniká povinná účast na nemocenském pojištění, pokud splňuje dvě podmínky, a to:</w:t>
      </w:r>
    </w:p>
    <w:p w14:paraId="22FC6DAA" w14:textId="77777777" w:rsidR="00F71F74" w:rsidRPr="00D92E20" w:rsidRDefault="00F71F74" w:rsidP="00F71F74">
      <w:pPr>
        <w:pStyle w:val="Seznam"/>
        <w:numPr>
          <w:ilvl w:val="0"/>
          <w:numId w:val="21"/>
        </w:numPr>
        <w:jc w:val="both"/>
      </w:pPr>
      <w:r w:rsidRPr="00D92E20">
        <w:t>výkon práce na území ČR a</w:t>
      </w:r>
    </w:p>
    <w:p w14:paraId="4907CB8E" w14:textId="77777777" w:rsidR="00F71F74" w:rsidRPr="00D92E20" w:rsidRDefault="00F71F74" w:rsidP="00F71F74">
      <w:pPr>
        <w:pStyle w:val="Seznam"/>
        <w:numPr>
          <w:ilvl w:val="0"/>
          <w:numId w:val="21"/>
        </w:numPr>
        <w:spacing w:after="120"/>
        <w:ind w:left="714" w:hanging="357"/>
        <w:jc w:val="both"/>
      </w:pPr>
      <w:r w:rsidRPr="00D92E20">
        <w:t>v kalendářním měsíci, v němž dohoda o provedení práce trvá, dosáhl započitatelného příjmu v částce vyšší než 10 000 Kč.</w:t>
      </w:r>
    </w:p>
    <w:p w14:paraId="4B18D449" w14:textId="77777777" w:rsidR="00F71F74" w:rsidRPr="00D92E20" w:rsidRDefault="00F71F74" w:rsidP="00F71F74">
      <w:pPr>
        <w:spacing w:after="120"/>
        <w:jc w:val="both"/>
      </w:pPr>
      <w:r w:rsidRPr="00D92E20">
        <w:t xml:space="preserve">Účast </w:t>
      </w:r>
      <w:r w:rsidRPr="001E0F29">
        <w:rPr>
          <w:b/>
        </w:rPr>
        <w:t>OSVČ</w:t>
      </w:r>
      <w:r w:rsidRPr="00D92E20">
        <w:t xml:space="preserve"> na nemocenském pojištění vzniká na základě přihlášky k nemocenskému pojištění a zaplacením pojistného na nemocenské pojištění.</w:t>
      </w:r>
    </w:p>
    <w:p w14:paraId="1294DC39" w14:textId="77777777" w:rsidR="00F71F74" w:rsidRPr="00D92E20" w:rsidRDefault="00F71F74" w:rsidP="00F71F74">
      <w:pPr>
        <w:pStyle w:val="Normlnweb"/>
        <w:spacing w:before="120" w:beforeAutospacing="0" w:after="120" w:afterAutospacing="0" w:line="288" w:lineRule="auto"/>
        <w:jc w:val="both"/>
        <w:rPr>
          <w:rFonts w:ascii="Arial" w:hAnsi="Arial"/>
          <w:sz w:val="20"/>
        </w:rPr>
      </w:pPr>
      <w:r w:rsidRPr="00D92E20">
        <w:rPr>
          <w:rFonts w:ascii="Arial" w:hAnsi="Arial" w:cs="Arial"/>
          <w:sz w:val="20"/>
          <w:szCs w:val="20"/>
        </w:rPr>
        <w:t>Minimální měsíční základ, který si může OSVČ určit pro placení pojistného na nemocenské pojištění od 1. 1. 20</w:t>
      </w:r>
      <w:r>
        <w:rPr>
          <w:rFonts w:ascii="Arial" w:hAnsi="Arial" w:cs="Arial"/>
          <w:sz w:val="20"/>
          <w:szCs w:val="20"/>
        </w:rPr>
        <w:t>21</w:t>
      </w:r>
      <w:r w:rsidRPr="00D92E20">
        <w:rPr>
          <w:rFonts w:ascii="Arial" w:hAnsi="Arial" w:cs="Arial"/>
          <w:sz w:val="20"/>
          <w:szCs w:val="20"/>
        </w:rPr>
        <w:t xml:space="preserve"> </w:t>
      </w:r>
      <w:r w:rsidR="00E71A8F">
        <w:rPr>
          <w:rFonts w:ascii="Arial" w:hAnsi="Arial" w:cs="Arial"/>
          <w:sz w:val="20"/>
          <w:szCs w:val="20"/>
        </w:rPr>
        <w:t>dosahuje</w:t>
      </w:r>
      <w:r w:rsidRPr="00D92E20">
        <w:rPr>
          <w:rFonts w:ascii="Arial" w:hAnsi="Arial" w:cs="Arial"/>
          <w:sz w:val="20"/>
          <w:szCs w:val="20"/>
        </w:rPr>
        <w:t xml:space="preserve"> </w:t>
      </w:r>
      <w:r>
        <w:rPr>
          <w:rFonts w:ascii="Arial" w:hAnsi="Arial" w:cs="Arial"/>
          <w:sz w:val="20"/>
          <w:szCs w:val="20"/>
        </w:rPr>
        <w:t>7</w:t>
      </w:r>
      <w:r w:rsidRPr="00D92E20">
        <w:rPr>
          <w:rFonts w:ascii="Arial" w:hAnsi="Arial" w:cs="Arial"/>
          <w:sz w:val="20"/>
          <w:szCs w:val="20"/>
        </w:rPr>
        <w:t xml:space="preserve"> 000 Kč. </w:t>
      </w:r>
      <w:r w:rsidRPr="00D92E20">
        <w:rPr>
          <w:rFonts w:ascii="Arial" w:hAnsi="Arial"/>
          <w:sz w:val="20"/>
        </w:rPr>
        <w:t xml:space="preserve">Sazba pojistného činí 2,1 % a minimální pojistné na nemocenské pojištění </w:t>
      </w:r>
      <w:r>
        <w:rPr>
          <w:rFonts w:ascii="Arial" w:hAnsi="Arial"/>
          <w:sz w:val="20"/>
        </w:rPr>
        <w:t>je</w:t>
      </w:r>
      <w:r w:rsidRPr="00D92E20">
        <w:rPr>
          <w:rFonts w:ascii="Arial" w:hAnsi="Arial"/>
          <w:sz w:val="20"/>
        </w:rPr>
        <w:t xml:space="preserve"> v roce 202</w:t>
      </w:r>
      <w:r>
        <w:rPr>
          <w:rFonts w:ascii="Arial" w:hAnsi="Arial"/>
          <w:sz w:val="20"/>
        </w:rPr>
        <w:t>1</w:t>
      </w:r>
      <w:r w:rsidRPr="00D92E20">
        <w:rPr>
          <w:rFonts w:ascii="Arial" w:hAnsi="Arial"/>
          <w:sz w:val="20"/>
        </w:rPr>
        <w:t xml:space="preserve"> stanoveno na </w:t>
      </w:r>
      <w:r w:rsidRPr="00D92E20">
        <w:rPr>
          <w:rFonts w:ascii="Arial" w:hAnsi="Arial"/>
          <w:b/>
          <w:bCs/>
          <w:sz w:val="20"/>
        </w:rPr>
        <w:t>1</w:t>
      </w:r>
      <w:r>
        <w:rPr>
          <w:rFonts w:ascii="Arial" w:hAnsi="Arial"/>
          <w:b/>
          <w:bCs/>
          <w:sz w:val="20"/>
        </w:rPr>
        <w:t>47</w:t>
      </w:r>
      <w:r w:rsidRPr="00D92E20">
        <w:rPr>
          <w:rFonts w:ascii="Arial" w:hAnsi="Arial"/>
          <w:b/>
          <w:bCs/>
          <w:sz w:val="20"/>
        </w:rPr>
        <w:t xml:space="preserve"> Kč</w:t>
      </w:r>
      <w:r w:rsidRPr="00D92E20">
        <w:rPr>
          <w:rFonts w:ascii="Arial" w:hAnsi="Arial"/>
          <w:sz w:val="20"/>
        </w:rPr>
        <w:t>.</w:t>
      </w:r>
    </w:p>
    <w:p w14:paraId="73D1392A" w14:textId="77777777" w:rsidR="00F71F74" w:rsidRPr="00D92E20" w:rsidRDefault="00F71F74" w:rsidP="00F71F74">
      <w:pPr>
        <w:jc w:val="both"/>
      </w:pPr>
      <w:r w:rsidRPr="00D92E20">
        <w:t xml:space="preserve">Další informace k účasti na nemocenském pojištění získáte na adrese: </w:t>
      </w:r>
      <w:hyperlink r:id="rId8" w:anchor="_blank" w:history="1">
        <w:r w:rsidRPr="00D92E20">
          <w:rPr>
            <w:rStyle w:val="Hypertextovodkaz"/>
            <w:rFonts w:eastAsia="MS Gothic" w:cs="Arial"/>
            <w:szCs w:val="20"/>
          </w:rPr>
          <w:t>http://www.cssz.cz/cz/nemocenske-pojisteni/ucast-na-pojisteni/</w:t>
        </w:r>
      </w:hyperlink>
      <w:r w:rsidRPr="00D92E20">
        <w:t xml:space="preserve"> nebo </w:t>
      </w:r>
      <w:hyperlink r:id="rId9" w:history="1">
        <w:r w:rsidRPr="00D92E20">
          <w:rPr>
            <w:rStyle w:val="Hypertextovodkaz"/>
          </w:rPr>
          <w:t>https://www.cssz.cz/web/cz/osvc-nemocenske-pojisteni-ucast-na-pojisteni</w:t>
        </w:r>
      </w:hyperlink>
      <w:r w:rsidRPr="00D92E20">
        <w:t>.</w:t>
      </w:r>
    </w:p>
    <w:p w14:paraId="3C8B04E2" w14:textId="77777777" w:rsidR="003D2972" w:rsidRDefault="00E71A8F" w:rsidP="00E71A8F">
      <w:pPr>
        <w:pStyle w:val="Nadpis3"/>
      </w:pPr>
      <w:bookmarkStart w:id="4" w:name="_Toc104792900"/>
      <w:r>
        <w:t>2.2 Nemocenské</w:t>
      </w:r>
      <w:bookmarkEnd w:id="4"/>
    </w:p>
    <w:p w14:paraId="3C47190F" w14:textId="77777777" w:rsidR="00E71A8F" w:rsidRPr="00D92E20" w:rsidRDefault="00E71A8F" w:rsidP="00E71A8F">
      <w:pPr>
        <w:pStyle w:val="Seznam"/>
        <w:jc w:val="both"/>
      </w:pPr>
      <w:r w:rsidRPr="00D92E20">
        <w:rPr>
          <w:b/>
        </w:rPr>
        <w:t>Dočasná pracovní neschopnost</w:t>
      </w:r>
      <w:r w:rsidRPr="00D92E20">
        <w:t xml:space="preserve"> je stav člověka, který je </w:t>
      </w:r>
      <w:r w:rsidRPr="00D92E20">
        <w:rPr>
          <w:b/>
        </w:rPr>
        <w:t>lékařem ze zdravotních důvodů dočasně uznán neschopným k výkonu</w:t>
      </w:r>
      <w:r w:rsidRPr="00D92E20">
        <w:t xml:space="preserve"> svého dosavadního </w:t>
      </w:r>
      <w:r w:rsidRPr="00D92E20">
        <w:rPr>
          <w:b/>
        </w:rPr>
        <w:t>zaměstnání</w:t>
      </w:r>
      <w:r w:rsidRPr="00D92E20">
        <w:t xml:space="preserve">. O vzniku dočasné pracovní neschopnosti rozhoduje ošetřující lékař, a to vystavením </w:t>
      </w:r>
      <w:r w:rsidRPr="00D92E20">
        <w:rPr>
          <w:i/>
          <w:iCs/>
        </w:rPr>
        <w:t>Rozhodnutí o dočasné pracovní neschopnosti</w:t>
      </w:r>
      <w:r w:rsidRPr="00D92E20">
        <w:t xml:space="preserve"> (tzv. e-neschopenk</w:t>
      </w:r>
      <w:r>
        <w:t>y</w:t>
      </w:r>
      <w:r w:rsidRPr="00D92E20">
        <w:t>). Kategorie jsou následující:</w:t>
      </w:r>
    </w:p>
    <w:p w14:paraId="0E992ED1" w14:textId="77777777" w:rsidR="00E71A8F" w:rsidRPr="00D92E20" w:rsidRDefault="00E71A8F" w:rsidP="00E71A8F">
      <w:pPr>
        <w:pStyle w:val="Seznam"/>
        <w:numPr>
          <w:ilvl w:val="0"/>
          <w:numId w:val="22"/>
        </w:numPr>
        <w:jc w:val="both"/>
      </w:pPr>
      <w:r w:rsidRPr="00D92E20">
        <w:rPr>
          <w:b/>
          <w:bCs/>
        </w:rPr>
        <w:t xml:space="preserve">nemoc </w:t>
      </w:r>
      <w:r w:rsidRPr="00D92E20">
        <w:rPr>
          <w:bCs/>
        </w:rPr>
        <w:t xml:space="preserve">– </w:t>
      </w:r>
      <w:r w:rsidRPr="00D92E20">
        <w:t xml:space="preserve">za případy dočasné pracovní neschopnosti pro nemoc jsou považovány všechny případy nemocí podle </w:t>
      </w:r>
      <w:r w:rsidRPr="00D92E20">
        <w:rPr>
          <w:b/>
        </w:rPr>
        <w:t>Mezinárodní statistické klasifikace nemocí a přidružených zdravotních problémů</w:t>
      </w:r>
      <w:r w:rsidRPr="00D92E20">
        <w:t xml:space="preserve"> (MKN-10). </w:t>
      </w:r>
    </w:p>
    <w:p w14:paraId="25A5BDA7" w14:textId="77777777" w:rsidR="00E71A8F" w:rsidRPr="00D92E20" w:rsidRDefault="00E71A8F" w:rsidP="00E71A8F">
      <w:pPr>
        <w:pStyle w:val="Seznam"/>
        <w:numPr>
          <w:ilvl w:val="0"/>
          <w:numId w:val="22"/>
        </w:numPr>
        <w:jc w:val="both"/>
        <w:rPr>
          <w:b/>
          <w:bCs/>
        </w:rPr>
      </w:pPr>
      <w:r w:rsidRPr="00D92E20">
        <w:rPr>
          <w:b/>
          <w:bCs/>
        </w:rPr>
        <w:t xml:space="preserve">pracovní úraz </w:t>
      </w:r>
      <w:r w:rsidRPr="00D92E20">
        <w:rPr>
          <w:bCs/>
        </w:rPr>
        <w:t>–</w:t>
      </w:r>
      <w:r w:rsidRPr="00D92E20">
        <w:rPr>
          <w:b/>
          <w:bCs/>
        </w:rPr>
        <w:t xml:space="preserve"> </w:t>
      </w:r>
      <w:r w:rsidRPr="00D92E20">
        <w:t xml:space="preserve">pracovním úrazem se rozumí </w:t>
      </w:r>
      <w:r w:rsidRPr="00D92E20">
        <w:rPr>
          <w:b/>
        </w:rPr>
        <w:t>poškození zdraví nebo smrt zaměstnance</w:t>
      </w:r>
      <w:r w:rsidRPr="00D92E20">
        <w:t xml:space="preserve">, došlo-li k nim nezávisle na jeho vůli krátkodobým, náhlým a násilným </w:t>
      </w:r>
      <w:r w:rsidRPr="00D92E20">
        <w:rPr>
          <w:b/>
        </w:rPr>
        <w:t>působením zevních vlivů</w:t>
      </w:r>
      <w:r w:rsidRPr="00D92E20">
        <w:t xml:space="preserve"> při plnění pracovních úkolů nebo v přímé souvislosti s ním (viz § 271k odst. 1 až 3 zákona č. 262/2006 Sb., zákoník práce, ve znění pozdějších předpisů).</w:t>
      </w:r>
    </w:p>
    <w:p w14:paraId="62696C35" w14:textId="77777777" w:rsidR="00E71A8F" w:rsidRPr="00D92E20" w:rsidRDefault="00E71A8F" w:rsidP="00E71A8F">
      <w:pPr>
        <w:pStyle w:val="Seznam"/>
        <w:numPr>
          <w:ilvl w:val="0"/>
          <w:numId w:val="22"/>
        </w:numPr>
        <w:spacing w:after="120"/>
        <w:ind w:left="714" w:hanging="357"/>
        <w:jc w:val="both"/>
      </w:pPr>
      <w:r w:rsidRPr="00D92E20">
        <w:rPr>
          <w:b/>
          <w:bCs/>
        </w:rPr>
        <w:t xml:space="preserve">ostatní úrazy </w:t>
      </w:r>
      <w:r w:rsidRPr="00D92E20">
        <w:rPr>
          <w:bCs/>
        </w:rPr>
        <w:t>–</w:t>
      </w:r>
      <w:r w:rsidRPr="00D92E20">
        <w:rPr>
          <w:b/>
          <w:bCs/>
        </w:rPr>
        <w:t xml:space="preserve"> </w:t>
      </w:r>
      <w:r w:rsidRPr="00D92E20">
        <w:rPr>
          <w:bCs/>
        </w:rPr>
        <w:t xml:space="preserve">za ostatní úrazy jsou považovány případy </w:t>
      </w:r>
      <w:r w:rsidRPr="00D92E20">
        <w:rPr>
          <w:b/>
        </w:rPr>
        <w:t>poškození zdraví</w:t>
      </w:r>
      <w:r w:rsidRPr="00D92E20">
        <w:t xml:space="preserve">, na jehož následky je postižený v dočasné pracovní neschopnosti, které však lékařem </w:t>
      </w:r>
      <w:r w:rsidRPr="00D92E20">
        <w:rPr>
          <w:b/>
        </w:rPr>
        <w:t xml:space="preserve">nebyly vyhodnoceny </w:t>
      </w:r>
      <w:r w:rsidRPr="00D92E20">
        <w:rPr>
          <w:b/>
          <w:spacing w:val="-4"/>
        </w:rPr>
        <w:t>jako</w:t>
      </w:r>
      <w:r w:rsidRPr="00D92E20">
        <w:rPr>
          <w:b/>
        </w:rPr>
        <w:t xml:space="preserve"> pracovní úraz</w:t>
      </w:r>
      <w:r w:rsidRPr="00D92E20">
        <w:t>.</w:t>
      </w:r>
    </w:p>
    <w:p w14:paraId="01692478" w14:textId="77777777" w:rsidR="00E71A8F" w:rsidRPr="00D92E20" w:rsidRDefault="00E71A8F" w:rsidP="00E71A8F">
      <w:pPr>
        <w:spacing w:after="120"/>
        <w:jc w:val="both"/>
        <w:rPr>
          <w:bCs/>
        </w:rPr>
      </w:pPr>
      <w:r w:rsidRPr="00D92E20">
        <w:rPr>
          <w:bCs/>
        </w:rPr>
        <w:t xml:space="preserve">Zaměstnanec nebo OSVČ, který je uznán ošetřujícím lékařem dočasně práce neschopným (nebo mu byla nařízena karanténa), má nárok na </w:t>
      </w:r>
      <w:r w:rsidRPr="00D92E20">
        <w:rPr>
          <w:b/>
          <w:bCs/>
        </w:rPr>
        <w:t>nemocenské od 15. kalendářního dne</w:t>
      </w:r>
      <w:r w:rsidRPr="00D92E20">
        <w:rPr>
          <w:bCs/>
        </w:rPr>
        <w:t xml:space="preserve"> trvání dočasné pracovní neschopnosti do konce dočasné pracovní neschopnosti, </w:t>
      </w:r>
      <w:r w:rsidRPr="00D92E20">
        <w:rPr>
          <w:b/>
          <w:bCs/>
        </w:rPr>
        <w:t>maximálně však 380 kalendářních dnů</w:t>
      </w:r>
      <w:r w:rsidRPr="00D92E20">
        <w:rPr>
          <w:bCs/>
        </w:rPr>
        <w:t xml:space="preserve"> počítaných od vzniku dočasné pracovní neschopnosti (včetně zápočtů předchozí doby trvání dočasné pracovní neschopnosti). OSVČ však pro získání nároku na nemocenské musí být účastna dobrovolného nemocenského pojištění OSVČ alespoň po dobu 3 měsíců bezprostředně předcházejících dni vzniku dočasné pracovní neschopnosti.</w:t>
      </w:r>
    </w:p>
    <w:p w14:paraId="39A8C2B2" w14:textId="77777777" w:rsidR="00E71A8F" w:rsidRPr="00D92E20" w:rsidRDefault="00E71A8F" w:rsidP="00E71A8F">
      <w:pPr>
        <w:spacing w:after="120"/>
        <w:jc w:val="both"/>
      </w:pPr>
      <w:r w:rsidRPr="00D92E20">
        <w:t xml:space="preserve">Po dobu </w:t>
      </w:r>
      <w:r w:rsidRPr="00D92E20">
        <w:rPr>
          <w:b/>
        </w:rPr>
        <w:t xml:space="preserve">prvních 14 kalendářních dnů </w:t>
      </w:r>
      <w:r w:rsidRPr="00D92E20">
        <w:t xml:space="preserve">je zaměstnanec (nikoli OSVČ), kterému trvá pracovní vztah zakládající účast na nemocenském pojištění, zabezpečen </w:t>
      </w:r>
      <w:r w:rsidRPr="00D92E20">
        <w:rPr>
          <w:b/>
        </w:rPr>
        <w:t>náhradou mzdy nebo platu</w:t>
      </w:r>
      <w:r w:rsidRPr="00D92E20">
        <w:t>, kterou poskytuje zaměstnavatel podle zákoníku práce. Náhrada mzdy náleží za pracovní dny</w:t>
      </w:r>
      <w:r>
        <w:t>,</w:t>
      </w:r>
      <w:r w:rsidRPr="00D92E20">
        <w:t xml:space="preserve"> a to při dočasné pracovní neschopnosti od 1. pracovního dne.</w:t>
      </w:r>
    </w:p>
    <w:p w14:paraId="1A41FBDC" w14:textId="77777777" w:rsidR="00E71A8F" w:rsidRPr="00D92E20" w:rsidRDefault="00E71A8F" w:rsidP="00E71A8F">
      <w:pPr>
        <w:spacing w:after="120"/>
        <w:jc w:val="both"/>
        <w:rPr>
          <w:b/>
          <w:bCs/>
        </w:rPr>
      </w:pPr>
      <w:r w:rsidRPr="00D92E20">
        <w:rPr>
          <w:rFonts w:cs="Arial"/>
          <w:b/>
          <w:bCs/>
          <w:szCs w:val="20"/>
        </w:rPr>
        <w:t>Příjemci starobního důchodu nebo invalidního důchodu pro invaliditu 3. stupně</w:t>
      </w:r>
      <w:r w:rsidRPr="00D92E20">
        <w:rPr>
          <w:rFonts w:cs="Arial"/>
          <w:szCs w:val="20"/>
        </w:rPr>
        <w:t xml:space="preserve"> se nemocenské vyplácí od 15. kalendářního dne trvání dočasné pracovní neschopnosti (karantény) po dobu nejvýše 70 kalendářních dnů, nejdéle však do dne, jímž končí pojištěná činnost.</w:t>
      </w:r>
    </w:p>
    <w:p w14:paraId="7067FA04" w14:textId="77777777" w:rsidR="00E71A8F" w:rsidRPr="00D92E20" w:rsidRDefault="00E71A8F" w:rsidP="00E71A8F">
      <w:pPr>
        <w:pStyle w:val="Normlnweb"/>
        <w:spacing w:before="0" w:beforeAutospacing="0" w:after="120" w:afterAutospacing="0" w:line="288" w:lineRule="auto"/>
        <w:jc w:val="both"/>
        <w:rPr>
          <w:rFonts w:ascii="Arial" w:hAnsi="Arial" w:cs="Arial"/>
          <w:sz w:val="20"/>
          <w:szCs w:val="20"/>
        </w:rPr>
      </w:pPr>
      <w:r w:rsidRPr="00D92E20">
        <w:rPr>
          <w:rFonts w:ascii="Arial" w:hAnsi="Arial" w:cs="Arial"/>
          <w:b/>
          <w:sz w:val="20"/>
          <w:szCs w:val="20"/>
        </w:rPr>
        <w:t>Nemocenské</w:t>
      </w:r>
      <w:r w:rsidRPr="00D92E20">
        <w:rPr>
          <w:rFonts w:ascii="Arial" w:hAnsi="Arial" w:cs="Arial"/>
          <w:sz w:val="20"/>
          <w:szCs w:val="20"/>
        </w:rPr>
        <w:t xml:space="preserve"> náleží rovněž ve stanovených případech, jestliže ke vzniku dočasné pracovní neschopnosti (karantény) došlo po skončení pojištěného zaměstnání v tzv. </w:t>
      </w:r>
      <w:r w:rsidRPr="00D92E20">
        <w:rPr>
          <w:rFonts w:ascii="Arial" w:hAnsi="Arial" w:cs="Arial"/>
          <w:b/>
          <w:sz w:val="20"/>
          <w:szCs w:val="20"/>
        </w:rPr>
        <w:t>ochranné lhůtě</w:t>
      </w:r>
      <w:r w:rsidRPr="00D92E20">
        <w:rPr>
          <w:rFonts w:ascii="Arial" w:hAnsi="Arial" w:cs="Arial"/>
          <w:sz w:val="20"/>
          <w:szCs w:val="20"/>
        </w:rPr>
        <w:t xml:space="preserve">. Účelem ochranné lhůty je zajistit bývalého zaměstnance po stanovenou dobu po skončení pojištění pro případ vzniku sociální události (dočasné pracovní neschopnosti) dříve, než opět nastoupí do dalšího zaměstnání. Ochranná lhůta v případě uplatňování nároku na nemocenské činí 7 kalendářních dnů ode dne skončení zaměstnání, které zakládalo </w:t>
      </w:r>
      <w:r w:rsidRPr="00D92E20">
        <w:rPr>
          <w:rFonts w:ascii="Arial" w:hAnsi="Arial" w:cs="Arial"/>
          <w:sz w:val="20"/>
          <w:szCs w:val="20"/>
        </w:rPr>
        <w:lastRenderedPageBreak/>
        <w:t>účast na nemocenském pojištění. U </w:t>
      </w:r>
      <w:r w:rsidRPr="00D92E20">
        <w:rPr>
          <w:rFonts w:ascii="Arial" w:hAnsi="Arial" w:cs="Arial"/>
          <w:b/>
          <w:sz w:val="20"/>
          <w:szCs w:val="20"/>
        </w:rPr>
        <w:t>zaměstnání kratších</w:t>
      </w:r>
      <w:r w:rsidRPr="00D92E20">
        <w:rPr>
          <w:rFonts w:ascii="Arial" w:hAnsi="Arial" w:cs="Arial"/>
          <w:sz w:val="20"/>
          <w:szCs w:val="20"/>
        </w:rPr>
        <w:t xml:space="preserve"> </w:t>
      </w:r>
      <w:r w:rsidRPr="00D92E20">
        <w:rPr>
          <w:rFonts w:ascii="Arial" w:hAnsi="Arial" w:cs="Arial"/>
          <w:b/>
          <w:sz w:val="20"/>
          <w:szCs w:val="20"/>
        </w:rPr>
        <w:t>než 7 kalendářních dnů</w:t>
      </w:r>
      <w:r w:rsidRPr="00D92E20">
        <w:rPr>
          <w:rFonts w:ascii="Arial" w:hAnsi="Arial" w:cs="Arial"/>
          <w:sz w:val="20"/>
          <w:szCs w:val="20"/>
        </w:rPr>
        <w:t xml:space="preserve"> činí</w:t>
      </w:r>
      <w:r w:rsidRPr="00D92E20">
        <w:rPr>
          <w:rFonts w:ascii="Arial" w:hAnsi="Arial" w:cs="Arial"/>
          <w:b/>
          <w:sz w:val="20"/>
          <w:szCs w:val="20"/>
        </w:rPr>
        <w:t xml:space="preserve"> ochranná lhůta</w:t>
      </w:r>
      <w:r w:rsidRPr="00D92E20">
        <w:rPr>
          <w:rFonts w:ascii="Arial" w:hAnsi="Arial" w:cs="Arial"/>
          <w:sz w:val="20"/>
          <w:szCs w:val="20"/>
        </w:rPr>
        <w:t xml:space="preserve"> pouze tolik dnů, kolik činilo toto poslední zaměstnání.</w:t>
      </w:r>
    </w:p>
    <w:p w14:paraId="5FEF5626" w14:textId="77777777" w:rsidR="00E71A8F" w:rsidRPr="00D92E20" w:rsidRDefault="00E71A8F" w:rsidP="00E71A8F">
      <w:pPr>
        <w:pStyle w:val="Normlnweb"/>
        <w:spacing w:before="120" w:beforeAutospacing="0" w:after="60" w:afterAutospacing="0" w:line="288" w:lineRule="auto"/>
        <w:jc w:val="both"/>
        <w:rPr>
          <w:rFonts w:ascii="Arial" w:hAnsi="Arial" w:cs="Arial"/>
          <w:sz w:val="20"/>
          <w:szCs w:val="20"/>
        </w:rPr>
      </w:pPr>
      <w:r w:rsidRPr="00D92E20">
        <w:rPr>
          <w:rFonts w:ascii="Arial" w:hAnsi="Arial" w:cs="Arial"/>
          <w:b/>
          <w:bCs/>
          <w:sz w:val="20"/>
          <w:szCs w:val="20"/>
        </w:rPr>
        <w:t>Ochranná lhůta neplyne</w:t>
      </w:r>
    </w:p>
    <w:p w14:paraId="7BC8E2D1" w14:textId="77777777" w:rsidR="00E71A8F" w:rsidRPr="00D92E20" w:rsidRDefault="00E71A8F" w:rsidP="00E71A8F">
      <w:pPr>
        <w:numPr>
          <w:ilvl w:val="0"/>
          <w:numId w:val="23"/>
        </w:numPr>
        <w:spacing w:after="100" w:afterAutospacing="1"/>
        <w:ind w:left="714" w:hanging="357"/>
        <w:jc w:val="both"/>
      </w:pPr>
      <w:r w:rsidRPr="00D92E20">
        <w:t>z pojištěné činnosti poživatele starobního důchodu nebo invalidního důchodu pro invaliditu 3. stupně,</w:t>
      </w:r>
    </w:p>
    <w:p w14:paraId="64B26528" w14:textId="77777777" w:rsidR="00E71A8F" w:rsidRPr="00D92E20" w:rsidRDefault="00E71A8F" w:rsidP="00E71A8F">
      <w:pPr>
        <w:numPr>
          <w:ilvl w:val="0"/>
          <w:numId w:val="23"/>
        </w:numPr>
        <w:spacing w:before="100" w:beforeAutospacing="1" w:after="100" w:afterAutospacing="1"/>
        <w:jc w:val="both"/>
      </w:pPr>
      <w:r w:rsidRPr="00D92E20">
        <w:t>z dalšího zaměstnání sjednaného jen na dobu dovolené v jiném zaměstnání,</w:t>
      </w:r>
    </w:p>
    <w:p w14:paraId="2ADFABD7" w14:textId="77777777" w:rsidR="00E71A8F" w:rsidRPr="00D92E20" w:rsidRDefault="00E71A8F" w:rsidP="00E71A8F">
      <w:pPr>
        <w:numPr>
          <w:ilvl w:val="0"/>
          <w:numId w:val="23"/>
        </w:numPr>
        <w:spacing w:before="100" w:beforeAutospacing="1" w:after="100" w:afterAutospacing="1"/>
        <w:jc w:val="both"/>
      </w:pPr>
      <w:r w:rsidRPr="00D92E20">
        <w:t>ze zaměstnání zaměstnance činného na základě dohody o provedení práce,</w:t>
      </w:r>
    </w:p>
    <w:p w14:paraId="61D017B1" w14:textId="77777777" w:rsidR="00E71A8F" w:rsidRPr="00D92E20" w:rsidRDefault="00E71A8F" w:rsidP="00E71A8F">
      <w:pPr>
        <w:numPr>
          <w:ilvl w:val="0"/>
          <w:numId w:val="23"/>
        </w:numPr>
        <w:spacing w:before="100" w:beforeAutospacing="1" w:after="100" w:afterAutospacing="1"/>
        <w:jc w:val="both"/>
      </w:pPr>
      <w:r w:rsidRPr="00D92E20">
        <w:t>ze zaměstnání malého rozsahu,</w:t>
      </w:r>
    </w:p>
    <w:p w14:paraId="0729D12C" w14:textId="77777777" w:rsidR="00E71A8F" w:rsidRPr="00D92E20" w:rsidRDefault="00E71A8F" w:rsidP="00E71A8F">
      <w:pPr>
        <w:numPr>
          <w:ilvl w:val="0"/>
          <w:numId w:val="23"/>
        </w:numPr>
        <w:spacing w:before="100" w:beforeAutospacing="1" w:after="100" w:afterAutospacing="1"/>
        <w:jc w:val="both"/>
      </w:pPr>
      <w:r w:rsidRPr="00D92E20">
        <w:t>ze zaměstnání, které si žák nebo student sjednali výlučně na dobu školních prázdnin nebo jejich část,</w:t>
      </w:r>
    </w:p>
    <w:p w14:paraId="6A4A3FBA" w14:textId="77777777" w:rsidR="00E71A8F" w:rsidRPr="00D92E20" w:rsidRDefault="00E71A8F" w:rsidP="00E71A8F">
      <w:pPr>
        <w:numPr>
          <w:ilvl w:val="0"/>
          <w:numId w:val="23"/>
        </w:numPr>
        <w:spacing w:before="100" w:beforeAutospacing="1" w:after="120"/>
        <w:ind w:left="714" w:hanging="357"/>
        <w:jc w:val="both"/>
      </w:pPr>
      <w:r w:rsidRPr="00D92E20">
        <w:t>v případě, že pojištění odsouzeného skončí v době jeho útěku z místa výkonu trestu odnětí svobody.</w:t>
      </w:r>
    </w:p>
    <w:p w14:paraId="3D7BABFF" w14:textId="77777777" w:rsidR="00E71A8F" w:rsidRDefault="00E71A8F" w:rsidP="00E71A8F">
      <w:pPr>
        <w:spacing w:before="120" w:after="120"/>
        <w:jc w:val="both"/>
        <w:rPr>
          <w:rFonts w:cs="Arial"/>
          <w:szCs w:val="20"/>
        </w:rPr>
      </w:pPr>
      <w:r w:rsidRPr="00D92E20">
        <w:rPr>
          <w:rFonts w:cs="Arial"/>
          <w:b/>
          <w:szCs w:val="20"/>
        </w:rPr>
        <w:t>Jestliže si pojištěnec přivodil dočasnou pracovní neschopnost</w:t>
      </w:r>
      <w:r w:rsidRPr="00D92E20">
        <w:rPr>
          <w:rFonts w:cs="Arial"/>
          <w:szCs w:val="20"/>
        </w:rPr>
        <w:t xml:space="preserve"> zaviněnou účastí ve rvačce nebo jako bezprostřední následek své opilosti, zneužití omamných prostředků nebo psychotropních látek, při spáchání úmyslného trestného činu nebo úmyslně zaviněného přestupku, </w:t>
      </w:r>
      <w:r w:rsidRPr="00D92E20">
        <w:rPr>
          <w:rFonts w:cs="Arial"/>
          <w:b/>
          <w:szCs w:val="20"/>
        </w:rPr>
        <w:t>náleží mu nemocenské za kalendářní den v poloviční výši</w:t>
      </w:r>
      <w:r w:rsidRPr="00D92E20">
        <w:rPr>
          <w:rFonts w:cs="Arial"/>
          <w:szCs w:val="20"/>
        </w:rPr>
        <w:t xml:space="preserve">. </w:t>
      </w:r>
    </w:p>
    <w:p w14:paraId="4C821EEB" w14:textId="77777777" w:rsidR="00E71A8F" w:rsidRPr="00D92E20" w:rsidRDefault="00E71A8F" w:rsidP="00E71A8F">
      <w:pPr>
        <w:spacing w:before="120" w:after="120"/>
        <w:jc w:val="both"/>
        <w:rPr>
          <w:rFonts w:cs="Arial"/>
          <w:szCs w:val="20"/>
        </w:rPr>
      </w:pPr>
      <w:r w:rsidRPr="00D92E20">
        <w:rPr>
          <w:rFonts w:cs="Arial"/>
          <w:b/>
          <w:szCs w:val="20"/>
        </w:rPr>
        <w:t>Nárok na nemocenské nemá pojištěnec</w:t>
      </w:r>
      <w:r w:rsidRPr="00D92E20">
        <w:rPr>
          <w:rFonts w:cs="Arial"/>
          <w:szCs w:val="20"/>
        </w:rPr>
        <w:t xml:space="preserve">, který si dočasnou pracovní neschopnost </w:t>
      </w:r>
      <w:r w:rsidRPr="00D92E20">
        <w:rPr>
          <w:rFonts w:cs="Arial"/>
          <w:b/>
          <w:szCs w:val="20"/>
        </w:rPr>
        <w:t>přivodil úmyslně</w:t>
      </w:r>
      <w:r w:rsidRPr="00D92E20">
        <w:rPr>
          <w:rFonts w:cs="Arial"/>
          <w:szCs w:val="20"/>
        </w:rPr>
        <w:t xml:space="preserve">. </w:t>
      </w:r>
      <w:r>
        <w:rPr>
          <w:rFonts w:cs="Arial"/>
          <w:szCs w:val="20"/>
        </w:rPr>
        <w:t xml:space="preserve">Dále jestliže </w:t>
      </w:r>
      <w:r>
        <w:t xml:space="preserve">občanovi vznikl v době dočasné pracovní neschopnosti nebo nařízené karantény nárok na výplatu starobního důchodu, pokud pojištěná činnost skončila přede dnem, od něhož vznikl nárok na výplatu důchodu. </w:t>
      </w:r>
      <w:r w:rsidRPr="00D92E20">
        <w:rPr>
          <w:rFonts w:cs="Arial"/>
          <w:szCs w:val="20"/>
        </w:rPr>
        <w:t>Pojištěnec nemá nárok na nemocenské ani v případě, kdy vznikla dočasná pracovní neschopnost nebo mu byla nařízena karanténa v době útěku z vazby nebo z místa výkonu trestu odnětí svobody.</w:t>
      </w:r>
    </w:p>
    <w:p w14:paraId="36E8E993" w14:textId="77777777" w:rsidR="00E71A8F" w:rsidRDefault="007A319D" w:rsidP="007A319D">
      <w:pPr>
        <w:pStyle w:val="Nadpis3"/>
      </w:pPr>
      <w:bookmarkStart w:id="5" w:name="_Toc104792901"/>
      <w:r>
        <w:t>2.3 Uplatnění nároku na dávku nemocenského</w:t>
      </w:r>
      <w:bookmarkEnd w:id="5"/>
    </w:p>
    <w:p w14:paraId="20557BD4" w14:textId="77777777" w:rsidR="007A319D" w:rsidRPr="00D92E20" w:rsidRDefault="007A319D" w:rsidP="007A319D">
      <w:pPr>
        <w:pStyle w:val="Seznam"/>
        <w:spacing w:after="120"/>
        <w:contextualSpacing w:val="0"/>
        <w:jc w:val="both"/>
      </w:pPr>
      <w:r>
        <w:t>Rozhodování</w:t>
      </w:r>
      <w:r w:rsidRPr="00D92E20">
        <w:t xml:space="preserve"> o dočasné pracovní neschopnosti probíhá od 1. 1. 2020 elektronicky</w:t>
      </w:r>
      <w:r w:rsidRPr="00D92E20">
        <w:rPr>
          <w:rStyle w:val="Znakapoznpodarou"/>
        </w:rPr>
        <w:footnoteReference w:id="2"/>
      </w:r>
      <w:r w:rsidRPr="00D92E20">
        <w:t>. Bylo tak upuštěno od zdlouhavého oběhu listinných dokumentů, který byl nahrazen elektronickým zpracováním.</w:t>
      </w:r>
    </w:p>
    <w:p w14:paraId="0A7C3C2D" w14:textId="77777777" w:rsidR="007A319D" w:rsidRPr="00D92E20" w:rsidRDefault="007A319D" w:rsidP="007A319D">
      <w:pPr>
        <w:pStyle w:val="Seznam"/>
        <w:spacing w:after="120"/>
        <w:contextualSpacing w:val="0"/>
        <w:jc w:val="both"/>
      </w:pPr>
      <w:r w:rsidRPr="00D92E20">
        <w:t xml:space="preserve">Ošetřující lékař od 1. 1. 2020 hlásí vznik, trvání a ukončení dočasné pracovní neschopnosti přímo správě sociálního zabezpečení pouze elektronicky. Ošetřující lékař již nevydává zaměstnanci žádné papírové díly neschopenky určené pro zaměstnavatele. Zachován zůstal pouze „Průkaz dočasně práce neschopného pojištěnce“ pro případné prokázání. </w:t>
      </w:r>
      <w:r w:rsidRPr="00D92E20">
        <w:rPr>
          <w:b/>
          <w:bCs/>
        </w:rPr>
        <w:t xml:space="preserve">Hlášení </w:t>
      </w:r>
      <w:r w:rsidRPr="00D92E20">
        <w:rPr>
          <w:bCs/>
        </w:rPr>
        <w:t>správě sociálního zabezpečení</w:t>
      </w:r>
      <w:r w:rsidRPr="00D92E20">
        <w:rPr>
          <w:b/>
          <w:bCs/>
        </w:rPr>
        <w:t xml:space="preserve"> o vzniku dočasné pracovní neschopnosti je při </w:t>
      </w:r>
      <w:r w:rsidRPr="00D92E20">
        <w:rPr>
          <w:bCs/>
        </w:rPr>
        <w:t>dočasné pracovní</w:t>
      </w:r>
      <w:r w:rsidRPr="00D92E20">
        <w:rPr>
          <w:b/>
          <w:bCs/>
        </w:rPr>
        <w:t xml:space="preserve"> neschopnosti přesahující 14 kalendářních dnů </w:t>
      </w:r>
      <w:r w:rsidRPr="00D92E20">
        <w:rPr>
          <w:bCs/>
        </w:rPr>
        <w:t xml:space="preserve">automaticky </w:t>
      </w:r>
      <w:r w:rsidRPr="00D92E20">
        <w:rPr>
          <w:b/>
          <w:bCs/>
        </w:rPr>
        <w:t>považováno za žádost o nemocenské.</w:t>
      </w:r>
      <w:r w:rsidRPr="00D92E20">
        <w:t xml:space="preserve"> Ošetřující lékař hlásí trvání dočasné pracovní neschopnosti přímo správě sociálního zabezpečení. Hlášení o ukončení dočasné pracovní neschopnosti, které ošetřující lékař rovněž zasílá přímo správě sociálního zabezpečení, je automaticky i dokladem pro ukončení výplaty nemocenského. </w:t>
      </w:r>
    </w:p>
    <w:p w14:paraId="5B1D3AC0" w14:textId="77777777" w:rsidR="007A319D" w:rsidRPr="00D92E20" w:rsidRDefault="007A319D" w:rsidP="007A319D">
      <w:pPr>
        <w:pStyle w:val="Seznam"/>
        <w:spacing w:after="120"/>
        <w:contextualSpacing w:val="0"/>
        <w:jc w:val="both"/>
      </w:pPr>
      <w:r w:rsidRPr="00D92E20">
        <w:t xml:space="preserve">Pro zaměstnavatele se tedy již nevystavuje žádný listinný díl rozhodnutí o dočasné pracovní neschopnosti. </w:t>
      </w:r>
      <w:r w:rsidRPr="00D92E20">
        <w:rPr>
          <w:bCs/>
        </w:rPr>
        <w:t>I nadále však</w:t>
      </w:r>
      <w:r w:rsidRPr="00D92E20">
        <w:rPr>
          <w:b/>
          <w:bCs/>
        </w:rPr>
        <w:t xml:space="preserve"> zůstává </w:t>
      </w:r>
      <w:r w:rsidRPr="00D92E20">
        <w:rPr>
          <w:bCs/>
        </w:rPr>
        <w:t>zachována</w:t>
      </w:r>
      <w:r w:rsidRPr="00D92E20">
        <w:rPr>
          <w:b/>
          <w:bCs/>
        </w:rPr>
        <w:t xml:space="preserve"> povinnost zaměstnance, aby o </w:t>
      </w:r>
      <w:r w:rsidRPr="00D92E20">
        <w:rPr>
          <w:bCs/>
        </w:rPr>
        <w:t>své dočasné</w:t>
      </w:r>
      <w:r w:rsidRPr="00D92E20">
        <w:rPr>
          <w:b/>
          <w:bCs/>
        </w:rPr>
        <w:t xml:space="preserve"> pracovní neschopnosti </w:t>
      </w:r>
      <w:r w:rsidRPr="00D92E20">
        <w:rPr>
          <w:bCs/>
        </w:rPr>
        <w:t>neprodleně</w:t>
      </w:r>
      <w:r w:rsidRPr="00D92E20">
        <w:rPr>
          <w:b/>
          <w:bCs/>
        </w:rPr>
        <w:t xml:space="preserve"> informoval </w:t>
      </w:r>
      <w:r w:rsidRPr="00D92E20">
        <w:rPr>
          <w:bCs/>
        </w:rPr>
        <w:t>svého</w:t>
      </w:r>
      <w:r w:rsidRPr="00D92E20">
        <w:rPr>
          <w:b/>
          <w:bCs/>
        </w:rPr>
        <w:t xml:space="preserve"> zaměstnavatele</w:t>
      </w:r>
      <w:r w:rsidRPr="00D92E20">
        <w:t xml:space="preserve"> (např. telefonicky, </w:t>
      </w:r>
      <w:r>
        <w:t>e-</w:t>
      </w:r>
      <w:r w:rsidRPr="00D92E20">
        <w:t xml:space="preserve">mailem). </w:t>
      </w:r>
    </w:p>
    <w:p w14:paraId="0B63BEA1" w14:textId="77777777" w:rsidR="007A319D" w:rsidRPr="00D92E20" w:rsidRDefault="007A319D" w:rsidP="007A319D">
      <w:pPr>
        <w:pStyle w:val="Seznam"/>
        <w:spacing w:before="60" w:after="60"/>
        <w:contextualSpacing w:val="0"/>
        <w:jc w:val="both"/>
      </w:pPr>
      <w:r w:rsidRPr="00D92E20">
        <w:t>Zaměstnavatel může využít nové způsoby zjišťování informací o pracovních neschopnostech (PN) svých zaměstnanců:</w:t>
      </w:r>
    </w:p>
    <w:p w14:paraId="0C94E907" w14:textId="77777777" w:rsidR="007A319D" w:rsidRPr="00D92E20" w:rsidRDefault="007A319D" w:rsidP="007A319D">
      <w:pPr>
        <w:pStyle w:val="Seznam"/>
        <w:spacing w:after="120"/>
        <w:ind w:firstLine="284"/>
        <w:jc w:val="both"/>
      </w:pPr>
      <w:r w:rsidRPr="00D92E20">
        <w:t xml:space="preserve">1) Přes službu ePortálu ČSSZ pro ověření či stažení údajů o dočasných PN svých zaměstnanců. </w:t>
      </w:r>
    </w:p>
    <w:p w14:paraId="47BC7068" w14:textId="77777777" w:rsidR="007A319D" w:rsidRPr="00D92E20" w:rsidRDefault="007A319D" w:rsidP="007A319D">
      <w:pPr>
        <w:pStyle w:val="Seznam"/>
        <w:spacing w:after="120"/>
        <w:ind w:firstLine="284"/>
        <w:jc w:val="both"/>
      </w:pPr>
      <w:r w:rsidRPr="00D92E20">
        <w:t>2) Žádostí o zasílání elektronických notifikací o dočasných PN svých zaměstnanců.</w:t>
      </w:r>
    </w:p>
    <w:p w14:paraId="23312ED5" w14:textId="77777777" w:rsidR="007A319D" w:rsidRPr="00D92E20" w:rsidRDefault="007A319D" w:rsidP="007A319D">
      <w:pPr>
        <w:pStyle w:val="Seznam"/>
        <w:spacing w:after="120"/>
        <w:ind w:firstLine="284"/>
        <w:contextualSpacing w:val="0"/>
        <w:jc w:val="both"/>
      </w:pPr>
      <w:r w:rsidRPr="00D92E20">
        <w:t xml:space="preserve">3) Přes kanál veřejného </w:t>
      </w:r>
      <w:r>
        <w:t>rozhraní pro elektronické podání</w:t>
      </w:r>
      <w:r w:rsidRPr="00D92E20">
        <w:t>.</w:t>
      </w:r>
      <w:r>
        <w:t xml:space="preserve"> Služba funguje na principu dotaz </w:t>
      </w:r>
      <w:r>
        <w:rPr>
          <w:rFonts w:ascii="Calibri" w:hAnsi="Calibri"/>
        </w:rPr>
        <w:t>→</w:t>
      </w:r>
      <w:r>
        <w:t xml:space="preserve"> odpověď.</w:t>
      </w:r>
    </w:p>
    <w:p w14:paraId="30DE6E2F" w14:textId="77777777" w:rsidR="007A319D" w:rsidRPr="00D92E20" w:rsidRDefault="007A319D" w:rsidP="007A319D">
      <w:pPr>
        <w:pStyle w:val="Seznam"/>
        <w:spacing w:after="120"/>
        <w:contextualSpacing w:val="0"/>
        <w:jc w:val="both"/>
      </w:pPr>
      <w:r w:rsidRPr="00D92E20">
        <w:t>Zaměstnavatel je povinen p</w:t>
      </w:r>
      <w:r>
        <w:t xml:space="preserve">o 14 dnech trvání neschopnosti </w:t>
      </w:r>
      <w:r w:rsidRPr="00D92E20">
        <w:t xml:space="preserve">zaslat ČSSZ </w:t>
      </w:r>
      <w:r w:rsidRPr="00D92E20">
        <w:rPr>
          <w:b/>
          <w:bCs/>
        </w:rPr>
        <w:t>Přílohu k žádosti o dávku</w:t>
      </w:r>
      <w:r w:rsidRPr="00D92E20">
        <w:t xml:space="preserve">, která obsahuje údaje potřebné pro posouzení nároku, výpočet a výplatu nemocenského, </w:t>
      </w:r>
      <w:r w:rsidRPr="00D92E20">
        <w:rPr>
          <w:b/>
          <w:bCs/>
        </w:rPr>
        <w:t>a to v elektronické formě</w:t>
      </w:r>
      <w:r w:rsidRPr="00D92E20">
        <w:t xml:space="preserve"> (papírový tiskopis je možno použít pouze v př</w:t>
      </w:r>
      <w:r>
        <w:t xml:space="preserve">ípadě technického výpadku). Do </w:t>
      </w:r>
      <w:r w:rsidR="005D15AE">
        <w:t>p</w:t>
      </w:r>
      <w:r w:rsidRPr="00D92E20">
        <w:t xml:space="preserve">řílohy k žádosti o dávku zaměstnavatel nově uvede informaci o tom, kam je zaměstnanci vyplácena mzda nebo plat (stejným způsobem se zpravidla bude zaměstnanci vyplácet nemocenské). Podklady ke srážkám z dávek se mohou </w:t>
      </w:r>
      <w:r w:rsidRPr="00D92E20">
        <w:lastRenderedPageBreak/>
        <w:t>zasílat stále stejn</w:t>
      </w:r>
      <w:r>
        <w:t xml:space="preserve">ým způsobem, buď poštou, nebo </w:t>
      </w:r>
      <w:r w:rsidRPr="00D92E20">
        <w:t>přes datovou schránku. Při skončení dočasné pracovní neschopnosti zaměstnavatel zašle hlášení s údaji potřebnými pro výplatu poslední dávky nemocenského.</w:t>
      </w:r>
    </w:p>
    <w:p w14:paraId="6035BB84" w14:textId="77777777" w:rsidR="007A319D" w:rsidRPr="007A319D" w:rsidRDefault="00021A3B" w:rsidP="005402D7">
      <w:pPr>
        <w:pStyle w:val="Nadpis3"/>
        <w:jc w:val="both"/>
      </w:pPr>
      <w:bookmarkStart w:id="6" w:name="_Toc104792902"/>
      <w:r>
        <w:t>2.4 Uplatnění nároku na ostatní dávky nemocenského pojištění včetně nemocenského z důvodu nařízené karantény</w:t>
      </w:r>
      <w:bookmarkEnd w:id="6"/>
    </w:p>
    <w:p w14:paraId="0867AADF" w14:textId="77777777" w:rsidR="00021A3B" w:rsidRPr="00D92E20" w:rsidRDefault="00021A3B" w:rsidP="00021A3B">
      <w:pPr>
        <w:spacing w:after="120"/>
        <w:jc w:val="both"/>
      </w:pPr>
      <w:r w:rsidRPr="00D92E20">
        <w:t>Zaměstnanec předá žádost o dávku, kterou zpravidla vystavuje lékař, svému zaměstnavateli, který ji spolu s podklady pro stanovení nároku na dávku a její výplatu zašle elektronicky příslušné okresní správě sociálního zabezpečení</w:t>
      </w:r>
      <w:r w:rsidR="00E0156A">
        <w:t xml:space="preserve"> (OSSZ)</w:t>
      </w:r>
      <w:r w:rsidRPr="00D92E20">
        <w:t xml:space="preserve">, která provádí nemocenské pojištění zaměstnanců. K žádosti zaměstnance o dávku nemocenského pojištění je zaměstnavatel povinen vyplnit zákonem předepsaný tiskopis, jehož vydávání zajišťuje Česká správa sociálního zabezpečení. Jedná se o přílohu k žádosti o dávku nemocenského pojištění. Tato příloha je uveřejněna na webových stránkách České správy sociálního zabezpečení. Na tiskopisu zaměstnavatel uvede především započitatelné příjmy zaměstnance v rozhodném období a počet tzv. „nezapočitatelných dnů“ v tomto rozhodném období, aby </w:t>
      </w:r>
      <w:r w:rsidR="00E0156A">
        <w:t>OSSZ</w:t>
      </w:r>
      <w:r w:rsidRPr="00D92E20">
        <w:t xml:space="preserve"> mohla vypočítat denní výši dávky. Zaměstnavatelé přijímají žádosti o dávku i od svých bývalých zaměstnanců.</w:t>
      </w:r>
    </w:p>
    <w:p w14:paraId="0C12E06B" w14:textId="77777777" w:rsidR="00021A3B" w:rsidRPr="00D92E20" w:rsidRDefault="00021A3B" w:rsidP="00021A3B">
      <w:pPr>
        <w:spacing w:after="120"/>
        <w:jc w:val="both"/>
      </w:pPr>
      <w:r w:rsidRPr="00D92E20">
        <w:t>Služební útvary provádějí nemocenské pojištění příslušníků Policie České republiky, Hasičského záchranného sboru České republiky, Celní správy České republiky, Vězeňské služby České republiky, Bezpečnostní informační služby a Úřadu pro zahraniční styky a informace, vojáků z povolání, odsouzených ve výkonu trestu, kteří vykonávají práci ve výkonu trestu, a osob obviněných vykonávajících práci ve vazbě.</w:t>
      </w:r>
    </w:p>
    <w:p w14:paraId="4B380D36" w14:textId="77777777" w:rsidR="00E71A8F" w:rsidRDefault="00021A3B" w:rsidP="00021A3B">
      <w:pPr>
        <w:pStyle w:val="Nadpis3"/>
      </w:pPr>
      <w:bookmarkStart w:id="7" w:name="_Toc104792903"/>
      <w:r>
        <w:t>2.5 Výpočet dávky nemocenského</w:t>
      </w:r>
      <w:bookmarkEnd w:id="7"/>
    </w:p>
    <w:p w14:paraId="405FAE21" w14:textId="77777777" w:rsidR="00021A3B" w:rsidRPr="00D92E20" w:rsidRDefault="00021A3B" w:rsidP="00021A3B">
      <w:pPr>
        <w:spacing w:after="120"/>
        <w:jc w:val="both"/>
      </w:pPr>
      <w:r w:rsidRPr="00D92E20">
        <w:t>Výše dávky nemocenského se počítá</w:t>
      </w:r>
      <w:r>
        <w:t xml:space="preserve"> z denního vyměřovacího základu. </w:t>
      </w:r>
      <w:r w:rsidR="004B5EE7">
        <w:t>Z</w:t>
      </w:r>
      <w:r w:rsidRPr="00D92E20">
        <w:t>apočitatelný příjem zúčtovaný zaměstnanci v rozhodném období (zpravidla období 12 kalendářních měsíců před kalendářním měsícem, ve kterém vznikla sociální událost – v případě výplaty nemocenského dočasná pracovní neschopnost) se dělí počtem započitatelných kalendářních dnů připadajících na toto rozhodné období. Takto stanovený průměrný denní příjem se upravuje (redukuje) pomocí tří redukčních hranic na denní vyměřovací základ.</w:t>
      </w:r>
    </w:p>
    <w:p w14:paraId="31A7F5D7" w14:textId="77777777" w:rsidR="00021A3B" w:rsidRPr="00D92E20" w:rsidRDefault="00021A3B" w:rsidP="00021A3B">
      <w:pPr>
        <w:spacing w:after="120"/>
        <w:jc w:val="both"/>
        <w:rPr>
          <w:lang w:eastAsia="ar-SA"/>
        </w:rPr>
      </w:pPr>
      <w:r w:rsidRPr="00D92E20">
        <w:rPr>
          <w:lang w:eastAsia="ar-SA"/>
        </w:rPr>
        <w:t xml:space="preserve">Výši tří </w:t>
      </w:r>
      <w:r w:rsidRPr="00D92E20">
        <w:rPr>
          <w:b/>
          <w:lang w:eastAsia="ar-SA"/>
        </w:rPr>
        <w:t>redukčních hranic</w:t>
      </w:r>
      <w:r w:rsidRPr="00D92E20">
        <w:rPr>
          <w:lang w:eastAsia="ar-SA"/>
        </w:rPr>
        <w:t xml:space="preserve"> platných od 1. ledna kalendářního roku vyhlašuje Ministerstvo práce a sociálních věcí formou Sdělení ve Sbírce zákonů. </w:t>
      </w:r>
    </w:p>
    <w:p w14:paraId="138F0862" w14:textId="77777777" w:rsidR="00021A3B" w:rsidRPr="00D92E20" w:rsidRDefault="00021A3B" w:rsidP="00021A3B">
      <w:pPr>
        <w:spacing w:after="120"/>
        <w:jc w:val="both"/>
        <w:rPr>
          <w:lang w:eastAsia="ar-SA"/>
        </w:rPr>
      </w:pPr>
      <w:r w:rsidRPr="00D92E20">
        <w:rPr>
          <w:lang w:eastAsia="ar-SA"/>
        </w:rPr>
        <w:t xml:space="preserve">V roce </w:t>
      </w:r>
      <w:r w:rsidRPr="00D92E20">
        <w:rPr>
          <w:b/>
          <w:lang w:eastAsia="ar-SA"/>
        </w:rPr>
        <w:t>202</w:t>
      </w:r>
      <w:r>
        <w:rPr>
          <w:b/>
          <w:lang w:eastAsia="ar-SA"/>
        </w:rPr>
        <w:t>1</w:t>
      </w:r>
      <w:r>
        <w:rPr>
          <w:lang w:eastAsia="ar-SA"/>
        </w:rPr>
        <w:t xml:space="preserve"> činila</w:t>
      </w:r>
      <w:r w:rsidRPr="00D92E20">
        <w:rPr>
          <w:lang w:eastAsia="ar-SA"/>
        </w:rPr>
        <w:t xml:space="preserve"> 1. redukční hranice </w:t>
      </w:r>
      <w:r w:rsidRPr="00D92E20">
        <w:rPr>
          <w:b/>
        </w:rPr>
        <w:t>1 1</w:t>
      </w:r>
      <w:r>
        <w:rPr>
          <w:b/>
        </w:rPr>
        <w:t>8</w:t>
      </w:r>
      <w:r w:rsidRPr="00D92E20">
        <w:rPr>
          <w:b/>
        </w:rPr>
        <w:t>2</w:t>
      </w:r>
      <w:r w:rsidRPr="00D92E20">
        <w:t xml:space="preserve"> </w:t>
      </w:r>
      <w:r w:rsidRPr="00D92E20">
        <w:rPr>
          <w:b/>
          <w:lang w:eastAsia="ar-SA"/>
        </w:rPr>
        <w:t>Kč</w:t>
      </w:r>
      <w:r w:rsidRPr="00D92E20">
        <w:rPr>
          <w:lang w:eastAsia="ar-SA"/>
        </w:rPr>
        <w:t xml:space="preserve">, 2. redukční hranice </w:t>
      </w:r>
      <w:r w:rsidRPr="00D92E20">
        <w:rPr>
          <w:b/>
        </w:rPr>
        <w:t>1 7</w:t>
      </w:r>
      <w:r>
        <w:rPr>
          <w:b/>
        </w:rPr>
        <w:t>73</w:t>
      </w:r>
      <w:r w:rsidRPr="00D92E20">
        <w:rPr>
          <w:b/>
          <w:lang w:eastAsia="ar-SA"/>
        </w:rPr>
        <w:t xml:space="preserve"> Kč</w:t>
      </w:r>
      <w:r w:rsidRPr="00D92E20">
        <w:rPr>
          <w:lang w:eastAsia="ar-SA"/>
        </w:rPr>
        <w:t xml:space="preserve">, 3. redukční hranice </w:t>
      </w:r>
      <w:r w:rsidRPr="00D92E20">
        <w:rPr>
          <w:b/>
        </w:rPr>
        <w:t xml:space="preserve">3 </w:t>
      </w:r>
      <w:r>
        <w:rPr>
          <w:b/>
        </w:rPr>
        <w:t>545</w:t>
      </w:r>
      <w:r w:rsidRPr="00D92E20">
        <w:t xml:space="preserve"> </w:t>
      </w:r>
      <w:r w:rsidRPr="00D92E20">
        <w:rPr>
          <w:b/>
          <w:lang w:eastAsia="ar-SA"/>
        </w:rPr>
        <w:t>Kč</w:t>
      </w:r>
      <w:r w:rsidRPr="00D92E20">
        <w:rPr>
          <w:lang w:eastAsia="ar-SA"/>
        </w:rPr>
        <w:t>.</w:t>
      </w:r>
    </w:p>
    <w:p w14:paraId="714151D1" w14:textId="77777777" w:rsidR="00021A3B" w:rsidRPr="00D92E20" w:rsidRDefault="00021A3B" w:rsidP="00021A3B">
      <w:pPr>
        <w:spacing w:after="60"/>
        <w:jc w:val="both"/>
      </w:pPr>
      <w:r w:rsidRPr="00D92E20">
        <w:rPr>
          <w:b/>
        </w:rPr>
        <w:t>Redukce u nemocenského</w:t>
      </w:r>
      <w:r w:rsidRPr="00D92E20">
        <w:t xml:space="preserve"> se provede následujícím způsobem.</w:t>
      </w:r>
    </w:p>
    <w:p w14:paraId="71ECC44C" w14:textId="77777777" w:rsidR="00021A3B" w:rsidRPr="00D92E20" w:rsidRDefault="00021A3B" w:rsidP="00021A3B">
      <w:pPr>
        <w:pStyle w:val="Odstavecseseznamem"/>
        <w:numPr>
          <w:ilvl w:val="0"/>
          <w:numId w:val="24"/>
        </w:numPr>
        <w:jc w:val="both"/>
      </w:pPr>
      <w:r w:rsidRPr="00D92E20">
        <w:rPr>
          <w:b/>
        </w:rPr>
        <w:t>do</w:t>
      </w:r>
      <w:r w:rsidRPr="00D92E20">
        <w:t xml:space="preserve"> </w:t>
      </w:r>
      <w:r w:rsidRPr="00D92E20">
        <w:rPr>
          <w:b/>
        </w:rPr>
        <w:t>první redukční hranice</w:t>
      </w:r>
      <w:r w:rsidRPr="00D92E20">
        <w:t xml:space="preserve"> se započte </w:t>
      </w:r>
      <w:r w:rsidRPr="00D92E20">
        <w:rPr>
          <w:b/>
        </w:rPr>
        <w:t>90 %</w:t>
      </w:r>
      <w:r w:rsidRPr="00D92E20">
        <w:t xml:space="preserve"> denního vyměřovacího základu,</w:t>
      </w:r>
    </w:p>
    <w:p w14:paraId="23337DBD" w14:textId="77777777" w:rsidR="00021A3B" w:rsidRPr="00D92E20" w:rsidRDefault="00021A3B" w:rsidP="00021A3B">
      <w:pPr>
        <w:pStyle w:val="Odstavecseseznamem"/>
        <w:numPr>
          <w:ilvl w:val="0"/>
          <w:numId w:val="24"/>
        </w:numPr>
        <w:jc w:val="both"/>
      </w:pPr>
      <w:r w:rsidRPr="00D92E20">
        <w:t xml:space="preserve">z části denního vyměřovacího základu </w:t>
      </w:r>
      <w:r w:rsidRPr="00D92E20">
        <w:rPr>
          <w:b/>
        </w:rPr>
        <w:t>mezi první a druhou redukční hranicí</w:t>
      </w:r>
      <w:r w:rsidRPr="00D92E20">
        <w:t xml:space="preserve"> se započte </w:t>
      </w:r>
      <w:r w:rsidRPr="00D92E20">
        <w:rPr>
          <w:b/>
        </w:rPr>
        <w:t>60 %</w:t>
      </w:r>
      <w:r w:rsidRPr="00D92E20">
        <w:t>,</w:t>
      </w:r>
    </w:p>
    <w:p w14:paraId="096B8551" w14:textId="77777777" w:rsidR="00021A3B" w:rsidRPr="00D92E20" w:rsidRDefault="00021A3B" w:rsidP="00021A3B">
      <w:pPr>
        <w:pStyle w:val="Odstavecseseznamem"/>
        <w:numPr>
          <w:ilvl w:val="0"/>
          <w:numId w:val="24"/>
        </w:numPr>
        <w:jc w:val="both"/>
      </w:pPr>
      <w:r w:rsidRPr="00D92E20">
        <w:t xml:space="preserve">z části </w:t>
      </w:r>
      <w:r w:rsidRPr="00D92E20">
        <w:rPr>
          <w:b/>
        </w:rPr>
        <w:t>mezi druhou a třetí</w:t>
      </w:r>
      <w:r w:rsidRPr="00D92E20">
        <w:t xml:space="preserve"> redukční hranicí se započte </w:t>
      </w:r>
      <w:r w:rsidRPr="00D92E20">
        <w:rPr>
          <w:b/>
        </w:rPr>
        <w:t>30 %</w:t>
      </w:r>
      <w:r w:rsidRPr="00D92E20">
        <w:t>,</w:t>
      </w:r>
    </w:p>
    <w:p w14:paraId="7CE63D1A" w14:textId="77777777" w:rsidR="00021A3B" w:rsidRPr="00D92E20" w:rsidRDefault="00021A3B" w:rsidP="00021A3B">
      <w:pPr>
        <w:pStyle w:val="Odstavecseseznamem"/>
        <w:numPr>
          <w:ilvl w:val="0"/>
          <w:numId w:val="24"/>
        </w:numPr>
        <w:spacing w:after="120"/>
        <w:ind w:left="714" w:hanging="357"/>
        <w:jc w:val="both"/>
      </w:pPr>
      <w:r w:rsidRPr="00D92E20">
        <w:t xml:space="preserve">k části </w:t>
      </w:r>
      <w:r w:rsidRPr="00D92E20">
        <w:rPr>
          <w:b/>
        </w:rPr>
        <w:t>nad třetí</w:t>
      </w:r>
      <w:r w:rsidRPr="00D92E20">
        <w:t xml:space="preserve"> redukční hranici </w:t>
      </w:r>
      <w:r w:rsidRPr="00D92E20">
        <w:rPr>
          <w:b/>
        </w:rPr>
        <w:t>se nepřihlédne</w:t>
      </w:r>
      <w:r w:rsidRPr="00D92E20">
        <w:t>.</w:t>
      </w:r>
    </w:p>
    <w:p w14:paraId="27C315FE" w14:textId="77777777" w:rsidR="00021A3B" w:rsidRPr="00D92E20" w:rsidRDefault="00021A3B" w:rsidP="00021A3B">
      <w:pPr>
        <w:spacing w:after="120"/>
        <w:jc w:val="both"/>
      </w:pPr>
      <w:r w:rsidRPr="00D92E20">
        <w:t xml:space="preserve">Výše </w:t>
      </w:r>
      <w:r w:rsidRPr="00D92E20">
        <w:rPr>
          <w:b/>
          <w:bCs/>
        </w:rPr>
        <w:t>nemocenského</w:t>
      </w:r>
      <w:r w:rsidRPr="00D92E20">
        <w:t xml:space="preserve"> činí </w:t>
      </w:r>
      <w:r w:rsidRPr="00D92E20">
        <w:rPr>
          <w:b/>
          <w:bCs/>
        </w:rPr>
        <w:t>60 %</w:t>
      </w:r>
      <w:r w:rsidRPr="00D92E20">
        <w:t xml:space="preserve"> denního vyměřovacího základu </w:t>
      </w:r>
      <w:r w:rsidRPr="00D92E20">
        <w:rPr>
          <w:b/>
        </w:rPr>
        <w:t>od 15. kalendářního dne</w:t>
      </w:r>
      <w:r w:rsidRPr="00D92E20">
        <w:t xml:space="preserve"> trvání dočasné pracovní neschopnosti nebo karantény, </w:t>
      </w:r>
      <w:r w:rsidRPr="00D92E20">
        <w:rPr>
          <w:b/>
        </w:rPr>
        <w:t>od 31. kalendářního dne</w:t>
      </w:r>
      <w:r w:rsidRPr="00D92E20">
        <w:t xml:space="preserve"> sazba činí </w:t>
      </w:r>
      <w:r w:rsidRPr="00D92E20">
        <w:rPr>
          <w:b/>
          <w:bCs/>
        </w:rPr>
        <w:t>66 %</w:t>
      </w:r>
      <w:r w:rsidRPr="00D92E20">
        <w:t xml:space="preserve"> denního vyměřovacího základu a dále </w:t>
      </w:r>
      <w:r w:rsidRPr="00D92E20">
        <w:rPr>
          <w:b/>
        </w:rPr>
        <w:t>od 61. kalendářního dne</w:t>
      </w:r>
      <w:r w:rsidRPr="00D92E20">
        <w:t xml:space="preserve"> sazba činí </w:t>
      </w:r>
      <w:r w:rsidRPr="00D92E20">
        <w:rPr>
          <w:b/>
          <w:bCs/>
        </w:rPr>
        <w:t>72 %</w:t>
      </w:r>
      <w:r w:rsidRPr="00D92E20">
        <w:t xml:space="preserve"> denního vyměřovacího základu.</w:t>
      </w:r>
    </w:p>
    <w:p w14:paraId="022F7B62" w14:textId="77777777" w:rsidR="00021A3B" w:rsidRPr="00D92E20" w:rsidRDefault="00021A3B" w:rsidP="00021A3B">
      <w:pPr>
        <w:spacing w:after="120"/>
        <w:jc w:val="both"/>
      </w:pPr>
      <w:r w:rsidRPr="00D92E20">
        <w:t>Výše nemocenského u </w:t>
      </w:r>
      <w:r w:rsidRPr="00D92E20">
        <w:rPr>
          <w:b/>
          <w:bCs/>
        </w:rPr>
        <w:t>dobrovolných členů integrovaného záchranného systému</w:t>
      </w:r>
      <w:r w:rsidRPr="00D92E20">
        <w:t xml:space="preserve"> (např. u dobrovolných hasičů) činí </w:t>
      </w:r>
      <w:r w:rsidRPr="00D92E20">
        <w:rPr>
          <w:b/>
          <w:bCs/>
        </w:rPr>
        <w:t>100 %</w:t>
      </w:r>
      <w:r w:rsidRPr="00D92E20">
        <w:t xml:space="preserve"> denního vyměřovacího základu, pokud tato dočasná pracovní neschopnost nebo karanténa vznikla v důsledku zásahu (tj. v důsledku provádění záchranných a likvidačních prací), k němuž byla jednotka nebo složka integrovaného záchranného systému povolána. Tuto skutečnost pojištěnci potvrdí operační středisko integrovaného záchranného systému.</w:t>
      </w:r>
    </w:p>
    <w:p w14:paraId="729D045D" w14:textId="77777777" w:rsidR="00021A3B" w:rsidRDefault="00021A3B" w:rsidP="00021A3B">
      <w:pPr>
        <w:spacing w:after="120"/>
        <w:jc w:val="both"/>
        <w:rPr>
          <w:rStyle w:val="Hypertextovodkaz"/>
          <w:spacing w:val="-2"/>
        </w:rPr>
      </w:pPr>
      <w:r w:rsidRPr="00021A3B">
        <w:rPr>
          <w:spacing w:val="-2"/>
        </w:rPr>
        <w:t xml:space="preserve">Orientační výši dávky spočítá příslušná </w:t>
      </w:r>
      <w:hyperlink r:id="rId10" w:history="1">
        <w:r w:rsidRPr="00021A3B">
          <w:rPr>
            <w:rStyle w:val="Hypertextovodkaz"/>
            <w:spacing w:val="-2"/>
          </w:rPr>
          <w:t>kalkulačka MPSV</w:t>
        </w:r>
      </w:hyperlink>
      <w:r w:rsidRPr="00021A3B">
        <w:rPr>
          <w:spacing w:val="-2"/>
        </w:rPr>
        <w:t>. Další informace k nemocenskému pojištění na </w:t>
      </w:r>
      <w:hyperlink r:id="rId11" w:history="1">
        <w:r w:rsidRPr="00021A3B">
          <w:rPr>
            <w:rStyle w:val="Hypertextovodkaz"/>
            <w:spacing w:val="-2"/>
          </w:rPr>
          <w:t>https://www.mpsv.cz/web/cz/nemocenske-pojisteni-v-roce-2021</w:t>
        </w:r>
      </w:hyperlink>
      <w:r w:rsidRPr="00021A3B">
        <w:rPr>
          <w:spacing w:val="-2"/>
        </w:rPr>
        <w:t xml:space="preserve"> a </w:t>
      </w:r>
      <w:hyperlink r:id="rId12" w:history="1">
        <w:r w:rsidRPr="00021A3B">
          <w:rPr>
            <w:rStyle w:val="Hypertextovodkaz"/>
            <w:spacing w:val="-2"/>
          </w:rPr>
          <w:t>https://www.cssz.cz/web/cz/nemocenske</w:t>
        </w:r>
      </w:hyperlink>
      <w:r w:rsidRPr="00021A3B">
        <w:rPr>
          <w:rStyle w:val="Hypertextovodkaz"/>
          <w:spacing w:val="-2"/>
        </w:rPr>
        <w:t>.</w:t>
      </w:r>
    </w:p>
    <w:p w14:paraId="0CBD529C" w14:textId="77777777" w:rsidR="0011766E" w:rsidRDefault="0011766E" w:rsidP="0011766E">
      <w:pPr>
        <w:pStyle w:val="Nadpis3"/>
      </w:pPr>
      <w:bookmarkStart w:id="8" w:name="_Toc104792904"/>
      <w:r w:rsidRPr="0011766E">
        <w:t>2.6 Nejvýznamnější legislativní změny v oblasti nemocenského pojištění</w:t>
      </w:r>
      <w:bookmarkEnd w:id="8"/>
    </w:p>
    <w:p w14:paraId="5616E796" w14:textId="77777777" w:rsidR="0011766E" w:rsidRPr="00D92E20" w:rsidRDefault="0011766E" w:rsidP="0011766E">
      <w:pPr>
        <w:pStyle w:val="Seznam"/>
        <w:spacing w:after="60"/>
        <w:contextualSpacing w:val="0"/>
        <w:jc w:val="both"/>
        <w:rPr>
          <w:bCs/>
          <w:szCs w:val="20"/>
        </w:rPr>
      </w:pPr>
      <w:r w:rsidRPr="00D92E20">
        <w:t>Dlouhodobý vývoj dočasné pracovní neschopnosti je významně ovlivňován legislativními změnami, týkajícími se výš</w:t>
      </w:r>
      <w:r>
        <w:t>e</w:t>
      </w:r>
      <w:r w:rsidRPr="00D92E20">
        <w:t xml:space="preserve"> dávek nemocenského pojištění a počátku jejich poskytování</w:t>
      </w:r>
      <w:r w:rsidRPr="00D92E20">
        <w:rPr>
          <w:bCs/>
          <w:szCs w:val="20"/>
        </w:rPr>
        <w:t xml:space="preserve">. Nejdůležitější legislativní změny, které byly přijaty v systému nemocenského pojištění přibližně v posledním desetiletí a které </w:t>
      </w:r>
      <w:r w:rsidR="0095252B">
        <w:rPr>
          <w:bCs/>
          <w:szCs w:val="20"/>
        </w:rPr>
        <w:t>zásadním</w:t>
      </w:r>
      <w:r w:rsidR="0095252B" w:rsidRPr="00D92E20">
        <w:rPr>
          <w:bCs/>
          <w:szCs w:val="20"/>
        </w:rPr>
        <w:t xml:space="preserve"> </w:t>
      </w:r>
      <w:r w:rsidRPr="00D92E20">
        <w:rPr>
          <w:bCs/>
          <w:szCs w:val="20"/>
        </w:rPr>
        <w:t xml:space="preserve">způsobem </w:t>
      </w:r>
      <w:r w:rsidR="0095252B">
        <w:rPr>
          <w:bCs/>
          <w:szCs w:val="20"/>
        </w:rPr>
        <w:t>působí</w:t>
      </w:r>
      <w:r w:rsidR="0095252B" w:rsidRPr="00D92E20">
        <w:rPr>
          <w:bCs/>
          <w:szCs w:val="20"/>
        </w:rPr>
        <w:t xml:space="preserve"> </w:t>
      </w:r>
      <w:r w:rsidRPr="00D92E20">
        <w:rPr>
          <w:bCs/>
          <w:szCs w:val="20"/>
        </w:rPr>
        <w:t xml:space="preserve">i </w:t>
      </w:r>
      <w:r w:rsidR="0095252B">
        <w:rPr>
          <w:bCs/>
          <w:szCs w:val="20"/>
        </w:rPr>
        <w:t xml:space="preserve">na </w:t>
      </w:r>
      <w:r w:rsidRPr="00D92E20">
        <w:rPr>
          <w:bCs/>
          <w:szCs w:val="20"/>
        </w:rPr>
        <w:t>srovnatelnost dat zdravotnické statistiky, jsou následující:</w:t>
      </w:r>
    </w:p>
    <w:p w14:paraId="47BF592E" w14:textId="77777777" w:rsidR="00AF2E68" w:rsidRPr="001E0F29" w:rsidRDefault="00AF2E68" w:rsidP="0011766E">
      <w:pPr>
        <w:pStyle w:val="Seznam"/>
        <w:numPr>
          <w:ilvl w:val="0"/>
          <w:numId w:val="25"/>
        </w:numPr>
        <w:spacing w:after="120"/>
        <w:ind w:left="777" w:hanging="357"/>
        <w:contextualSpacing w:val="0"/>
        <w:jc w:val="both"/>
        <w:rPr>
          <w:bCs/>
          <w:szCs w:val="20"/>
        </w:rPr>
      </w:pPr>
      <w:r w:rsidRPr="001E0F29">
        <w:rPr>
          <w:bCs/>
          <w:szCs w:val="20"/>
        </w:rPr>
        <w:lastRenderedPageBreak/>
        <w:t xml:space="preserve">V období let </w:t>
      </w:r>
      <w:r w:rsidRPr="001E0F29">
        <w:rPr>
          <w:b/>
          <w:bCs/>
          <w:szCs w:val="20"/>
        </w:rPr>
        <w:t>2010–2017</w:t>
      </w:r>
      <w:r w:rsidRPr="001E0F29">
        <w:rPr>
          <w:bCs/>
          <w:szCs w:val="20"/>
        </w:rPr>
        <w:t xml:space="preserve"> činila výše dávky za kalendářní den </w:t>
      </w:r>
      <w:r w:rsidRPr="001E0F29">
        <w:rPr>
          <w:b/>
          <w:bCs/>
          <w:szCs w:val="20"/>
        </w:rPr>
        <w:t>jednotně 60 %</w:t>
      </w:r>
      <w:r w:rsidRPr="001E0F29">
        <w:rPr>
          <w:bCs/>
          <w:szCs w:val="20"/>
        </w:rPr>
        <w:t xml:space="preserve"> redukovaného denního vyměřovacího základu</w:t>
      </w:r>
      <w:r w:rsidR="005E7BD6">
        <w:rPr>
          <w:bCs/>
          <w:szCs w:val="20"/>
        </w:rPr>
        <w:t xml:space="preserve"> bez ohledu na délku trvání dočasné pracovní neschopnosti.</w:t>
      </w:r>
    </w:p>
    <w:p w14:paraId="12CD24F0" w14:textId="77777777" w:rsidR="0011766E" w:rsidRPr="002E3A4E" w:rsidRDefault="0011766E" w:rsidP="0011766E">
      <w:pPr>
        <w:pStyle w:val="Seznam"/>
        <w:numPr>
          <w:ilvl w:val="0"/>
          <w:numId w:val="25"/>
        </w:numPr>
        <w:spacing w:after="120"/>
        <w:ind w:left="777" w:hanging="357"/>
        <w:contextualSpacing w:val="0"/>
        <w:jc w:val="both"/>
        <w:rPr>
          <w:bCs/>
          <w:szCs w:val="20"/>
        </w:rPr>
      </w:pPr>
      <w:r w:rsidRPr="002E3A4E">
        <w:rPr>
          <w:b/>
          <w:bCs/>
          <w:szCs w:val="20"/>
        </w:rPr>
        <w:t>Od 1. 1. 2011 do 31. 12. 2013</w:t>
      </w:r>
      <w:r w:rsidRPr="002E3A4E">
        <w:rPr>
          <w:bCs/>
          <w:szCs w:val="20"/>
        </w:rPr>
        <w:t xml:space="preserve"> začínala </w:t>
      </w:r>
      <w:r w:rsidRPr="002E3A4E">
        <w:rPr>
          <w:b/>
          <w:bCs/>
          <w:szCs w:val="20"/>
        </w:rPr>
        <w:t>podpůrčí doba u nemocenského</w:t>
      </w:r>
      <w:r w:rsidRPr="002E3A4E">
        <w:rPr>
          <w:bCs/>
          <w:szCs w:val="20"/>
        </w:rPr>
        <w:t xml:space="preserve"> až </w:t>
      </w:r>
      <w:r w:rsidRPr="002E3A4E">
        <w:rPr>
          <w:b/>
          <w:bCs/>
          <w:szCs w:val="20"/>
        </w:rPr>
        <w:t>22. kalendářním dnem</w:t>
      </w:r>
      <w:r w:rsidRPr="002E3A4E">
        <w:rPr>
          <w:bCs/>
          <w:szCs w:val="20"/>
        </w:rPr>
        <w:t xml:space="preserve"> trvání dočasné pracovní neschopnosti, v období 4. až 21. kalendářního dne poskytoval náhradu mzdy nebo platu podle zákoníku práce</w:t>
      </w:r>
      <w:r w:rsidR="00000210" w:rsidRPr="00000210">
        <w:rPr>
          <w:bCs/>
          <w:szCs w:val="20"/>
        </w:rPr>
        <w:t xml:space="preserve"> </w:t>
      </w:r>
      <w:r w:rsidR="00000210" w:rsidRPr="002E3A4E">
        <w:rPr>
          <w:bCs/>
          <w:szCs w:val="20"/>
        </w:rPr>
        <w:t>zaměstnanci</w:t>
      </w:r>
      <w:r w:rsidR="00000210" w:rsidRPr="00000210">
        <w:rPr>
          <w:bCs/>
          <w:szCs w:val="20"/>
        </w:rPr>
        <w:t xml:space="preserve"> </w:t>
      </w:r>
      <w:r w:rsidR="00000210" w:rsidRPr="002E3A4E">
        <w:rPr>
          <w:bCs/>
          <w:szCs w:val="20"/>
        </w:rPr>
        <w:t>zaměstnavatel</w:t>
      </w:r>
      <w:r w:rsidRPr="002E3A4E">
        <w:rPr>
          <w:bCs/>
          <w:szCs w:val="20"/>
        </w:rPr>
        <w:t>.</w:t>
      </w:r>
    </w:p>
    <w:p w14:paraId="630EBBE4" w14:textId="77777777" w:rsidR="0011766E" w:rsidRPr="0011766E" w:rsidRDefault="0011766E" w:rsidP="0011766E">
      <w:pPr>
        <w:pStyle w:val="Seznam"/>
        <w:numPr>
          <w:ilvl w:val="0"/>
          <w:numId w:val="25"/>
        </w:numPr>
        <w:spacing w:after="120"/>
        <w:ind w:left="777" w:hanging="357"/>
        <w:contextualSpacing w:val="0"/>
        <w:jc w:val="both"/>
        <w:rPr>
          <w:bCs/>
          <w:szCs w:val="20"/>
        </w:rPr>
      </w:pPr>
      <w:r w:rsidRPr="005E7BD6">
        <w:rPr>
          <w:b/>
          <w:bCs/>
          <w:szCs w:val="20"/>
        </w:rPr>
        <w:t>Od 1. 1. 2012</w:t>
      </w:r>
      <w:r w:rsidRPr="0011766E">
        <w:rPr>
          <w:bCs/>
          <w:szCs w:val="20"/>
        </w:rPr>
        <w:t xml:space="preserve"> byl novelou zákoníku práce a zákona o nemocenském pojištění </w:t>
      </w:r>
      <w:r w:rsidRPr="0011766E">
        <w:rPr>
          <w:b/>
          <w:bCs/>
          <w:szCs w:val="20"/>
        </w:rPr>
        <w:t>rozšířen okruh nemocensky pojištěných osob</w:t>
      </w:r>
      <w:r w:rsidRPr="0011766E">
        <w:rPr>
          <w:bCs/>
          <w:szCs w:val="20"/>
        </w:rPr>
        <w:t xml:space="preserve"> o zaměstnance činné na základě </w:t>
      </w:r>
      <w:r w:rsidRPr="0011766E">
        <w:rPr>
          <w:b/>
          <w:bCs/>
          <w:szCs w:val="20"/>
        </w:rPr>
        <w:t>dohody o provedení práce</w:t>
      </w:r>
      <w:r w:rsidRPr="0011766E">
        <w:rPr>
          <w:bCs/>
          <w:szCs w:val="20"/>
        </w:rPr>
        <w:t xml:space="preserve"> při výkonu práce na území ČR a při započitatelném </w:t>
      </w:r>
      <w:r w:rsidRPr="0011766E">
        <w:rPr>
          <w:b/>
          <w:bCs/>
          <w:szCs w:val="20"/>
        </w:rPr>
        <w:t>příjmu vyšším než 10 tis. Kč</w:t>
      </w:r>
      <w:r w:rsidRPr="0011766E">
        <w:rPr>
          <w:bCs/>
          <w:szCs w:val="20"/>
        </w:rPr>
        <w:t xml:space="preserve"> v kalendářním měsíci.</w:t>
      </w:r>
    </w:p>
    <w:p w14:paraId="474AF637" w14:textId="77777777" w:rsidR="0011766E" w:rsidRPr="0011766E" w:rsidRDefault="0011766E" w:rsidP="0011766E">
      <w:pPr>
        <w:pStyle w:val="Seznam"/>
        <w:numPr>
          <w:ilvl w:val="0"/>
          <w:numId w:val="25"/>
        </w:numPr>
        <w:spacing w:after="120"/>
        <w:ind w:left="777" w:hanging="357"/>
        <w:contextualSpacing w:val="0"/>
        <w:jc w:val="both"/>
        <w:rPr>
          <w:rFonts w:cs="Arial"/>
          <w:szCs w:val="20"/>
        </w:rPr>
      </w:pPr>
      <w:r w:rsidRPr="0011766E">
        <w:rPr>
          <w:b/>
          <w:bCs/>
          <w:szCs w:val="20"/>
        </w:rPr>
        <w:t>Od 1. 1. 2014</w:t>
      </w:r>
      <w:r w:rsidRPr="0011766E">
        <w:rPr>
          <w:bCs/>
          <w:szCs w:val="20"/>
        </w:rPr>
        <w:t xml:space="preserve"> byla ukončena platnost přechodného ustanovení o délce poskytování náhrady mzdy nebo platu; </w:t>
      </w:r>
      <w:r w:rsidRPr="0011766E">
        <w:rPr>
          <w:b/>
          <w:bCs/>
          <w:szCs w:val="20"/>
        </w:rPr>
        <w:t>nárok na nemocenské</w:t>
      </w:r>
      <w:r w:rsidRPr="0011766E">
        <w:rPr>
          <w:bCs/>
          <w:szCs w:val="20"/>
        </w:rPr>
        <w:t xml:space="preserve"> tedy vznikl </w:t>
      </w:r>
      <w:r w:rsidRPr="0011766E">
        <w:rPr>
          <w:b/>
          <w:bCs/>
          <w:szCs w:val="20"/>
        </w:rPr>
        <w:t>od 15. kalendářního dne</w:t>
      </w:r>
      <w:r w:rsidRPr="0011766E">
        <w:rPr>
          <w:bCs/>
          <w:szCs w:val="20"/>
        </w:rPr>
        <w:t xml:space="preserve"> trvání dočasné pracovní neschopnosti.</w:t>
      </w:r>
    </w:p>
    <w:p w14:paraId="21D47466" w14:textId="77777777" w:rsidR="0011766E" w:rsidRPr="00D92E20" w:rsidRDefault="0011766E" w:rsidP="0011766E">
      <w:pPr>
        <w:pStyle w:val="Seznam"/>
        <w:numPr>
          <w:ilvl w:val="0"/>
          <w:numId w:val="25"/>
        </w:numPr>
        <w:spacing w:after="120"/>
        <w:contextualSpacing w:val="0"/>
        <w:jc w:val="both"/>
        <w:rPr>
          <w:bCs/>
          <w:szCs w:val="20"/>
        </w:rPr>
      </w:pPr>
      <w:r w:rsidRPr="007C3147">
        <w:rPr>
          <w:bCs/>
          <w:szCs w:val="20"/>
        </w:rPr>
        <w:t xml:space="preserve">Zvýšení nemocenského </w:t>
      </w:r>
      <w:r>
        <w:rPr>
          <w:bCs/>
          <w:szCs w:val="20"/>
        </w:rPr>
        <w:t xml:space="preserve">s účinností </w:t>
      </w:r>
      <w:r w:rsidRPr="005E7BD6">
        <w:rPr>
          <w:b/>
          <w:bCs/>
          <w:szCs w:val="20"/>
        </w:rPr>
        <w:t>od 1. ledna 2018</w:t>
      </w:r>
      <w:r w:rsidRPr="007C3147">
        <w:rPr>
          <w:bCs/>
          <w:szCs w:val="20"/>
        </w:rPr>
        <w:t xml:space="preserve">. </w:t>
      </w:r>
      <w:r w:rsidRPr="004F44E4">
        <w:rPr>
          <w:b/>
          <w:bCs/>
          <w:szCs w:val="20"/>
        </w:rPr>
        <w:t>Od 31. kalendářního dne</w:t>
      </w:r>
      <w:r>
        <w:rPr>
          <w:bCs/>
          <w:szCs w:val="20"/>
        </w:rPr>
        <w:t xml:space="preserve"> dočasné </w:t>
      </w:r>
      <w:r w:rsidRPr="007C3147">
        <w:rPr>
          <w:bCs/>
          <w:szCs w:val="20"/>
        </w:rPr>
        <w:t xml:space="preserve">pracovní neschopnosti nebo karantény (dále jen „dočasná pracovní neschopnost“) </w:t>
      </w:r>
      <w:r w:rsidRPr="004F44E4">
        <w:rPr>
          <w:b/>
          <w:bCs/>
          <w:szCs w:val="20"/>
        </w:rPr>
        <w:t>se zvýšila sazba</w:t>
      </w:r>
      <w:r w:rsidRPr="007C3147">
        <w:rPr>
          <w:bCs/>
          <w:szCs w:val="20"/>
        </w:rPr>
        <w:t xml:space="preserve"> z 60 % na </w:t>
      </w:r>
      <w:r w:rsidRPr="004F44E4">
        <w:rPr>
          <w:b/>
          <w:bCs/>
          <w:szCs w:val="20"/>
        </w:rPr>
        <w:t xml:space="preserve">66 % redukovaného denního vyměřovacího základu </w:t>
      </w:r>
      <w:r>
        <w:rPr>
          <w:bCs/>
          <w:szCs w:val="20"/>
        </w:rPr>
        <w:t xml:space="preserve">a dále </w:t>
      </w:r>
      <w:r w:rsidRPr="004F44E4">
        <w:rPr>
          <w:b/>
          <w:bCs/>
          <w:szCs w:val="20"/>
        </w:rPr>
        <w:t>od 61. kalendářního dne</w:t>
      </w:r>
      <w:r>
        <w:rPr>
          <w:bCs/>
          <w:szCs w:val="20"/>
        </w:rPr>
        <w:t xml:space="preserve"> dočasné pracovní </w:t>
      </w:r>
      <w:r w:rsidRPr="007C3147">
        <w:rPr>
          <w:bCs/>
          <w:szCs w:val="20"/>
        </w:rPr>
        <w:t>neschopnosti</w:t>
      </w:r>
      <w:r>
        <w:rPr>
          <w:bCs/>
          <w:szCs w:val="20"/>
        </w:rPr>
        <w:t xml:space="preserve"> </w:t>
      </w:r>
      <w:r w:rsidRPr="004F44E4">
        <w:rPr>
          <w:b/>
          <w:bCs/>
          <w:szCs w:val="20"/>
        </w:rPr>
        <w:t>se zvýšila sazba</w:t>
      </w:r>
      <w:r>
        <w:rPr>
          <w:bCs/>
          <w:szCs w:val="20"/>
        </w:rPr>
        <w:t xml:space="preserve"> z 60 % </w:t>
      </w:r>
      <w:r w:rsidRPr="004F44E4">
        <w:rPr>
          <w:b/>
          <w:bCs/>
          <w:szCs w:val="20"/>
        </w:rPr>
        <w:t>na 72 %</w:t>
      </w:r>
      <w:r w:rsidRPr="007C3147">
        <w:rPr>
          <w:bCs/>
          <w:szCs w:val="20"/>
        </w:rPr>
        <w:t xml:space="preserve"> redukovaného denního vyměřovacího základu.</w:t>
      </w:r>
    </w:p>
    <w:p w14:paraId="6E822D6A" w14:textId="77777777" w:rsidR="005E7BD6" w:rsidRPr="005E7BD6" w:rsidRDefault="0011766E" w:rsidP="005E7BD6">
      <w:pPr>
        <w:pStyle w:val="Seznam"/>
        <w:numPr>
          <w:ilvl w:val="0"/>
          <w:numId w:val="25"/>
        </w:numPr>
        <w:spacing w:after="120"/>
        <w:contextualSpacing w:val="0"/>
        <w:jc w:val="both"/>
        <w:rPr>
          <w:bCs/>
          <w:szCs w:val="20"/>
        </w:rPr>
      </w:pPr>
      <w:r w:rsidRPr="00D92E20">
        <w:rPr>
          <w:rFonts w:cs="Arial"/>
          <w:szCs w:val="20"/>
        </w:rPr>
        <w:t xml:space="preserve">S účinností </w:t>
      </w:r>
      <w:r w:rsidRPr="005E7BD6">
        <w:rPr>
          <w:rFonts w:cs="Arial"/>
          <w:b/>
          <w:szCs w:val="20"/>
        </w:rPr>
        <w:t>od 1. července 2019</w:t>
      </w:r>
      <w:r w:rsidRPr="00D92E20">
        <w:rPr>
          <w:rFonts w:cs="Arial"/>
          <w:szCs w:val="20"/>
        </w:rPr>
        <w:t xml:space="preserve"> byla </w:t>
      </w:r>
      <w:r w:rsidRPr="00D92E20">
        <w:rPr>
          <w:rFonts w:cs="Arial"/>
          <w:b/>
          <w:szCs w:val="20"/>
        </w:rPr>
        <w:t>snížena sazba pojistného na nemocenské pojištění</w:t>
      </w:r>
      <w:r w:rsidRPr="00D92E20">
        <w:rPr>
          <w:rFonts w:cs="Arial"/>
          <w:szCs w:val="20"/>
        </w:rPr>
        <w:t xml:space="preserve"> pro zaměstnavatele a OSVČ </w:t>
      </w:r>
      <w:r w:rsidRPr="00D92E20">
        <w:t>z 2,3 %</w:t>
      </w:r>
      <w:r w:rsidRPr="00D92E20">
        <w:rPr>
          <w:b/>
        </w:rPr>
        <w:t xml:space="preserve"> na 2,1 % z vyměřovacího základu</w:t>
      </w:r>
      <w:r w:rsidRPr="00D92E20">
        <w:t xml:space="preserve"> (</w:t>
      </w:r>
      <w:r w:rsidRPr="00D92E20">
        <w:rPr>
          <w:rFonts w:cs="Arial"/>
          <w:szCs w:val="20"/>
        </w:rPr>
        <w:t xml:space="preserve">zákon č. 32/2019 </w:t>
      </w:r>
      <w:r w:rsidRPr="005E7BD6">
        <w:rPr>
          <w:bCs/>
          <w:szCs w:val="20"/>
        </w:rPr>
        <w:t>Sb.).</w:t>
      </w:r>
    </w:p>
    <w:p w14:paraId="13153CD6" w14:textId="77777777" w:rsidR="0011766E" w:rsidRPr="0011766E" w:rsidRDefault="0011766E" w:rsidP="00F51D73">
      <w:pPr>
        <w:pStyle w:val="Seznam"/>
        <w:numPr>
          <w:ilvl w:val="0"/>
          <w:numId w:val="25"/>
        </w:numPr>
        <w:spacing w:after="120"/>
        <w:contextualSpacing w:val="0"/>
        <w:jc w:val="both"/>
      </w:pPr>
      <w:r w:rsidRPr="0004776E">
        <w:rPr>
          <w:bCs/>
          <w:szCs w:val="20"/>
        </w:rPr>
        <w:t xml:space="preserve">S účinností </w:t>
      </w:r>
      <w:r w:rsidRPr="0004776E">
        <w:rPr>
          <w:b/>
          <w:bCs/>
          <w:szCs w:val="20"/>
        </w:rPr>
        <w:t>od 1. července</w:t>
      </w:r>
      <w:r w:rsidR="005E7BD6" w:rsidRPr="0004776E">
        <w:rPr>
          <w:bCs/>
          <w:szCs w:val="20"/>
        </w:rPr>
        <w:t xml:space="preserve"> </w:t>
      </w:r>
      <w:r w:rsidR="005E7BD6" w:rsidRPr="0004776E">
        <w:rPr>
          <w:b/>
          <w:bCs/>
          <w:szCs w:val="20"/>
        </w:rPr>
        <w:t>2019</w:t>
      </w:r>
      <w:r w:rsidRPr="0004776E">
        <w:rPr>
          <w:bCs/>
          <w:szCs w:val="20"/>
        </w:rPr>
        <w:t xml:space="preserve"> náleží náhrada mzdy, platu nebo odměny z dohody ve</w:t>
      </w:r>
      <w:r w:rsidRPr="0004776E">
        <w:rPr>
          <w:rFonts w:cs="Arial"/>
          <w:szCs w:val="20"/>
        </w:rPr>
        <w:t xml:space="preserve"> výši 60 % redukovaného průměrného výdělku </w:t>
      </w:r>
      <w:r w:rsidRPr="0004776E">
        <w:rPr>
          <w:rFonts w:cs="Arial"/>
          <w:b/>
          <w:szCs w:val="20"/>
        </w:rPr>
        <w:t>i za první tři dny</w:t>
      </w:r>
      <w:r w:rsidRPr="0004776E">
        <w:rPr>
          <w:rFonts w:cs="Arial"/>
          <w:szCs w:val="20"/>
        </w:rPr>
        <w:t xml:space="preserve"> dočasné pracovní neschopnosti (</w:t>
      </w:r>
      <w:r w:rsidRPr="0004776E">
        <w:rPr>
          <w:rFonts w:cs="Arial"/>
          <w:b/>
          <w:szCs w:val="20"/>
        </w:rPr>
        <w:t>zrušení karenční doby</w:t>
      </w:r>
      <w:r w:rsidRPr="0004776E">
        <w:rPr>
          <w:rFonts w:cs="Arial"/>
          <w:szCs w:val="20"/>
        </w:rPr>
        <w:t>).</w:t>
      </w:r>
    </w:p>
    <w:p w14:paraId="642BB682" w14:textId="77777777" w:rsidR="001B4707" w:rsidRDefault="001B4707">
      <w:pPr>
        <w:spacing w:after="0" w:line="240" w:lineRule="auto"/>
        <w:rPr>
          <w:rFonts w:eastAsia="MS Gothic"/>
          <w:b/>
          <w:bCs/>
          <w:color w:val="BC091B"/>
          <w:sz w:val="28"/>
          <w:szCs w:val="26"/>
        </w:rPr>
      </w:pPr>
      <w:r>
        <w:br w:type="page"/>
      </w:r>
    </w:p>
    <w:p w14:paraId="30CBA500" w14:textId="0BA215D1" w:rsidR="0011766E" w:rsidRDefault="00AF2E68" w:rsidP="00AF2E68">
      <w:pPr>
        <w:pStyle w:val="Nadpis2"/>
      </w:pPr>
      <w:bookmarkStart w:id="9" w:name="_Toc104792905"/>
      <w:r>
        <w:lastRenderedPageBreak/>
        <w:t>3. Metodika a zdroje dat</w:t>
      </w:r>
      <w:bookmarkEnd w:id="9"/>
    </w:p>
    <w:p w14:paraId="0F85C0E0" w14:textId="77777777" w:rsidR="00AF2E68" w:rsidRPr="00D92E20" w:rsidRDefault="00AF2E68" w:rsidP="00AF2E68">
      <w:pPr>
        <w:autoSpaceDE w:val="0"/>
        <w:autoSpaceDN w:val="0"/>
        <w:adjustRightInd w:val="0"/>
        <w:spacing w:after="120"/>
        <w:jc w:val="both"/>
        <w:rPr>
          <w:rFonts w:cs="Arial"/>
        </w:rPr>
      </w:pPr>
      <w:r w:rsidRPr="00D92E20">
        <w:rPr>
          <w:rFonts w:cs="Arial"/>
        </w:rPr>
        <w:t xml:space="preserve">Základní časové řady statistik dočasné pracovní neschopnosti pro nemoc a úraz v ČR jsou sledovány Českým statistickým úřadem (dále ČSÚ) již od roku 1963. Do roku 2011 byly statistické údaje o dočasné pracovní neschopnosti pro nemoc a úraz zjišťovány prostřednictvím státního statistického </w:t>
      </w:r>
      <w:r w:rsidRPr="00D92E20">
        <w:rPr>
          <w:rFonts w:cs="Arial"/>
          <w:b/>
        </w:rPr>
        <w:t>výkazu Nem Úr 1–02</w:t>
      </w:r>
      <w:r w:rsidRPr="00D92E20">
        <w:rPr>
          <w:rFonts w:cs="Arial"/>
        </w:rPr>
        <w:t>. V důsledku snižování administrativní náročnosti a zátěže zpravodajských jednotek byl Výkaz o</w:t>
      </w:r>
      <w:r>
        <w:rPr>
          <w:rFonts w:cs="Arial"/>
        </w:rPr>
        <w:t> </w:t>
      </w:r>
      <w:r w:rsidRPr="00D92E20">
        <w:rPr>
          <w:rFonts w:cs="Arial"/>
        </w:rPr>
        <w:t xml:space="preserve">pracovní neschopnosti pro nemoc a úraz Nem Úr 1–02 nahrazen údaji dostupnými z administrativních zdrojů. </w:t>
      </w:r>
    </w:p>
    <w:p w14:paraId="19451CFB" w14:textId="77777777" w:rsidR="00AF2E68" w:rsidRPr="00D92E20" w:rsidRDefault="00AF2E68" w:rsidP="00AF2E68">
      <w:pPr>
        <w:autoSpaceDE w:val="0"/>
        <w:autoSpaceDN w:val="0"/>
        <w:adjustRightInd w:val="0"/>
        <w:spacing w:after="120"/>
        <w:jc w:val="both"/>
        <w:rPr>
          <w:rFonts w:cs="Arial"/>
        </w:rPr>
      </w:pPr>
      <w:r w:rsidRPr="00D92E20">
        <w:rPr>
          <w:rFonts w:cs="Arial"/>
          <w:b/>
        </w:rPr>
        <w:t>Počínaje rokem 2012</w:t>
      </w:r>
      <w:r w:rsidRPr="00D92E20">
        <w:rPr>
          <w:rFonts w:cs="Arial"/>
        </w:rPr>
        <w:t>, zajišťuje ČSÚ na základě smluvního ujednání s Ministerstvem práce a sociálních věcí (MPSV) a Českou správou sociálního zabezpečení (ČSSZ) údaje pro statistiku dočasné pracovní neschopnosti pro nemoc a úraz zpracováním dat z </w:t>
      </w:r>
      <w:r w:rsidRPr="00D92E20">
        <w:rPr>
          <w:rFonts w:cs="Arial"/>
          <w:b/>
        </w:rPr>
        <w:t>administrativního zdroje Informačního systému ČSSZ</w:t>
      </w:r>
      <w:r w:rsidRPr="00D92E20">
        <w:rPr>
          <w:rFonts w:cs="Arial"/>
        </w:rPr>
        <w:t xml:space="preserve">. </w:t>
      </w:r>
      <w:r w:rsidRPr="00D92E20">
        <w:rPr>
          <w:rFonts w:cs="Arial"/>
          <w:szCs w:val="20"/>
        </w:rPr>
        <w:t>Z důvodu změny metodiky a odlišného sběru a zpracování dat nejsou data od roku 2012 plně srovnatelná s údaji za předchozí období.</w:t>
      </w:r>
    </w:p>
    <w:p w14:paraId="0B75873A" w14:textId="77777777" w:rsidR="00AF2E68" w:rsidRPr="00D92E20" w:rsidRDefault="00AF2E68" w:rsidP="00AF2E68">
      <w:pPr>
        <w:spacing w:after="120"/>
        <w:jc w:val="both"/>
      </w:pPr>
      <w:r w:rsidRPr="00D92E20">
        <w:t xml:space="preserve">Vstupním zdrojem a podkladem pro zpracování dat této publikace jsou údaje o dočasné pracovní neschopnosti pro nemoc a úraz nahlášené České správě sociálního zabezpečení prostřednictvím </w:t>
      </w:r>
      <w:r w:rsidRPr="00D92E20">
        <w:rPr>
          <w:b/>
        </w:rPr>
        <w:t>„Rozhodnutí o dočasné pracovní neschopnosti“</w:t>
      </w:r>
      <w:r w:rsidRPr="00D92E20">
        <w:t xml:space="preserve">, které elektronicky </w:t>
      </w:r>
      <w:r>
        <w:rPr>
          <w:b/>
        </w:rPr>
        <w:t>(tzv. „eNeschopenky</w:t>
      </w:r>
      <w:r w:rsidRPr="00D92E20">
        <w:rPr>
          <w:b/>
        </w:rPr>
        <w:t xml:space="preserve">“) </w:t>
      </w:r>
      <w:r w:rsidRPr="00D92E20">
        <w:t>vystavuje ošetřující lékař. Používání elektronického systému pro vydávání neschopností je od 1. 1. 2020 povinné</w:t>
      </w:r>
      <w:r w:rsidRPr="00D92E20">
        <w:rPr>
          <w:rStyle w:val="Znakapoznpodarou"/>
        </w:rPr>
        <w:footnoteReference w:id="3"/>
      </w:r>
      <w:r w:rsidRPr="00D92E20">
        <w:t>.</w:t>
      </w:r>
    </w:p>
    <w:p w14:paraId="36D17ED5" w14:textId="77777777" w:rsidR="00AF2E68" w:rsidRPr="00D92E20" w:rsidRDefault="00AF2E68" w:rsidP="00AF2E68">
      <w:pPr>
        <w:spacing w:after="120"/>
        <w:jc w:val="both"/>
      </w:pPr>
      <w:r w:rsidRPr="00D92E20">
        <w:t>Díky evidenci jsou zaznamenána veškerá onemocnění a úrazy, které zapříčinily alespoň jednodenní pracovní neschopnost u nemocensky pojištěných osob. Administrativní data Informačního systému ČSSZ obsahují údaje za všechny zaměstnance</w:t>
      </w:r>
      <w:r w:rsidRPr="00D92E20">
        <w:rPr>
          <w:rStyle w:val="Znakapoznpodarou"/>
        </w:rPr>
        <w:footnoteReference w:id="4"/>
      </w:r>
      <w:r w:rsidRPr="00D92E20">
        <w:t>, ať již zaměstnané právnickou či fyzickou osobou</w:t>
      </w:r>
      <w:r>
        <w:t>,</w:t>
      </w:r>
      <w:r w:rsidRPr="00D92E20">
        <w:t xml:space="preserve"> i data za osoby samostatně výdělečně činné (OSVČ). Zaměstnanci jsou povinně účastni nemocenského pojištění, na rozdíl od OSVČ, jejichž nemocenské pojištění je dobrovolné.</w:t>
      </w:r>
    </w:p>
    <w:p w14:paraId="1DFB8527" w14:textId="77777777" w:rsidR="00AF2E68" w:rsidRPr="00D92E20" w:rsidRDefault="00AF2E68" w:rsidP="00AF2E68">
      <w:pPr>
        <w:autoSpaceDE w:val="0"/>
        <w:autoSpaceDN w:val="0"/>
        <w:adjustRightInd w:val="0"/>
        <w:spacing w:after="120"/>
        <w:jc w:val="both"/>
        <w:rPr>
          <w:rFonts w:cs="Arial"/>
        </w:rPr>
      </w:pPr>
      <w:r w:rsidRPr="00D92E20">
        <w:rPr>
          <w:rFonts w:cs="Arial"/>
        </w:rPr>
        <w:t xml:space="preserve">ČSSZ za účelem zajištění statistiky dočasné pracovní neschopnosti pro nemoc a úraz poskytuje ČSÚ </w:t>
      </w:r>
      <w:r w:rsidRPr="00D92E20">
        <w:rPr>
          <w:rFonts w:cs="Arial"/>
          <w:b/>
        </w:rPr>
        <w:t xml:space="preserve">datové soubory administrativních </w:t>
      </w:r>
      <w:r w:rsidRPr="00D92E20">
        <w:rPr>
          <w:rFonts w:cs="Arial"/>
        </w:rPr>
        <w:t>agregovaných</w:t>
      </w:r>
      <w:r w:rsidRPr="00D92E20">
        <w:rPr>
          <w:rFonts w:cs="Arial"/>
          <w:b/>
        </w:rPr>
        <w:t xml:space="preserve"> dat o nově hlášených případech</w:t>
      </w:r>
      <w:r w:rsidRPr="00D92E20">
        <w:rPr>
          <w:rFonts w:cs="Arial"/>
        </w:rPr>
        <w:t xml:space="preserve"> dočasné pracovní neschopnosti zaměstnanců a OSVČ, které jsou na ČSÚ dále zpracovány a doplněny s využitím informací z Registru ekonomických subjektů.</w:t>
      </w:r>
    </w:p>
    <w:p w14:paraId="552FDF7D" w14:textId="77777777" w:rsidR="00AF2E68" w:rsidRPr="00D92E20" w:rsidRDefault="00AF2E68" w:rsidP="00AF2E68">
      <w:pPr>
        <w:pStyle w:val="Seznam"/>
        <w:spacing w:after="60"/>
        <w:contextualSpacing w:val="0"/>
        <w:jc w:val="both"/>
      </w:pPr>
      <w:r w:rsidRPr="00D92E20">
        <w:t xml:space="preserve">Výstupem zpracování dat Českým statistickým úřadem jsou následující statistické </w:t>
      </w:r>
      <w:r w:rsidRPr="00D92E20">
        <w:rPr>
          <w:b/>
        </w:rPr>
        <w:t>ukazatele</w:t>
      </w:r>
      <w:r w:rsidRPr="00D92E20">
        <w:t>:</w:t>
      </w:r>
    </w:p>
    <w:p w14:paraId="289DB2B3" w14:textId="77777777" w:rsidR="00AF2E68" w:rsidRPr="00451C9E" w:rsidRDefault="00AF2E68" w:rsidP="00AF2E68">
      <w:pPr>
        <w:pStyle w:val="Seznam"/>
        <w:numPr>
          <w:ilvl w:val="0"/>
          <w:numId w:val="26"/>
        </w:numPr>
        <w:spacing w:after="120"/>
        <w:ind w:left="714" w:hanging="357"/>
        <w:contextualSpacing w:val="0"/>
        <w:jc w:val="both"/>
        <w:rPr>
          <w:i/>
        </w:rPr>
      </w:pPr>
      <w:r w:rsidRPr="00451C9E">
        <w:rPr>
          <w:b/>
        </w:rPr>
        <w:t>Průměrný počet nemocensky pojištěných osob</w:t>
      </w:r>
      <w:r w:rsidRPr="00451C9E">
        <w:t xml:space="preserve"> – ukazatel udává průměrný počet osob, které jsou povinně či dobrovolně nemocensky pojištěné podle zákona o nemocenském pojištění. Zahrnuje všechny osoby, které byly alespoň po jeden den vykazovaného období nemocensky pojištěné. V případě více překrývajících se pojistných vztahů pojištěnce v rámci jednoho zaměstnavatele a jedné mzdové účtárny se započítává pojištěnec pouze jedenkrát. V ostatních případech je pojištěnec započítáván tolikrát, kolik má pracovněprávních pojistných vztahů. </w:t>
      </w:r>
      <w:r w:rsidRPr="00451C9E">
        <w:rPr>
          <w:i/>
        </w:rPr>
        <w:t>Do průměrného počtu nemocensky pojištěných nejsou započteni vojáci z povolání a příslušníci Policie ČR, Hasičského záchranného sboru ČR, Celní správy ČR, Vězeňské služby ČR, Generální inspekce bezpečnostních sborů, Bezpečnostní informační služby a Úřadu pro zahraniční styky a informace.</w:t>
      </w:r>
    </w:p>
    <w:p w14:paraId="44DD5345" w14:textId="77777777" w:rsidR="00AF2E68" w:rsidRPr="00451C9E" w:rsidRDefault="00AF2E68" w:rsidP="00AF2E68">
      <w:pPr>
        <w:pStyle w:val="Seznam"/>
        <w:numPr>
          <w:ilvl w:val="0"/>
          <w:numId w:val="26"/>
        </w:numPr>
        <w:spacing w:after="120"/>
        <w:ind w:left="714" w:hanging="357"/>
        <w:contextualSpacing w:val="0"/>
        <w:jc w:val="both"/>
      </w:pPr>
      <w:r w:rsidRPr="00451C9E">
        <w:rPr>
          <w:b/>
        </w:rPr>
        <w:lastRenderedPageBreak/>
        <w:t>Průměrný počet nemocensky pojištěných mladistvých</w:t>
      </w:r>
      <w:r w:rsidRPr="00451C9E">
        <w:t xml:space="preserve"> – ukazatel udává průměrný počet nemocensky pojištěných osob mladších 18 let (viz § 350 odst. 2 zákona č. 262/2006 Sb., zákoník práce, ve znění pozdějších předpisů).</w:t>
      </w:r>
    </w:p>
    <w:p w14:paraId="79D05A86" w14:textId="77777777" w:rsidR="00AF2E68" w:rsidRPr="00451C9E" w:rsidRDefault="00AF2E68" w:rsidP="00AF2E68">
      <w:pPr>
        <w:pStyle w:val="Seznam"/>
        <w:numPr>
          <w:ilvl w:val="0"/>
          <w:numId w:val="26"/>
        </w:numPr>
        <w:spacing w:after="120"/>
        <w:ind w:left="714" w:hanging="357"/>
        <w:contextualSpacing w:val="0"/>
        <w:jc w:val="both"/>
      </w:pPr>
      <w:r w:rsidRPr="00451C9E">
        <w:rPr>
          <w:b/>
        </w:rPr>
        <w:t>Počet pracovněprávních pojistných vztahů</w:t>
      </w:r>
      <w:r w:rsidRPr="00451C9E">
        <w:t xml:space="preserve"> – </w:t>
      </w:r>
      <w:r w:rsidRPr="00451C9E">
        <w:rPr>
          <w:rFonts w:cs="Arial"/>
          <w:szCs w:val="20"/>
        </w:rPr>
        <w:t>ukazatel udává celkový počet pojistných vztahů nemocensky pojištěných osob, které byly alespoň 1 den vykazovaného období nemocensky pojištěné u daného zaměstnavatele. U zaměstnanců právnických osob a zaměstnanců fyzických osob se započítávají pojistné vztahy všech zaměstnanců nemocensky pojištěných dle § 5 zákona o nemocenském pojištění a účastných pojištění dle § 6 až 10 tohoto zákona (zahrnuje i osoby pobírající dávku ošetřovné, peněžitá pomoc v mateřství, rodičovský příspěvek a vyrovnávací příspěvek v těhotenství a mateřství a osoby vykonávající zaměstnání malého rozsahu). V případě více pojistných vztahů jedné osoby na dané mzdové účtárně se započtou všechny takové pojistné vztahy. Pokud se však pojistné vztahy shodného druhu jedné osoby u jednoho zaměstnavatele překrývají nebo navazují bez mezery, je jejich sjednocení považováno za jeden pojistný vztah.</w:t>
      </w:r>
    </w:p>
    <w:p w14:paraId="492DCC6D" w14:textId="77777777" w:rsidR="00AF2E68" w:rsidRPr="00451C9E" w:rsidRDefault="00AF2E68" w:rsidP="00AF2E68">
      <w:pPr>
        <w:pStyle w:val="Seznam"/>
        <w:numPr>
          <w:ilvl w:val="0"/>
          <w:numId w:val="26"/>
        </w:numPr>
        <w:spacing w:after="120"/>
        <w:ind w:left="714" w:hanging="357"/>
        <w:contextualSpacing w:val="0"/>
        <w:jc w:val="both"/>
      </w:pPr>
      <w:r w:rsidRPr="00451C9E">
        <w:rPr>
          <w:b/>
        </w:rPr>
        <w:t>Počet nově hlášených případů dočasné pracovní neschopnosti</w:t>
      </w:r>
      <w:r w:rsidRPr="00451C9E">
        <w:t xml:space="preserve"> – ukazatel zahrnuje nově hlášené případy pracovní neschopnosti vzniklé ve sledovaném období (</w:t>
      </w:r>
      <w:r w:rsidR="00451C9E" w:rsidRPr="00451C9E">
        <w:t>roce</w:t>
      </w:r>
      <w:r w:rsidRPr="00451C9E">
        <w:t>) na základě hlášení o vzniku pracovní neschopnosti nemocensky pojištěných osob. Do počtu případů patří i pracovní neschopnost vzniklá po zániku pojištění v tzv. ochranné lhůtě sedmi kalendářních dnů.</w:t>
      </w:r>
    </w:p>
    <w:p w14:paraId="7D085446" w14:textId="77777777" w:rsidR="00AF2E68" w:rsidRPr="00451C9E" w:rsidRDefault="00AF2E68" w:rsidP="00AF2E68">
      <w:pPr>
        <w:pStyle w:val="Seznam"/>
        <w:numPr>
          <w:ilvl w:val="0"/>
          <w:numId w:val="26"/>
        </w:numPr>
        <w:spacing w:after="120"/>
        <w:ind w:left="714" w:hanging="357"/>
        <w:contextualSpacing w:val="0"/>
        <w:jc w:val="both"/>
        <w:rPr>
          <w:spacing w:val="-2"/>
        </w:rPr>
      </w:pPr>
      <w:r w:rsidRPr="00451C9E">
        <w:rPr>
          <w:b/>
        </w:rPr>
        <w:t xml:space="preserve">Počet případů pracovní neschopnosti na 100 pojištěnců </w:t>
      </w:r>
      <w:r w:rsidRPr="00451C9E">
        <w:t xml:space="preserve">– </w:t>
      </w:r>
      <w:r w:rsidRPr="00451C9E">
        <w:rPr>
          <w:spacing w:val="-2"/>
        </w:rPr>
        <w:t>ukazatel vyjadřuje počet nově hlášených případů pracovní neschopnosti, které připadají v průměru na 100 nemocensky pojištěných osob.</w:t>
      </w:r>
    </w:p>
    <w:p w14:paraId="43960A19" w14:textId="77777777" w:rsidR="00AF2E68" w:rsidRPr="00451C9E" w:rsidRDefault="00AF2E68" w:rsidP="00AF2E68">
      <w:pPr>
        <w:pStyle w:val="Seznam"/>
        <w:numPr>
          <w:ilvl w:val="0"/>
          <w:numId w:val="26"/>
        </w:numPr>
        <w:spacing w:after="120"/>
        <w:ind w:left="714" w:hanging="357"/>
        <w:contextualSpacing w:val="0"/>
        <w:jc w:val="both"/>
      </w:pPr>
      <w:r w:rsidRPr="00451C9E">
        <w:rPr>
          <w:b/>
        </w:rPr>
        <w:t>Počet kalendářních dnů dočasné pracovní neschopnosti</w:t>
      </w:r>
      <w:r w:rsidRPr="00451C9E">
        <w:t xml:space="preserve"> – ukazatel udává celkový počet kalendářních dnů, po které byli v daném období (</w:t>
      </w:r>
      <w:r w:rsidR="00451C9E" w:rsidRPr="00451C9E">
        <w:t>roce</w:t>
      </w:r>
      <w:r w:rsidRPr="00451C9E">
        <w:t>) nemocensky pojištění práce neschopni. Počet kalendářních dnů strávených v pracovní neschopnosti je zjišťován na základě hlášení o vzniku a ukončení pracovní neschopnosti. Údaj zahrnuje dny pracovní neschopnosti vč. dnů u těch případů, které vznikly před sledovaným obdobím</w:t>
      </w:r>
      <w:r w:rsidR="00D81FD5">
        <w:t xml:space="preserve">, přičemž </w:t>
      </w:r>
      <w:r w:rsidRPr="00451C9E">
        <w:t>v počtu nově hlášených případů dočasné pracovní neschopnosti za toto období zařazeny nejsou. Maximální doba zápočtu je délka sledovaného období (</w:t>
      </w:r>
      <w:r w:rsidR="00451C9E" w:rsidRPr="00451C9E">
        <w:t>365 resp. 366 dnů</w:t>
      </w:r>
      <w:r w:rsidRPr="00451C9E">
        <w:t>) bez ohledu na délku trvání pracovní neschopnosti daného případu. Do počtu kalendářních dnů pracovní neschopnosti patří i dny v pracovní neschopnosti, která vznikla po zániku pojištění v tzv. ochranné lhůtě sedmi kalendářních dnů.</w:t>
      </w:r>
    </w:p>
    <w:p w14:paraId="6E0E46E8" w14:textId="77777777" w:rsidR="00AF2E68" w:rsidRPr="00451C9E" w:rsidRDefault="00AF2E68" w:rsidP="00AF2E68">
      <w:pPr>
        <w:pStyle w:val="Seznam"/>
        <w:numPr>
          <w:ilvl w:val="0"/>
          <w:numId w:val="26"/>
        </w:numPr>
        <w:spacing w:after="120"/>
        <w:ind w:left="714" w:hanging="357"/>
        <w:contextualSpacing w:val="0"/>
        <w:jc w:val="both"/>
      </w:pPr>
      <w:r w:rsidRPr="00451C9E">
        <w:rPr>
          <w:b/>
        </w:rPr>
        <w:t>Průměrná délka trvání pracovní neschopnosti ve dnech</w:t>
      </w:r>
      <w:r w:rsidRPr="00451C9E">
        <w:t xml:space="preserve"> – ukazatel vyjadřuje, kolik kalendářních dnů pracovní neschopnosti v průměru připadá na jeden nově hlášený případ pracovní neschopnosti. Nově hlášený případ musí být vzniklý ve sledovaném období, kdežto do dnů pracovní neschopnosti (maximálně v délce sledovaného období, </w:t>
      </w:r>
      <w:r w:rsidR="00451C9E" w:rsidRPr="00451C9E">
        <w:t>365 resp. 366 dnů</w:t>
      </w:r>
      <w:r w:rsidRPr="00451C9E">
        <w:t>) se započítávají i dny z případů PN, které mohly vzniknout již v předchozím období, ale byly ukončeny či nadále trvají v průběhu sledovaného období.</w:t>
      </w:r>
    </w:p>
    <w:p w14:paraId="34C32CB7" w14:textId="77777777" w:rsidR="00AF2E68" w:rsidRPr="00451C9E" w:rsidRDefault="00AF2E68" w:rsidP="00AF2E68">
      <w:pPr>
        <w:pStyle w:val="Seznam"/>
        <w:numPr>
          <w:ilvl w:val="0"/>
          <w:numId w:val="26"/>
        </w:numPr>
        <w:spacing w:after="120"/>
        <w:ind w:left="714" w:hanging="357"/>
        <w:contextualSpacing w:val="0"/>
        <w:jc w:val="both"/>
        <w:rPr>
          <w:spacing w:val="-2"/>
        </w:rPr>
      </w:pPr>
      <w:r w:rsidRPr="00451C9E">
        <w:rPr>
          <w:b/>
        </w:rPr>
        <w:t xml:space="preserve">Průměrné procento dočasné pracovní neschopnosti </w:t>
      </w:r>
      <w:r w:rsidRPr="00451C9E">
        <w:t xml:space="preserve">– </w:t>
      </w:r>
      <w:r w:rsidRPr="00451C9E">
        <w:rPr>
          <w:spacing w:val="-2"/>
        </w:rPr>
        <w:t>ukazatel udává, kolik ze 100 nemocensky pojištěných osob je průměrně každý den v pracovní neschopnosti pro nemoc či úraz. Zohledňuje jak celkový počet případů pracovní neschopnosti (jak často lidé do pracovní neschopnosti nastupují), tak i průměrné trvání jednoho případu pracovní neschopnosti (jak dlouho v pracovní neschopnosti zůstávají).</w:t>
      </w:r>
    </w:p>
    <w:p w14:paraId="3E973AD4" w14:textId="77777777" w:rsidR="00AF2E68" w:rsidRPr="00451C9E" w:rsidRDefault="00AF2E68" w:rsidP="00AF2E68">
      <w:pPr>
        <w:pStyle w:val="Seznam"/>
        <w:numPr>
          <w:ilvl w:val="0"/>
          <w:numId w:val="26"/>
        </w:numPr>
        <w:spacing w:after="120"/>
        <w:ind w:left="714" w:hanging="357"/>
        <w:contextualSpacing w:val="0"/>
        <w:jc w:val="both"/>
      </w:pPr>
      <w:r w:rsidRPr="00451C9E">
        <w:rPr>
          <w:b/>
        </w:rPr>
        <w:t xml:space="preserve">Průměrný denní stav dočasně práce neschopných </w:t>
      </w:r>
      <w:r w:rsidRPr="00451C9E">
        <w:t>– ukazatel vyjadřuje počet nemocensky pojištěných, kteří byli ve sledovaném období (</w:t>
      </w:r>
      <w:r w:rsidR="00451C9E" w:rsidRPr="00451C9E">
        <w:t>roce</w:t>
      </w:r>
      <w:r w:rsidRPr="00451C9E">
        <w:t>) průměrně denně nepřítomni v práci z důvodu pracovní neschopnosti.</w:t>
      </w:r>
    </w:p>
    <w:p w14:paraId="4AB8A265" w14:textId="77777777" w:rsidR="00AF2E68" w:rsidRPr="00451C9E" w:rsidRDefault="00AF2E68" w:rsidP="00AF2E68">
      <w:pPr>
        <w:pStyle w:val="Seznam"/>
        <w:numPr>
          <w:ilvl w:val="0"/>
          <w:numId w:val="26"/>
        </w:numPr>
        <w:spacing w:after="120"/>
        <w:ind w:left="714" w:hanging="357"/>
        <w:contextualSpacing w:val="0"/>
        <w:jc w:val="both"/>
      </w:pPr>
      <w:r w:rsidRPr="00451C9E">
        <w:rPr>
          <w:b/>
        </w:rPr>
        <w:t xml:space="preserve">Pracovní úrazy s pracovní neschopností delší než 3 dny </w:t>
      </w:r>
      <w:r w:rsidRPr="00451C9E">
        <w:t>– ukazatel zahrnuje případy pracovních úrazů, které měly za následek pracovní neschopnost delší než tři kalendářní dny. Do těchto tří dnů se nezapočítává den, ve kterém k úrazu došlo.</w:t>
      </w:r>
    </w:p>
    <w:p w14:paraId="283ACC31" w14:textId="5C80F8F7" w:rsidR="00AF2E68" w:rsidRPr="00451C9E" w:rsidRDefault="00AF2E68" w:rsidP="00AF2E68">
      <w:pPr>
        <w:spacing w:after="120"/>
        <w:jc w:val="both"/>
      </w:pPr>
      <w:r w:rsidRPr="00451C9E">
        <w:rPr>
          <w:rFonts w:cs="Arial"/>
        </w:rPr>
        <w:t>Data o nově hlášených případech dočasné pracovní neschopnosti a související ukazatele ČSÚ zpracová</w:t>
      </w:r>
      <w:r w:rsidR="00CD114C">
        <w:rPr>
          <w:rFonts w:cs="Arial"/>
        </w:rPr>
        <w:t>vá</w:t>
      </w:r>
      <w:r w:rsidRPr="00451C9E">
        <w:rPr>
          <w:rFonts w:cs="Arial"/>
        </w:rPr>
        <w:t xml:space="preserve"> v</w:t>
      </w:r>
      <w:r w:rsidR="00CD114C">
        <w:rPr>
          <w:rFonts w:cs="Arial"/>
        </w:rPr>
        <w:t> </w:t>
      </w:r>
      <w:r w:rsidRPr="00451C9E">
        <w:rPr>
          <w:rFonts w:cs="Arial"/>
        </w:rPr>
        <w:t xml:space="preserve">členění podle </w:t>
      </w:r>
      <w:r w:rsidRPr="00451C9E">
        <w:rPr>
          <w:rFonts w:cs="Arial"/>
          <w:b/>
        </w:rPr>
        <w:t>pohlaví pojištěnců</w:t>
      </w:r>
      <w:r w:rsidRPr="00451C9E">
        <w:rPr>
          <w:rFonts w:cs="Arial"/>
        </w:rPr>
        <w:t xml:space="preserve"> a dále podle </w:t>
      </w:r>
      <w:r w:rsidRPr="00451C9E">
        <w:rPr>
          <w:rFonts w:cs="Arial"/>
          <w:b/>
        </w:rPr>
        <w:t>sídla</w:t>
      </w:r>
      <w:r w:rsidRPr="00451C9E">
        <w:rPr>
          <w:rFonts w:cs="Arial"/>
        </w:rPr>
        <w:t xml:space="preserve"> zaměstnavatele (do úrovně krajů a okresů dle </w:t>
      </w:r>
      <w:r w:rsidRPr="00451C9E">
        <w:rPr>
          <w:rFonts w:cs="Arial"/>
        </w:rPr>
        <w:lastRenderedPageBreak/>
        <w:t xml:space="preserve">klasifikace CZ-NUTS), </w:t>
      </w:r>
      <w:r w:rsidRPr="00451C9E">
        <w:rPr>
          <w:rFonts w:cs="Arial"/>
          <w:b/>
        </w:rPr>
        <w:t>velikosti podniku</w:t>
      </w:r>
      <w:r w:rsidRPr="00451C9E">
        <w:rPr>
          <w:rFonts w:cs="Arial"/>
        </w:rPr>
        <w:t xml:space="preserve"> (dle počtu zaměstnanců),</w:t>
      </w:r>
      <w:r w:rsidRPr="00451C9E">
        <w:rPr>
          <w:rFonts w:cs="Arial"/>
          <w:b/>
        </w:rPr>
        <w:t xml:space="preserve"> odvětví </w:t>
      </w:r>
      <w:r w:rsidRPr="00451C9E">
        <w:rPr>
          <w:rFonts w:cs="Arial"/>
        </w:rPr>
        <w:t>(do úrovně odvětvových sekcí a</w:t>
      </w:r>
      <w:r w:rsidR="00AC6909">
        <w:rPr>
          <w:rFonts w:cs="Arial"/>
        </w:rPr>
        <w:t> </w:t>
      </w:r>
      <w:r w:rsidRPr="00451C9E">
        <w:rPr>
          <w:rFonts w:cs="Arial"/>
        </w:rPr>
        <w:t xml:space="preserve">oddílů podle převažující ekonomické činnosti definované dle klasifikace CZ-NACE) a </w:t>
      </w:r>
      <w:r w:rsidRPr="00451C9E">
        <w:rPr>
          <w:rFonts w:cs="Arial"/>
          <w:b/>
        </w:rPr>
        <w:t>sektoru</w:t>
      </w:r>
      <w:r w:rsidRPr="00451C9E">
        <w:rPr>
          <w:rFonts w:cs="Arial"/>
        </w:rPr>
        <w:t xml:space="preserve"> </w:t>
      </w:r>
      <w:r w:rsidRPr="00451C9E">
        <w:rPr>
          <w:rFonts w:cs="Arial"/>
          <w:b/>
        </w:rPr>
        <w:t>zaměstnavatele</w:t>
      </w:r>
      <w:r w:rsidRPr="00451C9E">
        <w:rPr>
          <w:rFonts w:cs="Arial"/>
        </w:rPr>
        <w:t xml:space="preserve"> (dle k</w:t>
      </w:r>
      <w:r w:rsidRPr="00451C9E">
        <w:t>lasifikace</w:t>
      </w:r>
      <w:r w:rsidRPr="00451C9E">
        <w:rPr>
          <w:b/>
        </w:rPr>
        <w:t xml:space="preserve"> </w:t>
      </w:r>
      <w:r w:rsidRPr="00451C9E">
        <w:t>institucionálních sektorů)</w:t>
      </w:r>
      <w:r w:rsidRPr="00451C9E">
        <w:rPr>
          <w:rStyle w:val="Znakapoznpodarou"/>
        </w:rPr>
        <w:footnoteReference w:id="5"/>
      </w:r>
      <w:r w:rsidRPr="00451C9E">
        <w:t>.</w:t>
      </w:r>
    </w:p>
    <w:p w14:paraId="72B842EC" w14:textId="77777777" w:rsidR="00AF2E68" w:rsidRPr="00451C9E" w:rsidRDefault="00AF2E68" w:rsidP="00AF2E68">
      <w:pPr>
        <w:spacing w:after="120"/>
        <w:jc w:val="both"/>
        <w:rPr>
          <w:rFonts w:cs="Arial"/>
          <w:szCs w:val="20"/>
        </w:rPr>
      </w:pPr>
      <w:r w:rsidRPr="00451C9E">
        <w:rPr>
          <w:rFonts w:cs="Arial"/>
        </w:rPr>
        <w:t>Rozlišení dle krajů a okresů vychází z údaje o sídle útvaru, který vede evidenci mezd zaměstnavateli osoby, která je v pracovní neschopnosti.</w:t>
      </w:r>
    </w:p>
    <w:p w14:paraId="21EC50BF" w14:textId="6DEAF4DC" w:rsidR="00AF2E68" w:rsidRPr="000F5459" w:rsidRDefault="00AF2E68" w:rsidP="00AF2E68">
      <w:pPr>
        <w:spacing w:after="120"/>
        <w:jc w:val="both"/>
        <w:rPr>
          <w:rFonts w:cs="Arial"/>
          <w:szCs w:val="20"/>
        </w:rPr>
      </w:pPr>
      <w:r w:rsidRPr="000F5459">
        <w:rPr>
          <w:rFonts w:cs="Arial"/>
          <w:szCs w:val="20"/>
        </w:rPr>
        <w:t xml:space="preserve">Kromě statistiky nově hlášených případů dočasné pracovní neschopnosti zpracovávané ČSÚ jsou z evidence ČSSZ zpracovávány a publikovány také </w:t>
      </w:r>
      <w:r w:rsidRPr="000F5459">
        <w:rPr>
          <w:rFonts w:cs="Arial"/>
          <w:b/>
          <w:szCs w:val="20"/>
        </w:rPr>
        <w:t xml:space="preserve">údaje o ukončených případech pracovní neschopnosti </w:t>
      </w:r>
      <w:r w:rsidRPr="000F5459">
        <w:rPr>
          <w:rFonts w:cs="Arial"/>
          <w:szCs w:val="20"/>
        </w:rPr>
        <w:t>za jednotlivá čtvrtletí, které zpracovává a publikuje Č</w:t>
      </w:r>
      <w:r w:rsidR="006919C8">
        <w:rPr>
          <w:rFonts w:cs="Arial"/>
          <w:szCs w:val="20"/>
        </w:rPr>
        <w:t>SSZ</w:t>
      </w:r>
      <w:r w:rsidRPr="000F5459">
        <w:rPr>
          <w:rFonts w:cs="Arial"/>
          <w:szCs w:val="20"/>
        </w:rPr>
        <w:t>, viz </w:t>
      </w:r>
      <w:hyperlink r:id="rId13" w:history="1">
        <w:r w:rsidRPr="000F5459">
          <w:rPr>
            <w:rStyle w:val="Hypertextovodkaz"/>
            <w:rFonts w:cs="Arial"/>
            <w:szCs w:val="20"/>
          </w:rPr>
          <w:t>https://www.cssz.cz/web/cz/nemocenska-statistika</w:t>
        </w:r>
      </w:hyperlink>
      <w:r w:rsidRPr="000F5459">
        <w:rPr>
          <w:rFonts w:cs="Arial"/>
          <w:szCs w:val="20"/>
        </w:rPr>
        <w:t xml:space="preserve"> a roční údaje v různých tříděních zveřejňuje také Ústav zdravotnických informací a statistiky ČR (ÚZIS ČR).</w:t>
      </w:r>
    </w:p>
    <w:p w14:paraId="01E2705B" w14:textId="77777777" w:rsidR="00AF2E68" w:rsidRPr="000F5459" w:rsidRDefault="00AF2E68" w:rsidP="00AF2E68">
      <w:pPr>
        <w:spacing w:after="120"/>
        <w:jc w:val="both"/>
      </w:pPr>
      <w:r w:rsidRPr="000F5459">
        <w:t>Rozdíly v počtech nově hlášených a ukončených případů dočasné pracovní neschopnosti jsou dány odlišnou metodikou sběru dat.</w:t>
      </w:r>
    </w:p>
    <w:p w14:paraId="66FCF2AD" w14:textId="77777777" w:rsidR="00AF2E68" w:rsidRPr="000F5459" w:rsidRDefault="00AF2E68" w:rsidP="00AF2E68">
      <w:pPr>
        <w:spacing w:after="120"/>
        <w:jc w:val="both"/>
        <w:rPr>
          <w:rFonts w:cs="Arial"/>
        </w:rPr>
      </w:pPr>
      <w:r w:rsidRPr="000F5459">
        <w:t xml:space="preserve">ČSSZ však nabízí ve svých statistikách jiné třídění publikovaných dat než ČSÚ, a to </w:t>
      </w:r>
      <w:r w:rsidRPr="000F5459">
        <w:rPr>
          <w:rFonts w:cs="Arial"/>
        </w:rPr>
        <w:t xml:space="preserve">zejména </w:t>
      </w:r>
      <w:r w:rsidRPr="000F5459">
        <w:rPr>
          <w:rFonts w:cs="Arial"/>
          <w:b/>
        </w:rPr>
        <w:t xml:space="preserve">podle věku </w:t>
      </w:r>
      <w:r w:rsidRPr="000F5459">
        <w:rPr>
          <w:rFonts w:cs="Arial"/>
        </w:rPr>
        <w:t xml:space="preserve">dočasně práce neschopných a </w:t>
      </w:r>
      <w:r w:rsidRPr="000F5459">
        <w:rPr>
          <w:rFonts w:cs="Arial"/>
          <w:b/>
        </w:rPr>
        <w:t>podle diagnóz</w:t>
      </w:r>
      <w:r w:rsidRPr="000F5459">
        <w:rPr>
          <w:rFonts w:cs="Arial"/>
        </w:rPr>
        <w:t>, které zapříčinily</w:t>
      </w:r>
      <w:r w:rsidRPr="000F5459">
        <w:rPr>
          <w:rFonts w:cs="Arial"/>
          <w:b/>
        </w:rPr>
        <w:t xml:space="preserve"> </w:t>
      </w:r>
      <w:r w:rsidRPr="000F5459">
        <w:rPr>
          <w:rFonts w:cs="Arial"/>
        </w:rPr>
        <w:t>pracovní neschopnost. Pro dokreslení pohledu na statistiku nemocnosti byla vybraná data z uvedeného zdroje využita i v této publikaci.</w:t>
      </w:r>
    </w:p>
    <w:p w14:paraId="10F6C9B8" w14:textId="77777777" w:rsidR="00AF2E68" w:rsidRPr="000F5459" w:rsidRDefault="00AF2E68" w:rsidP="00AF2E68">
      <w:pPr>
        <w:spacing w:after="60"/>
        <w:jc w:val="both"/>
        <w:rPr>
          <w:rFonts w:cs="Arial"/>
        </w:rPr>
      </w:pPr>
      <w:r w:rsidRPr="000F5459">
        <w:rPr>
          <w:rFonts w:cs="Arial"/>
        </w:rPr>
        <w:t>Vzhledem k přechodu ze sběru dat prostřednictvím výkazu ČSÚ na administrativní zdroj Informačního systému ČSSZ v roce 2012 nejsou některé dříve sledované ukazatele od roku 2012 ČSÚ dále zjišťovány. Tyto ukazatele však lze nalézt ve výstupech následujících administrativních zdrojů a dat z registrů:</w:t>
      </w:r>
    </w:p>
    <w:p w14:paraId="66A54D6A" w14:textId="77777777" w:rsidR="00AF2E68" w:rsidRPr="000F5459" w:rsidRDefault="00AF2E68" w:rsidP="00AF2E68">
      <w:pPr>
        <w:pStyle w:val="Seznam"/>
        <w:numPr>
          <w:ilvl w:val="0"/>
          <w:numId w:val="26"/>
        </w:numPr>
        <w:spacing w:after="120"/>
        <w:ind w:left="714" w:hanging="357"/>
        <w:contextualSpacing w:val="0"/>
        <w:jc w:val="both"/>
      </w:pPr>
      <w:r w:rsidRPr="000F5459">
        <w:rPr>
          <w:b/>
        </w:rPr>
        <w:t>Náklady na závodní preventivní péči</w:t>
      </w:r>
      <w:r w:rsidRPr="000F5459">
        <w:t xml:space="preserve"> – ukazatel je od roku 2012 zařazen do statistického zjišťování ČSÚ v rámci výkazu ÚNP 4–01;</w:t>
      </w:r>
    </w:p>
    <w:p w14:paraId="6E97D6D6" w14:textId="77777777" w:rsidR="00AF2E68" w:rsidRPr="000F5459" w:rsidRDefault="00AF2E68" w:rsidP="00AF2E68">
      <w:pPr>
        <w:pStyle w:val="Seznam"/>
        <w:numPr>
          <w:ilvl w:val="0"/>
          <w:numId w:val="26"/>
        </w:numPr>
        <w:spacing w:after="120"/>
        <w:ind w:left="714" w:hanging="357"/>
        <w:contextualSpacing w:val="0"/>
        <w:jc w:val="both"/>
      </w:pPr>
      <w:r w:rsidRPr="000F5459">
        <w:rPr>
          <w:b/>
        </w:rPr>
        <w:t>Náhrady a přirážky hrazené zaměstnavatelem za škodu při pracovním úrazu nebo nemoci z povolání</w:t>
      </w:r>
      <w:r w:rsidRPr="000F5459">
        <w:t> – údaje jsou dostupné ze standardních sestav Ministerstva financí ČR;</w:t>
      </w:r>
    </w:p>
    <w:p w14:paraId="5219CF32" w14:textId="77777777" w:rsidR="00AF2E68" w:rsidRPr="000F5459" w:rsidRDefault="00AF2E68" w:rsidP="00AF2E68">
      <w:pPr>
        <w:pStyle w:val="Seznam"/>
        <w:numPr>
          <w:ilvl w:val="0"/>
          <w:numId w:val="26"/>
        </w:numPr>
        <w:spacing w:after="120"/>
        <w:ind w:left="714" w:hanging="357"/>
        <w:contextualSpacing w:val="0"/>
        <w:jc w:val="both"/>
      </w:pPr>
      <w:r w:rsidRPr="000F5459">
        <w:rPr>
          <w:b/>
        </w:rPr>
        <w:t>Kategorizace prací dle míry rizika</w:t>
      </w:r>
      <w:r w:rsidRPr="000F5459">
        <w:t xml:space="preserve"> – statistická evidence prací dle míry rizika je od roku 2012 zajišťována Registrem kategorizace prací (IS KaPr); </w:t>
      </w:r>
    </w:p>
    <w:p w14:paraId="432E89F4" w14:textId="77777777" w:rsidR="00AF2E68" w:rsidRPr="000F5459" w:rsidRDefault="00AF2E68" w:rsidP="00AF2E68">
      <w:pPr>
        <w:pStyle w:val="Seznam"/>
        <w:numPr>
          <w:ilvl w:val="0"/>
          <w:numId w:val="26"/>
        </w:numPr>
        <w:spacing w:after="120"/>
        <w:ind w:left="714" w:hanging="357"/>
        <w:contextualSpacing w:val="0"/>
        <w:jc w:val="both"/>
      </w:pPr>
      <w:r w:rsidRPr="000F5459">
        <w:rPr>
          <w:b/>
        </w:rPr>
        <w:t>Smrtelná pracovní úrazovost</w:t>
      </w:r>
      <w:r w:rsidRPr="000F5459">
        <w:t xml:space="preserve"> – data jsou pravidelně zveřejňována v analýze Výzkumného ústavu bezpečnosti práce (VÚBP) a Státního úřadu inspekce práce (SÚIP) s názvem</w:t>
      </w:r>
      <w:r w:rsidRPr="000F5459">
        <w:tab/>
        <w:t>„Zpráva o pracovní úrazovosti v České republice“;</w:t>
      </w:r>
    </w:p>
    <w:p w14:paraId="6B6F38D8" w14:textId="77777777" w:rsidR="00C16F34" w:rsidRPr="00C16F34" w:rsidRDefault="00AF2E68" w:rsidP="000F5459">
      <w:pPr>
        <w:pStyle w:val="Seznam"/>
        <w:numPr>
          <w:ilvl w:val="0"/>
          <w:numId w:val="26"/>
        </w:numPr>
        <w:spacing w:after="0"/>
        <w:ind w:left="714" w:hanging="357"/>
        <w:contextualSpacing w:val="0"/>
        <w:jc w:val="both"/>
        <w:rPr>
          <w:rFonts w:cs="Arial"/>
        </w:rPr>
      </w:pPr>
      <w:r w:rsidRPr="000F5459">
        <w:rPr>
          <w:b/>
        </w:rPr>
        <w:t>Nemoci z povolání</w:t>
      </w:r>
      <w:r w:rsidRPr="000F5459">
        <w:t xml:space="preserve"> – data jsou pravidelně zveřejňována v analýze Státního zdravotního ústavu (SZÚ) „Nemoci z povolání v České republice“.</w:t>
      </w:r>
    </w:p>
    <w:p w14:paraId="24E4A331" w14:textId="77777777" w:rsidR="00C16F34" w:rsidRDefault="00C16F34">
      <w:pPr>
        <w:spacing w:after="0" w:line="240" w:lineRule="auto"/>
        <w:rPr>
          <w:rFonts w:eastAsia="MS Gothic"/>
          <w:b/>
          <w:bCs/>
          <w:color w:val="BC091B"/>
          <w:sz w:val="28"/>
          <w:szCs w:val="26"/>
        </w:rPr>
      </w:pPr>
      <w:r>
        <w:br w:type="page"/>
      </w:r>
    </w:p>
    <w:p w14:paraId="725557DA" w14:textId="77777777" w:rsidR="00C16F34" w:rsidRPr="00C16F34" w:rsidRDefault="00C16F34" w:rsidP="00C16F34">
      <w:pPr>
        <w:pStyle w:val="Nadpis2"/>
      </w:pPr>
      <w:bookmarkStart w:id="10" w:name="_Toc104792906"/>
      <w:r w:rsidRPr="00C16F34">
        <w:lastRenderedPageBreak/>
        <w:t>4. Analytická část</w:t>
      </w:r>
      <w:bookmarkEnd w:id="10"/>
    </w:p>
    <w:p w14:paraId="4F184A38" w14:textId="77777777" w:rsidR="00C16F34" w:rsidRDefault="00C16F34" w:rsidP="00C16F34">
      <w:pPr>
        <w:pStyle w:val="Nadpis3"/>
      </w:pPr>
      <w:bookmarkStart w:id="11" w:name="_Toc104792907"/>
      <w:r>
        <w:t>4.1 Nemocensky pojištěné osoby</w:t>
      </w:r>
      <w:bookmarkEnd w:id="11"/>
    </w:p>
    <w:p w14:paraId="71E42247" w14:textId="77777777" w:rsidR="00C16F34" w:rsidRPr="00D92E20" w:rsidRDefault="00C16F34" w:rsidP="00C16F34">
      <w:pPr>
        <w:spacing w:after="120"/>
        <w:jc w:val="both"/>
      </w:pPr>
      <w:r w:rsidRPr="00D92E20">
        <w:t>Základním ukazatelem, ke kterému se vztahují údaje o pracovní neschopnosti, je ukazatel průměrného počtu nemocensky pojištěných osob.</w:t>
      </w:r>
    </w:p>
    <w:p w14:paraId="5803F920" w14:textId="77777777" w:rsidR="00C16F34" w:rsidRPr="00D92E20" w:rsidRDefault="00C16F34" w:rsidP="00C16F34">
      <w:pPr>
        <w:pStyle w:val="Box1"/>
        <w:spacing w:before="120" w:after="120"/>
        <w:ind w:left="0"/>
        <w:contextualSpacing w:val="0"/>
        <w:jc w:val="both"/>
        <w:rPr>
          <w:i/>
        </w:rPr>
      </w:pPr>
      <w:r w:rsidRPr="00D92E20">
        <w:rPr>
          <w:b/>
          <w:i/>
        </w:rPr>
        <w:t xml:space="preserve">Průměrný počet nemocensky pojištěných osob </w:t>
      </w:r>
      <w:r w:rsidRPr="00D92E20">
        <w:rPr>
          <w:i/>
        </w:rPr>
        <w:t xml:space="preserve">– ukazatel udává průměrný počet osob, které jsou povinně či dobrovolně nemocensky pojištěné podle zákona č. 187/2006 Sb., o nemocenském pojištění, ve znění pozdějších předpisů. Zahrnuje všechny osoby, které byly alespoň po jeden den vykazovaného období nemocensky pojištěné. V případě více překrývajících se pojistných vztahů pojištěnce v rámci jednoho zaměstnavatele a jedné mzdové účtárny se započítává pojištěnec pouze jedenkrát. V ostatních případech je pojištěnec započítáván tolikrát, kolik má pracovněprávních pojistných vztahů. </w:t>
      </w:r>
    </w:p>
    <w:p w14:paraId="2B7919DE" w14:textId="77777777" w:rsidR="00C16F34" w:rsidRPr="00D92E20" w:rsidRDefault="00C16F34" w:rsidP="00C16F34">
      <w:pPr>
        <w:pStyle w:val="Box1"/>
        <w:ind w:left="0"/>
        <w:jc w:val="both"/>
        <w:rPr>
          <w:i/>
          <w:u w:val="single"/>
        </w:rPr>
      </w:pPr>
      <w:r w:rsidRPr="00D92E20">
        <w:rPr>
          <w:i/>
          <w:u w:val="single"/>
        </w:rPr>
        <w:t>Poznámka:</w:t>
      </w:r>
    </w:p>
    <w:p w14:paraId="5FE219EF" w14:textId="77777777" w:rsidR="00C16F34" w:rsidRPr="00D92E20" w:rsidRDefault="00C16F34" w:rsidP="00C16F34">
      <w:pPr>
        <w:pStyle w:val="Box1"/>
        <w:ind w:left="0"/>
        <w:jc w:val="both"/>
        <w:rPr>
          <w:i/>
        </w:rPr>
      </w:pPr>
      <w:r w:rsidRPr="00D92E20">
        <w:rPr>
          <w:i/>
        </w:rPr>
        <w:t xml:space="preserve">Do průměrného počtu nemocensky pojištěných nejsou započteni vojáci z povolání a příslušníci Policie ČR, Hasičského záchranného sboru ČR, Celní správy ČR, Vězeňské služby ČR, Generální inspekce bezpečnostních sborů, Bezpečnostní informační služby a Úřadu pro zahraniční styky a informace. </w:t>
      </w:r>
    </w:p>
    <w:p w14:paraId="0009E030" w14:textId="77777777" w:rsidR="00C16F34" w:rsidRPr="00D92E20" w:rsidRDefault="00C16F34" w:rsidP="00C16F34">
      <w:pPr>
        <w:pStyle w:val="Box1"/>
        <w:ind w:left="0"/>
        <w:jc w:val="both"/>
        <w:rPr>
          <w:i/>
          <w:u w:val="single"/>
        </w:rPr>
      </w:pPr>
      <w:r w:rsidRPr="00D92E20">
        <w:rPr>
          <w:i/>
          <w:u w:val="single"/>
        </w:rPr>
        <w:t>Způsob výpočtu:</w:t>
      </w:r>
    </w:p>
    <w:p w14:paraId="15EA364E" w14:textId="77777777" w:rsidR="00C16F34" w:rsidRPr="00D92E20" w:rsidRDefault="00C16F34" w:rsidP="00C16F34">
      <w:pPr>
        <w:pStyle w:val="Box1"/>
        <w:spacing w:before="120" w:after="120"/>
        <w:ind w:left="0"/>
        <w:contextualSpacing w:val="0"/>
        <w:jc w:val="both"/>
        <w:rPr>
          <w:i/>
        </w:rPr>
      </w:pPr>
      <w:r w:rsidRPr="00D92E20">
        <w:rPr>
          <w:i/>
        </w:rPr>
        <w:t>Průměrný počet nemocensky pojištěných osob = počet dnů nemocenského pojištění jednotlivých pojištěných osob ve vykazovaném období / počet kalendářních dnů ve vykazovaném období.</w:t>
      </w:r>
    </w:p>
    <w:p w14:paraId="55320FE6" w14:textId="77777777" w:rsidR="00C16F34" w:rsidRPr="00D92E20" w:rsidRDefault="00C16F34" w:rsidP="00C16F34">
      <w:pPr>
        <w:spacing w:after="120"/>
        <w:jc w:val="both"/>
        <w:rPr>
          <w:rFonts w:cs="Arial"/>
          <w:bCs/>
          <w:color w:val="000000"/>
          <w:szCs w:val="20"/>
        </w:rPr>
      </w:pPr>
      <w:r w:rsidRPr="00D92E20">
        <w:rPr>
          <w:rFonts w:cs="Arial"/>
          <w:bCs/>
          <w:color w:val="000000"/>
          <w:szCs w:val="20"/>
        </w:rPr>
        <w:t>V roce 202</w:t>
      </w:r>
      <w:r>
        <w:rPr>
          <w:rFonts w:cs="Arial"/>
          <w:bCs/>
          <w:color w:val="000000"/>
          <w:szCs w:val="20"/>
        </w:rPr>
        <w:t>1</w:t>
      </w:r>
      <w:r w:rsidRPr="00D92E20">
        <w:rPr>
          <w:rFonts w:cs="Arial"/>
          <w:bCs/>
          <w:color w:val="000000"/>
          <w:szCs w:val="20"/>
        </w:rPr>
        <w:t xml:space="preserve"> činil průměrný počet nemocensky pojištěných </w:t>
      </w:r>
      <w:r w:rsidRPr="00D92E20">
        <w:rPr>
          <w:rFonts w:cs="Arial"/>
          <w:b/>
          <w:bCs/>
          <w:color w:val="000000"/>
          <w:szCs w:val="20"/>
        </w:rPr>
        <w:t>celkem</w:t>
      </w:r>
      <w:r w:rsidRPr="00D92E20">
        <w:rPr>
          <w:rFonts w:cs="Arial"/>
          <w:bCs/>
          <w:color w:val="000000"/>
          <w:szCs w:val="20"/>
        </w:rPr>
        <w:t xml:space="preserve"> </w:t>
      </w:r>
      <w:r w:rsidRPr="00D92E20">
        <w:rPr>
          <w:rFonts w:cs="Arial"/>
          <w:b/>
          <w:bCs/>
          <w:color w:val="000000"/>
          <w:szCs w:val="20"/>
        </w:rPr>
        <w:t>4</w:t>
      </w:r>
      <w:r>
        <w:rPr>
          <w:rFonts w:cs="Arial"/>
          <w:b/>
          <w:bCs/>
          <w:color w:val="000000"/>
          <w:szCs w:val="20"/>
        </w:rPr>
        <w:t xml:space="preserve"> 708 </w:t>
      </w:r>
      <w:r w:rsidRPr="00D92E20">
        <w:rPr>
          <w:rFonts w:cs="Arial"/>
          <w:b/>
          <w:bCs/>
          <w:color w:val="000000"/>
          <w:szCs w:val="20"/>
        </w:rPr>
        <w:t>tis. osob</w:t>
      </w:r>
      <w:r w:rsidRPr="00D92E20">
        <w:rPr>
          <w:rFonts w:cs="Arial"/>
          <w:bCs/>
          <w:color w:val="000000"/>
          <w:szCs w:val="20"/>
        </w:rPr>
        <w:t>, tedy téměř o </w:t>
      </w:r>
      <w:r>
        <w:rPr>
          <w:rFonts w:cs="Arial"/>
          <w:bCs/>
          <w:color w:val="000000"/>
          <w:szCs w:val="20"/>
        </w:rPr>
        <w:t>18</w:t>
      </w:r>
      <w:r w:rsidRPr="00D92E20">
        <w:rPr>
          <w:rFonts w:cs="Arial"/>
          <w:bCs/>
          <w:color w:val="000000"/>
          <w:szCs w:val="20"/>
        </w:rPr>
        <w:t> tis. (tj. o 0,</w:t>
      </w:r>
      <w:r>
        <w:rPr>
          <w:rFonts w:cs="Arial"/>
          <w:bCs/>
          <w:color w:val="000000"/>
          <w:szCs w:val="20"/>
        </w:rPr>
        <w:t>4</w:t>
      </w:r>
      <w:r w:rsidRPr="00D92E20">
        <w:rPr>
          <w:rFonts w:cs="Arial"/>
          <w:bCs/>
          <w:color w:val="000000"/>
          <w:szCs w:val="20"/>
        </w:rPr>
        <w:t xml:space="preserve"> %) </w:t>
      </w:r>
      <w:r>
        <w:rPr>
          <w:rFonts w:cs="Arial"/>
          <w:bCs/>
          <w:color w:val="000000"/>
          <w:szCs w:val="20"/>
        </w:rPr>
        <w:t>více</w:t>
      </w:r>
      <w:r w:rsidRPr="00D92E20">
        <w:rPr>
          <w:rFonts w:cs="Arial"/>
          <w:bCs/>
          <w:color w:val="000000"/>
          <w:szCs w:val="20"/>
        </w:rPr>
        <w:t xml:space="preserve"> než před rokem. </w:t>
      </w:r>
      <w:r>
        <w:rPr>
          <w:rFonts w:cs="Arial"/>
          <w:bCs/>
          <w:color w:val="000000"/>
          <w:szCs w:val="20"/>
        </w:rPr>
        <w:t xml:space="preserve">Po poklesu v roce 2020, na kterém se zřejmě odrazilo propouštění v některých odvětvích kvůli epidemii nemoci </w:t>
      </w:r>
      <w:r w:rsidR="0004776E">
        <w:rPr>
          <w:rFonts w:cs="Arial"/>
          <w:bCs/>
          <w:color w:val="000000"/>
          <w:szCs w:val="20"/>
        </w:rPr>
        <w:t>c</w:t>
      </w:r>
      <w:r>
        <w:rPr>
          <w:rFonts w:cs="Arial"/>
          <w:bCs/>
          <w:color w:val="000000"/>
          <w:szCs w:val="20"/>
        </w:rPr>
        <w:t xml:space="preserve">ovid-19, se počet nemocensky pojištěných ještě nevrátil na hodnoty okolo 4 733 tis. z roku 2018 a 2019. </w:t>
      </w:r>
      <w:r w:rsidR="00760863">
        <w:rPr>
          <w:rFonts w:cs="Arial"/>
          <w:bCs/>
          <w:color w:val="000000"/>
          <w:szCs w:val="20"/>
        </w:rPr>
        <w:t>Zastoupení</w:t>
      </w:r>
      <w:r w:rsidRPr="00D92E20">
        <w:rPr>
          <w:rFonts w:cs="Arial"/>
          <w:bCs/>
          <w:color w:val="000000"/>
          <w:szCs w:val="20"/>
        </w:rPr>
        <w:t xml:space="preserve"> </w:t>
      </w:r>
      <w:r w:rsidR="00760863">
        <w:rPr>
          <w:rFonts w:cs="Arial"/>
          <w:bCs/>
          <w:color w:val="000000"/>
          <w:szCs w:val="20"/>
        </w:rPr>
        <w:t xml:space="preserve">pojištěnců v roce 2021 podle pohlaví </w:t>
      </w:r>
      <w:r w:rsidRPr="00D92E20">
        <w:rPr>
          <w:rFonts w:cs="Arial"/>
          <w:bCs/>
          <w:color w:val="000000"/>
          <w:szCs w:val="20"/>
        </w:rPr>
        <w:t>byl</w:t>
      </w:r>
      <w:r w:rsidR="00760863">
        <w:rPr>
          <w:rFonts w:cs="Arial"/>
          <w:bCs/>
          <w:color w:val="000000"/>
          <w:szCs w:val="20"/>
        </w:rPr>
        <w:t xml:space="preserve">o vyrovnané, 2 354 tis. žen a jen o </w:t>
      </w:r>
      <w:r w:rsidR="005442EE">
        <w:rPr>
          <w:rFonts w:cs="Arial"/>
          <w:bCs/>
          <w:color w:val="000000"/>
          <w:szCs w:val="20"/>
        </w:rPr>
        <w:t xml:space="preserve">necelé dvě stovky </w:t>
      </w:r>
      <w:r w:rsidR="00760863">
        <w:rPr>
          <w:rFonts w:cs="Arial"/>
          <w:bCs/>
          <w:color w:val="000000"/>
          <w:szCs w:val="20"/>
        </w:rPr>
        <w:t>více mužů. Každé pohlaví tak představovalo polovinu</w:t>
      </w:r>
      <w:r w:rsidR="005442EE">
        <w:rPr>
          <w:rFonts w:cs="Arial"/>
          <w:bCs/>
          <w:color w:val="000000"/>
          <w:szCs w:val="20"/>
        </w:rPr>
        <w:t xml:space="preserve"> pojištěnců</w:t>
      </w:r>
      <w:r w:rsidR="00760863">
        <w:rPr>
          <w:rFonts w:cs="Arial"/>
          <w:bCs/>
          <w:color w:val="000000"/>
          <w:szCs w:val="20"/>
        </w:rPr>
        <w:t xml:space="preserve">. Počty </w:t>
      </w:r>
      <w:r w:rsidRPr="00D92E20">
        <w:rPr>
          <w:rFonts w:cs="Arial"/>
          <w:bCs/>
          <w:color w:val="000000"/>
          <w:szCs w:val="20"/>
        </w:rPr>
        <w:t xml:space="preserve">nemocensky pojištěných </w:t>
      </w:r>
      <w:r w:rsidRPr="00D92E20">
        <w:rPr>
          <w:rFonts w:cs="Arial"/>
          <w:b/>
          <w:bCs/>
          <w:color w:val="000000"/>
          <w:szCs w:val="20"/>
        </w:rPr>
        <w:t>podle pohlaví</w:t>
      </w:r>
      <w:r w:rsidRPr="00D92E20">
        <w:rPr>
          <w:rFonts w:cs="Arial"/>
          <w:bCs/>
          <w:color w:val="000000"/>
          <w:szCs w:val="20"/>
        </w:rPr>
        <w:t xml:space="preserve"> se k sobě již od roku 2016 neustále přibližují. Zatímco tehdy bylo o 86 tis. více mužů než žen, v roce 202</w:t>
      </w:r>
      <w:r w:rsidR="00760863">
        <w:rPr>
          <w:rFonts w:cs="Arial"/>
          <w:bCs/>
          <w:color w:val="000000"/>
          <w:szCs w:val="20"/>
        </w:rPr>
        <w:t>1 byl rozdíl méně než 200</w:t>
      </w:r>
      <w:r w:rsidRPr="00D92E20">
        <w:rPr>
          <w:rFonts w:cs="Arial"/>
          <w:bCs/>
          <w:color w:val="000000"/>
          <w:szCs w:val="20"/>
        </w:rPr>
        <w:t xml:space="preserve">. Meziročně </w:t>
      </w:r>
      <w:r w:rsidR="00760863">
        <w:rPr>
          <w:rFonts w:cs="Arial"/>
          <w:bCs/>
          <w:color w:val="000000"/>
          <w:szCs w:val="20"/>
        </w:rPr>
        <w:t xml:space="preserve">se počet pojištěných mužů </w:t>
      </w:r>
      <w:r w:rsidR="005442EE">
        <w:rPr>
          <w:rFonts w:cs="Arial"/>
          <w:bCs/>
          <w:color w:val="000000"/>
          <w:szCs w:val="20"/>
        </w:rPr>
        <w:t xml:space="preserve">téměř </w:t>
      </w:r>
      <w:r w:rsidR="00760863">
        <w:rPr>
          <w:rFonts w:cs="Arial"/>
          <w:bCs/>
          <w:color w:val="000000"/>
          <w:szCs w:val="20"/>
        </w:rPr>
        <w:t>nezměnil, zato počet žen vzrostl o 17,6 tis. (tj. 0,8 %).</w:t>
      </w:r>
    </w:p>
    <w:tbl>
      <w:tblPr>
        <w:tblW w:w="9675" w:type="dxa"/>
        <w:tblCellMar>
          <w:left w:w="70" w:type="dxa"/>
          <w:right w:w="70" w:type="dxa"/>
        </w:tblCellMar>
        <w:tblLook w:val="04A0" w:firstRow="1" w:lastRow="0" w:firstColumn="1" w:lastColumn="0" w:noHBand="0" w:noVBand="1"/>
      </w:tblPr>
      <w:tblGrid>
        <w:gridCol w:w="947"/>
        <w:gridCol w:w="947"/>
        <w:gridCol w:w="947"/>
        <w:gridCol w:w="948"/>
        <w:gridCol w:w="1056"/>
        <w:gridCol w:w="947"/>
        <w:gridCol w:w="938"/>
        <w:gridCol w:w="952"/>
        <w:gridCol w:w="1046"/>
        <w:gridCol w:w="947"/>
      </w:tblGrid>
      <w:tr w:rsidR="00760863" w:rsidRPr="00760863" w14:paraId="2A88E11B" w14:textId="77777777" w:rsidTr="00BC2532">
        <w:trPr>
          <w:trHeight w:val="298"/>
        </w:trPr>
        <w:tc>
          <w:tcPr>
            <w:tcW w:w="7682" w:type="dxa"/>
            <w:gridSpan w:val="8"/>
            <w:tcBorders>
              <w:top w:val="nil"/>
              <w:left w:val="nil"/>
              <w:bottom w:val="single" w:sz="4" w:space="0" w:color="auto"/>
              <w:right w:val="nil"/>
            </w:tcBorders>
            <w:shd w:val="clear" w:color="auto" w:fill="auto"/>
            <w:noWrap/>
            <w:vAlign w:val="center"/>
            <w:hideMark/>
          </w:tcPr>
          <w:p w14:paraId="7C98CF93" w14:textId="77777777" w:rsidR="00760863" w:rsidRPr="00760863" w:rsidRDefault="00760863" w:rsidP="00760863">
            <w:pPr>
              <w:spacing w:after="0" w:line="240" w:lineRule="auto"/>
              <w:rPr>
                <w:rFonts w:cs="Arial"/>
                <w:b/>
                <w:bCs/>
                <w:szCs w:val="20"/>
              </w:rPr>
            </w:pPr>
            <w:r w:rsidRPr="00760863">
              <w:rPr>
                <w:rFonts w:cs="Arial"/>
                <w:b/>
                <w:bCs/>
                <w:szCs w:val="20"/>
              </w:rPr>
              <w:t>Tab. 1.1: Průměrný počet nemocensky pojištěných osob, 2011–2021 (v tis.)</w:t>
            </w:r>
          </w:p>
        </w:tc>
        <w:tc>
          <w:tcPr>
            <w:tcW w:w="1046" w:type="dxa"/>
            <w:tcBorders>
              <w:top w:val="nil"/>
              <w:left w:val="nil"/>
              <w:bottom w:val="single" w:sz="4" w:space="0" w:color="auto"/>
              <w:right w:val="nil"/>
            </w:tcBorders>
            <w:shd w:val="clear" w:color="auto" w:fill="auto"/>
            <w:noWrap/>
            <w:vAlign w:val="bottom"/>
            <w:hideMark/>
          </w:tcPr>
          <w:p w14:paraId="0D602D0C" w14:textId="77777777" w:rsidR="00760863" w:rsidRPr="00760863" w:rsidRDefault="00760863" w:rsidP="00760863">
            <w:pPr>
              <w:spacing w:after="0" w:line="240" w:lineRule="auto"/>
              <w:rPr>
                <w:rFonts w:cs="Arial"/>
                <w:b/>
                <w:bCs/>
                <w:szCs w:val="20"/>
              </w:rPr>
            </w:pPr>
          </w:p>
        </w:tc>
        <w:tc>
          <w:tcPr>
            <w:tcW w:w="947" w:type="dxa"/>
            <w:tcBorders>
              <w:top w:val="nil"/>
              <w:left w:val="nil"/>
              <w:bottom w:val="single" w:sz="4" w:space="0" w:color="auto"/>
              <w:right w:val="nil"/>
            </w:tcBorders>
            <w:shd w:val="clear" w:color="auto" w:fill="auto"/>
            <w:noWrap/>
            <w:vAlign w:val="bottom"/>
            <w:hideMark/>
          </w:tcPr>
          <w:p w14:paraId="3DACD58A" w14:textId="77777777" w:rsidR="00760863" w:rsidRPr="00760863" w:rsidRDefault="00760863" w:rsidP="00760863">
            <w:pPr>
              <w:spacing w:after="0" w:line="240" w:lineRule="auto"/>
              <w:rPr>
                <w:rFonts w:ascii="Times New Roman" w:hAnsi="Times New Roman"/>
                <w:szCs w:val="20"/>
              </w:rPr>
            </w:pPr>
          </w:p>
        </w:tc>
      </w:tr>
      <w:tr w:rsidR="00BC2532" w:rsidRPr="00760863" w14:paraId="60C6C0A7" w14:textId="77777777" w:rsidTr="00BC2532">
        <w:trPr>
          <w:trHeight w:val="312"/>
        </w:trPr>
        <w:tc>
          <w:tcPr>
            <w:tcW w:w="947" w:type="dxa"/>
            <w:vMerge w:val="restart"/>
            <w:tcBorders>
              <w:top w:val="nil"/>
              <w:left w:val="nil"/>
              <w:bottom w:val="single" w:sz="4" w:space="0" w:color="000000"/>
              <w:right w:val="single" w:sz="4" w:space="0" w:color="auto"/>
            </w:tcBorders>
            <w:shd w:val="clear" w:color="000000" w:fill="F5DADD"/>
            <w:vAlign w:val="center"/>
            <w:hideMark/>
          </w:tcPr>
          <w:p w14:paraId="603097B5"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Rok</w:t>
            </w:r>
          </w:p>
        </w:tc>
        <w:tc>
          <w:tcPr>
            <w:tcW w:w="947" w:type="dxa"/>
            <w:vMerge w:val="restart"/>
            <w:tcBorders>
              <w:top w:val="nil"/>
              <w:left w:val="nil"/>
              <w:bottom w:val="single" w:sz="4" w:space="0" w:color="000000"/>
              <w:right w:val="nil"/>
            </w:tcBorders>
            <w:shd w:val="clear" w:color="000000" w:fill="F2DBDB"/>
            <w:vAlign w:val="center"/>
            <w:hideMark/>
          </w:tcPr>
          <w:p w14:paraId="4338DEDC" w14:textId="77777777" w:rsidR="00760863" w:rsidRPr="00760863" w:rsidRDefault="00760863" w:rsidP="00760863">
            <w:pPr>
              <w:spacing w:after="0" w:line="240" w:lineRule="auto"/>
              <w:jc w:val="center"/>
              <w:rPr>
                <w:rFonts w:cs="Arial"/>
                <w:b/>
                <w:bCs/>
                <w:color w:val="000000"/>
                <w:sz w:val="16"/>
                <w:szCs w:val="16"/>
              </w:rPr>
            </w:pPr>
            <w:r w:rsidRPr="00760863">
              <w:rPr>
                <w:rFonts w:cs="Arial"/>
                <w:b/>
                <w:bCs/>
                <w:color w:val="000000"/>
                <w:sz w:val="16"/>
                <w:szCs w:val="16"/>
              </w:rPr>
              <w:t>Celkem</w:t>
            </w:r>
          </w:p>
        </w:tc>
        <w:tc>
          <w:tcPr>
            <w:tcW w:w="1895"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77CA6B2B"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podle pohlaví</w:t>
            </w:r>
          </w:p>
        </w:tc>
        <w:tc>
          <w:tcPr>
            <w:tcW w:w="1046" w:type="dxa"/>
            <w:vMerge w:val="restart"/>
            <w:tcBorders>
              <w:top w:val="nil"/>
              <w:left w:val="nil"/>
              <w:bottom w:val="single" w:sz="4" w:space="0" w:color="000000"/>
              <w:right w:val="nil"/>
            </w:tcBorders>
            <w:shd w:val="clear" w:color="000000" w:fill="F2DBDB"/>
            <w:vAlign w:val="center"/>
            <w:hideMark/>
          </w:tcPr>
          <w:p w14:paraId="2B7E5B3D"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Zaměstnanci</w:t>
            </w:r>
          </w:p>
        </w:tc>
        <w:tc>
          <w:tcPr>
            <w:tcW w:w="1895"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297F0E80"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podle pohlaví</w:t>
            </w:r>
          </w:p>
        </w:tc>
        <w:tc>
          <w:tcPr>
            <w:tcW w:w="947" w:type="dxa"/>
            <w:vMerge w:val="restart"/>
            <w:tcBorders>
              <w:top w:val="nil"/>
              <w:left w:val="nil"/>
              <w:bottom w:val="single" w:sz="4" w:space="0" w:color="000000"/>
              <w:right w:val="nil"/>
            </w:tcBorders>
            <w:shd w:val="clear" w:color="000000" w:fill="F2DBDB"/>
            <w:vAlign w:val="center"/>
            <w:hideMark/>
          </w:tcPr>
          <w:p w14:paraId="0A5C0817"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OSVČ</w:t>
            </w:r>
          </w:p>
        </w:tc>
        <w:tc>
          <w:tcPr>
            <w:tcW w:w="1994" w:type="dxa"/>
            <w:gridSpan w:val="2"/>
            <w:tcBorders>
              <w:top w:val="single" w:sz="4" w:space="0" w:color="auto"/>
              <w:left w:val="single" w:sz="4" w:space="0" w:color="auto"/>
              <w:bottom w:val="single" w:sz="4" w:space="0" w:color="auto"/>
            </w:tcBorders>
            <w:shd w:val="clear" w:color="000000" w:fill="F2DBDB"/>
            <w:vAlign w:val="center"/>
            <w:hideMark/>
          </w:tcPr>
          <w:p w14:paraId="07AF07B1"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podle pohlaví</w:t>
            </w:r>
          </w:p>
        </w:tc>
      </w:tr>
      <w:tr w:rsidR="00BC2532" w:rsidRPr="00760863" w14:paraId="7C93B0DD" w14:textId="77777777" w:rsidTr="00BC2532">
        <w:trPr>
          <w:trHeight w:val="298"/>
        </w:trPr>
        <w:tc>
          <w:tcPr>
            <w:tcW w:w="947" w:type="dxa"/>
            <w:vMerge/>
            <w:tcBorders>
              <w:top w:val="nil"/>
              <w:left w:val="nil"/>
              <w:bottom w:val="single" w:sz="4" w:space="0" w:color="000000"/>
              <w:right w:val="single" w:sz="4" w:space="0" w:color="auto"/>
            </w:tcBorders>
            <w:vAlign w:val="center"/>
            <w:hideMark/>
          </w:tcPr>
          <w:p w14:paraId="43D9BF14" w14:textId="77777777" w:rsidR="00760863" w:rsidRPr="00760863" w:rsidRDefault="00760863" w:rsidP="00760863">
            <w:pPr>
              <w:spacing w:after="0" w:line="240" w:lineRule="auto"/>
              <w:rPr>
                <w:rFonts w:cs="Arial"/>
                <w:color w:val="000000"/>
                <w:sz w:val="16"/>
                <w:szCs w:val="16"/>
              </w:rPr>
            </w:pPr>
          </w:p>
        </w:tc>
        <w:tc>
          <w:tcPr>
            <w:tcW w:w="947" w:type="dxa"/>
            <w:vMerge/>
            <w:tcBorders>
              <w:top w:val="nil"/>
              <w:left w:val="nil"/>
              <w:bottom w:val="single" w:sz="4" w:space="0" w:color="000000"/>
              <w:right w:val="nil"/>
            </w:tcBorders>
            <w:vAlign w:val="center"/>
            <w:hideMark/>
          </w:tcPr>
          <w:p w14:paraId="13843823" w14:textId="77777777" w:rsidR="00760863" w:rsidRPr="00760863" w:rsidRDefault="00760863" w:rsidP="00760863">
            <w:pPr>
              <w:spacing w:after="0" w:line="240" w:lineRule="auto"/>
              <w:rPr>
                <w:rFonts w:cs="Arial"/>
                <w:b/>
                <w:bCs/>
                <w:color w:val="000000"/>
                <w:sz w:val="16"/>
                <w:szCs w:val="16"/>
              </w:rPr>
            </w:pPr>
          </w:p>
        </w:tc>
        <w:tc>
          <w:tcPr>
            <w:tcW w:w="947" w:type="dxa"/>
            <w:tcBorders>
              <w:top w:val="nil"/>
              <w:left w:val="single" w:sz="4" w:space="0" w:color="auto"/>
              <w:bottom w:val="single" w:sz="4" w:space="0" w:color="auto"/>
              <w:right w:val="single" w:sz="4" w:space="0" w:color="auto"/>
            </w:tcBorders>
            <w:shd w:val="clear" w:color="000000" w:fill="F2DBDB"/>
            <w:vAlign w:val="center"/>
            <w:hideMark/>
          </w:tcPr>
          <w:p w14:paraId="526A5055"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muži</w:t>
            </w:r>
          </w:p>
        </w:tc>
        <w:tc>
          <w:tcPr>
            <w:tcW w:w="947" w:type="dxa"/>
            <w:tcBorders>
              <w:top w:val="nil"/>
              <w:left w:val="nil"/>
              <w:bottom w:val="single" w:sz="4" w:space="0" w:color="auto"/>
              <w:right w:val="single" w:sz="4" w:space="0" w:color="auto"/>
            </w:tcBorders>
            <w:shd w:val="clear" w:color="000000" w:fill="F2DBDB"/>
            <w:vAlign w:val="center"/>
            <w:hideMark/>
          </w:tcPr>
          <w:p w14:paraId="5398C0DE"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ženy</w:t>
            </w:r>
          </w:p>
        </w:tc>
        <w:tc>
          <w:tcPr>
            <w:tcW w:w="1046" w:type="dxa"/>
            <w:vMerge/>
            <w:tcBorders>
              <w:top w:val="nil"/>
              <w:left w:val="nil"/>
              <w:bottom w:val="single" w:sz="4" w:space="0" w:color="000000"/>
              <w:right w:val="nil"/>
            </w:tcBorders>
            <w:vAlign w:val="center"/>
            <w:hideMark/>
          </w:tcPr>
          <w:p w14:paraId="262BE562" w14:textId="77777777" w:rsidR="00760863" w:rsidRPr="00760863" w:rsidRDefault="00760863" w:rsidP="00760863">
            <w:pPr>
              <w:spacing w:after="0" w:line="240" w:lineRule="auto"/>
              <w:rPr>
                <w:rFonts w:cs="Arial"/>
                <w:color w:val="000000"/>
                <w:sz w:val="16"/>
                <w:szCs w:val="16"/>
              </w:rPr>
            </w:pPr>
          </w:p>
        </w:tc>
        <w:tc>
          <w:tcPr>
            <w:tcW w:w="947" w:type="dxa"/>
            <w:tcBorders>
              <w:top w:val="nil"/>
              <w:left w:val="single" w:sz="4" w:space="0" w:color="auto"/>
              <w:bottom w:val="single" w:sz="4" w:space="0" w:color="auto"/>
              <w:right w:val="single" w:sz="4" w:space="0" w:color="auto"/>
            </w:tcBorders>
            <w:shd w:val="clear" w:color="000000" w:fill="F2DBDB"/>
            <w:vAlign w:val="center"/>
            <w:hideMark/>
          </w:tcPr>
          <w:p w14:paraId="7D0BA72E"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muži</w:t>
            </w:r>
          </w:p>
        </w:tc>
        <w:tc>
          <w:tcPr>
            <w:tcW w:w="947" w:type="dxa"/>
            <w:tcBorders>
              <w:top w:val="nil"/>
              <w:left w:val="nil"/>
              <w:bottom w:val="single" w:sz="4" w:space="0" w:color="auto"/>
              <w:right w:val="single" w:sz="4" w:space="0" w:color="auto"/>
            </w:tcBorders>
            <w:shd w:val="clear" w:color="000000" w:fill="F2DBDB"/>
            <w:vAlign w:val="center"/>
            <w:hideMark/>
          </w:tcPr>
          <w:p w14:paraId="431993F6"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ženy</w:t>
            </w:r>
          </w:p>
        </w:tc>
        <w:tc>
          <w:tcPr>
            <w:tcW w:w="947" w:type="dxa"/>
            <w:vMerge/>
            <w:tcBorders>
              <w:top w:val="nil"/>
              <w:left w:val="nil"/>
              <w:bottom w:val="single" w:sz="4" w:space="0" w:color="000000"/>
              <w:right w:val="nil"/>
            </w:tcBorders>
            <w:vAlign w:val="center"/>
            <w:hideMark/>
          </w:tcPr>
          <w:p w14:paraId="474E0EC5" w14:textId="77777777" w:rsidR="00760863" w:rsidRPr="00760863" w:rsidRDefault="00760863" w:rsidP="00760863">
            <w:pPr>
              <w:spacing w:after="0" w:line="240" w:lineRule="auto"/>
              <w:rPr>
                <w:rFonts w:cs="Arial"/>
                <w:color w:val="000000"/>
                <w:sz w:val="16"/>
                <w:szCs w:val="16"/>
              </w:rPr>
            </w:pPr>
          </w:p>
        </w:tc>
        <w:tc>
          <w:tcPr>
            <w:tcW w:w="1046" w:type="dxa"/>
            <w:tcBorders>
              <w:top w:val="nil"/>
              <w:left w:val="single" w:sz="4" w:space="0" w:color="auto"/>
              <w:bottom w:val="single" w:sz="4" w:space="0" w:color="auto"/>
              <w:right w:val="single" w:sz="4" w:space="0" w:color="auto"/>
            </w:tcBorders>
            <w:shd w:val="clear" w:color="000000" w:fill="F2DBDB"/>
            <w:vAlign w:val="center"/>
            <w:hideMark/>
          </w:tcPr>
          <w:p w14:paraId="18998392"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muži</w:t>
            </w:r>
          </w:p>
        </w:tc>
        <w:tc>
          <w:tcPr>
            <w:tcW w:w="947" w:type="dxa"/>
            <w:tcBorders>
              <w:top w:val="nil"/>
              <w:left w:val="nil"/>
              <w:bottom w:val="single" w:sz="4" w:space="0" w:color="auto"/>
              <w:right w:val="nil"/>
            </w:tcBorders>
            <w:shd w:val="clear" w:color="000000" w:fill="F2DBDB"/>
            <w:vAlign w:val="center"/>
            <w:hideMark/>
          </w:tcPr>
          <w:p w14:paraId="54593002"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ženy</w:t>
            </w:r>
          </w:p>
        </w:tc>
      </w:tr>
      <w:tr w:rsidR="00760863" w:rsidRPr="00760863" w14:paraId="6D865734" w14:textId="77777777" w:rsidTr="00BC2532">
        <w:trPr>
          <w:trHeight w:val="298"/>
        </w:trPr>
        <w:tc>
          <w:tcPr>
            <w:tcW w:w="947" w:type="dxa"/>
            <w:tcBorders>
              <w:top w:val="nil"/>
              <w:left w:val="nil"/>
              <w:bottom w:val="nil"/>
              <w:right w:val="nil"/>
            </w:tcBorders>
            <w:shd w:val="clear" w:color="auto" w:fill="auto"/>
            <w:vAlign w:val="center"/>
            <w:hideMark/>
          </w:tcPr>
          <w:p w14:paraId="48F4FCF4"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2011</w:t>
            </w:r>
          </w:p>
        </w:tc>
        <w:tc>
          <w:tcPr>
            <w:tcW w:w="947" w:type="dxa"/>
            <w:tcBorders>
              <w:top w:val="nil"/>
              <w:left w:val="single" w:sz="4" w:space="0" w:color="auto"/>
              <w:bottom w:val="nil"/>
              <w:right w:val="nil"/>
            </w:tcBorders>
            <w:shd w:val="clear" w:color="auto" w:fill="auto"/>
            <w:vAlign w:val="center"/>
            <w:hideMark/>
          </w:tcPr>
          <w:p w14:paraId="7999016A"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4 211,5</w:t>
            </w:r>
          </w:p>
        </w:tc>
        <w:tc>
          <w:tcPr>
            <w:tcW w:w="947" w:type="dxa"/>
            <w:tcBorders>
              <w:top w:val="nil"/>
              <w:left w:val="nil"/>
              <w:bottom w:val="nil"/>
              <w:right w:val="nil"/>
            </w:tcBorders>
            <w:shd w:val="clear" w:color="auto" w:fill="auto"/>
            <w:vAlign w:val="center"/>
            <w:hideMark/>
          </w:tcPr>
          <w:p w14:paraId="7DD84B7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2 148,4</w:t>
            </w:r>
          </w:p>
        </w:tc>
        <w:tc>
          <w:tcPr>
            <w:tcW w:w="947" w:type="dxa"/>
            <w:tcBorders>
              <w:top w:val="nil"/>
              <w:left w:val="nil"/>
              <w:bottom w:val="nil"/>
              <w:right w:val="single" w:sz="4" w:space="0" w:color="auto"/>
            </w:tcBorders>
            <w:shd w:val="clear" w:color="auto" w:fill="auto"/>
            <w:vAlign w:val="center"/>
            <w:hideMark/>
          </w:tcPr>
          <w:p w14:paraId="6DD4467B"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2 063,2</w:t>
            </w:r>
          </w:p>
        </w:tc>
        <w:tc>
          <w:tcPr>
            <w:tcW w:w="1046" w:type="dxa"/>
            <w:tcBorders>
              <w:top w:val="nil"/>
              <w:left w:val="nil"/>
              <w:bottom w:val="nil"/>
              <w:right w:val="nil"/>
            </w:tcBorders>
            <w:shd w:val="clear" w:color="auto" w:fill="auto"/>
            <w:vAlign w:val="center"/>
            <w:hideMark/>
          </w:tcPr>
          <w:p w14:paraId="03A0E1AF"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4 061,8</w:t>
            </w:r>
          </w:p>
        </w:tc>
        <w:tc>
          <w:tcPr>
            <w:tcW w:w="947" w:type="dxa"/>
            <w:tcBorders>
              <w:top w:val="nil"/>
              <w:left w:val="nil"/>
              <w:bottom w:val="nil"/>
              <w:right w:val="nil"/>
            </w:tcBorders>
            <w:shd w:val="clear" w:color="auto" w:fill="auto"/>
            <w:vAlign w:val="center"/>
            <w:hideMark/>
          </w:tcPr>
          <w:p w14:paraId="4DFEB9EF"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2 053,8</w:t>
            </w:r>
          </w:p>
        </w:tc>
        <w:tc>
          <w:tcPr>
            <w:tcW w:w="947" w:type="dxa"/>
            <w:tcBorders>
              <w:top w:val="nil"/>
              <w:left w:val="nil"/>
              <w:bottom w:val="nil"/>
              <w:right w:val="single" w:sz="4" w:space="0" w:color="auto"/>
            </w:tcBorders>
            <w:shd w:val="clear" w:color="auto" w:fill="auto"/>
            <w:vAlign w:val="center"/>
            <w:hideMark/>
          </w:tcPr>
          <w:p w14:paraId="402FEAFA"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2 008,0</w:t>
            </w:r>
          </w:p>
        </w:tc>
        <w:tc>
          <w:tcPr>
            <w:tcW w:w="947" w:type="dxa"/>
            <w:tcBorders>
              <w:top w:val="nil"/>
              <w:left w:val="nil"/>
              <w:bottom w:val="nil"/>
              <w:right w:val="nil"/>
            </w:tcBorders>
            <w:shd w:val="clear" w:color="auto" w:fill="auto"/>
            <w:vAlign w:val="center"/>
            <w:hideMark/>
          </w:tcPr>
          <w:p w14:paraId="09565AE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149,7</w:t>
            </w:r>
          </w:p>
        </w:tc>
        <w:tc>
          <w:tcPr>
            <w:tcW w:w="1046" w:type="dxa"/>
            <w:tcBorders>
              <w:top w:val="nil"/>
              <w:left w:val="nil"/>
              <w:bottom w:val="nil"/>
              <w:right w:val="nil"/>
            </w:tcBorders>
            <w:shd w:val="clear" w:color="auto" w:fill="auto"/>
            <w:vAlign w:val="center"/>
            <w:hideMark/>
          </w:tcPr>
          <w:p w14:paraId="50EA20D7"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94,6</w:t>
            </w:r>
          </w:p>
        </w:tc>
        <w:tc>
          <w:tcPr>
            <w:tcW w:w="947" w:type="dxa"/>
            <w:tcBorders>
              <w:top w:val="nil"/>
              <w:left w:val="nil"/>
              <w:bottom w:val="nil"/>
              <w:right w:val="nil"/>
            </w:tcBorders>
            <w:shd w:val="clear" w:color="auto" w:fill="auto"/>
            <w:vAlign w:val="center"/>
            <w:hideMark/>
          </w:tcPr>
          <w:p w14:paraId="40FAB88A"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55,2</w:t>
            </w:r>
          </w:p>
        </w:tc>
      </w:tr>
      <w:tr w:rsidR="00760863" w:rsidRPr="00760863" w14:paraId="0AC0FFB3" w14:textId="77777777" w:rsidTr="00BC2532">
        <w:trPr>
          <w:trHeight w:val="298"/>
        </w:trPr>
        <w:tc>
          <w:tcPr>
            <w:tcW w:w="947" w:type="dxa"/>
            <w:tcBorders>
              <w:top w:val="nil"/>
              <w:left w:val="nil"/>
              <w:bottom w:val="nil"/>
              <w:right w:val="nil"/>
            </w:tcBorders>
            <w:shd w:val="clear" w:color="auto" w:fill="auto"/>
            <w:vAlign w:val="center"/>
            <w:hideMark/>
          </w:tcPr>
          <w:p w14:paraId="55CC5442"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2012</w:t>
            </w:r>
          </w:p>
        </w:tc>
        <w:tc>
          <w:tcPr>
            <w:tcW w:w="947" w:type="dxa"/>
            <w:tcBorders>
              <w:top w:val="nil"/>
              <w:left w:val="single" w:sz="4" w:space="0" w:color="auto"/>
              <w:bottom w:val="nil"/>
              <w:right w:val="nil"/>
            </w:tcBorders>
            <w:shd w:val="clear" w:color="auto" w:fill="auto"/>
            <w:vAlign w:val="center"/>
            <w:hideMark/>
          </w:tcPr>
          <w:p w14:paraId="1AC9573F"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4 471,9</w:t>
            </w:r>
          </w:p>
        </w:tc>
        <w:tc>
          <w:tcPr>
            <w:tcW w:w="947" w:type="dxa"/>
            <w:tcBorders>
              <w:top w:val="nil"/>
              <w:left w:val="nil"/>
              <w:bottom w:val="nil"/>
              <w:right w:val="nil"/>
            </w:tcBorders>
            <w:shd w:val="clear" w:color="auto" w:fill="auto"/>
            <w:vAlign w:val="center"/>
            <w:hideMark/>
          </w:tcPr>
          <w:p w14:paraId="3924DB9C"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2 281,4</w:t>
            </w:r>
          </w:p>
        </w:tc>
        <w:tc>
          <w:tcPr>
            <w:tcW w:w="947" w:type="dxa"/>
            <w:tcBorders>
              <w:top w:val="nil"/>
              <w:left w:val="nil"/>
              <w:bottom w:val="nil"/>
              <w:right w:val="single" w:sz="4" w:space="0" w:color="auto"/>
            </w:tcBorders>
            <w:shd w:val="clear" w:color="auto" w:fill="auto"/>
            <w:vAlign w:val="center"/>
            <w:hideMark/>
          </w:tcPr>
          <w:p w14:paraId="5609D3B3"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2 190,5</w:t>
            </w:r>
          </w:p>
        </w:tc>
        <w:tc>
          <w:tcPr>
            <w:tcW w:w="1046" w:type="dxa"/>
            <w:tcBorders>
              <w:top w:val="nil"/>
              <w:left w:val="nil"/>
              <w:bottom w:val="nil"/>
              <w:right w:val="nil"/>
            </w:tcBorders>
            <w:shd w:val="clear" w:color="auto" w:fill="auto"/>
            <w:vAlign w:val="center"/>
            <w:hideMark/>
          </w:tcPr>
          <w:p w14:paraId="520B66AC"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4 366,2</w:t>
            </w:r>
          </w:p>
        </w:tc>
        <w:tc>
          <w:tcPr>
            <w:tcW w:w="947" w:type="dxa"/>
            <w:tcBorders>
              <w:top w:val="nil"/>
              <w:left w:val="nil"/>
              <w:bottom w:val="nil"/>
              <w:right w:val="nil"/>
            </w:tcBorders>
            <w:shd w:val="clear" w:color="auto" w:fill="auto"/>
            <w:vAlign w:val="center"/>
            <w:hideMark/>
          </w:tcPr>
          <w:p w14:paraId="1A6EBCDD"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2 216,3</w:t>
            </w:r>
          </w:p>
        </w:tc>
        <w:tc>
          <w:tcPr>
            <w:tcW w:w="947" w:type="dxa"/>
            <w:tcBorders>
              <w:top w:val="nil"/>
              <w:left w:val="nil"/>
              <w:bottom w:val="nil"/>
              <w:right w:val="single" w:sz="4" w:space="0" w:color="auto"/>
            </w:tcBorders>
            <w:shd w:val="clear" w:color="auto" w:fill="auto"/>
            <w:vAlign w:val="center"/>
            <w:hideMark/>
          </w:tcPr>
          <w:p w14:paraId="25501EBD"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2 149,9</w:t>
            </w:r>
          </w:p>
        </w:tc>
        <w:tc>
          <w:tcPr>
            <w:tcW w:w="947" w:type="dxa"/>
            <w:tcBorders>
              <w:top w:val="nil"/>
              <w:left w:val="nil"/>
              <w:bottom w:val="nil"/>
              <w:right w:val="nil"/>
            </w:tcBorders>
            <w:shd w:val="clear" w:color="auto" w:fill="auto"/>
            <w:vAlign w:val="center"/>
            <w:hideMark/>
          </w:tcPr>
          <w:p w14:paraId="0DB7F1D5"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105,7</w:t>
            </w:r>
          </w:p>
        </w:tc>
        <w:tc>
          <w:tcPr>
            <w:tcW w:w="1046" w:type="dxa"/>
            <w:tcBorders>
              <w:top w:val="nil"/>
              <w:left w:val="nil"/>
              <w:bottom w:val="nil"/>
              <w:right w:val="nil"/>
            </w:tcBorders>
            <w:shd w:val="clear" w:color="auto" w:fill="auto"/>
            <w:vAlign w:val="center"/>
            <w:hideMark/>
          </w:tcPr>
          <w:p w14:paraId="64C5428E"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65,1</w:t>
            </w:r>
          </w:p>
        </w:tc>
        <w:tc>
          <w:tcPr>
            <w:tcW w:w="947" w:type="dxa"/>
            <w:tcBorders>
              <w:top w:val="nil"/>
              <w:left w:val="nil"/>
              <w:bottom w:val="nil"/>
              <w:right w:val="nil"/>
            </w:tcBorders>
            <w:shd w:val="clear" w:color="auto" w:fill="auto"/>
            <w:vAlign w:val="center"/>
            <w:hideMark/>
          </w:tcPr>
          <w:p w14:paraId="7E973B0B"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40,6</w:t>
            </w:r>
          </w:p>
        </w:tc>
      </w:tr>
      <w:tr w:rsidR="00760863" w:rsidRPr="00760863" w14:paraId="5D950228" w14:textId="77777777" w:rsidTr="00BC2532">
        <w:trPr>
          <w:trHeight w:val="298"/>
        </w:trPr>
        <w:tc>
          <w:tcPr>
            <w:tcW w:w="947" w:type="dxa"/>
            <w:tcBorders>
              <w:top w:val="nil"/>
              <w:left w:val="nil"/>
              <w:bottom w:val="nil"/>
              <w:right w:val="nil"/>
            </w:tcBorders>
            <w:shd w:val="clear" w:color="auto" w:fill="auto"/>
            <w:vAlign w:val="center"/>
            <w:hideMark/>
          </w:tcPr>
          <w:p w14:paraId="291E1C51"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2013</w:t>
            </w:r>
          </w:p>
        </w:tc>
        <w:tc>
          <w:tcPr>
            <w:tcW w:w="947" w:type="dxa"/>
            <w:tcBorders>
              <w:top w:val="nil"/>
              <w:left w:val="single" w:sz="4" w:space="0" w:color="auto"/>
              <w:bottom w:val="nil"/>
              <w:right w:val="nil"/>
            </w:tcBorders>
            <w:shd w:val="clear" w:color="auto" w:fill="auto"/>
            <w:vAlign w:val="center"/>
            <w:hideMark/>
          </w:tcPr>
          <w:p w14:paraId="0331224D"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4 440,3</w:t>
            </w:r>
          </w:p>
        </w:tc>
        <w:tc>
          <w:tcPr>
            <w:tcW w:w="947" w:type="dxa"/>
            <w:tcBorders>
              <w:top w:val="nil"/>
              <w:left w:val="nil"/>
              <w:bottom w:val="nil"/>
              <w:right w:val="nil"/>
            </w:tcBorders>
            <w:shd w:val="clear" w:color="auto" w:fill="auto"/>
            <w:vAlign w:val="center"/>
            <w:hideMark/>
          </w:tcPr>
          <w:p w14:paraId="0EFD936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2 260,7</w:t>
            </w:r>
          </w:p>
        </w:tc>
        <w:tc>
          <w:tcPr>
            <w:tcW w:w="947" w:type="dxa"/>
            <w:tcBorders>
              <w:top w:val="nil"/>
              <w:left w:val="nil"/>
              <w:bottom w:val="nil"/>
              <w:right w:val="single" w:sz="4" w:space="0" w:color="auto"/>
            </w:tcBorders>
            <w:shd w:val="clear" w:color="auto" w:fill="auto"/>
            <w:vAlign w:val="center"/>
            <w:hideMark/>
          </w:tcPr>
          <w:p w14:paraId="310CAF70"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2 179,6</w:t>
            </w:r>
          </w:p>
        </w:tc>
        <w:tc>
          <w:tcPr>
            <w:tcW w:w="1046" w:type="dxa"/>
            <w:tcBorders>
              <w:top w:val="nil"/>
              <w:left w:val="nil"/>
              <w:bottom w:val="nil"/>
              <w:right w:val="nil"/>
            </w:tcBorders>
            <w:shd w:val="clear" w:color="auto" w:fill="auto"/>
            <w:vAlign w:val="center"/>
            <w:hideMark/>
          </w:tcPr>
          <w:p w14:paraId="4EB31E13"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4 331,2</w:t>
            </w:r>
          </w:p>
        </w:tc>
        <w:tc>
          <w:tcPr>
            <w:tcW w:w="947" w:type="dxa"/>
            <w:tcBorders>
              <w:top w:val="nil"/>
              <w:left w:val="nil"/>
              <w:bottom w:val="nil"/>
              <w:right w:val="nil"/>
            </w:tcBorders>
            <w:shd w:val="clear" w:color="auto" w:fill="auto"/>
            <w:vAlign w:val="center"/>
            <w:hideMark/>
          </w:tcPr>
          <w:p w14:paraId="48959632"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2 194,2</w:t>
            </w:r>
          </w:p>
        </w:tc>
        <w:tc>
          <w:tcPr>
            <w:tcW w:w="947" w:type="dxa"/>
            <w:tcBorders>
              <w:top w:val="nil"/>
              <w:left w:val="nil"/>
              <w:bottom w:val="nil"/>
              <w:right w:val="single" w:sz="4" w:space="0" w:color="auto"/>
            </w:tcBorders>
            <w:shd w:val="clear" w:color="auto" w:fill="auto"/>
            <w:vAlign w:val="center"/>
            <w:hideMark/>
          </w:tcPr>
          <w:p w14:paraId="2DAFC71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2 136,9</w:t>
            </w:r>
          </w:p>
        </w:tc>
        <w:tc>
          <w:tcPr>
            <w:tcW w:w="947" w:type="dxa"/>
            <w:tcBorders>
              <w:top w:val="nil"/>
              <w:left w:val="nil"/>
              <w:bottom w:val="nil"/>
              <w:right w:val="nil"/>
            </w:tcBorders>
            <w:shd w:val="clear" w:color="auto" w:fill="auto"/>
            <w:vAlign w:val="center"/>
            <w:hideMark/>
          </w:tcPr>
          <w:p w14:paraId="4B75AFC5"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109,2</w:t>
            </w:r>
          </w:p>
        </w:tc>
        <w:tc>
          <w:tcPr>
            <w:tcW w:w="1046" w:type="dxa"/>
            <w:tcBorders>
              <w:top w:val="nil"/>
              <w:left w:val="nil"/>
              <w:bottom w:val="nil"/>
              <w:right w:val="nil"/>
            </w:tcBorders>
            <w:shd w:val="clear" w:color="auto" w:fill="auto"/>
            <w:vAlign w:val="center"/>
            <w:hideMark/>
          </w:tcPr>
          <w:p w14:paraId="7CE5006A"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66,5</w:t>
            </w:r>
          </w:p>
        </w:tc>
        <w:tc>
          <w:tcPr>
            <w:tcW w:w="947" w:type="dxa"/>
            <w:tcBorders>
              <w:top w:val="nil"/>
              <w:left w:val="nil"/>
              <w:bottom w:val="nil"/>
              <w:right w:val="nil"/>
            </w:tcBorders>
            <w:shd w:val="clear" w:color="auto" w:fill="auto"/>
            <w:vAlign w:val="center"/>
            <w:hideMark/>
          </w:tcPr>
          <w:p w14:paraId="784DD944"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42,7</w:t>
            </w:r>
          </w:p>
        </w:tc>
      </w:tr>
      <w:tr w:rsidR="00760863" w:rsidRPr="00760863" w14:paraId="30E030CF" w14:textId="77777777" w:rsidTr="00BC2532">
        <w:trPr>
          <w:trHeight w:val="298"/>
        </w:trPr>
        <w:tc>
          <w:tcPr>
            <w:tcW w:w="947" w:type="dxa"/>
            <w:tcBorders>
              <w:top w:val="nil"/>
              <w:left w:val="nil"/>
              <w:bottom w:val="nil"/>
              <w:right w:val="nil"/>
            </w:tcBorders>
            <w:shd w:val="clear" w:color="auto" w:fill="auto"/>
            <w:vAlign w:val="center"/>
            <w:hideMark/>
          </w:tcPr>
          <w:p w14:paraId="3880AD7F"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2014</w:t>
            </w:r>
          </w:p>
        </w:tc>
        <w:tc>
          <w:tcPr>
            <w:tcW w:w="947" w:type="dxa"/>
            <w:tcBorders>
              <w:top w:val="nil"/>
              <w:left w:val="single" w:sz="4" w:space="0" w:color="auto"/>
              <w:bottom w:val="nil"/>
              <w:right w:val="nil"/>
            </w:tcBorders>
            <w:shd w:val="clear" w:color="auto" w:fill="auto"/>
            <w:vAlign w:val="center"/>
            <w:hideMark/>
          </w:tcPr>
          <w:p w14:paraId="3B8CA95E"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4 464,1</w:t>
            </w:r>
          </w:p>
        </w:tc>
        <w:tc>
          <w:tcPr>
            <w:tcW w:w="947" w:type="dxa"/>
            <w:tcBorders>
              <w:top w:val="nil"/>
              <w:left w:val="nil"/>
              <w:bottom w:val="nil"/>
              <w:right w:val="nil"/>
            </w:tcBorders>
            <w:shd w:val="clear" w:color="auto" w:fill="auto"/>
            <w:vAlign w:val="center"/>
            <w:hideMark/>
          </w:tcPr>
          <w:p w14:paraId="1E4A58E3"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2 272,9</w:t>
            </w:r>
          </w:p>
        </w:tc>
        <w:tc>
          <w:tcPr>
            <w:tcW w:w="947" w:type="dxa"/>
            <w:tcBorders>
              <w:top w:val="nil"/>
              <w:left w:val="nil"/>
              <w:bottom w:val="nil"/>
              <w:right w:val="single" w:sz="4" w:space="0" w:color="auto"/>
            </w:tcBorders>
            <w:shd w:val="clear" w:color="auto" w:fill="auto"/>
            <w:vAlign w:val="center"/>
            <w:hideMark/>
          </w:tcPr>
          <w:p w14:paraId="2540B8DC"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2 191,2</w:t>
            </w:r>
          </w:p>
        </w:tc>
        <w:tc>
          <w:tcPr>
            <w:tcW w:w="1046" w:type="dxa"/>
            <w:tcBorders>
              <w:top w:val="nil"/>
              <w:left w:val="nil"/>
              <w:bottom w:val="nil"/>
              <w:right w:val="nil"/>
            </w:tcBorders>
            <w:shd w:val="clear" w:color="auto" w:fill="auto"/>
            <w:vAlign w:val="center"/>
            <w:hideMark/>
          </w:tcPr>
          <w:p w14:paraId="3F0092D5"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4 358,3</w:t>
            </w:r>
          </w:p>
        </w:tc>
        <w:tc>
          <w:tcPr>
            <w:tcW w:w="947" w:type="dxa"/>
            <w:tcBorders>
              <w:top w:val="nil"/>
              <w:left w:val="nil"/>
              <w:bottom w:val="nil"/>
              <w:right w:val="nil"/>
            </w:tcBorders>
            <w:shd w:val="clear" w:color="auto" w:fill="auto"/>
            <w:vAlign w:val="center"/>
            <w:hideMark/>
          </w:tcPr>
          <w:p w14:paraId="140DD717"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2 207,8</w:t>
            </w:r>
          </w:p>
        </w:tc>
        <w:tc>
          <w:tcPr>
            <w:tcW w:w="947" w:type="dxa"/>
            <w:tcBorders>
              <w:top w:val="nil"/>
              <w:left w:val="nil"/>
              <w:bottom w:val="nil"/>
              <w:right w:val="single" w:sz="4" w:space="0" w:color="auto"/>
            </w:tcBorders>
            <w:shd w:val="clear" w:color="auto" w:fill="auto"/>
            <w:vAlign w:val="center"/>
            <w:hideMark/>
          </w:tcPr>
          <w:p w14:paraId="72013B6F"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2 150,6</w:t>
            </w:r>
          </w:p>
        </w:tc>
        <w:tc>
          <w:tcPr>
            <w:tcW w:w="947" w:type="dxa"/>
            <w:tcBorders>
              <w:top w:val="nil"/>
              <w:left w:val="nil"/>
              <w:bottom w:val="nil"/>
              <w:right w:val="nil"/>
            </w:tcBorders>
            <w:shd w:val="clear" w:color="auto" w:fill="auto"/>
            <w:vAlign w:val="center"/>
            <w:hideMark/>
          </w:tcPr>
          <w:p w14:paraId="3452065D"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105,7</w:t>
            </w:r>
          </w:p>
        </w:tc>
        <w:tc>
          <w:tcPr>
            <w:tcW w:w="1046" w:type="dxa"/>
            <w:tcBorders>
              <w:top w:val="nil"/>
              <w:left w:val="nil"/>
              <w:bottom w:val="nil"/>
              <w:right w:val="nil"/>
            </w:tcBorders>
            <w:shd w:val="clear" w:color="auto" w:fill="auto"/>
            <w:vAlign w:val="center"/>
            <w:hideMark/>
          </w:tcPr>
          <w:p w14:paraId="49CAED22"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65,1</w:t>
            </w:r>
          </w:p>
        </w:tc>
        <w:tc>
          <w:tcPr>
            <w:tcW w:w="947" w:type="dxa"/>
            <w:tcBorders>
              <w:top w:val="nil"/>
              <w:left w:val="nil"/>
              <w:bottom w:val="nil"/>
              <w:right w:val="nil"/>
            </w:tcBorders>
            <w:shd w:val="clear" w:color="auto" w:fill="auto"/>
            <w:vAlign w:val="center"/>
            <w:hideMark/>
          </w:tcPr>
          <w:p w14:paraId="08F818E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40,6</w:t>
            </w:r>
          </w:p>
        </w:tc>
      </w:tr>
      <w:tr w:rsidR="00760863" w:rsidRPr="00760863" w14:paraId="4C13CA33" w14:textId="77777777" w:rsidTr="00BC2532">
        <w:trPr>
          <w:trHeight w:val="298"/>
        </w:trPr>
        <w:tc>
          <w:tcPr>
            <w:tcW w:w="947" w:type="dxa"/>
            <w:tcBorders>
              <w:top w:val="nil"/>
              <w:left w:val="nil"/>
              <w:bottom w:val="nil"/>
              <w:right w:val="nil"/>
            </w:tcBorders>
            <w:shd w:val="clear" w:color="auto" w:fill="auto"/>
            <w:vAlign w:val="center"/>
            <w:hideMark/>
          </w:tcPr>
          <w:p w14:paraId="23BD3557"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2015</w:t>
            </w:r>
          </w:p>
        </w:tc>
        <w:tc>
          <w:tcPr>
            <w:tcW w:w="947" w:type="dxa"/>
            <w:tcBorders>
              <w:top w:val="nil"/>
              <w:left w:val="single" w:sz="4" w:space="0" w:color="auto"/>
              <w:bottom w:val="nil"/>
              <w:right w:val="nil"/>
            </w:tcBorders>
            <w:shd w:val="clear" w:color="auto" w:fill="auto"/>
            <w:vAlign w:val="center"/>
            <w:hideMark/>
          </w:tcPr>
          <w:p w14:paraId="2CB410AA"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4 507,0</w:t>
            </w:r>
          </w:p>
        </w:tc>
        <w:tc>
          <w:tcPr>
            <w:tcW w:w="947" w:type="dxa"/>
            <w:tcBorders>
              <w:top w:val="nil"/>
              <w:left w:val="nil"/>
              <w:bottom w:val="nil"/>
              <w:right w:val="nil"/>
            </w:tcBorders>
            <w:shd w:val="clear" w:color="auto" w:fill="auto"/>
            <w:vAlign w:val="center"/>
            <w:hideMark/>
          </w:tcPr>
          <w:p w14:paraId="12F01D3B"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2 301,3</w:t>
            </w:r>
          </w:p>
        </w:tc>
        <w:tc>
          <w:tcPr>
            <w:tcW w:w="947" w:type="dxa"/>
            <w:tcBorders>
              <w:top w:val="nil"/>
              <w:left w:val="nil"/>
              <w:bottom w:val="nil"/>
              <w:right w:val="single" w:sz="4" w:space="0" w:color="auto"/>
            </w:tcBorders>
            <w:shd w:val="clear" w:color="auto" w:fill="auto"/>
            <w:vAlign w:val="center"/>
            <w:hideMark/>
          </w:tcPr>
          <w:p w14:paraId="209E2140"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2 205,7</w:t>
            </w:r>
          </w:p>
        </w:tc>
        <w:tc>
          <w:tcPr>
            <w:tcW w:w="1046" w:type="dxa"/>
            <w:tcBorders>
              <w:top w:val="nil"/>
              <w:left w:val="nil"/>
              <w:bottom w:val="nil"/>
              <w:right w:val="nil"/>
            </w:tcBorders>
            <w:shd w:val="clear" w:color="auto" w:fill="auto"/>
            <w:vAlign w:val="center"/>
            <w:hideMark/>
          </w:tcPr>
          <w:p w14:paraId="6D6E4C4B"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4 417,6</w:t>
            </w:r>
          </w:p>
        </w:tc>
        <w:tc>
          <w:tcPr>
            <w:tcW w:w="947" w:type="dxa"/>
            <w:tcBorders>
              <w:top w:val="nil"/>
              <w:left w:val="nil"/>
              <w:bottom w:val="nil"/>
              <w:right w:val="nil"/>
            </w:tcBorders>
            <w:shd w:val="clear" w:color="auto" w:fill="auto"/>
            <w:vAlign w:val="center"/>
            <w:hideMark/>
          </w:tcPr>
          <w:p w14:paraId="3B71D45B"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2 252,8</w:t>
            </w:r>
          </w:p>
        </w:tc>
        <w:tc>
          <w:tcPr>
            <w:tcW w:w="947" w:type="dxa"/>
            <w:tcBorders>
              <w:top w:val="nil"/>
              <w:left w:val="nil"/>
              <w:bottom w:val="nil"/>
              <w:right w:val="single" w:sz="4" w:space="0" w:color="auto"/>
            </w:tcBorders>
            <w:shd w:val="clear" w:color="auto" w:fill="auto"/>
            <w:vAlign w:val="center"/>
            <w:hideMark/>
          </w:tcPr>
          <w:p w14:paraId="18EC6B52"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2 164,8</w:t>
            </w:r>
          </w:p>
        </w:tc>
        <w:tc>
          <w:tcPr>
            <w:tcW w:w="947" w:type="dxa"/>
            <w:tcBorders>
              <w:top w:val="nil"/>
              <w:left w:val="nil"/>
              <w:bottom w:val="nil"/>
              <w:right w:val="nil"/>
            </w:tcBorders>
            <w:shd w:val="clear" w:color="auto" w:fill="auto"/>
            <w:vAlign w:val="center"/>
            <w:hideMark/>
          </w:tcPr>
          <w:p w14:paraId="40DDEE79"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89,4</w:t>
            </w:r>
          </w:p>
        </w:tc>
        <w:tc>
          <w:tcPr>
            <w:tcW w:w="1046" w:type="dxa"/>
            <w:tcBorders>
              <w:top w:val="nil"/>
              <w:left w:val="nil"/>
              <w:bottom w:val="nil"/>
              <w:right w:val="nil"/>
            </w:tcBorders>
            <w:shd w:val="clear" w:color="auto" w:fill="auto"/>
            <w:vAlign w:val="center"/>
            <w:hideMark/>
          </w:tcPr>
          <w:p w14:paraId="1D126EF4"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48,5</w:t>
            </w:r>
          </w:p>
        </w:tc>
        <w:tc>
          <w:tcPr>
            <w:tcW w:w="947" w:type="dxa"/>
            <w:tcBorders>
              <w:top w:val="nil"/>
              <w:left w:val="nil"/>
              <w:bottom w:val="nil"/>
              <w:right w:val="nil"/>
            </w:tcBorders>
            <w:shd w:val="clear" w:color="auto" w:fill="auto"/>
            <w:vAlign w:val="center"/>
            <w:hideMark/>
          </w:tcPr>
          <w:p w14:paraId="673735B2"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40,9</w:t>
            </w:r>
          </w:p>
        </w:tc>
      </w:tr>
      <w:tr w:rsidR="00760863" w:rsidRPr="00760863" w14:paraId="66879B6A" w14:textId="77777777" w:rsidTr="00BC2532">
        <w:trPr>
          <w:trHeight w:val="298"/>
        </w:trPr>
        <w:tc>
          <w:tcPr>
            <w:tcW w:w="947" w:type="dxa"/>
            <w:tcBorders>
              <w:top w:val="nil"/>
              <w:left w:val="nil"/>
              <w:bottom w:val="nil"/>
              <w:right w:val="nil"/>
            </w:tcBorders>
            <w:shd w:val="clear" w:color="auto" w:fill="auto"/>
            <w:vAlign w:val="center"/>
            <w:hideMark/>
          </w:tcPr>
          <w:p w14:paraId="2E40ECE1"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2016</w:t>
            </w:r>
          </w:p>
        </w:tc>
        <w:tc>
          <w:tcPr>
            <w:tcW w:w="947" w:type="dxa"/>
            <w:tcBorders>
              <w:top w:val="nil"/>
              <w:left w:val="single" w:sz="4" w:space="0" w:color="auto"/>
              <w:bottom w:val="nil"/>
              <w:right w:val="nil"/>
            </w:tcBorders>
            <w:shd w:val="clear" w:color="auto" w:fill="auto"/>
            <w:vAlign w:val="center"/>
            <w:hideMark/>
          </w:tcPr>
          <w:p w14:paraId="0BCC523A"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4 571,3</w:t>
            </w:r>
          </w:p>
        </w:tc>
        <w:tc>
          <w:tcPr>
            <w:tcW w:w="947" w:type="dxa"/>
            <w:tcBorders>
              <w:top w:val="nil"/>
              <w:left w:val="nil"/>
              <w:bottom w:val="nil"/>
              <w:right w:val="nil"/>
            </w:tcBorders>
            <w:shd w:val="clear" w:color="auto" w:fill="auto"/>
            <w:vAlign w:val="center"/>
            <w:hideMark/>
          </w:tcPr>
          <w:p w14:paraId="387B306C"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2 328,5</w:t>
            </w:r>
          </w:p>
        </w:tc>
        <w:tc>
          <w:tcPr>
            <w:tcW w:w="947" w:type="dxa"/>
            <w:tcBorders>
              <w:top w:val="nil"/>
              <w:left w:val="nil"/>
              <w:bottom w:val="nil"/>
              <w:right w:val="single" w:sz="4" w:space="0" w:color="auto"/>
            </w:tcBorders>
            <w:shd w:val="clear" w:color="auto" w:fill="auto"/>
            <w:vAlign w:val="center"/>
            <w:hideMark/>
          </w:tcPr>
          <w:p w14:paraId="68FD5F4C"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2 242,8</w:t>
            </w:r>
          </w:p>
        </w:tc>
        <w:tc>
          <w:tcPr>
            <w:tcW w:w="1046" w:type="dxa"/>
            <w:tcBorders>
              <w:top w:val="nil"/>
              <w:left w:val="nil"/>
              <w:bottom w:val="nil"/>
              <w:right w:val="nil"/>
            </w:tcBorders>
            <w:shd w:val="clear" w:color="auto" w:fill="auto"/>
            <w:vAlign w:val="center"/>
            <w:hideMark/>
          </w:tcPr>
          <w:p w14:paraId="5B3DCC10"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4 481,8</w:t>
            </w:r>
          </w:p>
        </w:tc>
        <w:tc>
          <w:tcPr>
            <w:tcW w:w="947" w:type="dxa"/>
            <w:tcBorders>
              <w:top w:val="nil"/>
              <w:left w:val="nil"/>
              <w:bottom w:val="nil"/>
              <w:right w:val="nil"/>
            </w:tcBorders>
            <w:shd w:val="clear" w:color="auto" w:fill="auto"/>
            <w:vAlign w:val="center"/>
            <w:hideMark/>
          </w:tcPr>
          <w:p w14:paraId="6CCA5967"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2 273,5</w:t>
            </w:r>
          </w:p>
        </w:tc>
        <w:tc>
          <w:tcPr>
            <w:tcW w:w="947" w:type="dxa"/>
            <w:tcBorders>
              <w:top w:val="nil"/>
              <w:left w:val="nil"/>
              <w:bottom w:val="nil"/>
              <w:right w:val="single" w:sz="4" w:space="0" w:color="auto"/>
            </w:tcBorders>
            <w:shd w:val="clear" w:color="auto" w:fill="auto"/>
            <w:vAlign w:val="center"/>
            <w:hideMark/>
          </w:tcPr>
          <w:p w14:paraId="29D4AB39"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2 208,3</w:t>
            </w:r>
          </w:p>
        </w:tc>
        <w:tc>
          <w:tcPr>
            <w:tcW w:w="947" w:type="dxa"/>
            <w:tcBorders>
              <w:top w:val="nil"/>
              <w:left w:val="nil"/>
              <w:bottom w:val="nil"/>
              <w:right w:val="nil"/>
            </w:tcBorders>
            <w:shd w:val="clear" w:color="auto" w:fill="auto"/>
            <w:vAlign w:val="center"/>
            <w:hideMark/>
          </w:tcPr>
          <w:p w14:paraId="5EB96546"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89,5</w:t>
            </w:r>
          </w:p>
        </w:tc>
        <w:tc>
          <w:tcPr>
            <w:tcW w:w="1046" w:type="dxa"/>
            <w:tcBorders>
              <w:top w:val="nil"/>
              <w:left w:val="nil"/>
              <w:bottom w:val="nil"/>
              <w:right w:val="nil"/>
            </w:tcBorders>
            <w:shd w:val="clear" w:color="auto" w:fill="auto"/>
            <w:vAlign w:val="center"/>
            <w:hideMark/>
          </w:tcPr>
          <w:p w14:paraId="096F17C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55,0</w:t>
            </w:r>
          </w:p>
        </w:tc>
        <w:tc>
          <w:tcPr>
            <w:tcW w:w="947" w:type="dxa"/>
            <w:tcBorders>
              <w:top w:val="nil"/>
              <w:left w:val="nil"/>
              <w:bottom w:val="nil"/>
              <w:right w:val="nil"/>
            </w:tcBorders>
            <w:shd w:val="clear" w:color="auto" w:fill="auto"/>
            <w:vAlign w:val="center"/>
            <w:hideMark/>
          </w:tcPr>
          <w:p w14:paraId="05F015F9"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34,5</w:t>
            </w:r>
          </w:p>
        </w:tc>
      </w:tr>
      <w:tr w:rsidR="00760863" w:rsidRPr="00760863" w14:paraId="3A10D81F" w14:textId="77777777" w:rsidTr="00BC2532">
        <w:trPr>
          <w:trHeight w:val="298"/>
        </w:trPr>
        <w:tc>
          <w:tcPr>
            <w:tcW w:w="947" w:type="dxa"/>
            <w:tcBorders>
              <w:top w:val="nil"/>
              <w:left w:val="nil"/>
              <w:bottom w:val="nil"/>
              <w:right w:val="nil"/>
            </w:tcBorders>
            <w:shd w:val="clear" w:color="auto" w:fill="auto"/>
            <w:vAlign w:val="center"/>
            <w:hideMark/>
          </w:tcPr>
          <w:p w14:paraId="7B6226EB"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2017</w:t>
            </w:r>
          </w:p>
        </w:tc>
        <w:tc>
          <w:tcPr>
            <w:tcW w:w="947" w:type="dxa"/>
            <w:tcBorders>
              <w:top w:val="nil"/>
              <w:left w:val="single" w:sz="4" w:space="0" w:color="auto"/>
              <w:bottom w:val="nil"/>
              <w:right w:val="nil"/>
            </w:tcBorders>
            <w:shd w:val="clear" w:color="auto" w:fill="auto"/>
            <w:vAlign w:val="center"/>
            <w:hideMark/>
          </w:tcPr>
          <w:p w14:paraId="7F7BF769"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4 671,8</w:t>
            </w:r>
          </w:p>
        </w:tc>
        <w:tc>
          <w:tcPr>
            <w:tcW w:w="947" w:type="dxa"/>
            <w:tcBorders>
              <w:top w:val="nil"/>
              <w:left w:val="nil"/>
              <w:bottom w:val="nil"/>
              <w:right w:val="nil"/>
            </w:tcBorders>
            <w:shd w:val="clear" w:color="auto" w:fill="auto"/>
            <w:vAlign w:val="center"/>
            <w:hideMark/>
          </w:tcPr>
          <w:p w14:paraId="51CF62AA"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2 370,0</w:t>
            </w:r>
          </w:p>
        </w:tc>
        <w:tc>
          <w:tcPr>
            <w:tcW w:w="947" w:type="dxa"/>
            <w:tcBorders>
              <w:top w:val="nil"/>
              <w:left w:val="nil"/>
              <w:bottom w:val="nil"/>
              <w:right w:val="single" w:sz="4" w:space="0" w:color="auto"/>
            </w:tcBorders>
            <w:shd w:val="clear" w:color="auto" w:fill="auto"/>
            <w:vAlign w:val="center"/>
            <w:hideMark/>
          </w:tcPr>
          <w:p w14:paraId="1C0906C6"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2 301,8</w:t>
            </w:r>
          </w:p>
        </w:tc>
        <w:tc>
          <w:tcPr>
            <w:tcW w:w="1046" w:type="dxa"/>
            <w:tcBorders>
              <w:top w:val="nil"/>
              <w:left w:val="nil"/>
              <w:bottom w:val="nil"/>
              <w:right w:val="nil"/>
            </w:tcBorders>
            <w:shd w:val="clear" w:color="auto" w:fill="auto"/>
            <w:vAlign w:val="center"/>
            <w:hideMark/>
          </w:tcPr>
          <w:p w14:paraId="2155ACCD"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4 582,2</w:t>
            </w:r>
          </w:p>
        </w:tc>
        <w:tc>
          <w:tcPr>
            <w:tcW w:w="947" w:type="dxa"/>
            <w:tcBorders>
              <w:top w:val="nil"/>
              <w:left w:val="nil"/>
              <w:bottom w:val="nil"/>
              <w:right w:val="nil"/>
            </w:tcBorders>
            <w:shd w:val="clear" w:color="auto" w:fill="auto"/>
            <w:vAlign w:val="center"/>
            <w:hideMark/>
          </w:tcPr>
          <w:p w14:paraId="6ED30A43"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2 315,8</w:t>
            </w:r>
          </w:p>
        </w:tc>
        <w:tc>
          <w:tcPr>
            <w:tcW w:w="947" w:type="dxa"/>
            <w:tcBorders>
              <w:top w:val="nil"/>
              <w:left w:val="nil"/>
              <w:bottom w:val="nil"/>
              <w:right w:val="single" w:sz="4" w:space="0" w:color="auto"/>
            </w:tcBorders>
            <w:shd w:val="clear" w:color="auto" w:fill="auto"/>
            <w:vAlign w:val="center"/>
            <w:hideMark/>
          </w:tcPr>
          <w:p w14:paraId="313DABB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2 266,4</w:t>
            </w:r>
          </w:p>
        </w:tc>
        <w:tc>
          <w:tcPr>
            <w:tcW w:w="947" w:type="dxa"/>
            <w:tcBorders>
              <w:top w:val="nil"/>
              <w:left w:val="nil"/>
              <w:bottom w:val="nil"/>
              <w:right w:val="nil"/>
            </w:tcBorders>
            <w:shd w:val="clear" w:color="auto" w:fill="auto"/>
            <w:vAlign w:val="center"/>
            <w:hideMark/>
          </w:tcPr>
          <w:p w14:paraId="25F1839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89,7</w:t>
            </w:r>
          </w:p>
        </w:tc>
        <w:tc>
          <w:tcPr>
            <w:tcW w:w="1046" w:type="dxa"/>
            <w:tcBorders>
              <w:top w:val="nil"/>
              <w:left w:val="nil"/>
              <w:bottom w:val="nil"/>
              <w:right w:val="nil"/>
            </w:tcBorders>
            <w:shd w:val="clear" w:color="auto" w:fill="auto"/>
            <w:vAlign w:val="center"/>
            <w:hideMark/>
          </w:tcPr>
          <w:p w14:paraId="3D521837"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54,2</w:t>
            </w:r>
          </w:p>
        </w:tc>
        <w:tc>
          <w:tcPr>
            <w:tcW w:w="947" w:type="dxa"/>
            <w:tcBorders>
              <w:top w:val="nil"/>
              <w:left w:val="nil"/>
              <w:bottom w:val="nil"/>
              <w:right w:val="nil"/>
            </w:tcBorders>
            <w:shd w:val="clear" w:color="auto" w:fill="auto"/>
            <w:vAlign w:val="center"/>
            <w:hideMark/>
          </w:tcPr>
          <w:p w14:paraId="1177C016"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35,4</w:t>
            </w:r>
          </w:p>
        </w:tc>
      </w:tr>
      <w:tr w:rsidR="00760863" w:rsidRPr="00760863" w14:paraId="605788F2" w14:textId="77777777" w:rsidTr="00BC2532">
        <w:trPr>
          <w:trHeight w:val="298"/>
        </w:trPr>
        <w:tc>
          <w:tcPr>
            <w:tcW w:w="947" w:type="dxa"/>
            <w:tcBorders>
              <w:top w:val="nil"/>
              <w:left w:val="nil"/>
              <w:bottom w:val="nil"/>
              <w:right w:val="nil"/>
            </w:tcBorders>
            <w:shd w:val="clear" w:color="auto" w:fill="auto"/>
            <w:vAlign w:val="center"/>
            <w:hideMark/>
          </w:tcPr>
          <w:p w14:paraId="333FE5B8"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2018</w:t>
            </w:r>
          </w:p>
        </w:tc>
        <w:tc>
          <w:tcPr>
            <w:tcW w:w="947" w:type="dxa"/>
            <w:tcBorders>
              <w:top w:val="nil"/>
              <w:left w:val="single" w:sz="4" w:space="0" w:color="auto"/>
              <w:bottom w:val="nil"/>
              <w:right w:val="nil"/>
            </w:tcBorders>
            <w:shd w:val="clear" w:color="auto" w:fill="auto"/>
            <w:vAlign w:val="center"/>
            <w:hideMark/>
          </w:tcPr>
          <w:p w14:paraId="355C901F"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4 732,7</w:t>
            </w:r>
          </w:p>
        </w:tc>
        <w:tc>
          <w:tcPr>
            <w:tcW w:w="947" w:type="dxa"/>
            <w:tcBorders>
              <w:top w:val="nil"/>
              <w:left w:val="nil"/>
              <w:bottom w:val="nil"/>
              <w:right w:val="nil"/>
            </w:tcBorders>
            <w:shd w:val="clear" w:color="auto" w:fill="auto"/>
            <w:vAlign w:val="center"/>
            <w:hideMark/>
          </w:tcPr>
          <w:p w14:paraId="3B11CBA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2 391,4</w:t>
            </w:r>
          </w:p>
        </w:tc>
        <w:tc>
          <w:tcPr>
            <w:tcW w:w="947" w:type="dxa"/>
            <w:tcBorders>
              <w:top w:val="nil"/>
              <w:left w:val="nil"/>
              <w:bottom w:val="nil"/>
              <w:right w:val="single" w:sz="4" w:space="0" w:color="auto"/>
            </w:tcBorders>
            <w:shd w:val="clear" w:color="auto" w:fill="auto"/>
            <w:vAlign w:val="center"/>
            <w:hideMark/>
          </w:tcPr>
          <w:p w14:paraId="34BEB011"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2 341,3</w:t>
            </w:r>
          </w:p>
        </w:tc>
        <w:tc>
          <w:tcPr>
            <w:tcW w:w="1046" w:type="dxa"/>
            <w:tcBorders>
              <w:top w:val="nil"/>
              <w:left w:val="nil"/>
              <w:bottom w:val="nil"/>
              <w:right w:val="nil"/>
            </w:tcBorders>
            <w:shd w:val="clear" w:color="auto" w:fill="auto"/>
            <w:vAlign w:val="center"/>
            <w:hideMark/>
          </w:tcPr>
          <w:p w14:paraId="12755352"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4 641,5</w:t>
            </w:r>
          </w:p>
        </w:tc>
        <w:tc>
          <w:tcPr>
            <w:tcW w:w="947" w:type="dxa"/>
            <w:tcBorders>
              <w:top w:val="nil"/>
              <w:left w:val="nil"/>
              <w:bottom w:val="nil"/>
              <w:right w:val="nil"/>
            </w:tcBorders>
            <w:shd w:val="clear" w:color="auto" w:fill="auto"/>
            <w:vAlign w:val="center"/>
            <w:hideMark/>
          </w:tcPr>
          <w:p w14:paraId="3A0A2DC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2 336,8</w:t>
            </w:r>
          </w:p>
        </w:tc>
        <w:tc>
          <w:tcPr>
            <w:tcW w:w="947" w:type="dxa"/>
            <w:tcBorders>
              <w:top w:val="nil"/>
              <w:left w:val="nil"/>
              <w:bottom w:val="nil"/>
              <w:right w:val="single" w:sz="4" w:space="0" w:color="auto"/>
            </w:tcBorders>
            <w:shd w:val="clear" w:color="auto" w:fill="auto"/>
            <w:vAlign w:val="center"/>
            <w:hideMark/>
          </w:tcPr>
          <w:p w14:paraId="338B25F4"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2 304,6</w:t>
            </w:r>
          </w:p>
        </w:tc>
        <w:tc>
          <w:tcPr>
            <w:tcW w:w="947" w:type="dxa"/>
            <w:tcBorders>
              <w:top w:val="nil"/>
              <w:left w:val="nil"/>
              <w:bottom w:val="nil"/>
              <w:right w:val="nil"/>
            </w:tcBorders>
            <w:shd w:val="clear" w:color="auto" w:fill="auto"/>
            <w:vAlign w:val="center"/>
            <w:hideMark/>
          </w:tcPr>
          <w:p w14:paraId="7C3BC260"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91,3</w:t>
            </w:r>
          </w:p>
        </w:tc>
        <w:tc>
          <w:tcPr>
            <w:tcW w:w="1046" w:type="dxa"/>
            <w:tcBorders>
              <w:top w:val="nil"/>
              <w:left w:val="nil"/>
              <w:bottom w:val="nil"/>
              <w:right w:val="nil"/>
            </w:tcBorders>
            <w:shd w:val="clear" w:color="auto" w:fill="auto"/>
            <w:vAlign w:val="center"/>
            <w:hideMark/>
          </w:tcPr>
          <w:p w14:paraId="1B9CDAAF"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54,5</w:t>
            </w:r>
          </w:p>
        </w:tc>
        <w:tc>
          <w:tcPr>
            <w:tcW w:w="947" w:type="dxa"/>
            <w:tcBorders>
              <w:top w:val="nil"/>
              <w:left w:val="nil"/>
              <w:bottom w:val="nil"/>
              <w:right w:val="nil"/>
            </w:tcBorders>
            <w:shd w:val="clear" w:color="auto" w:fill="auto"/>
            <w:vAlign w:val="center"/>
            <w:hideMark/>
          </w:tcPr>
          <w:p w14:paraId="6B7E1E26"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36,7</w:t>
            </w:r>
          </w:p>
        </w:tc>
      </w:tr>
      <w:tr w:rsidR="00760863" w:rsidRPr="00760863" w14:paraId="54C24AC0" w14:textId="77777777" w:rsidTr="00BC2532">
        <w:trPr>
          <w:trHeight w:val="298"/>
        </w:trPr>
        <w:tc>
          <w:tcPr>
            <w:tcW w:w="947" w:type="dxa"/>
            <w:tcBorders>
              <w:top w:val="nil"/>
              <w:left w:val="nil"/>
              <w:bottom w:val="nil"/>
              <w:right w:val="nil"/>
            </w:tcBorders>
            <w:shd w:val="clear" w:color="auto" w:fill="auto"/>
            <w:vAlign w:val="center"/>
            <w:hideMark/>
          </w:tcPr>
          <w:p w14:paraId="192D908C"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2019</w:t>
            </w:r>
          </w:p>
        </w:tc>
        <w:tc>
          <w:tcPr>
            <w:tcW w:w="947" w:type="dxa"/>
            <w:tcBorders>
              <w:top w:val="nil"/>
              <w:left w:val="single" w:sz="4" w:space="0" w:color="auto"/>
              <w:bottom w:val="nil"/>
              <w:right w:val="nil"/>
            </w:tcBorders>
            <w:shd w:val="clear" w:color="auto" w:fill="auto"/>
            <w:vAlign w:val="center"/>
            <w:hideMark/>
          </w:tcPr>
          <w:p w14:paraId="040EFC2B"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4 732,9</w:t>
            </w:r>
          </w:p>
        </w:tc>
        <w:tc>
          <w:tcPr>
            <w:tcW w:w="947" w:type="dxa"/>
            <w:tcBorders>
              <w:top w:val="nil"/>
              <w:left w:val="nil"/>
              <w:bottom w:val="nil"/>
              <w:right w:val="nil"/>
            </w:tcBorders>
            <w:shd w:val="clear" w:color="auto" w:fill="auto"/>
            <w:vAlign w:val="center"/>
            <w:hideMark/>
          </w:tcPr>
          <w:p w14:paraId="4DEC9EAA"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2 384,9</w:t>
            </w:r>
          </w:p>
        </w:tc>
        <w:tc>
          <w:tcPr>
            <w:tcW w:w="947" w:type="dxa"/>
            <w:tcBorders>
              <w:top w:val="nil"/>
              <w:left w:val="nil"/>
              <w:bottom w:val="nil"/>
              <w:right w:val="single" w:sz="4" w:space="0" w:color="auto"/>
            </w:tcBorders>
            <w:shd w:val="clear" w:color="auto" w:fill="auto"/>
            <w:vAlign w:val="center"/>
            <w:hideMark/>
          </w:tcPr>
          <w:p w14:paraId="098FBD92"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2 348,0</w:t>
            </w:r>
          </w:p>
        </w:tc>
        <w:tc>
          <w:tcPr>
            <w:tcW w:w="1046" w:type="dxa"/>
            <w:tcBorders>
              <w:top w:val="nil"/>
              <w:left w:val="nil"/>
              <w:bottom w:val="nil"/>
              <w:right w:val="nil"/>
            </w:tcBorders>
            <w:shd w:val="clear" w:color="auto" w:fill="auto"/>
            <w:vAlign w:val="center"/>
            <w:hideMark/>
          </w:tcPr>
          <w:p w14:paraId="6A684D66"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4 638,5</w:t>
            </w:r>
          </w:p>
        </w:tc>
        <w:tc>
          <w:tcPr>
            <w:tcW w:w="947" w:type="dxa"/>
            <w:tcBorders>
              <w:top w:val="nil"/>
              <w:left w:val="nil"/>
              <w:bottom w:val="nil"/>
              <w:right w:val="nil"/>
            </w:tcBorders>
            <w:shd w:val="clear" w:color="auto" w:fill="auto"/>
            <w:vAlign w:val="center"/>
            <w:hideMark/>
          </w:tcPr>
          <w:p w14:paraId="3E6E2735"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2 329,4</w:t>
            </w:r>
          </w:p>
        </w:tc>
        <w:tc>
          <w:tcPr>
            <w:tcW w:w="947" w:type="dxa"/>
            <w:tcBorders>
              <w:top w:val="nil"/>
              <w:left w:val="nil"/>
              <w:bottom w:val="nil"/>
              <w:right w:val="single" w:sz="4" w:space="0" w:color="auto"/>
            </w:tcBorders>
            <w:shd w:val="clear" w:color="auto" w:fill="auto"/>
            <w:vAlign w:val="center"/>
            <w:hideMark/>
          </w:tcPr>
          <w:p w14:paraId="22E2FE56"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2 309,1</w:t>
            </w:r>
          </w:p>
        </w:tc>
        <w:tc>
          <w:tcPr>
            <w:tcW w:w="947" w:type="dxa"/>
            <w:tcBorders>
              <w:top w:val="nil"/>
              <w:left w:val="nil"/>
              <w:bottom w:val="nil"/>
              <w:right w:val="nil"/>
            </w:tcBorders>
            <w:shd w:val="clear" w:color="auto" w:fill="auto"/>
            <w:vAlign w:val="center"/>
            <w:hideMark/>
          </w:tcPr>
          <w:p w14:paraId="7943FA29"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94,4</w:t>
            </w:r>
          </w:p>
        </w:tc>
        <w:tc>
          <w:tcPr>
            <w:tcW w:w="1046" w:type="dxa"/>
            <w:tcBorders>
              <w:top w:val="nil"/>
              <w:left w:val="nil"/>
              <w:bottom w:val="nil"/>
              <w:right w:val="nil"/>
            </w:tcBorders>
            <w:shd w:val="clear" w:color="auto" w:fill="auto"/>
            <w:vAlign w:val="center"/>
            <w:hideMark/>
          </w:tcPr>
          <w:p w14:paraId="3FE0FDB1"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55,5</w:t>
            </w:r>
          </w:p>
        </w:tc>
        <w:tc>
          <w:tcPr>
            <w:tcW w:w="947" w:type="dxa"/>
            <w:tcBorders>
              <w:top w:val="nil"/>
              <w:left w:val="nil"/>
              <w:bottom w:val="nil"/>
              <w:right w:val="nil"/>
            </w:tcBorders>
            <w:shd w:val="clear" w:color="auto" w:fill="auto"/>
            <w:vAlign w:val="center"/>
            <w:hideMark/>
          </w:tcPr>
          <w:p w14:paraId="35714073"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39,0</w:t>
            </w:r>
          </w:p>
        </w:tc>
      </w:tr>
      <w:tr w:rsidR="00760863" w:rsidRPr="00760863" w14:paraId="5F183E7D" w14:textId="77777777" w:rsidTr="00BC2532">
        <w:trPr>
          <w:trHeight w:val="298"/>
        </w:trPr>
        <w:tc>
          <w:tcPr>
            <w:tcW w:w="947" w:type="dxa"/>
            <w:tcBorders>
              <w:top w:val="nil"/>
              <w:left w:val="nil"/>
              <w:bottom w:val="nil"/>
              <w:right w:val="nil"/>
            </w:tcBorders>
            <w:shd w:val="clear" w:color="auto" w:fill="auto"/>
            <w:vAlign w:val="center"/>
            <w:hideMark/>
          </w:tcPr>
          <w:p w14:paraId="3CBA92D3"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2020</w:t>
            </w:r>
          </w:p>
        </w:tc>
        <w:tc>
          <w:tcPr>
            <w:tcW w:w="947" w:type="dxa"/>
            <w:tcBorders>
              <w:top w:val="nil"/>
              <w:left w:val="single" w:sz="4" w:space="0" w:color="auto"/>
              <w:bottom w:val="nil"/>
              <w:right w:val="nil"/>
            </w:tcBorders>
            <w:shd w:val="clear" w:color="auto" w:fill="auto"/>
            <w:vAlign w:val="center"/>
            <w:hideMark/>
          </w:tcPr>
          <w:p w14:paraId="5C9F71C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4 690,4</w:t>
            </w:r>
          </w:p>
        </w:tc>
        <w:tc>
          <w:tcPr>
            <w:tcW w:w="947" w:type="dxa"/>
            <w:tcBorders>
              <w:top w:val="nil"/>
              <w:left w:val="nil"/>
              <w:bottom w:val="nil"/>
              <w:right w:val="nil"/>
            </w:tcBorders>
            <w:shd w:val="clear" w:color="auto" w:fill="auto"/>
            <w:vAlign w:val="center"/>
            <w:hideMark/>
          </w:tcPr>
          <w:p w14:paraId="6BDCEA4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2 354,0</w:t>
            </w:r>
          </w:p>
        </w:tc>
        <w:tc>
          <w:tcPr>
            <w:tcW w:w="947" w:type="dxa"/>
            <w:tcBorders>
              <w:top w:val="nil"/>
              <w:left w:val="nil"/>
              <w:bottom w:val="nil"/>
              <w:right w:val="single" w:sz="4" w:space="0" w:color="auto"/>
            </w:tcBorders>
            <w:shd w:val="clear" w:color="auto" w:fill="auto"/>
            <w:vAlign w:val="center"/>
            <w:hideMark/>
          </w:tcPr>
          <w:p w14:paraId="1514CA30"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2 336,4</w:t>
            </w:r>
          </w:p>
        </w:tc>
        <w:tc>
          <w:tcPr>
            <w:tcW w:w="1046" w:type="dxa"/>
            <w:tcBorders>
              <w:top w:val="nil"/>
              <w:left w:val="nil"/>
              <w:bottom w:val="nil"/>
              <w:right w:val="nil"/>
            </w:tcBorders>
            <w:shd w:val="clear" w:color="auto" w:fill="auto"/>
            <w:vAlign w:val="center"/>
            <w:hideMark/>
          </w:tcPr>
          <w:p w14:paraId="599D5AFE"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4 594,7</w:t>
            </w:r>
          </w:p>
        </w:tc>
        <w:tc>
          <w:tcPr>
            <w:tcW w:w="947" w:type="dxa"/>
            <w:tcBorders>
              <w:top w:val="nil"/>
              <w:left w:val="nil"/>
              <w:bottom w:val="nil"/>
              <w:right w:val="nil"/>
            </w:tcBorders>
            <w:shd w:val="clear" w:color="auto" w:fill="auto"/>
            <w:vAlign w:val="center"/>
            <w:hideMark/>
          </w:tcPr>
          <w:p w14:paraId="04B8AE06"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2 298,4</w:t>
            </w:r>
          </w:p>
        </w:tc>
        <w:tc>
          <w:tcPr>
            <w:tcW w:w="947" w:type="dxa"/>
            <w:tcBorders>
              <w:top w:val="nil"/>
              <w:left w:val="nil"/>
              <w:bottom w:val="nil"/>
              <w:right w:val="single" w:sz="4" w:space="0" w:color="auto"/>
            </w:tcBorders>
            <w:shd w:val="clear" w:color="auto" w:fill="auto"/>
            <w:vAlign w:val="center"/>
            <w:hideMark/>
          </w:tcPr>
          <w:p w14:paraId="3BF8D74C"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2 296,3</w:t>
            </w:r>
          </w:p>
        </w:tc>
        <w:tc>
          <w:tcPr>
            <w:tcW w:w="947" w:type="dxa"/>
            <w:tcBorders>
              <w:top w:val="nil"/>
              <w:left w:val="nil"/>
              <w:bottom w:val="nil"/>
              <w:right w:val="nil"/>
            </w:tcBorders>
            <w:shd w:val="clear" w:color="auto" w:fill="auto"/>
            <w:vAlign w:val="center"/>
            <w:hideMark/>
          </w:tcPr>
          <w:p w14:paraId="54686483"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95,7</w:t>
            </w:r>
          </w:p>
        </w:tc>
        <w:tc>
          <w:tcPr>
            <w:tcW w:w="1046" w:type="dxa"/>
            <w:tcBorders>
              <w:top w:val="nil"/>
              <w:left w:val="nil"/>
              <w:bottom w:val="nil"/>
              <w:right w:val="nil"/>
            </w:tcBorders>
            <w:shd w:val="clear" w:color="auto" w:fill="auto"/>
            <w:vAlign w:val="center"/>
            <w:hideMark/>
          </w:tcPr>
          <w:p w14:paraId="43E4D0A1"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55,5</w:t>
            </w:r>
          </w:p>
        </w:tc>
        <w:tc>
          <w:tcPr>
            <w:tcW w:w="947" w:type="dxa"/>
            <w:tcBorders>
              <w:top w:val="nil"/>
              <w:left w:val="nil"/>
              <w:bottom w:val="nil"/>
              <w:right w:val="nil"/>
            </w:tcBorders>
            <w:shd w:val="clear" w:color="auto" w:fill="auto"/>
            <w:vAlign w:val="center"/>
            <w:hideMark/>
          </w:tcPr>
          <w:p w14:paraId="3C247E90"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40,1</w:t>
            </w:r>
          </w:p>
        </w:tc>
      </w:tr>
      <w:tr w:rsidR="00BC2532" w:rsidRPr="00760863" w14:paraId="3DE69EAB" w14:textId="77777777" w:rsidTr="00BC2532">
        <w:trPr>
          <w:trHeight w:val="298"/>
        </w:trPr>
        <w:tc>
          <w:tcPr>
            <w:tcW w:w="947" w:type="dxa"/>
            <w:tcBorders>
              <w:top w:val="nil"/>
              <w:left w:val="nil"/>
              <w:bottom w:val="nil"/>
              <w:right w:val="single" w:sz="4" w:space="0" w:color="auto"/>
            </w:tcBorders>
            <w:shd w:val="clear" w:color="auto" w:fill="auto"/>
            <w:vAlign w:val="center"/>
            <w:hideMark/>
          </w:tcPr>
          <w:p w14:paraId="40223BFE" w14:textId="77777777" w:rsidR="00760863" w:rsidRPr="00760863" w:rsidRDefault="00760863" w:rsidP="00BC2532">
            <w:pPr>
              <w:spacing w:after="0" w:line="240" w:lineRule="auto"/>
              <w:jc w:val="center"/>
              <w:rPr>
                <w:rFonts w:cs="Arial"/>
                <w:color w:val="000000"/>
                <w:sz w:val="16"/>
                <w:szCs w:val="16"/>
              </w:rPr>
            </w:pPr>
            <w:r w:rsidRPr="00760863">
              <w:rPr>
                <w:rFonts w:cs="Arial"/>
                <w:color w:val="000000"/>
                <w:sz w:val="16"/>
                <w:szCs w:val="16"/>
              </w:rPr>
              <w:t>2021</w:t>
            </w:r>
          </w:p>
        </w:tc>
        <w:tc>
          <w:tcPr>
            <w:tcW w:w="947" w:type="dxa"/>
            <w:tcBorders>
              <w:top w:val="nil"/>
              <w:left w:val="nil"/>
              <w:bottom w:val="nil"/>
              <w:right w:val="nil"/>
            </w:tcBorders>
            <w:shd w:val="clear" w:color="auto" w:fill="auto"/>
            <w:noWrap/>
            <w:vAlign w:val="center"/>
            <w:hideMark/>
          </w:tcPr>
          <w:p w14:paraId="7C645F67" w14:textId="77777777" w:rsidR="00760863" w:rsidRPr="00760863" w:rsidRDefault="00760863" w:rsidP="00BC2532">
            <w:pPr>
              <w:spacing w:after="0" w:line="240" w:lineRule="auto"/>
              <w:jc w:val="right"/>
              <w:rPr>
                <w:rFonts w:cs="Arial"/>
                <w:color w:val="000000"/>
                <w:sz w:val="16"/>
                <w:szCs w:val="16"/>
              </w:rPr>
            </w:pPr>
            <w:r w:rsidRPr="00760863">
              <w:rPr>
                <w:rFonts w:cs="Arial"/>
                <w:color w:val="000000"/>
                <w:sz w:val="16"/>
                <w:szCs w:val="16"/>
              </w:rPr>
              <w:t>4 708,2</w:t>
            </w:r>
          </w:p>
        </w:tc>
        <w:tc>
          <w:tcPr>
            <w:tcW w:w="947" w:type="dxa"/>
            <w:tcBorders>
              <w:top w:val="nil"/>
              <w:left w:val="nil"/>
              <w:bottom w:val="nil"/>
              <w:right w:val="nil"/>
            </w:tcBorders>
            <w:shd w:val="clear" w:color="auto" w:fill="auto"/>
            <w:vAlign w:val="center"/>
            <w:hideMark/>
          </w:tcPr>
          <w:p w14:paraId="31ACF458" w14:textId="77777777" w:rsidR="00760863" w:rsidRPr="00760863" w:rsidRDefault="00760863" w:rsidP="00BC2532">
            <w:pPr>
              <w:spacing w:after="0" w:line="240" w:lineRule="auto"/>
              <w:jc w:val="right"/>
              <w:rPr>
                <w:rFonts w:cs="Arial"/>
                <w:color w:val="000000"/>
                <w:sz w:val="16"/>
                <w:szCs w:val="16"/>
              </w:rPr>
            </w:pPr>
            <w:r w:rsidRPr="00760863">
              <w:rPr>
                <w:rFonts w:cs="Arial"/>
                <w:color w:val="000000"/>
                <w:sz w:val="16"/>
                <w:szCs w:val="16"/>
              </w:rPr>
              <w:t>2 354,2</w:t>
            </w:r>
          </w:p>
        </w:tc>
        <w:tc>
          <w:tcPr>
            <w:tcW w:w="947" w:type="dxa"/>
            <w:tcBorders>
              <w:top w:val="nil"/>
              <w:left w:val="nil"/>
              <w:bottom w:val="nil"/>
              <w:right w:val="single" w:sz="4" w:space="0" w:color="auto"/>
            </w:tcBorders>
            <w:shd w:val="clear" w:color="auto" w:fill="auto"/>
            <w:noWrap/>
            <w:vAlign w:val="center"/>
            <w:hideMark/>
          </w:tcPr>
          <w:p w14:paraId="5326AC9C" w14:textId="77777777" w:rsidR="00760863" w:rsidRPr="00760863" w:rsidRDefault="00760863" w:rsidP="00BC2532">
            <w:pPr>
              <w:spacing w:after="0" w:line="240" w:lineRule="auto"/>
              <w:jc w:val="right"/>
              <w:rPr>
                <w:rFonts w:cs="Arial"/>
                <w:color w:val="000000"/>
                <w:sz w:val="16"/>
                <w:szCs w:val="16"/>
              </w:rPr>
            </w:pPr>
            <w:r w:rsidRPr="00760863">
              <w:rPr>
                <w:rFonts w:cs="Arial"/>
                <w:color w:val="000000"/>
                <w:sz w:val="16"/>
                <w:szCs w:val="16"/>
              </w:rPr>
              <w:t>2 354,0</w:t>
            </w:r>
          </w:p>
        </w:tc>
        <w:tc>
          <w:tcPr>
            <w:tcW w:w="1046" w:type="dxa"/>
            <w:tcBorders>
              <w:top w:val="nil"/>
              <w:left w:val="nil"/>
              <w:bottom w:val="nil"/>
              <w:right w:val="nil"/>
            </w:tcBorders>
            <w:shd w:val="clear" w:color="auto" w:fill="auto"/>
            <w:vAlign w:val="center"/>
            <w:hideMark/>
          </w:tcPr>
          <w:p w14:paraId="0DB8B1F2" w14:textId="77777777" w:rsidR="00760863" w:rsidRPr="00760863" w:rsidRDefault="00760863" w:rsidP="00BC2532">
            <w:pPr>
              <w:spacing w:after="0" w:line="240" w:lineRule="auto"/>
              <w:jc w:val="right"/>
              <w:rPr>
                <w:rFonts w:cs="Arial"/>
                <w:color w:val="000000"/>
                <w:sz w:val="16"/>
                <w:szCs w:val="16"/>
              </w:rPr>
            </w:pPr>
            <w:r w:rsidRPr="00760863">
              <w:rPr>
                <w:rFonts w:cs="Arial"/>
                <w:color w:val="000000"/>
                <w:sz w:val="16"/>
                <w:szCs w:val="16"/>
              </w:rPr>
              <w:t>4 609,6</w:t>
            </w:r>
          </w:p>
        </w:tc>
        <w:tc>
          <w:tcPr>
            <w:tcW w:w="947" w:type="dxa"/>
            <w:tcBorders>
              <w:top w:val="nil"/>
              <w:left w:val="nil"/>
              <w:bottom w:val="nil"/>
              <w:right w:val="nil"/>
            </w:tcBorders>
            <w:shd w:val="clear" w:color="auto" w:fill="auto"/>
            <w:vAlign w:val="center"/>
            <w:hideMark/>
          </w:tcPr>
          <w:p w14:paraId="018F3928" w14:textId="77777777" w:rsidR="00760863" w:rsidRPr="00760863" w:rsidRDefault="00760863" w:rsidP="00BC2532">
            <w:pPr>
              <w:spacing w:after="0" w:line="240" w:lineRule="auto"/>
              <w:jc w:val="right"/>
              <w:rPr>
                <w:rFonts w:cs="Arial"/>
                <w:color w:val="000000"/>
                <w:sz w:val="16"/>
                <w:szCs w:val="16"/>
              </w:rPr>
            </w:pPr>
            <w:r w:rsidRPr="00760863">
              <w:rPr>
                <w:rFonts w:cs="Arial"/>
                <w:color w:val="000000"/>
                <w:sz w:val="16"/>
                <w:szCs w:val="16"/>
              </w:rPr>
              <w:t>2 297,4</w:t>
            </w:r>
          </w:p>
        </w:tc>
        <w:tc>
          <w:tcPr>
            <w:tcW w:w="947" w:type="dxa"/>
            <w:tcBorders>
              <w:top w:val="nil"/>
              <w:left w:val="nil"/>
              <w:bottom w:val="nil"/>
              <w:right w:val="single" w:sz="4" w:space="0" w:color="auto"/>
            </w:tcBorders>
            <w:shd w:val="clear" w:color="auto" w:fill="auto"/>
            <w:vAlign w:val="center"/>
            <w:hideMark/>
          </w:tcPr>
          <w:p w14:paraId="6E905565" w14:textId="77777777" w:rsidR="00760863" w:rsidRPr="00760863" w:rsidRDefault="00760863" w:rsidP="00BC2532">
            <w:pPr>
              <w:spacing w:after="0" w:line="240" w:lineRule="auto"/>
              <w:jc w:val="right"/>
              <w:rPr>
                <w:rFonts w:cs="Arial"/>
                <w:color w:val="000000"/>
                <w:sz w:val="16"/>
                <w:szCs w:val="16"/>
              </w:rPr>
            </w:pPr>
            <w:r w:rsidRPr="00760863">
              <w:rPr>
                <w:rFonts w:cs="Arial"/>
                <w:color w:val="000000"/>
                <w:sz w:val="16"/>
                <w:szCs w:val="16"/>
              </w:rPr>
              <w:t>2 312,2</w:t>
            </w:r>
          </w:p>
        </w:tc>
        <w:tc>
          <w:tcPr>
            <w:tcW w:w="947" w:type="dxa"/>
            <w:tcBorders>
              <w:top w:val="nil"/>
              <w:left w:val="nil"/>
              <w:bottom w:val="nil"/>
              <w:right w:val="nil"/>
            </w:tcBorders>
            <w:shd w:val="clear" w:color="auto" w:fill="auto"/>
            <w:noWrap/>
            <w:vAlign w:val="center"/>
            <w:hideMark/>
          </w:tcPr>
          <w:p w14:paraId="322907CB" w14:textId="77777777" w:rsidR="00760863" w:rsidRPr="00760863" w:rsidRDefault="00760863" w:rsidP="00BC2532">
            <w:pPr>
              <w:spacing w:after="0" w:line="240" w:lineRule="auto"/>
              <w:jc w:val="right"/>
              <w:rPr>
                <w:rFonts w:cs="Arial"/>
                <w:color w:val="000000"/>
                <w:sz w:val="16"/>
                <w:szCs w:val="16"/>
              </w:rPr>
            </w:pPr>
            <w:r w:rsidRPr="00760863">
              <w:rPr>
                <w:rFonts w:cs="Arial"/>
                <w:color w:val="000000"/>
                <w:sz w:val="16"/>
                <w:szCs w:val="16"/>
              </w:rPr>
              <w:t>98,5</w:t>
            </w:r>
          </w:p>
        </w:tc>
        <w:tc>
          <w:tcPr>
            <w:tcW w:w="1046" w:type="dxa"/>
            <w:tcBorders>
              <w:top w:val="nil"/>
              <w:left w:val="nil"/>
              <w:bottom w:val="nil"/>
              <w:right w:val="nil"/>
            </w:tcBorders>
            <w:shd w:val="clear" w:color="auto" w:fill="auto"/>
            <w:vAlign w:val="center"/>
            <w:hideMark/>
          </w:tcPr>
          <w:p w14:paraId="6B1CBEC0" w14:textId="77777777" w:rsidR="00760863" w:rsidRPr="00760863" w:rsidRDefault="00760863" w:rsidP="00BC2532">
            <w:pPr>
              <w:spacing w:after="0" w:line="240" w:lineRule="auto"/>
              <w:jc w:val="right"/>
              <w:rPr>
                <w:rFonts w:cs="Arial"/>
                <w:color w:val="000000"/>
                <w:sz w:val="16"/>
                <w:szCs w:val="16"/>
              </w:rPr>
            </w:pPr>
            <w:r w:rsidRPr="00760863">
              <w:rPr>
                <w:rFonts w:cs="Arial"/>
                <w:color w:val="000000"/>
                <w:sz w:val="16"/>
                <w:szCs w:val="16"/>
              </w:rPr>
              <w:t>56,8</w:t>
            </w:r>
          </w:p>
        </w:tc>
        <w:tc>
          <w:tcPr>
            <w:tcW w:w="947" w:type="dxa"/>
            <w:tcBorders>
              <w:top w:val="nil"/>
              <w:left w:val="nil"/>
              <w:bottom w:val="nil"/>
              <w:right w:val="nil"/>
            </w:tcBorders>
            <w:shd w:val="clear" w:color="auto" w:fill="auto"/>
            <w:noWrap/>
            <w:vAlign w:val="center"/>
            <w:hideMark/>
          </w:tcPr>
          <w:p w14:paraId="48CEBAF2" w14:textId="77777777" w:rsidR="00760863" w:rsidRPr="00760863" w:rsidRDefault="00760863" w:rsidP="00BC2532">
            <w:pPr>
              <w:spacing w:after="0" w:line="240" w:lineRule="auto"/>
              <w:jc w:val="right"/>
              <w:rPr>
                <w:rFonts w:cs="Arial"/>
                <w:color w:val="000000"/>
                <w:sz w:val="16"/>
                <w:szCs w:val="16"/>
              </w:rPr>
            </w:pPr>
            <w:r w:rsidRPr="00760863">
              <w:rPr>
                <w:rFonts w:cs="Arial"/>
                <w:color w:val="000000"/>
                <w:sz w:val="16"/>
                <w:szCs w:val="16"/>
              </w:rPr>
              <w:t>41,8</w:t>
            </w:r>
          </w:p>
        </w:tc>
      </w:tr>
    </w:tbl>
    <w:p w14:paraId="5361EE45" w14:textId="77777777" w:rsidR="00BC2532" w:rsidRPr="00D92E20" w:rsidRDefault="00BC2532" w:rsidP="00BC2532">
      <w:pPr>
        <w:spacing w:before="120" w:after="120"/>
        <w:jc w:val="both"/>
        <w:rPr>
          <w:rFonts w:cs="Arial"/>
          <w:bCs/>
          <w:color w:val="000000"/>
          <w:sz w:val="16"/>
          <w:szCs w:val="20"/>
        </w:rPr>
      </w:pPr>
      <w:r w:rsidRPr="00D92E20">
        <w:rPr>
          <w:rFonts w:cs="Arial"/>
          <w:bCs/>
          <w:color w:val="000000"/>
          <w:sz w:val="16"/>
          <w:szCs w:val="20"/>
        </w:rPr>
        <w:t>Zdroj: ČSÚ</w:t>
      </w:r>
    </w:p>
    <w:p w14:paraId="6EFEB956" w14:textId="0DA5AA3C" w:rsidR="00BC2532" w:rsidRPr="00D92E20" w:rsidRDefault="00BC2532" w:rsidP="00FF0706">
      <w:pPr>
        <w:spacing w:after="120"/>
        <w:jc w:val="both"/>
      </w:pPr>
      <w:r w:rsidRPr="00D92E20">
        <w:t xml:space="preserve">Počet </w:t>
      </w:r>
      <w:r w:rsidRPr="00D92E20">
        <w:rPr>
          <w:b/>
        </w:rPr>
        <w:t>dobrovolně nemocensky pojištěných</w:t>
      </w:r>
      <w:r w:rsidRPr="00D92E20">
        <w:t xml:space="preserve"> – tedy </w:t>
      </w:r>
      <w:r w:rsidRPr="00D92E20">
        <w:rPr>
          <w:b/>
        </w:rPr>
        <w:t>osob samostatně výdělečně činných</w:t>
      </w:r>
      <w:r w:rsidRPr="00D92E20">
        <w:t xml:space="preserve"> </w:t>
      </w:r>
      <w:r w:rsidRPr="00D92E20">
        <w:rPr>
          <w:b/>
        </w:rPr>
        <w:t>(OSVČ)</w:t>
      </w:r>
      <w:r w:rsidRPr="00D92E20">
        <w:t xml:space="preserve"> </w:t>
      </w:r>
      <w:r>
        <w:br/>
      </w:r>
      <w:r w:rsidRPr="00D92E20">
        <w:t>–</w:t>
      </w:r>
      <w:r>
        <w:t xml:space="preserve"> </w:t>
      </w:r>
      <w:r w:rsidRPr="00D92E20">
        <w:t>pokračoval v rostoucím trendu nastoleném od rok</w:t>
      </w:r>
      <w:r>
        <w:t>u 2016. Jejich počet v roce 2021</w:t>
      </w:r>
      <w:r w:rsidRPr="00D92E20">
        <w:t xml:space="preserve"> dosáhl téměř 9</w:t>
      </w:r>
      <w:r>
        <w:t>9</w:t>
      </w:r>
      <w:r w:rsidRPr="00D92E20">
        <w:t xml:space="preserve"> tis., meziročně o 3 % více. Přesto podíl pojištěných OSVČ na celkovém počtu OSVČ vykonávajících hlavní činnost dosáhl necelých 16 %. Muži se na počtu nemocensky pojištěných OSVČ </w:t>
      </w:r>
      <w:r>
        <w:t xml:space="preserve">podíleli z 58 %. Nemocensky pojištěných OSVČ z řad žen přibývá. </w:t>
      </w:r>
      <w:r w:rsidR="00D241F4">
        <w:t>Jejich počet – 41, 8 tis. – byl nejvyšší od roku 2013. Může to být ovlivněno nárokem na peněžitou podporu v</w:t>
      </w:r>
      <w:r w:rsidR="00756424">
        <w:t> </w:t>
      </w:r>
      <w:r w:rsidR="00D241F4">
        <w:t>mateřství</w:t>
      </w:r>
      <w:r w:rsidR="00756424">
        <w:t xml:space="preserve"> v případě placení nemocenského pojištění</w:t>
      </w:r>
      <w:r w:rsidR="00D241F4">
        <w:t xml:space="preserve">, ale i větší ochotou žen samostatně výdělečně činných si nemocenské </w:t>
      </w:r>
      <w:r w:rsidR="00756424">
        <w:t xml:space="preserve">pojištění </w:t>
      </w:r>
      <w:r w:rsidR="00D241F4">
        <w:t xml:space="preserve">platit. </w:t>
      </w:r>
      <w:r>
        <w:t xml:space="preserve">Zatímco v roce 2011 </w:t>
      </w:r>
      <w:r w:rsidR="00D241F4">
        <w:t xml:space="preserve">ženy </w:t>
      </w:r>
      <w:r>
        <w:t xml:space="preserve">tvořily 37 % všech </w:t>
      </w:r>
      <w:r w:rsidR="004930CE">
        <w:lastRenderedPageBreak/>
        <w:t xml:space="preserve">nemocensky pojištěných </w:t>
      </w:r>
      <w:r>
        <w:t>OSVČ, v roce 2021 to bylo o 5 p. b. více. P</w:t>
      </w:r>
      <w:r w:rsidRPr="00D92E20">
        <w:t xml:space="preserve">očet pojištěnců v rámci OSVČ </w:t>
      </w:r>
      <w:r>
        <w:t xml:space="preserve">sice postupně od roku 2016 roste, nicméně </w:t>
      </w:r>
      <w:r w:rsidRPr="00D92E20">
        <w:t>stále nedosahuje hodnot z minulosti, kdy např. před deseti lety jich bylo nemocensky pojištěno o</w:t>
      </w:r>
      <w:r w:rsidR="00FF0706">
        <w:t> </w:t>
      </w:r>
      <w:r>
        <w:t>51</w:t>
      </w:r>
      <w:r w:rsidR="00FF0706">
        <w:t> </w:t>
      </w:r>
      <w:r w:rsidRPr="00D92E20">
        <w:t>tis. více než v roce 202</w:t>
      </w:r>
      <w:r>
        <w:t>1</w:t>
      </w:r>
      <w:r w:rsidRPr="00D92E20">
        <w:t xml:space="preserve">. </w:t>
      </w:r>
      <w:r w:rsidR="00FF0706">
        <w:t>Důvodem poklesu oproti roku 2011 byly změny v</w:t>
      </w:r>
      <w:r w:rsidR="00893FDC">
        <w:t> </w:t>
      </w:r>
      <w:r w:rsidR="00FF0706">
        <w:t>nemocenském pojištění OSVČ platné od 1. 1. 2011. Jednalo se zejména o vyšší pojistnou sazbu a omezení výše vyměřovacích základů</w:t>
      </w:r>
      <w:r w:rsidR="004930CE">
        <w:t>.</w:t>
      </w:r>
      <w:r w:rsidR="00FF0706" w:rsidRPr="00D92E20">
        <w:t xml:space="preserve"> </w:t>
      </w:r>
      <w:r w:rsidRPr="00D92E20">
        <w:t>Tehdy představovali 2</w:t>
      </w:r>
      <w:r>
        <w:t>3</w:t>
      </w:r>
      <w:r w:rsidRPr="00D92E20">
        <w:t>% podíl ze všech OSVČ vykonávajících hlavní činnost.</w:t>
      </w:r>
      <w:r w:rsidR="00FF0706">
        <w:t xml:space="preserve"> </w:t>
      </w:r>
    </w:p>
    <w:p w14:paraId="3D190424" w14:textId="3520D7F6" w:rsidR="00BC2532" w:rsidRDefault="00BC2532" w:rsidP="00BC2532">
      <w:pPr>
        <w:spacing w:after="120"/>
        <w:jc w:val="both"/>
      </w:pPr>
      <w:r w:rsidRPr="00D92E20">
        <w:t xml:space="preserve">Pomineme-li meziroční pokles v roce 2020 a stagnaci v roce předchozím, je patrné, že vlivem rostoucího počtu zaměstnanců se od roku 2014 kontinuálně zvyšoval i průměrný počet nemocensky pojištěných. Mezi roky 2014 a 2018 došlo k nárůstu počtu pojištěnců mezi zaměstnanci o 6,5 % (283 tis.). Na tomto nárůstu se podílely především ženy. Za těchto pět let vzrostl </w:t>
      </w:r>
      <w:r w:rsidRPr="00D92E20">
        <w:rPr>
          <w:b/>
        </w:rPr>
        <w:t xml:space="preserve">počet nemocensky pojištěných zaměstnankyň </w:t>
      </w:r>
      <w:r w:rsidRPr="00D92E20">
        <w:t xml:space="preserve">o 7 % (154 tis.). Ve srovnání se situací před 10 lety, </w:t>
      </w:r>
      <w:r w:rsidR="005064ED">
        <w:t xml:space="preserve">jich </w:t>
      </w:r>
      <w:r>
        <w:t>bylo v roce 2021</w:t>
      </w:r>
      <w:r w:rsidRPr="00D92E20">
        <w:t xml:space="preserve"> dokonce o 1</w:t>
      </w:r>
      <w:r>
        <w:t>5</w:t>
      </w:r>
      <w:r w:rsidRPr="00D92E20">
        <w:t xml:space="preserve"> % (o </w:t>
      </w:r>
      <w:r>
        <w:t>304</w:t>
      </w:r>
      <w:r w:rsidRPr="00D92E20">
        <w:t xml:space="preserve"> tis.) více.</w:t>
      </w:r>
      <w:r w:rsidR="005064ED">
        <w:t xml:space="preserve"> Celkem se zvýšil počet nemocensky pojištěných zaměstnanců o 548 tis. (13 %).</w:t>
      </w:r>
    </w:p>
    <w:p w14:paraId="03C0A223" w14:textId="77777777" w:rsidR="00440BF9" w:rsidRDefault="00440BF9" w:rsidP="00440BF9">
      <w:pPr>
        <w:spacing w:after="120"/>
        <w:jc w:val="both"/>
      </w:pPr>
      <w:r w:rsidRPr="00D92E20">
        <w:t>Z </w:t>
      </w:r>
      <w:r w:rsidRPr="00D92E20">
        <w:rPr>
          <w:b/>
        </w:rPr>
        <w:t>regionálního pohledu</w:t>
      </w:r>
      <w:r w:rsidRPr="00D92E20">
        <w:t xml:space="preserve"> je nejvyšší průměrný počet nemocensky pojištěných v hlavním městě Praze, a to 1 25</w:t>
      </w:r>
      <w:r>
        <w:t>7</w:t>
      </w:r>
      <w:r w:rsidRPr="00D92E20">
        <w:t xml:space="preserve"> tis. (více než čtvrtina republikové hodnoty). Zásadní roli zde sehrává skutečnost, že data v krajském třídění jsou zpracována </w:t>
      </w:r>
      <w:r w:rsidRPr="006919C8">
        <w:rPr>
          <w:b/>
        </w:rPr>
        <w:t>podle sídla zaměstnavatele, resp. jeho mzdové účtárny</w:t>
      </w:r>
      <w:r w:rsidRPr="00D92E20">
        <w:t xml:space="preserve"> a není výjimkou, aby firma se sídlem v Praze působila v jiných regionech či dokonce celorepublikově. Druhé a třetí místo obsadily Jihomoravský kraj s 5</w:t>
      </w:r>
      <w:r>
        <w:t>15</w:t>
      </w:r>
      <w:r w:rsidRPr="00D92E20">
        <w:t xml:space="preserve"> tis. pojištěnců </w:t>
      </w:r>
      <w:r>
        <w:t xml:space="preserve">(11 % všech pojištěnců v ČR) </w:t>
      </w:r>
      <w:r w:rsidRPr="00D92E20">
        <w:t>a Moravskoslezský kraj s 46</w:t>
      </w:r>
      <w:r>
        <w:t>5</w:t>
      </w:r>
      <w:r w:rsidRPr="00D92E20">
        <w:t xml:space="preserve"> tis. pojištěnců</w:t>
      </w:r>
      <w:r>
        <w:t xml:space="preserve"> (10 %)</w:t>
      </w:r>
      <w:r w:rsidRPr="00D92E20">
        <w:t>. Středočeský kraj, jakožto nejlidnatější kraj ČR, se umístil až na čtvrté příčce s 4</w:t>
      </w:r>
      <w:r w:rsidR="00D241F4">
        <w:t>62</w:t>
      </w:r>
      <w:r w:rsidRPr="00D92E20">
        <w:t xml:space="preserve"> tis. pojištěnců (</w:t>
      </w:r>
      <w:r w:rsidR="00D241F4">
        <w:t>10</w:t>
      </w:r>
      <w:r w:rsidRPr="00D92E20">
        <w:t xml:space="preserve"> %). Jedním z faktorů, který toto ovlivňuje, je bezesporu dojíždění Středočechů za zaměstnáním do Prahy.</w:t>
      </w:r>
    </w:p>
    <w:p w14:paraId="1018D004" w14:textId="77777777" w:rsidR="00D241F4" w:rsidRPr="00D92E20" w:rsidRDefault="00D241F4" w:rsidP="00D241F4">
      <w:pPr>
        <w:spacing w:after="120"/>
        <w:jc w:val="both"/>
      </w:pPr>
      <w:r w:rsidRPr="00D92E20">
        <w:t xml:space="preserve">Co se týče </w:t>
      </w:r>
      <w:r w:rsidRPr="00D92E20">
        <w:rPr>
          <w:b/>
        </w:rPr>
        <w:t>velikosti podniku</w:t>
      </w:r>
      <w:r w:rsidRPr="00D92E20">
        <w:t>, třetina nemocensky pojištěných osob (1 </w:t>
      </w:r>
      <w:r>
        <w:t>542 tis.) pracuje</w:t>
      </w:r>
      <w:r w:rsidRPr="00D92E20">
        <w:t xml:space="preserve"> ve velkých firmách s 500 a více zaměstnanci. Za posledních deset let jejich počet vzrostl téměř o </w:t>
      </w:r>
      <w:r>
        <w:t>280</w:t>
      </w:r>
      <w:r w:rsidRPr="00D92E20">
        <w:t xml:space="preserve"> tis. osob. Další </w:t>
      </w:r>
      <w:r>
        <w:t xml:space="preserve">necelá </w:t>
      </w:r>
      <w:r w:rsidRPr="00D92E20">
        <w:t>třetina připadá na podniky mající do 50 zaměstnanců, kde v roce 202</w:t>
      </w:r>
      <w:r>
        <w:t>1</w:t>
      </w:r>
      <w:r w:rsidRPr="00D92E20">
        <w:t xml:space="preserve"> pracovalo téměř 1,5 mil. nemocensky pojištěných osob. Nejnižší podíl mezi nemocensky pojištěnými osobami představují </w:t>
      </w:r>
      <w:r w:rsidRPr="00D92E20">
        <w:rPr>
          <w:b/>
        </w:rPr>
        <w:t>OSVČ</w:t>
      </w:r>
      <w:r w:rsidRPr="00D92E20">
        <w:t>, které jsou, jak už bylo zmíněno, pojištěny dobrovolně. V roce 202</w:t>
      </w:r>
      <w:r>
        <w:t>1</w:t>
      </w:r>
      <w:r w:rsidRPr="00D92E20">
        <w:t xml:space="preserve"> tvořily pouhá 2 % z celkového počtu pojištěnců v ČR. Před deseti lety byl jejich podíl </w:t>
      </w:r>
      <w:r>
        <w:t>3,6 %.</w:t>
      </w:r>
      <w:r w:rsidRPr="00D92E20">
        <w:t xml:space="preserve"> </w:t>
      </w:r>
    </w:p>
    <w:p w14:paraId="22F0DEE1" w14:textId="03AE17AC" w:rsidR="00D241F4" w:rsidRPr="00D241F4" w:rsidRDefault="000731F7" w:rsidP="000731F7">
      <w:pPr>
        <w:spacing w:after="0"/>
        <w:jc w:val="both"/>
        <w:rPr>
          <w:b/>
        </w:rPr>
      </w:pPr>
      <w:r>
        <w:rPr>
          <w:noProof/>
        </w:rPr>
        <w:drawing>
          <wp:anchor distT="0" distB="0" distL="114300" distR="114300" simplePos="0" relativeHeight="251662848" behindDoc="1" locked="0" layoutInCell="1" allowOverlap="1" wp14:anchorId="135ADA1E" wp14:editId="2C95E463">
            <wp:simplePos x="0" y="0"/>
            <wp:positionH relativeFrom="column">
              <wp:posOffset>2651760</wp:posOffset>
            </wp:positionH>
            <wp:positionV relativeFrom="paragraph">
              <wp:posOffset>183515</wp:posOffset>
            </wp:positionV>
            <wp:extent cx="3553460" cy="2277110"/>
            <wp:effectExtent l="0" t="0" r="8890" b="8890"/>
            <wp:wrapTight wrapText="bothSides">
              <wp:wrapPolygon edited="0">
                <wp:start x="0" y="0"/>
                <wp:lineTo x="0" y="21504"/>
                <wp:lineTo x="21538" y="21504"/>
                <wp:lineTo x="21538" y="0"/>
                <wp:lineTo x="0" y="0"/>
              </wp:wrapPolygon>
            </wp:wrapTight>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67C0178C" wp14:editId="6FA5B9BF">
            <wp:simplePos x="0" y="0"/>
            <wp:positionH relativeFrom="column">
              <wp:posOffset>3810</wp:posOffset>
            </wp:positionH>
            <wp:positionV relativeFrom="paragraph">
              <wp:posOffset>183515</wp:posOffset>
            </wp:positionV>
            <wp:extent cx="2647950" cy="2277110"/>
            <wp:effectExtent l="0" t="0" r="0" b="8890"/>
            <wp:wrapTight wrapText="bothSides">
              <wp:wrapPolygon edited="0">
                <wp:start x="0" y="0"/>
                <wp:lineTo x="0" y="21504"/>
                <wp:lineTo x="21445" y="21504"/>
                <wp:lineTo x="21445" y="0"/>
                <wp:lineTo x="0" y="0"/>
              </wp:wrapPolygon>
            </wp:wrapTight>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D241F4" w:rsidRPr="00D241F4">
        <w:rPr>
          <w:b/>
        </w:rPr>
        <w:t>Graf 1.1: Průměrný počet nemocensky pojištěných osob podle velikosti podniku, 2011, 2016, 2021</w:t>
      </w:r>
    </w:p>
    <w:p w14:paraId="46C67AE6" w14:textId="061F78A0" w:rsidR="00D241F4" w:rsidRPr="00D92E20" w:rsidRDefault="00D241F4" w:rsidP="000731F7">
      <w:pPr>
        <w:spacing w:after="120"/>
        <w:jc w:val="both"/>
        <w:rPr>
          <w:rFonts w:cs="Arial"/>
          <w:bCs/>
          <w:color w:val="000000"/>
          <w:sz w:val="16"/>
          <w:szCs w:val="20"/>
        </w:rPr>
      </w:pPr>
      <w:r w:rsidRPr="00D92E20">
        <w:rPr>
          <w:rFonts w:cs="Arial"/>
          <w:bCs/>
          <w:color w:val="000000"/>
          <w:sz w:val="16"/>
          <w:szCs w:val="20"/>
        </w:rPr>
        <w:t>Zdroj: ČSÚ</w:t>
      </w:r>
    </w:p>
    <w:p w14:paraId="4765A185" w14:textId="77777777" w:rsidR="000423A6" w:rsidRDefault="00C61BBC" w:rsidP="00C61BBC">
      <w:pPr>
        <w:spacing w:after="120"/>
        <w:jc w:val="both"/>
      </w:pPr>
      <w:r w:rsidRPr="00D92E20">
        <w:t xml:space="preserve">Nejvíce zastoupenými </w:t>
      </w:r>
      <w:r w:rsidRPr="00D92E20">
        <w:rPr>
          <w:b/>
        </w:rPr>
        <w:t>odvětvími</w:t>
      </w:r>
      <w:r w:rsidRPr="00D92E20">
        <w:t>, co do počtu nemocensky pojištěných, jsou sekce Zpracovatelský průmysl a Velkoobchod a maloobchod, opravy a údržba motorových vozidel, což odráží strukturu české ekonomiky. Tato dvě odvětví dohromady zaměstnávají téměř 40 % všech nemocensky pojištěných, přičemž na podniky s převažující ekonomickou činností ve zpr</w:t>
      </w:r>
      <w:r>
        <w:t>acovatelském průmyslu připadá 25</w:t>
      </w:r>
      <w:r w:rsidRPr="00D92E20">
        <w:t xml:space="preserve"> %</w:t>
      </w:r>
      <w:r>
        <w:t xml:space="preserve"> pojištěnců</w:t>
      </w:r>
      <w:r w:rsidRPr="00D92E20">
        <w:t>. V rámci zpracovatelského průmyslu působilo nejvíce nemocensky pojištěných osob v automobilovém průmyslu (CZ</w:t>
      </w:r>
      <w:r>
        <w:t>-NACE oddíl 29), kde v roce 2021</w:t>
      </w:r>
      <w:r w:rsidRPr="00D92E20">
        <w:t xml:space="preserve"> pracovalo 15 % všech nemocensky pojištěných osob ze zpracovatelského průmyslu. S menším odstupem následovaly kovozpracující (oddíl 25) a strojírenský (oddíl 28) průmysl, na které připadalo 13 %, resp. 10 % ze všech nemocensky pojištěných osob ve zpracovatelském průmyslu.</w:t>
      </w:r>
      <w:r>
        <w:t xml:space="preserve"> </w:t>
      </w:r>
      <w:r w:rsidR="000423A6">
        <w:lastRenderedPageBreak/>
        <w:t>Vzhledem k velkému zastoupení Zpracovatelského průmyslu v rámci české ekonomiky je této sekci věnována samostatná část 8 tabulkové přílohy.</w:t>
      </w:r>
    </w:p>
    <w:p w14:paraId="20F24E99" w14:textId="77777777" w:rsidR="00C61BBC" w:rsidRDefault="00C61BBC" w:rsidP="00C61BBC">
      <w:pPr>
        <w:spacing w:after="120"/>
        <w:jc w:val="both"/>
      </w:pPr>
      <w:r w:rsidRPr="00D92E20">
        <w:t>V odvětvových sekcích Veřejná správa, Vzdělávání a Zdravotní a sociální péče byla v roce</w:t>
      </w:r>
      <w:r>
        <w:t xml:space="preserve"> 2021</w:t>
      </w:r>
      <w:r w:rsidRPr="00D92E20">
        <w:t xml:space="preserve"> dohromady zaměstnána více než pětina (2</w:t>
      </w:r>
      <w:r>
        <w:t>3</w:t>
      </w:r>
      <w:r w:rsidRPr="00D92E20">
        <w:t xml:space="preserve"> %) ze všech nemocensky pojištěných</w:t>
      </w:r>
      <w:r w:rsidRPr="00D92E20">
        <w:rPr>
          <w:rStyle w:val="Znakapoznpodarou"/>
        </w:rPr>
        <w:footnoteReference w:id="6"/>
      </w:r>
      <w:r w:rsidRPr="00D92E20">
        <w:t>. V roce 202</w:t>
      </w:r>
      <w:r>
        <w:t>1</w:t>
      </w:r>
      <w:r w:rsidRPr="00D92E20">
        <w:t xml:space="preserve"> dohromady v těchto odvětvových sekcích více než tři čtvrtiny z nemocensky pojištěných osob tvořily ženy.</w:t>
      </w:r>
    </w:p>
    <w:p w14:paraId="0ABE10E9" w14:textId="77777777" w:rsidR="00705387" w:rsidRPr="00705387" w:rsidRDefault="00705387" w:rsidP="00705387">
      <w:pPr>
        <w:spacing w:after="0" w:line="240" w:lineRule="auto"/>
        <w:jc w:val="both"/>
        <w:rPr>
          <w:rFonts w:cs="Arial"/>
          <w:b/>
          <w:bCs/>
          <w:color w:val="000000"/>
          <w:spacing w:val="-5"/>
          <w:szCs w:val="20"/>
        </w:rPr>
      </w:pPr>
      <w:r w:rsidRPr="00705387">
        <w:rPr>
          <w:rFonts w:cs="Arial"/>
          <w:b/>
          <w:bCs/>
          <w:color w:val="000000"/>
          <w:spacing w:val="-5"/>
          <w:szCs w:val="20"/>
        </w:rPr>
        <w:t>Graf 1.2: Průměrný počet nemocensky pojištěných osob podle odvětví (sekce CZ-NACE), 2011 a 2021</w:t>
      </w:r>
    </w:p>
    <w:p w14:paraId="389B7F81" w14:textId="77777777" w:rsidR="00705387" w:rsidRDefault="00705387" w:rsidP="00C61BBC">
      <w:pPr>
        <w:spacing w:after="120"/>
        <w:jc w:val="both"/>
      </w:pPr>
      <w:r>
        <w:rPr>
          <w:noProof/>
        </w:rPr>
        <w:drawing>
          <wp:inline distT="0" distB="0" distL="0" distR="0" wp14:anchorId="116AE5D9" wp14:editId="4D006868">
            <wp:extent cx="6120130" cy="5164455"/>
            <wp:effectExtent l="0" t="0" r="13970" b="17145"/>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0774EEE" w14:textId="77777777" w:rsidR="000423A6" w:rsidRDefault="000423A6" w:rsidP="000423A6">
      <w:pPr>
        <w:pStyle w:val="Seznam"/>
        <w:spacing w:after="120"/>
        <w:contextualSpacing w:val="0"/>
        <w:jc w:val="both"/>
      </w:pPr>
      <w:r>
        <w:rPr>
          <w:b/>
        </w:rPr>
        <w:t>Mezi roky 2011 a 2021</w:t>
      </w:r>
      <w:r w:rsidRPr="00D92E20">
        <w:t xml:space="preserve"> došlo k nárůstu počtu nemocensky pojištěných téměř o </w:t>
      </w:r>
      <w:r>
        <w:t>500</w:t>
      </w:r>
      <w:r w:rsidRPr="00D92E20">
        <w:t xml:space="preserve"> tis. osob (tj. o </w:t>
      </w:r>
      <w:r>
        <w:t>12</w:t>
      </w:r>
      <w:r w:rsidRPr="00D92E20">
        <w:t xml:space="preserve"> %). Nejvíce pojištěnců,</w:t>
      </w:r>
      <w:r>
        <w:t xml:space="preserve"> více než 93 tis. (tedy 30 %) přibylo v sekci Zdravotní a sociální péče. Přičemž jen meziroční nárůst – v souvislosti s</w:t>
      </w:r>
      <w:r w:rsidR="00A420DA">
        <w:t xml:space="preserve"> nebývalým náporem na zdravotnictví v podobě pandemie – </w:t>
      </w:r>
      <w:r>
        <w:t>činil 19 tis., resp. 5 %</w:t>
      </w:r>
      <w:r w:rsidR="00A420DA">
        <w:t>.</w:t>
      </w:r>
      <w:r w:rsidRPr="00D92E20">
        <w:t xml:space="preserve"> Odvětvovou sekcí s druhým nejvyšším absolutním přírůstkem </w:t>
      </w:r>
      <w:r w:rsidR="00A420DA">
        <w:t xml:space="preserve">za poslední desetiletí </w:t>
      </w:r>
      <w:r w:rsidRPr="00D92E20">
        <w:t>byl Z</w:t>
      </w:r>
      <w:r w:rsidR="00A420DA">
        <w:t>pracovatelský průmysl</w:t>
      </w:r>
      <w:r w:rsidRPr="00D92E20">
        <w:t xml:space="preserve">. Zde vzrostl počet nemocenských pojištěnců o </w:t>
      </w:r>
      <w:r w:rsidR="00A420DA">
        <w:t>84</w:t>
      </w:r>
      <w:r w:rsidRPr="00D92E20">
        <w:t xml:space="preserve"> tis, což představovalo </w:t>
      </w:r>
      <w:r w:rsidR="00A420DA">
        <w:t>8</w:t>
      </w:r>
      <w:r w:rsidR="003D1060">
        <w:t>% nárůst.</w:t>
      </w:r>
    </w:p>
    <w:p w14:paraId="3C1BDCD9" w14:textId="45D98125" w:rsidR="0086258D" w:rsidRDefault="0086258D" w:rsidP="0086258D">
      <w:pPr>
        <w:pStyle w:val="Seznam"/>
        <w:spacing w:after="120"/>
        <w:contextualSpacing w:val="0"/>
        <w:jc w:val="both"/>
      </w:pPr>
      <w:r w:rsidRPr="00D92E20">
        <w:t>Výrazný nárůst byl zaznamenán i v odvětvové sekci Informační a komunikační činnosti, kde počet nemocensky pojištěných osob za posledních deset let vzrostl o 4</w:t>
      </w:r>
      <w:r>
        <w:t>4</w:t>
      </w:r>
      <w:r w:rsidRPr="00D92E20">
        <w:t xml:space="preserve"> tis., tj. o </w:t>
      </w:r>
      <w:r>
        <w:t>42</w:t>
      </w:r>
      <w:r w:rsidRPr="00D92E20">
        <w:t xml:space="preserve"> %. Tato odvětvová sekce zahrnuje řadu ekonomických činností od </w:t>
      </w:r>
      <w:r w:rsidR="003D1060">
        <w:t xml:space="preserve">vydavatelských, </w:t>
      </w:r>
      <w:r w:rsidRPr="00D92E20">
        <w:t>audiovizuálníc</w:t>
      </w:r>
      <w:r w:rsidR="003D1060">
        <w:t xml:space="preserve">h a mediálních </w:t>
      </w:r>
      <w:r w:rsidRPr="00D92E20">
        <w:t>činností přes telekomunikace až po činnosti v oblasti informačních a komunikačních technologií</w:t>
      </w:r>
      <w:r w:rsidR="004930CE">
        <w:t>.</w:t>
      </w:r>
      <w:r w:rsidRPr="00D92E20">
        <w:t xml:space="preserve"> </w:t>
      </w:r>
      <w:r w:rsidR="004930CE">
        <w:t>T</w:t>
      </w:r>
      <w:r w:rsidRPr="00D92E20">
        <w:t xml:space="preserve">am spadá např. </w:t>
      </w:r>
      <w:r w:rsidR="003D1060">
        <w:t>programování</w:t>
      </w:r>
      <w:r w:rsidRPr="00D92E20">
        <w:t xml:space="preserve"> či IT poradenství a zpracování dat. Největší nárůst počtu nemocensky pojištěných osob byl v této sekci zaznamenán v</w:t>
      </w:r>
      <w:r w:rsidR="003D1060">
        <w:t xml:space="preserve"> oddílu </w:t>
      </w:r>
      <w:r w:rsidR="003D1060">
        <w:lastRenderedPageBreak/>
        <w:t>Činnosti v oblasti informačních technologií</w:t>
      </w:r>
      <w:r w:rsidRPr="00D92E20">
        <w:t xml:space="preserve"> (CZ-NACE 6</w:t>
      </w:r>
      <w:r w:rsidR="003D1060">
        <w:t>2</w:t>
      </w:r>
      <w:r w:rsidRPr="00D92E20">
        <w:t>), kde se počet pojištěnců od roku 201</w:t>
      </w:r>
      <w:r w:rsidR="003D1060">
        <w:t>6</w:t>
      </w:r>
      <w:r w:rsidRPr="00D92E20">
        <w:t xml:space="preserve"> zvýšil o </w:t>
      </w:r>
      <w:r w:rsidR="003D1060">
        <w:t>třetinu (tj. o 21 tis.).</w:t>
      </w:r>
    </w:p>
    <w:p w14:paraId="13F44940" w14:textId="77777777" w:rsidR="003D1060" w:rsidRDefault="003D1060" w:rsidP="003D1060">
      <w:pPr>
        <w:pStyle w:val="Seznam"/>
        <w:spacing w:after="120"/>
        <w:contextualSpacing w:val="0"/>
        <w:jc w:val="both"/>
      </w:pPr>
      <w:r w:rsidRPr="00D92E20">
        <w:t>Naopak odvětvími, která měla v roce 202</w:t>
      </w:r>
      <w:r>
        <w:t>1</w:t>
      </w:r>
      <w:r w:rsidRPr="00D92E20">
        <w:t xml:space="preserve"> méně pojištěnců než v roce 201</w:t>
      </w:r>
      <w:r>
        <w:t>1</w:t>
      </w:r>
      <w:r w:rsidRPr="00D92E20">
        <w:t>, byly Stavebnictví (</w:t>
      </w:r>
      <w:r w:rsidR="00335180" w:rsidRPr="00335180">
        <w:t>−</w:t>
      </w:r>
      <w:r>
        <w:t>19</w:t>
      </w:r>
      <w:r w:rsidRPr="00D92E20">
        <w:t xml:space="preserve"> tis.), Těžba a dobývání (</w:t>
      </w:r>
      <w:r w:rsidR="00335180" w:rsidRPr="00335180">
        <w:t>−</w:t>
      </w:r>
      <w:r w:rsidRPr="00D92E20">
        <w:t>16 tis.) a Zemědělství, lesnictví a rybářství (</w:t>
      </w:r>
      <w:r w:rsidR="00335180" w:rsidRPr="00335180">
        <w:t>−</w:t>
      </w:r>
      <w:r>
        <w:t>2</w:t>
      </w:r>
      <w:r w:rsidRPr="00D92E20">
        <w:t xml:space="preserve"> tis.). V odvětví Těžba a dobývání došlo k poklesu počtu pojištěnců </w:t>
      </w:r>
      <w:r>
        <w:t xml:space="preserve">dokonce </w:t>
      </w:r>
      <w:r w:rsidRPr="00D92E20">
        <w:t>o 4</w:t>
      </w:r>
      <w:r>
        <w:t>5</w:t>
      </w:r>
      <w:r w:rsidRPr="00D92E20">
        <w:t xml:space="preserve"> %.</w:t>
      </w:r>
    </w:p>
    <w:p w14:paraId="1DAADC9E" w14:textId="7DD8C9A4" w:rsidR="003D1060" w:rsidRDefault="003D1060" w:rsidP="003D1060">
      <w:pPr>
        <w:pStyle w:val="Seznam"/>
        <w:spacing w:after="120"/>
        <w:contextualSpacing w:val="0"/>
        <w:jc w:val="both"/>
      </w:pPr>
      <w:r w:rsidRPr="00D92E20">
        <w:t xml:space="preserve">Co se týče </w:t>
      </w:r>
      <w:r w:rsidRPr="00D92E20">
        <w:rPr>
          <w:b/>
        </w:rPr>
        <w:t>meziročních rozdílů</w:t>
      </w:r>
      <w:r w:rsidRPr="00D92E20">
        <w:t>, největší pokles byl</w:t>
      </w:r>
      <w:r w:rsidR="006919C8">
        <w:t xml:space="preserve"> v roce 2021</w:t>
      </w:r>
      <w:r w:rsidRPr="00D92E20">
        <w:t xml:space="preserve"> v ab</w:t>
      </w:r>
      <w:r>
        <w:t>solutním vyjádření zaznamenán v sekci Ubytování, stravování a pohostinství, o 7,3 tis. (5 %). Zde svou roli patrně sehrála proticovidová opatření v podobě omezení provozu restaurací a uzavření ubytovacích zařízení. Pojištěnců naopak přibylo (krom již zmíněné</w:t>
      </w:r>
      <w:r w:rsidR="008B61F4">
        <w:t xml:space="preserve"> sekce</w:t>
      </w:r>
      <w:r>
        <w:t xml:space="preserve"> Zdravotní a sociální péče) v sekci Vzdělávání.</w:t>
      </w:r>
      <w:r w:rsidR="008B61F4">
        <w:t xml:space="preserve"> Jejich počet se zvýšil o 9 tis., tedy o 2 %. </w:t>
      </w:r>
      <w:r w:rsidR="00641C03">
        <w:t>Růst</w:t>
      </w:r>
      <w:r w:rsidR="00C9574C">
        <w:t xml:space="preserve"> zažívá i</w:t>
      </w:r>
      <w:r w:rsidR="00641C03">
        <w:t> </w:t>
      </w:r>
      <w:r w:rsidR="00C9574C">
        <w:t>Stavebnictví, které vykázalo o 6 tis. (2 %) více pojištěných než v předchozím roce.</w:t>
      </w:r>
      <w:r w:rsidR="008B61F4">
        <w:t xml:space="preserve">  </w:t>
      </w:r>
    </w:p>
    <w:p w14:paraId="3EDE4E00" w14:textId="77777777" w:rsidR="00641C03" w:rsidRPr="00D92E20" w:rsidRDefault="00641C03" w:rsidP="00641C03">
      <w:pPr>
        <w:pStyle w:val="Box1"/>
        <w:spacing w:before="120" w:after="120"/>
        <w:ind w:left="0"/>
        <w:contextualSpacing w:val="0"/>
        <w:jc w:val="both"/>
        <w:rPr>
          <w:i/>
        </w:rPr>
      </w:pPr>
      <w:r w:rsidRPr="00D92E20">
        <w:rPr>
          <w:b/>
          <w:i/>
        </w:rPr>
        <w:t xml:space="preserve">Průměrný počet nemocensky pojištěných mladistvých </w:t>
      </w:r>
      <w:r w:rsidRPr="00D92E20">
        <w:rPr>
          <w:i/>
        </w:rPr>
        <w:t>– ukazatel udává průměrný počet nemocensky pojištěných osob mladších 18 let (viz § 350 odst. 2 zákona č. 262/2006 Sb., zákoník práce, ve znění pozdějších předpisů).</w:t>
      </w:r>
    </w:p>
    <w:p w14:paraId="71631D1B" w14:textId="77777777" w:rsidR="00641C03" w:rsidRPr="00D92E20" w:rsidRDefault="00641C03" w:rsidP="00641C03">
      <w:pPr>
        <w:pStyle w:val="Box1"/>
        <w:ind w:left="0"/>
        <w:jc w:val="both"/>
        <w:rPr>
          <w:i/>
          <w:u w:val="single"/>
        </w:rPr>
      </w:pPr>
      <w:r w:rsidRPr="00D92E20">
        <w:rPr>
          <w:i/>
          <w:u w:val="single"/>
        </w:rPr>
        <w:t>Způsob výpočtu:</w:t>
      </w:r>
    </w:p>
    <w:p w14:paraId="02607D1D" w14:textId="77777777" w:rsidR="00641C03" w:rsidRPr="00D92E20" w:rsidRDefault="00641C03" w:rsidP="00641C03">
      <w:pPr>
        <w:pStyle w:val="Box1"/>
        <w:spacing w:before="120" w:after="120"/>
        <w:ind w:left="0"/>
        <w:contextualSpacing w:val="0"/>
        <w:jc w:val="both"/>
        <w:rPr>
          <w:i/>
        </w:rPr>
      </w:pPr>
      <w:r w:rsidRPr="00D92E20">
        <w:rPr>
          <w:i/>
        </w:rPr>
        <w:t>Průměrný počet nemocensky pojištěných mladistvých = počet dnů nemocenského pojištění jednotlivých pojištěných mladistvých ve vykazovaném období / počet kalendářních dnů ve vykazovaném období.</w:t>
      </w:r>
    </w:p>
    <w:p w14:paraId="4AAC6F04" w14:textId="77777777" w:rsidR="00641C03" w:rsidRPr="00D92E20" w:rsidRDefault="00641C03" w:rsidP="00641C03">
      <w:pPr>
        <w:pStyle w:val="Seznam"/>
        <w:spacing w:after="120"/>
        <w:contextualSpacing w:val="0"/>
        <w:jc w:val="both"/>
      </w:pPr>
      <w:r w:rsidRPr="00D92E20">
        <w:t>V roce 202</w:t>
      </w:r>
      <w:r>
        <w:t>1 bylo evidováno 10,3</w:t>
      </w:r>
      <w:r w:rsidRPr="00D92E20">
        <w:t xml:space="preserve"> tis. nemocensky pojištěných mladistvých, tedy osob mladších 18 let. Na celkovém počtu pojištěnců se podíleli 0,22 %. Jejich počet meziročně klesl z</w:t>
      </w:r>
      <w:r>
        <w:t> 10,5</w:t>
      </w:r>
      <w:r w:rsidRPr="00D92E20">
        <w:t xml:space="preserve"> tis. o </w:t>
      </w:r>
      <w:r>
        <w:t>276 osob</w:t>
      </w:r>
      <w:r w:rsidRPr="00D92E20">
        <w:t xml:space="preserve">, tj. o </w:t>
      </w:r>
      <w:r>
        <w:t>2,6</w:t>
      </w:r>
      <w:r w:rsidRPr="00D92E20">
        <w:t xml:space="preserve"> %.</w:t>
      </w:r>
    </w:p>
    <w:p w14:paraId="542BD01C" w14:textId="77777777" w:rsidR="003D1060" w:rsidRPr="00D92E20" w:rsidRDefault="004A6E11" w:rsidP="004A6E11">
      <w:pPr>
        <w:pStyle w:val="Nadpis3"/>
      </w:pPr>
      <w:bookmarkStart w:id="12" w:name="_Toc104792908"/>
      <w:r>
        <w:t>4.2 Nově hlášené případy dočasné pracovní neschopnosti</w:t>
      </w:r>
      <w:bookmarkEnd w:id="12"/>
    </w:p>
    <w:p w14:paraId="2FDBA2FB" w14:textId="77777777" w:rsidR="004A6E11" w:rsidRPr="00D92E20" w:rsidRDefault="004A6E11" w:rsidP="004A6E11">
      <w:pPr>
        <w:spacing w:after="120"/>
        <w:jc w:val="both"/>
      </w:pPr>
      <w:r w:rsidRPr="00D92E20">
        <w:t xml:space="preserve">Vstupním zdrojem a podkladem pro zpracování dat této kapitoly jsou údaje o dočasné pracovní neschopnosti pro nemoc a úraz nahlášené České správě sociálního zabezpečení prostřednictvím </w:t>
      </w:r>
      <w:r w:rsidRPr="00D92E20">
        <w:rPr>
          <w:i/>
        </w:rPr>
        <w:t>„Rozhodnutí o dočasné pracovní neschopnosti“</w:t>
      </w:r>
      <w:r w:rsidRPr="00D92E20">
        <w:t xml:space="preserve"> (tzv. eNeschopenka), které vyplňuje ošetřující lékař.</w:t>
      </w:r>
    </w:p>
    <w:p w14:paraId="180844BD" w14:textId="77777777" w:rsidR="003D1060" w:rsidRDefault="004A6E11" w:rsidP="004A6E11">
      <w:pPr>
        <w:pStyle w:val="Nadpis4"/>
      </w:pPr>
      <w:bookmarkStart w:id="13" w:name="_Toc104792909"/>
      <w:r>
        <w:t>4.2.1 Počet případů dočasné pracovní neschopnosti</w:t>
      </w:r>
      <w:bookmarkEnd w:id="13"/>
    </w:p>
    <w:p w14:paraId="1041BA10" w14:textId="77777777" w:rsidR="004A6E11" w:rsidRDefault="004A6E11" w:rsidP="004A6E11">
      <w:pPr>
        <w:spacing w:after="120"/>
        <w:jc w:val="both"/>
        <w:rPr>
          <w:bCs/>
        </w:rPr>
      </w:pPr>
      <w:r w:rsidRPr="00D92E20">
        <w:rPr>
          <w:b/>
          <w:bCs/>
        </w:rPr>
        <w:t>Četnost výskytu dočasné pracovní neschopnosti</w:t>
      </w:r>
      <w:r w:rsidRPr="00D92E20">
        <w:rPr>
          <w:bCs/>
        </w:rPr>
        <w:t xml:space="preserve"> </w:t>
      </w:r>
      <w:r w:rsidRPr="00D92E20">
        <w:rPr>
          <w:b/>
          <w:bCs/>
        </w:rPr>
        <w:t>(DPN)</w:t>
      </w:r>
      <w:r w:rsidRPr="00D92E20">
        <w:rPr>
          <w:bCs/>
        </w:rPr>
        <w:t xml:space="preserve"> odráží ukazatel o počtu nově hlášených případů pracovní neschopnosti. Tento absolutní ukazatel je rovněž vhodný pro posouzení trendů vývoje pracovní neschopnosti v čase. Avšak z pohledu porovnání regionů, jednotlivých odvětví ekonomických činností či velikosti podniku má vyšší vypovídací schopnost </w:t>
      </w:r>
      <w:r w:rsidRPr="00D92E20">
        <w:rPr>
          <w:b/>
          <w:bCs/>
        </w:rPr>
        <w:t>ukazatel relativní</w:t>
      </w:r>
      <w:r w:rsidRPr="00D92E20">
        <w:rPr>
          <w:bCs/>
        </w:rPr>
        <w:t xml:space="preserve"> – </w:t>
      </w:r>
      <w:r w:rsidRPr="00D92E20">
        <w:rPr>
          <w:b/>
          <w:bCs/>
        </w:rPr>
        <w:t>počet</w:t>
      </w:r>
      <w:r w:rsidRPr="00D92E20">
        <w:rPr>
          <w:bCs/>
        </w:rPr>
        <w:t xml:space="preserve"> nově hlášených případů pracovní neschopnosti </w:t>
      </w:r>
      <w:r w:rsidRPr="00D92E20">
        <w:rPr>
          <w:b/>
          <w:bCs/>
        </w:rPr>
        <w:t>na 100 pojištěnců</w:t>
      </w:r>
      <w:r w:rsidRPr="00D92E20">
        <w:rPr>
          <w:bCs/>
        </w:rPr>
        <w:t xml:space="preserve"> v dané kategorii, např. ve zpracovatelském průmyslu, v malých podnicích či konkrétním kraji.</w:t>
      </w:r>
    </w:p>
    <w:p w14:paraId="448BC284" w14:textId="77777777" w:rsidR="004A6E11" w:rsidRPr="00D92E20" w:rsidRDefault="004A6E11" w:rsidP="004A6E11">
      <w:pPr>
        <w:pStyle w:val="Box1"/>
        <w:spacing w:before="120" w:after="120"/>
        <w:ind w:left="0"/>
        <w:contextualSpacing w:val="0"/>
        <w:jc w:val="both"/>
        <w:rPr>
          <w:i/>
        </w:rPr>
      </w:pPr>
      <w:r w:rsidRPr="00D92E20">
        <w:rPr>
          <w:b/>
          <w:i/>
        </w:rPr>
        <w:t xml:space="preserve">Počet nově hlášených případů dočasné pracovní neschopnosti </w:t>
      </w:r>
      <w:r w:rsidRPr="00D92E20">
        <w:rPr>
          <w:i/>
        </w:rPr>
        <w:t>– ukazatel zahrnuje nově hlášené případy pracovní neschopnosti ve sledovaném období na základě hlášení o vzniku pracovní neschopnosti nemocensky pojištěných osob.</w:t>
      </w:r>
    </w:p>
    <w:p w14:paraId="40B21F77" w14:textId="77777777" w:rsidR="004A6E11" w:rsidRPr="00D92E20" w:rsidRDefault="004A6E11" w:rsidP="004A6E11">
      <w:pPr>
        <w:pStyle w:val="Box1"/>
        <w:spacing w:before="120" w:after="120"/>
        <w:ind w:left="0"/>
        <w:contextualSpacing w:val="0"/>
        <w:jc w:val="both"/>
        <w:rPr>
          <w:i/>
        </w:rPr>
      </w:pPr>
      <w:r w:rsidRPr="00D92E20">
        <w:rPr>
          <w:b/>
          <w:i/>
        </w:rPr>
        <w:t xml:space="preserve">Počet případů pracovní neschopnosti na 100 pojištěnců </w:t>
      </w:r>
      <w:r w:rsidRPr="00D92E20">
        <w:rPr>
          <w:i/>
        </w:rPr>
        <w:t xml:space="preserve">– ukazatel vyjadřuje počet nově hlášených případů pracovní neschopnosti, které připadají v průměru na 100 nemocensky pojištěných osob. </w:t>
      </w:r>
    </w:p>
    <w:p w14:paraId="0C6DE616" w14:textId="77777777" w:rsidR="005E3B8E" w:rsidRDefault="004A6E11" w:rsidP="004A6E11">
      <w:pPr>
        <w:spacing w:after="120"/>
        <w:jc w:val="both"/>
        <w:rPr>
          <w:bCs/>
        </w:rPr>
      </w:pPr>
      <w:r w:rsidRPr="00D92E20">
        <w:rPr>
          <w:bCs/>
        </w:rPr>
        <w:t>V roce 202</w:t>
      </w:r>
      <w:r>
        <w:rPr>
          <w:bCs/>
        </w:rPr>
        <w:t>1</w:t>
      </w:r>
      <w:r w:rsidRPr="00D92E20">
        <w:rPr>
          <w:bCs/>
        </w:rPr>
        <w:t xml:space="preserve"> bylo v Česku nahlášeno </w:t>
      </w:r>
      <w:r w:rsidRPr="00D92E20">
        <w:rPr>
          <w:b/>
          <w:bCs/>
        </w:rPr>
        <w:t>celkem</w:t>
      </w:r>
      <w:r w:rsidRPr="00D92E20">
        <w:rPr>
          <w:bCs/>
        </w:rPr>
        <w:t xml:space="preserve"> </w:t>
      </w:r>
      <w:r w:rsidRPr="00D92E20">
        <w:rPr>
          <w:b/>
          <w:bCs/>
        </w:rPr>
        <w:t>2 </w:t>
      </w:r>
      <w:r>
        <w:rPr>
          <w:b/>
          <w:bCs/>
        </w:rPr>
        <w:t>755</w:t>
      </w:r>
      <w:r w:rsidRPr="00D92E20">
        <w:rPr>
          <w:b/>
          <w:bCs/>
        </w:rPr>
        <w:t xml:space="preserve"> tis. případů pracovní neschopnosti.</w:t>
      </w:r>
      <w:r w:rsidRPr="00D92E20">
        <w:rPr>
          <w:bCs/>
        </w:rPr>
        <w:t xml:space="preserve"> To je o </w:t>
      </w:r>
      <w:r>
        <w:rPr>
          <w:bCs/>
        </w:rPr>
        <w:t>15 %</w:t>
      </w:r>
      <w:r w:rsidRPr="00D92E20">
        <w:rPr>
          <w:bCs/>
        </w:rPr>
        <w:t xml:space="preserve"> (</w:t>
      </w:r>
      <w:r>
        <w:rPr>
          <w:bCs/>
        </w:rPr>
        <w:t>364 </w:t>
      </w:r>
      <w:r w:rsidRPr="00D92E20">
        <w:rPr>
          <w:bCs/>
        </w:rPr>
        <w:t>tis.) příp</w:t>
      </w:r>
      <w:r>
        <w:rPr>
          <w:bCs/>
        </w:rPr>
        <w:t xml:space="preserve">adů více než v předchozím roce. </w:t>
      </w:r>
      <w:r w:rsidR="005E3B8E">
        <w:rPr>
          <w:bCs/>
        </w:rPr>
        <w:t xml:space="preserve">Loni byl meziroční nárůst </w:t>
      </w:r>
      <w:r w:rsidR="00873671">
        <w:rPr>
          <w:bCs/>
        </w:rPr>
        <w:t xml:space="preserve">oproti roku 2019 </w:t>
      </w:r>
      <w:r w:rsidR="005E3B8E">
        <w:rPr>
          <w:bCs/>
        </w:rPr>
        <w:t>téměř o čtvrtinu, o</w:t>
      </w:r>
      <w:r w:rsidR="00873671">
        <w:rPr>
          <w:bCs/>
        </w:rPr>
        <w:t> </w:t>
      </w:r>
      <w:r w:rsidR="005E3B8E">
        <w:rPr>
          <w:bCs/>
        </w:rPr>
        <w:t xml:space="preserve">476 tis. případů. </w:t>
      </w:r>
      <w:r>
        <w:rPr>
          <w:bCs/>
        </w:rPr>
        <w:t>M</w:t>
      </w:r>
      <w:r w:rsidRPr="00D92E20">
        <w:rPr>
          <w:bCs/>
        </w:rPr>
        <w:t>ezi lety 2010–2019 počet hlášených případů pracovní neschopnosti rostl v průměru o</w:t>
      </w:r>
      <w:r w:rsidR="00FD2D60">
        <w:rPr>
          <w:bCs/>
        </w:rPr>
        <w:t> </w:t>
      </w:r>
      <w:r w:rsidRPr="00D92E20">
        <w:rPr>
          <w:bCs/>
        </w:rPr>
        <w:t>4,4</w:t>
      </w:r>
      <w:r w:rsidR="00FD2D60">
        <w:rPr>
          <w:bCs/>
        </w:rPr>
        <w:t> </w:t>
      </w:r>
      <w:r w:rsidRPr="00D92E20">
        <w:rPr>
          <w:bCs/>
        </w:rPr>
        <w:t xml:space="preserve">% (65,5 tis.) ročně. Rostoucí trend byl nastolen již v roce 2015. V té době však bylo během roku nahlášeno o </w:t>
      </w:r>
      <w:r w:rsidR="005E3B8E">
        <w:rPr>
          <w:bCs/>
        </w:rPr>
        <w:t>1 191</w:t>
      </w:r>
      <w:r w:rsidRPr="00D92E20">
        <w:rPr>
          <w:bCs/>
        </w:rPr>
        <w:t xml:space="preserve"> tis. případů méně než v roce 202</w:t>
      </w:r>
      <w:r w:rsidR="005E3B8E">
        <w:rPr>
          <w:bCs/>
        </w:rPr>
        <w:t>1</w:t>
      </w:r>
      <w:r w:rsidRPr="00D92E20">
        <w:rPr>
          <w:bCs/>
        </w:rPr>
        <w:t>.</w:t>
      </w:r>
      <w:r w:rsidR="005E3B8E">
        <w:rPr>
          <w:bCs/>
        </w:rPr>
        <w:t xml:space="preserve"> Jen za poslední dva roky vzrostl počet případů pracovní neschopnosti o 840 tis.</w:t>
      </w:r>
    </w:p>
    <w:p w14:paraId="6F2082E7" w14:textId="4656A705" w:rsidR="005E3B8E" w:rsidRDefault="00FD2D60" w:rsidP="005E3B8E">
      <w:pPr>
        <w:spacing w:before="120" w:after="120"/>
        <w:jc w:val="both"/>
        <w:rPr>
          <w:bCs/>
        </w:rPr>
      </w:pPr>
      <w:r>
        <w:rPr>
          <w:bCs/>
        </w:rPr>
        <w:t>Zásadní příčinou</w:t>
      </w:r>
      <w:r w:rsidR="005E3B8E" w:rsidRPr="00D92E20">
        <w:rPr>
          <w:bCs/>
        </w:rPr>
        <w:t xml:space="preserve"> je bezesporu </w:t>
      </w:r>
      <w:r w:rsidR="005E3B8E" w:rsidRPr="00D92E20">
        <w:rPr>
          <w:b/>
          <w:bCs/>
        </w:rPr>
        <w:t xml:space="preserve">pandemie nemoci </w:t>
      </w:r>
      <w:r w:rsidR="005E3B8E">
        <w:rPr>
          <w:b/>
          <w:bCs/>
        </w:rPr>
        <w:t>c</w:t>
      </w:r>
      <w:r w:rsidR="005E3B8E" w:rsidRPr="00D92E20">
        <w:rPr>
          <w:b/>
          <w:bCs/>
        </w:rPr>
        <w:t>ovid-19</w:t>
      </w:r>
      <w:r w:rsidR="005E3B8E" w:rsidRPr="00D92E20">
        <w:rPr>
          <w:bCs/>
        </w:rPr>
        <w:t xml:space="preserve">. Případů pracovní neschopnosti </w:t>
      </w:r>
      <w:r w:rsidR="005E3B8E" w:rsidRPr="00D92E20">
        <w:rPr>
          <w:b/>
          <w:bCs/>
        </w:rPr>
        <w:t>pro nemoc</w:t>
      </w:r>
      <w:r w:rsidR="005E3B8E" w:rsidRPr="00D92E20">
        <w:rPr>
          <w:bCs/>
        </w:rPr>
        <w:t xml:space="preserve"> bylo v</w:t>
      </w:r>
      <w:r w:rsidR="005E3B8E">
        <w:rPr>
          <w:bCs/>
        </w:rPr>
        <w:t> roce 2021</w:t>
      </w:r>
      <w:r w:rsidR="005E3B8E" w:rsidRPr="00D92E20">
        <w:rPr>
          <w:bCs/>
        </w:rPr>
        <w:t xml:space="preserve"> nahlášeno </w:t>
      </w:r>
      <w:r w:rsidR="005E3B8E">
        <w:rPr>
          <w:bCs/>
        </w:rPr>
        <w:t>2,5 milionu</w:t>
      </w:r>
      <w:r w:rsidR="005E3B8E" w:rsidRPr="00D92E20">
        <w:rPr>
          <w:bCs/>
        </w:rPr>
        <w:t>, tedy o </w:t>
      </w:r>
      <w:r w:rsidR="005E3B8E">
        <w:rPr>
          <w:bCs/>
        </w:rPr>
        <w:t>8</w:t>
      </w:r>
      <w:r w:rsidR="009E00DD">
        <w:rPr>
          <w:bCs/>
        </w:rPr>
        <w:t>3</w:t>
      </w:r>
      <w:r w:rsidR="005E3B8E">
        <w:rPr>
          <w:bCs/>
        </w:rPr>
        <w:t xml:space="preserve">9 </w:t>
      </w:r>
      <w:r w:rsidR="005E3B8E" w:rsidRPr="00D92E20">
        <w:rPr>
          <w:bCs/>
        </w:rPr>
        <w:t xml:space="preserve">tis. více než </w:t>
      </w:r>
      <w:r w:rsidR="005E3B8E">
        <w:rPr>
          <w:bCs/>
        </w:rPr>
        <w:t>v roce 2019</w:t>
      </w:r>
      <w:r w:rsidR="005E3B8E" w:rsidRPr="00D92E20">
        <w:rPr>
          <w:bCs/>
        </w:rPr>
        <w:t xml:space="preserve">. V relativním vyjádření došlo k nárůstu o </w:t>
      </w:r>
      <w:r w:rsidR="005E3B8E">
        <w:rPr>
          <w:bCs/>
        </w:rPr>
        <w:t>polovinu</w:t>
      </w:r>
      <w:r w:rsidR="005E3B8E" w:rsidRPr="00D92E20">
        <w:rPr>
          <w:bCs/>
        </w:rPr>
        <w:t xml:space="preserve">. </w:t>
      </w:r>
      <w:r w:rsidR="005E3B8E">
        <w:rPr>
          <w:bCs/>
        </w:rPr>
        <w:t xml:space="preserve">Meziročně došlo k nárůstu počtu případů pracovní neschopnosti pro nemoc o 347 tis., což představuje 16 %. </w:t>
      </w:r>
      <w:r w:rsidR="005E3B8E" w:rsidRPr="00D92E20">
        <w:rPr>
          <w:bCs/>
        </w:rPr>
        <w:t>Do počtu případů pro nemoc jsou kromě nemocí jako takových započteny i karantény</w:t>
      </w:r>
      <w:r w:rsidR="005E3B8E">
        <w:rPr>
          <w:rStyle w:val="Znakapoznpodarou"/>
          <w:bCs/>
        </w:rPr>
        <w:footnoteReference w:id="7"/>
      </w:r>
      <w:r w:rsidR="005E3B8E" w:rsidRPr="00D92E20">
        <w:rPr>
          <w:bCs/>
        </w:rPr>
        <w:t xml:space="preserve">. </w:t>
      </w:r>
      <w:r w:rsidR="005E3B8E" w:rsidRPr="00D92E20">
        <w:rPr>
          <w:bCs/>
        </w:rPr>
        <w:lastRenderedPageBreak/>
        <w:t>A</w:t>
      </w:r>
      <w:r w:rsidR="00AC6909">
        <w:rPr>
          <w:bCs/>
        </w:rPr>
        <w:t> </w:t>
      </w:r>
      <w:r w:rsidR="005E3B8E" w:rsidRPr="00D92E20">
        <w:rPr>
          <w:bCs/>
        </w:rPr>
        <w:t>sice karantén</w:t>
      </w:r>
      <w:r w:rsidR="005E3B8E">
        <w:rPr>
          <w:bCs/>
        </w:rPr>
        <w:t>a</w:t>
      </w:r>
      <w:r w:rsidR="005E3B8E" w:rsidRPr="00D92E20">
        <w:rPr>
          <w:bCs/>
        </w:rPr>
        <w:t xml:space="preserve"> osoby, která splňuje nárok na dávku nemocenské, podá žádost a ta je ze strany ošetřujícího lékař</w:t>
      </w:r>
      <w:r w:rsidR="005E3B8E">
        <w:rPr>
          <w:bCs/>
        </w:rPr>
        <w:t>e či hygienické stanice uznána.</w:t>
      </w:r>
    </w:p>
    <w:p w14:paraId="4D4AB880" w14:textId="77777777" w:rsidR="005E3B8E" w:rsidRPr="00D92E20" w:rsidRDefault="005E3B8E" w:rsidP="005E3B8E">
      <w:pPr>
        <w:spacing w:before="120" w:after="120"/>
        <w:jc w:val="both"/>
        <w:rPr>
          <w:bCs/>
        </w:rPr>
      </w:pPr>
      <w:r>
        <w:rPr>
          <w:bCs/>
        </w:rPr>
        <w:t>Vedle pandemie mělo na nárůst počtu případů pracovní neschopnosti v posledních 2 letech vliv i</w:t>
      </w:r>
      <w:r w:rsidRPr="00D92E20">
        <w:rPr>
          <w:bCs/>
        </w:rPr>
        <w:t xml:space="preserve"> </w:t>
      </w:r>
      <w:r w:rsidRPr="00D92E20">
        <w:rPr>
          <w:b/>
          <w:bCs/>
        </w:rPr>
        <w:t>zrušení karenční doby od 1. července 2019</w:t>
      </w:r>
      <w:r w:rsidRPr="00D92E20">
        <w:rPr>
          <w:bCs/>
        </w:rPr>
        <w:t xml:space="preserve">, kdy zaměstnanec dostává náhradu mzdy již od prvního dne, a nikoliv až od čtvrtého, jako tomu bylo od roku 2009 až do </w:t>
      </w:r>
      <w:r w:rsidR="00FD2D60">
        <w:rPr>
          <w:bCs/>
        </w:rPr>
        <w:t>června 2019</w:t>
      </w:r>
      <w:r w:rsidRPr="00D92E20">
        <w:rPr>
          <w:bCs/>
        </w:rPr>
        <w:t>.</w:t>
      </w:r>
    </w:p>
    <w:p w14:paraId="4694E595" w14:textId="77777777" w:rsidR="00873671" w:rsidRDefault="00873671" w:rsidP="00873671">
      <w:pPr>
        <w:spacing w:before="120" w:after="120"/>
        <w:jc w:val="both"/>
      </w:pPr>
      <w:r>
        <w:t xml:space="preserve">V roce 2021 bylo vystaveno 45 tis. neschopenek pro </w:t>
      </w:r>
      <w:r w:rsidRPr="00DF284E">
        <w:rPr>
          <w:b/>
        </w:rPr>
        <w:t>pracovní úraz</w:t>
      </w:r>
      <w:r>
        <w:t xml:space="preserve">. Po poklesu v roce 2020, kdy došlo ke 41 tis. pracovních úrazů vyžadujících pracovní neschopnost, se čísla vrátila zhruba na hodnotu z roku 2019. Meziročně vzrostl i </w:t>
      </w:r>
      <w:r w:rsidRPr="00DF284E">
        <w:rPr>
          <w:b/>
        </w:rPr>
        <w:t>počet mimopracovních úrazů</w:t>
      </w:r>
      <w:r w:rsidRPr="000221A2">
        <w:t>,</w:t>
      </w:r>
      <w:r>
        <w:rPr>
          <w:b/>
        </w:rPr>
        <w:t xml:space="preserve"> </w:t>
      </w:r>
      <w:r w:rsidRPr="000221A2">
        <w:t>kvůli nimž byla vydána neschopenka</w:t>
      </w:r>
      <w:r>
        <w:t xml:space="preserve">. Ze 147 tis. na 160 tis. </w:t>
      </w:r>
    </w:p>
    <w:p w14:paraId="59387239" w14:textId="77777777" w:rsidR="00873671" w:rsidRPr="00D92E20" w:rsidRDefault="00873671" w:rsidP="00873671">
      <w:pPr>
        <w:spacing w:after="60"/>
        <w:jc w:val="both"/>
        <w:rPr>
          <w:b/>
          <w:bCs/>
          <w:spacing w:val="-4"/>
        </w:rPr>
      </w:pPr>
      <w:r w:rsidRPr="00D92E20">
        <w:rPr>
          <w:b/>
          <w:bCs/>
          <w:spacing w:val="-4"/>
        </w:rPr>
        <w:t>Tab. 2.1: Nově hlášené případy dočasné pracovní neschopnos</w:t>
      </w:r>
      <w:r>
        <w:rPr>
          <w:b/>
          <w:bCs/>
          <w:spacing w:val="-4"/>
        </w:rPr>
        <w:t>ti podle příčiny a pohlaví, 2011</w:t>
      </w:r>
      <w:r w:rsidRPr="00D92E20">
        <w:rPr>
          <w:b/>
          <w:bCs/>
          <w:spacing w:val="-4"/>
        </w:rPr>
        <w:t>–202</w:t>
      </w:r>
      <w:r>
        <w:rPr>
          <w:b/>
          <w:bCs/>
          <w:spacing w:val="-4"/>
        </w:rPr>
        <w:t>1</w:t>
      </w:r>
      <w:r w:rsidRPr="00D92E20">
        <w:rPr>
          <w:b/>
          <w:bCs/>
          <w:spacing w:val="-4"/>
        </w:rPr>
        <w:t xml:space="preserve"> (v tis.)</w:t>
      </w:r>
    </w:p>
    <w:tbl>
      <w:tblPr>
        <w:tblW w:w="9588" w:type="dxa"/>
        <w:tblCellMar>
          <w:left w:w="70" w:type="dxa"/>
          <w:right w:w="70" w:type="dxa"/>
        </w:tblCellMar>
        <w:tblLook w:val="04A0" w:firstRow="1" w:lastRow="0" w:firstColumn="1" w:lastColumn="0" w:noHBand="0" w:noVBand="1"/>
      </w:tblPr>
      <w:tblGrid>
        <w:gridCol w:w="736"/>
        <w:gridCol w:w="737"/>
        <w:gridCol w:w="735"/>
        <w:gridCol w:w="735"/>
        <w:gridCol w:w="736"/>
        <w:gridCol w:w="735"/>
        <w:gridCol w:w="735"/>
        <w:gridCol w:w="754"/>
        <w:gridCol w:w="737"/>
        <w:gridCol w:w="737"/>
        <w:gridCol w:w="737"/>
        <w:gridCol w:w="737"/>
        <w:gridCol w:w="737"/>
      </w:tblGrid>
      <w:tr w:rsidR="00873671" w:rsidRPr="00D92E20" w14:paraId="7CB40121" w14:textId="77777777" w:rsidTr="00873671">
        <w:trPr>
          <w:trHeight w:val="300"/>
        </w:trPr>
        <w:tc>
          <w:tcPr>
            <w:tcW w:w="736" w:type="dxa"/>
            <w:vMerge w:val="restart"/>
            <w:tcBorders>
              <w:top w:val="single" w:sz="4" w:space="0" w:color="auto"/>
              <w:left w:val="nil"/>
              <w:bottom w:val="single" w:sz="4" w:space="0" w:color="auto"/>
              <w:right w:val="nil"/>
            </w:tcBorders>
            <w:shd w:val="clear" w:color="000000" w:fill="F5DADD"/>
            <w:vAlign w:val="center"/>
            <w:hideMark/>
          </w:tcPr>
          <w:p w14:paraId="6582E087"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Rok</w:t>
            </w:r>
          </w:p>
        </w:tc>
        <w:tc>
          <w:tcPr>
            <w:tcW w:w="737" w:type="dxa"/>
            <w:vMerge w:val="restart"/>
            <w:tcBorders>
              <w:top w:val="single" w:sz="4" w:space="0" w:color="auto"/>
              <w:left w:val="single" w:sz="4" w:space="0" w:color="auto"/>
              <w:bottom w:val="single" w:sz="4" w:space="0" w:color="auto"/>
              <w:right w:val="nil"/>
            </w:tcBorders>
            <w:shd w:val="clear" w:color="000000" w:fill="F2DBDB"/>
            <w:vAlign w:val="center"/>
            <w:hideMark/>
          </w:tcPr>
          <w:p w14:paraId="68EC837E" w14:textId="77777777" w:rsidR="00873671" w:rsidRPr="00D92E20" w:rsidRDefault="00873671" w:rsidP="006E58D2">
            <w:pPr>
              <w:spacing w:after="0" w:line="240" w:lineRule="auto"/>
              <w:jc w:val="center"/>
              <w:rPr>
                <w:rFonts w:cs="Arial"/>
                <w:b/>
                <w:bCs/>
                <w:color w:val="000000"/>
                <w:sz w:val="16"/>
                <w:szCs w:val="16"/>
              </w:rPr>
            </w:pPr>
            <w:r w:rsidRPr="00D92E20">
              <w:rPr>
                <w:rFonts w:cs="Arial"/>
                <w:b/>
                <w:bCs/>
                <w:color w:val="000000"/>
                <w:sz w:val="16"/>
                <w:szCs w:val="16"/>
              </w:rPr>
              <w:t>Celkem</w:t>
            </w:r>
          </w:p>
        </w:tc>
        <w:tc>
          <w:tcPr>
            <w:tcW w:w="1470"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547D5A8E"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podle pohlaví</w:t>
            </w:r>
          </w:p>
        </w:tc>
        <w:tc>
          <w:tcPr>
            <w:tcW w:w="736" w:type="dxa"/>
            <w:vMerge w:val="restart"/>
            <w:tcBorders>
              <w:top w:val="single" w:sz="4" w:space="0" w:color="auto"/>
              <w:left w:val="nil"/>
              <w:bottom w:val="single" w:sz="4" w:space="0" w:color="auto"/>
              <w:right w:val="nil"/>
            </w:tcBorders>
            <w:shd w:val="clear" w:color="000000" w:fill="F2DBDB"/>
            <w:vAlign w:val="center"/>
            <w:hideMark/>
          </w:tcPr>
          <w:p w14:paraId="6807D4FF"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Pro nemoc</w:t>
            </w:r>
          </w:p>
        </w:tc>
        <w:tc>
          <w:tcPr>
            <w:tcW w:w="1470"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0F832B8F"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podle pohlaví</w:t>
            </w:r>
          </w:p>
        </w:tc>
        <w:tc>
          <w:tcPr>
            <w:tcW w:w="754" w:type="dxa"/>
            <w:vMerge w:val="restart"/>
            <w:tcBorders>
              <w:top w:val="single" w:sz="4" w:space="0" w:color="auto"/>
              <w:left w:val="single" w:sz="4" w:space="0" w:color="auto"/>
              <w:bottom w:val="single" w:sz="4" w:space="0" w:color="auto"/>
              <w:right w:val="nil"/>
            </w:tcBorders>
            <w:shd w:val="clear" w:color="000000" w:fill="F2DBDB"/>
            <w:vAlign w:val="center"/>
            <w:hideMark/>
          </w:tcPr>
          <w:p w14:paraId="362AB629"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Pro pracovní úrazy</w:t>
            </w:r>
          </w:p>
        </w:tc>
        <w:tc>
          <w:tcPr>
            <w:tcW w:w="1474"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1F9B18FD"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podle pohlaví</w:t>
            </w:r>
          </w:p>
        </w:tc>
        <w:tc>
          <w:tcPr>
            <w:tcW w:w="737" w:type="dxa"/>
            <w:vMerge w:val="restart"/>
            <w:tcBorders>
              <w:top w:val="single" w:sz="4" w:space="0" w:color="auto"/>
              <w:left w:val="nil"/>
              <w:bottom w:val="single" w:sz="4" w:space="0" w:color="auto"/>
              <w:right w:val="nil"/>
            </w:tcBorders>
            <w:shd w:val="clear" w:color="000000" w:fill="F2DBDB"/>
            <w:vAlign w:val="center"/>
            <w:hideMark/>
          </w:tcPr>
          <w:p w14:paraId="1C1A7070"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Pro ostatní úrazy</w:t>
            </w:r>
          </w:p>
        </w:tc>
        <w:tc>
          <w:tcPr>
            <w:tcW w:w="1474" w:type="dxa"/>
            <w:gridSpan w:val="2"/>
            <w:tcBorders>
              <w:top w:val="single" w:sz="4" w:space="0" w:color="auto"/>
              <w:left w:val="single" w:sz="4" w:space="0" w:color="auto"/>
              <w:bottom w:val="single" w:sz="4" w:space="0" w:color="auto"/>
              <w:right w:val="nil"/>
            </w:tcBorders>
            <w:shd w:val="clear" w:color="000000" w:fill="F2DBDB"/>
            <w:vAlign w:val="center"/>
            <w:hideMark/>
          </w:tcPr>
          <w:p w14:paraId="3D5839F3"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podle pohlaví</w:t>
            </w:r>
          </w:p>
        </w:tc>
      </w:tr>
      <w:tr w:rsidR="00873671" w:rsidRPr="00D92E20" w14:paraId="52B07BE7" w14:textId="77777777" w:rsidTr="00873671">
        <w:trPr>
          <w:trHeight w:val="405"/>
        </w:trPr>
        <w:tc>
          <w:tcPr>
            <w:tcW w:w="736" w:type="dxa"/>
            <w:vMerge/>
            <w:tcBorders>
              <w:top w:val="single" w:sz="4" w:space="0" w:color="auto"/>
              <w:left w:val="nil"/>
              <w:bottom w:val="single" w:sz="4" w:space="0" w:color="auto"/>
              <w:right w:val="nil"/>
            </w:tcBorders>
            <w:vAlign w:val="center"/>
            <w:hideMark/>
          </w:tcPr>
          <w:p w14:paraId="209C57BC" w14:textId="77777777" w:rsidR="00873671" w:rsidRPr="00D92E20" w:rsidRDefault="00873671" w:rsidP="006E58D2">
            <w:pPr>
              <w:spacing w:after="0" w:line="240" w:lineRule="auto"/>
              <w:rPr>
                <w:rFonts w:cs="Arial"/>
                <w:color w:val="000000"/>
                <w:sz w:val="16"/>
                <w:szCs w:val="16"/>
              </w:rPr>
            </w:pPr>
          </w:p>
        </w:tc>
        <w:tc>
          <w:tcPr>
            <w:tcW w:w="737" w:type="dxa"/>
            <w:vMerge/>
            <w:tcBorders>
              <w:top w:val="single" w:sz="4" w:space="0" w:color="auto"/>
              <w:left w:val="single" w:sz="4" w:space="0" w:color="auto"/>
              <w:bottom w:val="single" w:sz="4" w:space="0" w:color="auto"/>
              <w:right w:val="nil"/>
            </w:tcBorders>
            <w:vAlign w:val="center"/>
            <w:hideMark/>
          </w:tcPr>
          <w:p w14:paraId="28DE8DCE" w14:textId="77777777" w:rsidR="00873671" w:rsidRPr="00D92E20" w:rsidRDefault="00873671" w:rsidP="006E58D2">
            <w:pPr>
              <w:spacing w:after="0" w:line="240" w:lineRule="auto"/>
              <w:rPr>
                <w:rFonts w:cs="Arial"/>
                <w:b/>
                <w:bCs/>
                <w:color w:val="000000"/>
                <w:sz w:val="16"/>
                <w:szCs w:val="16"/>
              </w:rPr>
            </w:pPr>
          </w:p>
        </w:tc>
        <w:tc>
          <w:tcPr>
            <w:tcW w:w="735" w:type="dxa"/>
            <w:tcBorders>
              <w:top w:val="nil"/>
              <w:left w:val="single" w:sz="4" w:space="0" w:color="auto"/>
              <w:bottom w:val="single" w:sz="4" w:space="0" w:color="auto"/>
              <w:right w:val="single" w:sz="4" w:space="0" w:color="auto"/>
            </w:tcBorders>
            <w:shd w:val="clear" w:color="000000" w:fill="F2DBDB"/>
            <w:vAlign w:val="center"/>
            <w:hideMark/>
          </w:tcPr>
          <w:p w14:paraId="7CF2EEC0"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muži</w:t>
            </w:r>
          </w:p>
        </w:tc>
        <w:tc>
          <w:tcPr>
            <w:tcW w:w="735" w:type="dxa"/>
            <w:tcBorders>
              <w:top w:val="nil"/>
              <w:left w:val="nil"/>
              <w:bottom w:val="single" w:sz="4" w:space="0" w:color="auto"/>
              <w:right w:val="single" w:sz="4" w:space="0" w:color="auto"/>
            </w:tcBorders>
            <w:shd w:val="clear" w:color="000000" w:fill="F2DBDB"/>
            <w:vAlign w:val="center"/>
            <w:hideMark/>
          </w:tcPr>
          <w:p w14:paraId="0EBE3091"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ženy</w:t>
            </w:r>
          </w:p>
        </w:tc>
        <w:tc>
          <w:tcPr>
            <w:tcW w:w="736" w:type="dxa"/>
            <w:vMerge/>
            <w:tcBorders>
              <w:left w:val="nil"/>
              <w:bottom w:val="single" w:sz="4" w:space="0" w:color="auto"/>
              <w:right w:val="nil"/>
            </w:tcBorders>
            <w:vAlign w:val="center"/>
            <w:hideMark/>
          </w:tcPr>
          <w:p w14:paraId="3159E50C" w14:textId="77777777" w:rsidR="00873671" w:rsidRPr="00D92E20" w:rsidRDefault="00873671" w:rsidP="006E58D2">
            <w:pPr>
              <w:spacing w:after="0" w:line="240" w:lineRule="auto"/>
              <w:rPr>
                <w:rFonts w:cs="Arial"/>
                <w:color w:val="000000"/>
                <w:sz w:val="16"/>
                <w:szCs w:val="16"/>
              </w:rPr>
            </w:pPr>
          </w:p>
        </w:tc>
        <w:tc>
          <w:tcPr>
            <w:tcW w:w="735" w:type="dxa"/>
            <w:tcBorders>
              <w:top w:val="nil"/>
              <w:left w:val="single" w:sz="4" w:space="0" w:color="auto"/>
              <w:bottom w:val="single" w:sz="4" w:space="0" w:color="auto"/>
              <w:right w:val="single" w:sz="4" w:space="0" w:color="auto"/>
            </w:tcBorders>
            <w:shd w:val="clear" w:color="000000" w:fill="F2DBDB"/>
            <w:vAlign w:val="center"/>
            <w:hideMark/>
          </w:tcPr>
          <w:p w14:paraId="60B4C3F1"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muži</w:t>
            </w:r>
          </w:p>
        </w:tc>
        <w:tc>
          <w:tcPr>
            <w:tcW w:w="735" w:type="dxa"/>
            <w:tcBorders>
              <w:top w:val="nil"/>
              <w:left w:val="nil"/>
              <w:bottom w:val="single" w:sz="4" w:space="0" w:color="auto"/>
              <w:right w:val="single" w:sz="4" w:space="0" w:color="auto"/>
            </w:tcBorders>
            <w:shd w:val="clear" w:color="000000" w:fill="F2DBDB"/>
            <w:vAlign w:val="center"/>
            <w:hideMark/>
          </w:tcPr>
          <w:p w14:paraId="11CDD270"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ženy</w:t>
            </w:r>
          </w:p>
        </w:tc>
        <w:tc>
          <w:tcPr>
            <w:tcW w:w="754" w:type="dxa"/>
            <w:vMerge/>
            <w:tcBorders>
              <w:left w:val="single" w:sz="4" w:space="0" w:color="auto"/>
              <w:bottom w:val="single" w:sz="4" w:space="0" w:color="auto"/>
              <w:right w:val="nil"/>
            </w:tcBorders>
            <w:vAlign w:val="center"/>
            <w:hideMark/>
          </w:tcPr>
          <w:p w14:paraId="200EDD05" w14:textId="77777777" w:rsidR="00873671" w:rsidRPr="00D92E20" w:rsidRDefault="00873671" w:rsidP="006E58D2">
            <w:pPr>
              <w:spacing w:after="0" w:line="240" w:lineRule="auto"/>
              <w:rPr>
                <w:rFonts w:cs="Arial"/>
                <w:color w:val="000000"/>
                <w:sz w:val="16"/>
                <w:szCs w:val="16"/>
              </w:rPr>
            </w:pPr>
          </w:p>
        </w:tc>
        <w:tc>
          <w:tcPr>
            <w:tcW w:w="737" w:type="dxa"/>
            <w:tcBorders>
              <w:top w:val="nil"/>
              <w:left w:val="single" w:sz="4" w:space="0" w:color="auto"/>
              <w:bottom w:val="single" w:sz="4" w:space="0" w:color="auto"/>
              <w:right w:val="single" w:sz="4" w:space="0" w:color="auto"/>
            </w:tcBorders>
            <w:shd w:val="clear" w:color="000000" w:fill="F2DBDB"/>
            <w:vAlign w:val="center"/>
            <w:hideMark/>
          </w:tcPr>
          <w:p w14:paraId="7541C37B"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muži</w:t>
            </w:r>
          </w:p>
        </w:tc>
        <w:tc>
          <w:tcPr>
            <w:tcW w:w="737" w:type="dxa"/>
            <w:tcBorders>
              <w:top w:val="nil"/>
              <w:left w:val="nil"/>
              <w:bottom w:val="single" w:sz="4" w:space="0" w:color="auto"/>
              <w:right w:val="single" w:sz="4" w:space="0" w:color="auto"/>
            </w:tcBorders>
            <w:shd w:val="clear" w:color="000000" w:fill="F2DBDB"/>
            <w:vAlign w:val="center"/>
            <w:hideMark/>
          </w:tcPr>
          <w:p w14:paraId="76F54E80"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ženy</w:t>
            </w:r>
          </w:p>
        </w:tc>
        <w:tc>
          <w:tcPr>
            <w:tcW w:w="737" w:type="dxa"/>
            <w:vMerge/>
            <w:tcBorders>
              <w:left w:val="nil"/>
              <w:bottom w:val="single" w:sz="4" w:space="0" w:color="auto"/>
              <w:right w:val="nil"/>
            </w:tcBorders>
            <w:vAlign w:val="center"/>
            <w:hideMark/>
          </w:tcPr>
          <w:p w14:paraId="3BD1786A" w14:textId="77777777" w:rsidR="00873671" w:rsidRPr="00D92E20" w:rsidRDefault="00873671" w:rsidP="006E58D2">
            <w:pPr>
              <w:spacing w:after="0" w:line="240" w:lineRule="auto"/>
              <w:rPr>
                <w:rFonts w:cs="Arial"/>
                <w:color w:val="000000"/>
                <w:sz w:val="16"/>
                <w:szCs w:val="16"/>
              </w:rPr>
            </w:pPr>
          </w:p>
        </w:tc>
        <w:tc>
          <w:tcPr>
            <w:tcW w:w="737" w:type="dxa"/>
            <w:tcBorders>
              <w:top w:val="nil"/>
              <w:left w:val="single" w:sz="4" w:space="0" w:color="auto"/>
              <w:bottom w:val="single" w:sz="4" w:space="0" w:color="auto"/>
              <w:right w:val="single" w:sz="4" w:space="0" w:color="auto"/>
            </w:tcBorders>
            <w:shd w:val="clear" w:color="000000" w:fill="F2DBDB"/>
            <w:vAlign w:val="center"/>
            <w:hideMark/>
          </w:tcPr>
          <w:p w14:paraId="6E055458"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muži</w:t>
            </w:r>
          </w:p>
        </w:tc>
        <w:tc>
          <w:tcPr>
            <w:tcW w:w="737" w:type="dxa"/>
            <w:tcBorders>
              <w:top w:val="nil"/>
              <w:left w:val="nil"/>
              <w:bottom w:val="single" w:sz="4" w:space="0" w:color="auto"/>
              <w:right w:val="nil"/>
            </w:tcBorders>
            <w:shd w:val="clear" w:color="000000" w:fill="F2DBDB"/>
            <w:vAlign w:val="center"/>
            <w:hideMark/>
          </w:tcPr>
          <w:p w14:paraId="5D81AC01"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ženy</w:t>
            </w:r>
          </w:p>
        </w:tc>
      </w:tr>
      <w:tr w:rsidR="00873671" w:rsidRPr="00D92E20" w14:paraId="71ECF287" w14:textId="77777777" w:rsidTr="00873671">
        <w:trPr>
          <w:trHeight w:val="300"/>
        </w:trPr>
        <w:tc>
          <w:tcPr>
            <w:tcW w:w="736" w:type="dxa"/>
            <w:tcBorders>
              <w:top w:val="single" w:sz="4" w:space="0" w:color="auto"/>
              <w:left w:val="nil"/>
              <w:bottom w:val="nil"/>
              <w:right w:val="nil"/>
            </w:tcBorders>
            <w:shd w:val="clear" w:color="auto" w:fill="auto"/>
            <w:vAlign w:val="center"/>
            <w:hideMark/>
          </w:tcPr>
          <w:p w14:paraId="578E2914"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2011</w:t>
            </w:r>
          </w:p>
        </w:tc>
        <w:tc>
          <w:tcPr>
            <w:tcW w:w="737" w:type="dxa"/>
            <w:tcBorders>
              <w:top w:val="single" w:sz="4" w:space="0" w:color="auto"/>
              <w:left w:val="single" w:sz="4" w:space="0" w:color="auto"/>
              <w:bottom w:val="nil"/>
              <w:right w:val="nil"/>
            </w:tcBorders>
            <w:shd w:val="clear" w:color="auto" w:fill="auto"/>
            <w:vAlign w:val="center"/>
            <w:hideMark/>
          </w:tcPr>
          <w:p w14:paraId="03CACE25"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1 268,8</w:t>
            </w:r>
          </w:p>
        </w:tc>
        <w:tc>
          <w:tcPr>
            <w:tcW w:w="735" w:type="dxa"/>
            <w:tcBorders>
              <w:top w:val="nil"/>
              <w:left w:val="nil"/>
              <w:bottom w:val="nil"/>
              <w:right w:val="nil"/>
            </w:tcBorders>
            <w:shd w:val="clear" w:color="auto" w:fill="auto"/>
            <w:vAlign w:val="center"/>
            <w:hideMark/>
          </w:tcPr>
          <w:p w14:paraId="165307CF"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605,1</w:t>
            </w:r>
          </w:p>
        </w:tc>
        <w:tc>
          <w:tcPr>
            <w:tcW w:w="735" w:type="dxa"/>
            <w:tcBorders>
              <w:top w:val="nil"/>
              <w:left w:val="nil"/>
              <w:bottom w:val="nil"/>
              <w:right w:val="single" w:sz="4" w:space="0" w:color="auto"/>
            </w:tcBorders>
            <w:shd w:val="clear" w:color="auto" w:fill="auto"/>
            <w:vAlign w:val="center"/>
            <w:hideMark/>
          </w:tcPr>
          <w:p w14:paraId="0A5F43AE"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663,7</w:t>
            </w:r>
          </w:p>
        </w:tc>
        <w:tc>
          <w:tcPr>
            <w:tcW w:w="736" w:type="dxa"/>
            <w:tcBorders>
              <w:top w:val="single" w:sz="4" w:space="0" w:color="auto"/>
              <w:left w:val="nil"/>
              <w:bottom w:val="nil"/>
              <w:right w:val="nil"/>
            </w:tcBorders>
            <w:shd w:val="clear" w:color="auto" w:fill="auto"/>
            <w:vAlign w:val="center"/>
            <w:hideMark/>
          </w:tcPr>
          <w:p w14:paraId="03B41586"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1 144,5</w:t>
            </w:r>
          </w:p>
        </w:tc>
        <w:tc>
          <w:tcPr>
            <w:tcW w:w="735" w:type="dxa"/>
            <w:tcBorders>
              <w:top w:val="nil"/>
              <w:left w:val="nil"/>
              <w:bottom w:val="nil"/>
              <w:right w:val="nil"/>
            </w:tcBorders>
            <w:shd w:val="clear" w:color="auto" w:fill="auto"/>
            <w:vAlign w:val="center"/>
            <w:hideMark/>
          </w:tcPr>
          <w:p w14:paraId="2EAA68B5"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519,2</w:t>
            </w:r>
          </w:p>
        </w:tc>
        <w:tc>
          <w:tcPr>
            <w:tcW w:w="735" w:type="dxa"/>
            <w:tcBorders>
              <w:top w:val="nil"/>
              <w:left w:val="nil"/>
              <w:bottom w:val="nil"/>
              <w:right w:val="nil"/>
            </w:tcBorders>
            <w:shd w:val="clear" w:color="auto" w:fill="auto"/>
            <w:vAlign w:val="center"/>
            <w:hideMark/>
          </w:tcPr>
          <w:p w14:paraId="5A7FB5F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625,3</w:t>
            </w:r>
          </w:p>
        </w:tc>
        <w:tc>
          <w:tcPr>
            <w:tcW w:w="754" w:type="dxa"/>
            <w:tcBorders>
              <w:top w:val="single" w:sz="4" w:space="0" w:color="auto"/>
              <w:left w:val="single" w:sz="4" w:space="0" w:color="auto"/>
              <w:bottom w:val="nil"/>
              <w:right w:val="nil"/>
            </w:tcBorders>
            <w:shd w:val="clear" w:color="auto" w:fill="auto"/>
            <w:vAlign w:val="center"/>
            <w:hideMark/>
          </w:tcPr>
          <w:p w14:paraId="707529EF"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47,1</w:t>
            </w:r>
          </w:p>
        </w:tc>
        <w:tc>
          <w:tcPr>
            <w:tcW w:w="737" w:type="dxa"/>
            <w:tcBorders>
              <w:top w:val="nil"/>
              <w:left w:val="nil"/>
              <w:bottom w:val="nil"/>
              <w:right w:val="nil"/>
            </w:tcBorders>
            <w:shd w:val="clear" w:color="auto" w:fill="auto"/>
            <w:vAlign w:val="center"/>
            <w:hideMark/>
          </w:tcPr>
          <w:p w14:paraId="59D6A82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33,6</w:t>
            </w:r>
          </w:p>
        </w:tc>
        <w:tc>
          <w:tcPr>
            <w:tcW w:w="737" w:type="dxa"/>
            <w:tcBorders>
              <w:top w:val="nil"/>
              <w:left w:val="nil"/>
              <w:bottom w:val="nil"/>
              <w:right w:val="single" w:sz="4" w:space="0" w:color="auto"/>
            </w:tcBorders>
            <w:shd w:val="clear" w:color="auto" w:fill="auto"/>
            <w:vAlign w:val="center"/>
            <w:hideMark/>
          </w:tcPr>
          <w:p w14:paraId="1AFE344B"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13,5</w:t>
            </w:r>
          </w:p>
        </w:tc>
        <w:tc>
          <w:tcPr>
            <w:tcW w:w="737" w:type="dxa"/>
            <w:tcBorders>
              <w:top w:val="single" w:sz="4" w:space="0" w:color="auto"/>
              <w:left w:val="nil"/>
              <w:bottom w:val="nil"/>
              <w:right w:val="nil"/>
            </w:tcBorders>
            <w:shd w:val="clear" w:color="auto" w:fill="auto"/>
            <w:vAlign w:val="center"/>
            <w:hideMark/>
          </w:tcPr>
          <w:p w14:paraId="2528DD57"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77,1</w:t>
            </w:r>
          </w:p>
        </w:tc>
        <w:tc>
          <w:tcPr>
            <w:tcW w:w="737" w:type="dxa"/>
            <w:tcBorders>
              <w:top w:val="nil"/>
              <w:left w:val="nil"/>
              <w:bottom w:val="nil"/>
              <w:right w:val="nil"/>
            </w:tcBorders>
            <w:shd w:val="clear" w:color="auto" w:fill="auto"/>
            <w:vAlign w:val="center"/>
            <w:hideMark/>
          </w:tcPr>
          <w:p w14:paraId="2BC02002"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52,3</w:t>
            </w:r>
          </w:p>
        </w:tc>
        <w:tc>
          <w:tcPr>
            <w:tcW w:w="737" w:type="dxa"/>
            <w:tcBorders>
              <w:top w:val="nil"/>
              <w:left w:val="nil"/>
              <w:bottom w:val="nil"/>
              <w:right w:val="nil"/>
            </w:tcBorders>
            <w:shd w:val="clear" w:color="auto" w:fill="auto"/>
            <w:vAlign w:val="center"/>
            <w:hideMark/>
          </w:tcPr>
          <w:p w14:paraId="0498B88F"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24,8</w:t>
            </w:r>
          </w:p>
        </w:tc>
      </w:tr>
      <w:tr w:rsidR="00873671" w:rsidRPr="00D92E20" w14:paraId="571CCA56" w14:textId="77777777" w:rsidTr="006E58D2">
        <w:trPr>
          <w:trHeight w:val="300"/>
        </w:trPr>
        <w:tc>
          <w:tcPr>
            <w:tcW w:w="736" w:type="dxa"/>
            <w:tcBorders>
              <w:top w:val="nil"/>
              <w:left w:val="nil"/>
              <w:bottom w:val="nil"/>
              <w:right w:val="nil"/>
            </w:tcBorders>
            <w:shd w:val="clear" w:color="auto" w:fill="auto"/>
            <w:vAlign w:val="center"/>
            <w:hideMark/>
          </w:tcPr>
          <w:p w14:paraId="2A21282B"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2012</w:t>
            </w:r>
          </w:p>
        </w:tc>
        <w:tc>
          <w:tcPr>
            <w:tcW w:w="737" w:type="dxa"/>
            <w:tcBorders>
              <w:top w:val="nil"/>
              <w:left w:val="single" w:sz="4" w:space="0" w:color="auto"/>
              <w:bottom w:val="nil"/>
              <w:right w:val="nil"/>
            </w:tcBorders>
            <w:shd w:val="clear" w:color="auto" w:fill="auto"/>
            <w:vAlign w:val="center"/>
            <w:hideMark/>
          </w:tcPr>
          <w:p w14:paraId="550ECEA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1 226,9</w:t>
            </w:r>
          </w:p>
        </w:tc>
        <w:tc>
          <w:tcPr>
            <w:tcW w:w="735" w:type="dxa"/>
            <w:tcBorders>
              <w:top w:val="nil"/>
              <w:left w:val="nil"/>
              <w:bottom w:val="nil"/>
              <w:right w:val="nil"/>
            </w:tcBorders>
            <w:shd w:val="clear" w:color="auto" w:fill="auto"/>
            <w:vAlign w:val="center"/>
            <w:hideMark/>
          </w:tcPr>
          <w:p w14:paraId="341B2FD1"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593,7</w:t>
            </w:r>
          </w:p>
        </w:tc>
        <w:tc>
          <w:tcPr>
            <w:tcW w:w="735" w:type="dxa"/>
            <w:tcBorders>
              <w:top w:val="nil"/>
              <w:left w:val="nil"/>
              <w:bottom w:val="nil"/>
              <w:right w:val="single" w:sz="4" w:space="0" w:color="auto"/>
            </w:tcBorders>
            <w:shd w:val="clear" w:color="auto" w:fill="auto"/>
            <w:vAlign w:val="center"/>
            <w:hideMark/>
          </w:tcPr>
          <w:p w14:paraId="12063986"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633,2</w:t>
            </w:r>
          </w:p>
        </w:tc>
        <w:tc>
          <w:tcPr>
            <w:tcW w:w="736" w:type="dxa"/>
            <w:tcBorders>
              <w:top w:val="nil"/>
              <w:left w:val="nil"/>
              <w:bottom w:val="nil"/>
              <w:right w:val="nil"/>
            </w:tcBorders>
            <w:shd w:val="clear" w:color="auto" w:fill="auto"/>
            <w:vAlign w:val="center"/>
            <w:hideMark/>
          </w:tcPr>
          <w:p w14:paraId="13D97FEE"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1 067,3</w:t>
            </w:r>
          </w:p>
        </w:tc>
        <w:tc>
          <w:tcPr>
            <w:tcW w:w="735" w:type="dxa"/>
            <w:tcBorders>
              <w:top w:val="nil"/>
              <w:left w:val="nil"/>
              <w:bottom w:val="nil"/>
              <w:right w:val="nil"/>
            </w:tcBorders>
            <w:shd w:val="clear" w:color="auto" w:fill="auto"/>
            <w:vAlign w:val="center"/>
            <w:hideMark/>
          </w:tcPr>
          <w:p w14:paraId="1A0D946C"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485,9</w:t>
            </w:r>
          </w:p>
        </w:tc>
        <w:tc>
          <w:tcPr>
            <w:tcW w:w="735" w:type="dxa"/>
            <w:tcBorders>
              <w:top w:val="nil"/>
              <w:left w:val="nil"/>
              <w:bottom w:val="nil"/>
              <w:right w:val="nil"/>
            </w:tcBorders>
            <w:shd w:val="clear" w:color="auto" w:fill="auto"/>
            <w:vAlign w:val="center"/>
            <w:hideMark/>
          </w:tcPr>
          <w:p w14:paraId="1603A73D"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581,4</w:t>
            </w:r>
          </w:p>
        </w:tc>
        <w:tc>
          <w:tcPr>
            <w:tcW w:w="754" w:type="dxa"/>
            <w:tcBorders>
              <w:top w:val="nil"/>
              <w:left w:val="single" w:sz="4" w:space="0" w:color="auto"/>
              <w:bottom w:val="nil"/>
              <w:right w:val="nil"/>
            </w:tcBorders>
            <w:shd w:val="clear" w:color="auto" w:fill="auto"/>
            <w:vAlign w:val="center"/>
            <w:hideMark/>
          </w:tcPr>
          <w:p w14:paraId="253384E3"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44,1</w:t>
            </w:r>
          </w:p>
        </w:tc>
        <w:tc>
          <w:tcPr>
            <w:tcW w:w="737" w:type="dxa"/>
            <w:tcBorders>
              <w:top w:val="nil"/>
              <w:left w:val="nil"/>
              <w:bottom w:val="nil"/>
              <w:right w:val="nil"/>
            </w:tcBorders>
            <w:shd w:val="clear" w:color="auto" w:fill="auto"/>
            <w:vAlign w:val="center"/>
            <w:hideMark/>
          </w:tcPr>
          <w:p w14:paraId="447DB502"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31,5</w:t>
            </w:r>
          </w:p>
        </w:tc>
        <w:tc>
          <w:tcPr>
            <w:tcW w:w="737" w:type="dxa"/>
            <w:tcBorders>
              <w:top w:val="nil"/>
              <w:left w:val="nil"/>
              <w:bottom w:val="nil"/>
              <w:right w:val="single" w:sz="4" w:space="0" w:color="auto"/>
            </w:tcBorders>
            <w:shd w:val="clear" w:color="auto" w:fill="auto"/>
            <w:vAlign w:val="center"/>
            <w:hideMark/>
          </w:tcPr>
          <w:p w14:paraId="2595DE93"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12,7</w:t>
            </w:r>
          </w:p>
        </w:tc>
        <w:tc>
          <w:tcPr>
            <w:tcW w:w="737" w:type="dxa"/>
            <w:tcBorders>
              <w:top w:val="nil"/>
              <w:left w:val="nil"/>
              <w:bottom w:val="nil"/>
              <w:right w:val="nil"/>
            </w:tcBorders>
            <w:shd w:val="clear" w:color="auto" w:fill="auto"/>
            <w:vAlign w:val="center"/>
            <w:hideMark/>
          </w:tcPr>
          <w:p w14:paraId="018886DF"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115,4</w:t>
            </w:r>
          </w:p>
        </w:tc>
        <w:tc>
          <w:tcPr>
            <w:tcW w:w="737" w:type="dxa"/>
            <w:tcBorders>
              <w:top w:val="nil"/>
              <w:left w:val="nil"/>
              <w:bottom w:val="nil"/>
              <w:right w:val="nil"/>
            </w:tcBorders>
            <w:shd w:val="clear" w:color="auto" w:fill="auto"/>
            <w:vAlign w:val="center"/>
            <w:hideMark/>
          </w:tcPr>
          <w:p w14:paraId="6DAAC7D7"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76,4</w:t>
            </w:r>
          </w:p>
        </w:tc>
        <w:tc>
          <w:tcPr>
            <w:tcW w:w="737" w:type="dxa"/>
            <w:tcBorders>
              <w:top w:val="nil"/>
              <w:left w:val="nil"/>
              <w:bottom w:val="nil"/>
              <w:right w:val="nil"/>
            </w:tcBorders>
            <w:shd w:val="clear" w:color="auto" w:fill="auto"/>
            <w:vAlign w:val="center"/>
            <w:hideMark/>
          </w:tcPr>
          <w:p w14:paraId="4BC1711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39,1</w:t>
            </w:r>
          </w:p>
        </w:tc>
      </w:tr>
      <w:tr w:rsidR="00873671" w:rsidRPr="00D92E20" w14:paraId="48A34574" w14:textId="77777777" w:rsidTr="006E58D2">
        <w:trPr>
          <w:trHeight w:val="300"/>
        </w:trPr>
        <w:tc>
          <w:tcPr>
            <w:tcW w:w="736" w:type="dxa"/>
            <w:tcBorders>
              <w:top w:val="nil"/>
              <w:left w:val="nil"/>
              <w:bottom w:val="nil"/>
              <w:right w:val="nil"/>
            </w:tcBorders>
            <w:shd w:val="clear" w:color="auto" w:fill="auto"/>
            <w:vAlign w:val="center"/>
            <w:hideMark/>
          </w:tcPr>
          <w:p w14:paraId="068B218F"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2013</w:t>
            </w:r>
          </w:p>
        </w:tc>
        <w:tc>
          <w:tcPr>
            <w:tcW w:w="737" w:type="dxa"/>
            <w:tcBorders>
              <w:top w:val="nil"/>
              <w:left w:val="single" w:sz="4" w:space="0" w:color="auto"/>
              <w:bottom w:val="nil"/>
              <w:right w:val="nil"/>
            </w:tcBorders>
            <w:shd w:val="clear" w:color="auto" w:fill="auto"/>
            <w:vAlign w:val="center"/>
            <w:hideMark/>
          </w:tcPr>
          <w:p w14:paraId="22931609"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1 331,5</w:t>
            </w:r>
          </w:p>
        </w:tc>
        <w:tc>
          <w:tcPr>
            <w:tcW w:w="735" w:type="dxa"/>
            <w:tcBorders>
              <w:top w:val="nil"/>
              <w:left w:val="nil"/>
              <w:bottom w:val="nil"/>
              <w:right w:val="nil"/>
            </w:tcBorders>
            <w:shd w:val="clear" w:color="auto" w:fill="auto"/>
            <w:vAlign w:val="center"/>
            <w:hideMark/>
          </w:tcPr>
          <w:p w14:paraId="7FC11BC0"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638,2</w:t>
            </w:r>
          </w:p>
        </w:tc>
        <w:tc>
          <w:tcPr>
            <w:tcW w:w="735" w:type="dxa"/>
            <w:tcBorders>
              <w:top w:val="nil"/>
              <w:left w:val="nil"/>
              <w:bottom w:val="nil"/>
              <w:right w:val="single" w:sz="4" w:space="0" w:color="auto"/>
            </w:tcBorders>
            <w:shd w:val="clear" w:color="auto" w:fill="auto"/>
            <w:vAlign w:val="center"/>
            <w:hideMark/>
          </w:tcPr>
          <w:p w14:paraId="2E5295B4"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693,3</w:t>
            </w:r>
          </w:p>
        </w:tc>
        <w:tc>
          <w:tcPr>
            <w:tcW w:w="736" w:type="dxa"/>
            <w:tcBorders>
              <w:top w:val="nil"/>
              <w:left w:val="nil"/>
              <w:bottom w:val="nil"/>
              <w:right w:val="nil"/>
            </w:tcBorders>
            <w:shd w:val="clear" w:color="auto" w:fill="auto"/>
            <w:vAlign w:val="center"/>
            <w:hideMark/>
          </w:tcPr>
          <w:p w14:paraId="3145E518"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1 168,1</w:t>
            </w:r>
          </w:p>
        </w:tc>
        <w:tc>
          <w:tcPr>
            <w:tcW w:w="735" w:type="dxa"/>
            <w:tcBorders>
              <w:top w:val="nil"/>
              <w:left w:val="nil"/>
              <w:bottom w:val="nil"/>
              <w:right w:val="nil"/>
            </w:tcBorders>
            <w:shd w:val="clear" w:color="auto" w:fill="auto"/>
            <w:vAlign w:val="center"/>
            <w:hideMark/>
          </w:tcPr>
          <w:p w14:paraId="6172A73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528,7</w:t>
            </w:r>
          </w:p>
        </w:tc>
        <w:tc>
          <w:tcPr>
            <w:tcW w:w="735" w:type="dxa"/>
            <w:tcBorders>
              <w:top w:val="nil"/>
              <w:left w:val="nil"/>
              <w:bottom w:val="nil"/>
              <w:right w:val="nil"/>
            </w:tcBorders>
            <w:shd w:val="clear" w:color="auto" w:fill="auto"/>
            <w:vAlign w:val="center"/>
            <w:hideMark/>
          </w:tcPr>
          <w:p w14:paraId="0686504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639,4</w:t>
            </w:r>
          </w:p>
        </w:tc>
        <w:tc>
          <w:tcPr>
            <w:tcW w:w="754" w:type="dxa"/>
            <w:tcBorders>
              <w:top w:val="nil"/>
              <w:left w:val="single" w:sz="4" w:space="0" w:color="auto"/>
              <w:bottom w:val="nil"/>
              <w:right w:val="nil"/>
            </w:tcBorders>
            <w:shd w:val="clear" w:color="auto" w:fill="auto"/>
            <w:vAlign w:val="center"/>
            <w:hideMark/>
          </w:tcPr>
          <w:p w14:paraId="69C2CFCB"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42,9</w:t>
            </w:r>
          </w:p>
        </w:tc>
        <w:tc>
          <w:tcPr>
            <w:tcW w:w="737" w:type="dxa"/>
            <w:tcBorders>
              <w:top w:val="nil"/>
              <w:left w:val="nil"/>
              <w:bottom w:val="nil"/>
              <w:right w:val="nil"/>
            </w:tcBorders>
            <w:shd w:val="clear" w:color="auto" w:fill="auto"/>
            <w:vAlign w:val="center"/>
            <w:hideMark/>
          </w:tcPr>
          <w:p w14:paraId="71AA7F53"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30,4</w:t>
            </w:r>
          </w:p>
        </w:tc>
        <w:tc>
          <w:tcPr>
            <w:tcW w:w="737" w:type="dxa"/>
            <w:tcBorders>
              <w:top w:val="nil"/>
              <w:left w:val="nil"/>
              <w:bottom w:val="nil"/>
              <w:right w:val="single" w:sz="4" w:space="0" w:color="auto"/>
            </w:tcBorders>
            <w:shd w:val="clear" w:color="auto" w:fill="auto"/>
            <w:vAlign w:val="center"/>
            <w:hideMark/>
          </w:tcPr>
          <w:p w14:paraId="34E39887"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12,5</w:t>
            </w:r>
          </w:p>
        </w:tc>
        <w:tc>
          <w:tcPr>
            <w:tcW w:w="737" w:type="dxa"/>
            <w:tcBorders>
              <w:top w:val="nil"/>
              <w:left w:val="nil"/>
              <w:bottom w:val="nil"/>
              <w:right w:val="nil"/>
            </w:tcBorders>
            <w:shd w:val="clear" w:color="auto" w:fill="auto"/>
            <w:vAlign w:val="center"/>
            <w:hideMark/>
          </w:tcPr>
          <w:p w14:paraId="1A5F32CF"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120,5</w:t>
            </w:r>
          </w:p>
        </w:tc>
        <w:tc>
          <w:tcPr>
            <w:tcW w:w="737" w:type="dxa"/>
            <w:tcBorders>
              <w:top w:val="nil"/>
              <w:left w:val="nil"/>
              <w:bottom w:val="nil"/>
              <w:right w:val="nil"/>
            </w:tcBorders>
            <w:shd w:val="clear" w:color="auto" w:fill="auto"/>
            <w:vAlign w:val="center"/>
            <w:hideMark/>
          </w:tcPr>
          <w:p w14:paraId="512CF8C7"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79,1</w:t>
            </w:r>
          </w:p>
        </w:tc>
        <w:tc>
          <w:tcPr>
            <w:tcW w:w="737" w:type="dxa"/>
            <w:tcBorders>
              <w:top w:val="nil"/>
              <w:left w:val="nil"/>
              <w:bottom w:val="nil"/>
              <w:right w:val="nil"/>
            </w:tcBorders>
            <w:shd w:val="clear" w:color="auto" w:fill="auto"/>
            <w:vAlign w:val="center"/>
            <w:hideMark/>
          </w:tcPr>
          <w:p w14:paraId="4550D25E"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41,4</w:t>
            </w:r>
          </w:p>
        </w:tc>
      </w:tr>
      <w:tr w:rsidR="00873671" w:rsidRPr="00D92E20" w14:paraId="20ACC1B1" w14:textId="77777777" w:rsidTr="006E58D2">
        <w:trPr>
          <w:trHeight w:val="300"/>
        </w:trPr>
        <w:tc>
          <w:tcPr>
            <w:tcW w:w="736" w:type="dxa"/>
            <w:tcBorders>
              <w:top w:val="nil"/>
              <w:left w:val="nil"/>
              <w:bottom w:val="nil"/>
              <w:right w:val="nil"/>
            </w:tcBorders>
            <w:shd w:val="clear" w:color="auto" w:fill="auto"/>
            <w:vAlign w:val="center"/>
            <w:hideMark/>
          </w:tcPr>
          <w:p w14:paraId="3AAC3CCC"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2014</w:t>
            </w:r>
          </w:p>
        </w:tc>
        <w:tc>
          <w:tcPr>
            <w:tcW w:w="737" w:type="dxa"/>
            <w:tcBorders>
              <w:top w:val="nil"/>
              <w:left w:val="single" w:sz="4" w:space="0" w:color="auto"/>
              <w:bottom w:val="nil"/>
              <w:right w:val="nil"/>
            </w:tcBorders>
            <w:shd w:val="clear" w:color="auto" w:fill="auto"/>
            <w:vAlign w:val="center"/>
            <w:hideMark/>
          </w:tcPr>
          <w:p w14:paraId="7CA526C9"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1 314,8</w:t>
            </w:r>
          </w:p>
        </w:tc>
        <w:tc>
          <w:tcPr>
            <w:tcW w:w="735" w:type="dxa"/>
            <w:tcBorders>
              <w:top w:val="nil"/>
              <w:left w:val="nil"/>
              <w:bottom w:val="nil"/>
              <w:right w:val="nil"/>
            </w:tcBorders>
            <w:shd w:val="clear" w:color="auto" w:fill="auto"/>
            <w:vAlign w:val="center"/>
            <w:hideMark/>
          </w:tcPr>
          <w:p w14:paraId="66CDF490"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631,7</w:t>
            </w:r>
          </w:p>
        </w:tc>
        <w:tc>
          <w:tcPr>
            <w:tcW w:w="735" w:type="dxa"/>
            <w:tcBorders>
              <w:top w:val="nil"/>
              <w:left w:val="nil"/>
              <w:bottom w:val="nil"/>
              <w:right w:val="single" w:sz="4" w:space="0" w:color="auto"/>
            </w:tcBorders>
            <w:shd w:val="clear" w:color="auto" w:fill="auto"/>
            <w:vAlign w:val="center"/>
            <w:hideMark/>
          </w:tcPr>
          <w:p w14:paraId="062C28C9"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683,1</w:t>
            </w:r>
          </w:p>
        </w:tc>
        <w:tc>
          <w:tcPr>
            <w:tcW w:w="736" w:type="dxa"/>
            <w:tcBorders>
              <w:top w:val="nil"/>
              <w:left w:val="nil"/>
              <w:bottom w:val="nil"/>
              <w:right w:val="nil"/>
            </w:tcBorders>
            <w:shd w:val="clear" w:color="auto" w:fill="auto"/>
            <w:vAlign w:val="center"/>
            <w:hideMark/>
          </w:tcPr>
          <w:p w14:paraId="67254CC8"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1 146,3</w:t>
            </w:r>
          </w:p>
        </w:tc>
        <w:tc>
          <w:tcPr>
            <w:tcW w:w="735" w:type="dxa"/>
            <w:tcBorders>
              <w:top w:val="nil"/>
              <w:left w:val="nil"/>
              <w:bottom w:val="nil"/>
              <w:right w:val="nil"/>
            </w:tcBorders>
            <w:shd w:val="clear" w:color="auto" w:fill="auto"/>
            <w:vAlign w:val="center"/>
            <w:hideMark/>
          </w:tcPr>
          <w:p w14:paraId="1CFF837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518,5</w:t>
            </w:r>
          </w:p>
        </w:tc>
        <w:tc>
          <w:tcPr>
            <w:tcW w:w="735" w:type="dxa"/>
            <w:tcBorders>
              <w:top w:val="nil"/>
              <w:left w:val="nil"/>
              <w:bottom w:val="nil"/>
              <w:right w:val="nil"/>
            </w:tcBorders>
            <w:shd w:val="clear" w:color="auto" w:fill="auto"/>
            <w:vAlign w:val="center"/>
            <w:hideMark/>
          </w:tcPr>
          <w:p w14:paraId="1163AB9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627,8</w:t>
            </w:r>
          </w:p>
        </w:tc>
        <w:tc>
          <w:tcPr>
            <w:tcW w:w="754" w:type="dxa"/>
            <w:tcBorders>
              <w:top w:val="nil"/>
              <w:left w:val="single" w:sz="4" w:space="0" w:color="auto"/>
              <w:bottom w:val="nil"/>
              <w:right w:val="nil"/>
            </w:tcBorders>
            <w:shd w:val="clear" w:color="auto" w:fill="auto"/>
            <w:vAlign w:val="center"/>
            <w:hideMark/>
          </w:tcPr>
          <w:p w14:paraId="37BAE2F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45,1</w:t>
            </w:r>
          </w:p>
        </w:tc>
        <w:tc>
          <w:tcPr>
            <w:tcW w:w="737" w:type="dxa"/>
            <w:tcBorders>
              <w:top w:val="nil"/>
              <w:left w:val="nil"/>
              <w:bottom w:val="nil"/>
              <w:right w:val="nil"/>
            </w:tcBorders>
            <w:shd w:val="clear" w:color="auto" w:fill="auto"/>
            <w:vAlign w:val="center"/>
            <w:hideMark/>
          </w:tcPr>
          <w:p w14:paraId="17A254DC"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31,7</w:t>
            </w:r>
          </w:p>
        </w:tc>
        <w:tc>
          <w:tcPr>
            <w:tcW w:w="737" w:type="dxa"/>
            <w:tcBorders>
              <w:top w:val="nil"/>
              <w:left w:val="nil"/>
              <w:bottom w:val="nil"/>
              <w:right w:val="single" w:sz="4" w:space="0" w:color="auto"/>
            </w:tcBorders>
            <w:shd w:val="clear" w:color="auto" w:fill="auto"/>
            <w:vAlign w:val="center"/>
            <w:hideMark/>
          </w:tcPr>
          <w:p w14:paraId="499E2CB3"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13,3</w:t>
            </w:r>
          </w:p>
        </w:tc>
        <w:tc>
          <w:tcPr>
            <w:tcW w:w="737" w:type="dxa"/>
            <w:tcBorders>
              <w:top w:val="nil"/>
              <w:left w:val="nil"/>
              <w:bottom w:val="nil"/>
              <w:right w:val="nil"/>
            </w:tcBorders>
            <w:shd w:val="clear" w:color="auto" w:fill="auto"/>
            <w:vAlign w:val="center"/>
            <w:hideMark/>
          </w:tcPr>
          <w:p w14:paraId="5425B262"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123,4</w:t>
            </w:r>
          </w:p>
        </w:tc>
        <w:tc>
          <w:tcPr>
            <w:tcW w:w="737" w:type="dxa"/>
            <w:tcBorders>
              <w:top w:val="nil"/>
              <w:left w:val="nil"/>
              <w:bottom w:val="nil"/>
              <w:right w:val="nil"/>
            </w:tcBorders>
            <w:shd w:val="clear" w:color="auto" w:fill="auto"/>
            <w:vAlign w:val="center"/>
            <w:hideMark/>
          </w:tcPr>
          <w:p w14:paraId="45392DE5"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81,5</w:t>
            </w:r>
          </w:p>
        </w:tc>
        <w:tc>
          <w:tcPr>
            <w:tcW w:w="737" w:type="dxa"/>
            <w:tcBorders>
              <w:top w:val="nil"/>
              <w:left w:val="nil"/>
              <w:bottom w:val="nil"/>
              <w:right w:val="nil"/>
            </w:tcBorders>
            <w:shd w:val="clear" w:color="auto" w:fill="auto"/>
            <w:vAlign w:val="center"/>
            <w:hideMark/>
          </w:tcPr>
          <w:p w14:paraId="3DA2914B"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42,0</w:t>
            </w:r>
          </w:p>
        </w:tc>
      </w:tr>
      <w:tr w:rsidR="00873671" w:rsidRPr="00D92E20" w14:paraId="4272A60F" w14:textId="77777777" w:rsidTr="006E58D2">
        <w:trPr>
          <w:trHeight w:val="300"/>
        </w:trPr>
        <w:tc>
          <w:tcPr>
            <w:tcW w:w="736" w:type="dxa"/>
            <w:tcBorders>
              <w:top w:val="nil"/>
              <w:left w:val="nil"/>
              <w:bottom w:val="nil"/>
              <w:right w:val="nil"/>
            </w:tcBorders>
            <w:shd w:val="clear" w:color="auto" w:fill="auto"/>
            <w:vAlign w:val="center"/>
            <w:hideMark/>
          </w:tcPr>
          <w:p w14:paraId="1E8F55CE"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2015</w:t>
            </w:r>
          </w:p>
        </w:tc>
        <w:tc>
          <w:tcPr>
            <w:tcW w:w="737" w:type="dxa"/>
            <w:tcBorders>
              <w:top w:val="nil"/>
              <w:left w:val="single" w:sz="4" w:space="0" w:color="auto"/>
              <w:bottom w:val="nil"/>
              <w:right w:val="nil"/>
            </w:tcBorders>
            <w:shd w:val="clear" w:color="auto" w:fill="auto"/>
            <w:vAlign w:val="center"/>
            <w:hideMark/>
          </w:tcPr>
          <w:p w14:paraId="7BDB83A5"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1 563,5</w:t>
            </w:r>
          </w:p>
        </w:tc>
        <w:tc>
          <w:tcPr>
            <w:tcW w:w="735" w:type="dxa"/>
            <w:tcBorders>
              <w:top w:val="nil"/>
              <w:left w:val="nil"/>
              <w:bottom w:val="nil"/>
              <w:right w:val="nil"/>
            </w:tcBorders>
            <w:shd w:val="clear" w:color="auto" w:fill="auto"/>
            <w:vAlign w:val="center"/>
            <w:hideMark/>
          </w:tcPr>
          <w:p w14:paraId="2F56398B"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751,8</w:t>
            </w:r>
          </w:p>
        </w:tc>
        <w:tc>
          <w:tcPr>
            <w:tcW w:w="735" w:type="dxa"/>
            <w:tcBorders>
              <w:top w:val="nil"/>
              <w:left w:val="nil"/>
              <w:bottom w:val="nil"/>
              <w:right w:val="single" w:sz="4" w:space="0" w:color="auto"/>
            </w:tcBorders>
            <w:shd w:val="clear" w:color="auto" w:fill="auto"/>
            <w:vAlign w:val="center"/>
            <w:hideMark/>
          </w:tcPr>
          <w:p w14:paraId="19EA52DB"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811,7</w:t>
            </w:r>
          </w:p>
        </w:tc>
        <w:tc>
          <w:tcPr>
            <w:tcW w:w="736" w:type="dxa"/>
            <w:tcBorders>
              <w:top w:val="nil"/>
              <w:left w:val="nil"/>
              <w:bottom w:val="nil"/>
              <w:right w:val="nil"/>
            </w:tcBorders>
            <w:shd w:val="clear" w:color="auto" w:fill="auto"/>
            <w:vAlign w:val="center"/>
            <w:hideMark/>
          </w:tcPr>
          <w:p w14:paraId="4D79485D"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1 383,9</w:t>
            </w:r>
          </w:p>
        </w:tc>
        <w:tc>
          <w:tcPr>
            <w:tcW w:w="735" w:type="dxa"/>
            <w:tcBorders>
              <w:top w:val="nil"/>
              <w:left w:val="nil"/>
              <w:bottom w:val="nil"/>
              <w:right w:val="nil"/>
            </w:tcBorders>
            <w:shd w:val="clear" w:color="auto" w:fill="auto"/>
            <w:vAlign w:val="center"/>
            <w:hideMark/>
          </w:tcPr>
          <w:p w14:paraId="40DA0974"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632,6</w:t>
            </w:r>
          </w:p>
        </w:tc>
        <w:tc>
          <w:tcPr>
            <w:tcW w:w="735" w:type="dxa"/>
            <w:tcBorders>
              <w:top w:val="nil"/>
              <w:left w:val="nil"/>
              <w:bottom w:val="nil"/>
              <w:right w:val="nil"/>
            </w:tcBorders>
            <w:shd w:val="clear" w:color="auto" w:fill="auto"/>
            <w:vAlign w:val="center"/>
            <w:hideMark/>
          </w:tcPr>
          <w:p w14:paraId="07A96FAD"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751,3</w:t>
            </w:r>
          </w:p>
        </w:tc>
        <w:tc>
          <w:tcPr>
            <w:tcW w:w="754" w:type="dxa"/>
            <w:tcBorders>
              <w:top w:val="nil"/>
              <w:left w:val="single" w:sz="4" w:space="0" w:color="auto"/>
              <w:bottom w:val="nil"/>
              <w:right w:val="nil"/>
            </w:tcBorders>
            <w:shd w:val="clear" w:color="auto" w:fill="auto"/>
            <w:vAlign w:val="center"/>
            <w:hideMark/>
          </w:tcPr>
          <w:p w14:paraId="0A2DECBC"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46,3</w:t>
            </w:r>
          </w:p>
        </w:tc>
        <w:tc>
          <w:tcPr>
            <w:tcW w:w="737" w:type="dxa"/>
            <w:tcBorders>
              <w:top w:val="nil"/>
              <w:left w:val="nil"/>
              <w:bottom w:val="nil"/>
              <w:right w:val="nil"/>
            </w:tcBorders>
            <w:shd w:val="clear" w:color="auto" w:fill="auto"/>
            <w:vAlign w:val="center"/>
            <w:hideMark/>
          </w:tcPr>
          <w:p w14:paraId="1EDF9435"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32,1</w:t>
            </w:r>
          </w:p>
        </w:tc>
        <w:tc>
          <w:tcPr>
            <w:tcW w:w="737" w:type="dxa"/>
            <w:tcBorders>
              <w:top w:val="nil"/>
              <w:left w:val="nil"/>
              <w:bottom w:val="nil"/>
              <w:right w:val="single" w:sz="4" w:space="0" w:color="auto"/>
            </w:tcBorders>
            <w:shd w:val="clear" w:color="auto" w:fill="auto"/>
            <w:vAlign w:val="center"/>
            <w:hideMark/>
          </w:tcPr>
          <w:p w14:paraId="024579AB"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14,2</w:t>
            </w:r>
          </w:p>
        </w:tc>
        <w:tc>
          <w:tcPr>
            <w:tcW w:w="737" w:type="dxa"/>
            <w:tcBorders>
              <w:top w:val="nil"/>
              <w:left w:val="nil"/>
              <w:bottom w:val="nil"/>
              <w:right w:val="nil"/>
            </w:tcBorders>
            <w:shd w:val="clear" w:color="auto" w:fill="auto"/>
            <w:vAlign w:val="center"/>
            <w:hideMark/>
          </w:tcPr>
          <w:p w14:paraId="3E594261"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133,3</w:t>
            </w:r>
          </w:p>
        </w:tc>
        <w:tc>
          <w:tcPr>
            <w:tcW w:w="737" w:type="dxa"/>
            <w:tcBorders>
              <w:top w:val="nil"/>
              <w:left w:val="nil"/>
              <w:bottom w:val="nil"/>
              <w:right w:val="nil"/>
            </w:tcBorders>
            <w:shd w:val="clear" w:color="auto" w:fill="auto"/>
            <w:vAlign w:val="center"/>
            <w:hideMark/>
          </w:tcPr>
          <w:p w14:paraId="015451FF"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87,0</w:t>
            </w:r>
          </w:p>
        </w:tc>
        <w:tc>
          <w:tcPr>
            <w:tcW w:w="737" w:type="dxa"/>
            <w:tcBorders>
              <w:top w:val="nil"/>
              <w:left w:val="nil"/>
              <w:bottom w:val="nil"/>
              <w:right w:val="nil"/>
            </w:tcBorders>
            <w:shd w:val="clear" w:color="auto" w:fill="auto"/>
            <w:vAlign w:val="center"/>
            <w:hideMark/>
          </w:tcPr>
          <w:p w14:paraId="1ADA4415"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46,2</w:t>
            </w:r>
          </w:p>
        </w:tc>
      </w:tr>
      <w:tr w:rsidR="00873671" w:rsidRPr="00D92E20" w14:paraId="25B168AF" w14:textId="77777777" w:rsidTr="006E58D2">
        <w:trPr>
          <w:trHeight w:val="300"/>
        </w:trPr>
        <w:tc>
          <w:tcPr>
            <w:tcW w:w="736" w:type="dxa"/>
            <w:tcBorders>
              <w:top w:val="nil"/>
              <w:left w:val="nil"/>
              <w:bottom w:val="nil"/>
              <w:right w:val="nil"/>
            </w:tcBorders>
            <w:shd w:val="clear" w:color="auto" w:fill="auto"/>
            <w:vAlign w:val="center"/>
            <w:hideMark/>
          </w:tcPr>
          <w:p w14:paraId="435956EB"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2016</w:t>
            </w:r>
          </w:p>
        </w:tc>
        <w:tc>
          <w:tcPr>
            <w:tcW w:w="737" w:type="dxa"/>
            <w:tcBorders>
              <w:top w:val="nil"/>
              <w:left w:val="single" w:sz="4" w:space="0" w:color="auto"/>
              <w:bottom w:val="nil"/>
              <w:right w:val="nil"/>
            </w:tcBorders>
            <w:shd w:val="clear" w:color="auto" w:fill="auto"/>
            <w:vAlign w:val="center"/>
            <w:hideMark/>
          </w:tcPr>
          <w:p w14:paraId="55683FD9"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1 633,3</w:t>
            </w:r>
          </w:p>
        </w:tc>
        <w:tc>
          <w:tcPr>
            <w:tcW w:w="735" w:type="dxa"/>
            <w:tcBorders>
              <w:top w:val="nil"/>
              <w:left w:val="nil"/>
              <w:bottom w:val="nil"/>
              <w:right w:val="nil"/>
            </w:tcBorders>
            <w:shd w:val="clear" w:color="auto" w:fill="auto"/>
            <w:vAlign w:val="center"/>
            <w:hideMark/>
          </w:tcPr>
          <w:p w14:paraId="1B6656CE"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784,1</w:t>
            </w:r>
          </w:p>
        </w:tc>
        <w:tc>
          <w:tcPr>
            <w:tcW w:w="735" w:type="dxa"/>
            <w:tcBorders>
              <w:top w:val="nil"/>
              <w:left w:val="nil"/>
              <w:bottom w:val="nil"/>
              <w:right w:val="single" w:sz="4" w:space="0" w:color="auto"/>
            </w:tcBorders>
            <w:shd w:val="clear" w:color="auto" w:fill="auto"/>
            <w:vAlign w:val="center"/>
            <w:hideMark/>
          </w:tcPr>
          <w:p w14:paraId="401CD0B0"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849,3</w:t>
            </w:r>
          </w:p>
        </w:tc>
        <w:tc>
          <w:tcPr>
            <w:tcW w:w="736" w:type="dxa"/>
            <w:tcBorders>
              <w:top w:val="nil"/>
              <w:left w:val="nil"/>
              <w:bottom w:val="nil"/>
              <w:right w:val="nil"/>
            </w:tcBorders>
            <w:shd w:val="clear" w:color="auto" w:fill="auto"/>
            <w:vAlign w:val="center"/>
            <w:hideMark/>
          </w:tcPr>
          <w:p w14:paraId="2C7EBE17"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1 440,9</w:t>
            </w:r>
          </w:p>
        </w:tc>
        <w:tc>
          <w:tcPr>
            <w:tcW w:w="735" w:type="dxa"/>
            <w:tcBorders>
              <w:top w:val="nil"/>
              <w:left w:val="nil"/>
              <w:bottom w:val="nil"/>
              <w:right w:val="nil"/>
            </w:tcBorders>
            <w:shd w:val="clear" w:color="auto" w:fill="auto"/>
            <w:vAlign w:val="center"/>
            <w:hideMark/>
          </w:tcPr>
          <w:p w14:paraId="154F3D24"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658,2</w:t>
            </w:r>
          </w:p>
        </w:tc>
        <w:tc>
          <w:tcPr>
            <w:tcW w:w="735" w:type="dxa"/>
            <w:tcBorders>
              <w:top w:val="nil"/>
              <w:left w:val="nil"/>
              <w:bottom w:val="nil"/>
              <w:right w:val="nil"/>
            </w:tcBorders>
            <w:shd w:val="clear" w:color="auto" w:fill="auto"/>
            <w:vAlign w:val="center"/>
            <w:hideMark/>
          </w:tcPr>
          <w:p w14:paraId="1BE95E2E"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782,7</w:t>
            </w:r>
          </w:p>
        </w:tc>
        <w:tc>
          <w:tcPr>
            <w:tcW w:w="754" w:type="dxa"/>
            <w:tcBorders>
              <w:top w:val="nil"/>
              <w:left w:val="single" w:sz="4" w:space="0" w:color="auto"/>
              <w:bottom w:val="nil"/>
              <w:right w:val="nil"/>
            </w:tcBorders>
            <w:shd w:val="clear" w:color="auto" w:fill="auto"/>
            <w:vAlign w:val="center"/>
            <w:hideMark/>
          </w:tcPr>
          <w:p w14:paraId="62CEC4D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47,4</w:t>
            </w:r>
          </w:p>
        </w:tc>
        <w:tc>
          <w:tcPr>
            <w:tcW w:w="737" w:type="dxa"/>
            <w:tcBorders>
              <w:top w:val="nil"/>
              <w:left w:val="nil"/>
              <w:bottom w:val="nil"/>
              <w:right w:val="nil"/>
            </w:tcBorders>
            <w:shd w:val="clear" w:color="auto" w:fill="auto"/>
            <w:vAlign w:val="center"/>
            <w:hideMark/>
          </w:tcPr>
          <w:p w14:paraId="3162DD9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32,6</w:t>
            </w:r>
          </w:p>
        </w:tc>
        <w:tc>
          <w:tcPr>
            <w:tcW w:w="737" w:type="dxa"/>
            <w:tcBorders>
              <w:top w:val="nil"/>
              <w:left w:val="nil"/>
              <w:bottom w:val="nil"/>
              <w:right w:val="single" w:sz="4" w:space="0" w:color="auto"/>
            </w:tcBorders>
            <w:shd w:val="clear" w:color="auto" w:fill="auto"/>
            <w:vAlign w:val="center"/>
            <w:hideMark/>
          </w:tcPr>
          <w:p w14:paraId="38DC20D5"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14,8</w:t>
            </w:r>
          </w:p>
        </w:tc>
        <w:tc>
          <w:tcPr>
            <w:tcW w:w="737" w:type="dxa"/>
            <w:tcBorders>
              <w:top w:val="nil"/>
              <w:left w:val="nil"/>
              <w:bottom w:val="nil"/>
              <w:right w:val="nil"/>
            </w:tcBorders>
            <w:shd w:val="clear" w:color="auto" w:fill="auto"/>
            <w:vAlign w:val="center"/>
            <w:hideMark/>
          </w:tcPr>
          <w:p w14:paraId="6FE45495"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145,0</w:t>
            </w:r>
          </w:p>
        </w:tc>
        <w:tc>
          <w:tcPr>
            <w:tcW w:w="737" w:type="dxa"/>
            <w:tcBorders>
              <w:top w:val="nil"/>
              <w:left w:val="nil"/>
              <w:bottom w:val="nil"/>
              <w:right w:val="nil"/>
            </w:tcBorders>
            <w:shd w:val="clear" w:color="auto" w:fill="auto"/>
            <w:vAlign w:val="center"/>
            <w:hideMark/>
          </w:tcPr>
          <w:p w14:paraId="258DC3B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93,2</w:t>
            </w:r>
          </w:p>
        </w:tc>
        <w:tc>
          <w:tcPr>
            <w:tcW w:w="737" w:type="dxa"/>
            <w:tcBorders>
              <w:top w:val="nil"/>
              <w:left w:val="nil"/>
              <w:bottom w:val="nil"/>
              <w:right w:val="nil"/>
            </w:tcBorders>
            <w:shd w:val="clear" w:color="auto" w:fill="auto"/>
            <w:vAlign w:val="center"/>
            <w:hideMark/>
          </w:tcPr>
          <w:p w14:paraId="4A9A8A1D"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51,8</w:t>
            </w:r>
          </w:p>
        </w:tc>
      </w:tr>
      <w:tr w:rsidR="00873671" w:rsidRPr="00D92E20" w14:paraId="4D57168B" w14:textId="77777777" w:rsidTr="006E58D2">
        <w:trPr>
          <w:trHeight w:val="300"/>
        </w:trPr>
        <w:tc>
          <w:tcPr>
            <w:tcW w:w="736" w:type="dxa"/>
            <w:tcBorders>
              <w:top w:val="nil"/>
              <w:left w:val="nil"/>
              <w:bottom w:val="nil"/>
              <w:right w:val="nil"/>
            </w:tcBorders>
            <w:shd w:val="clear" w:color="auto" w:fill="auto"/>
            <w:vAlign w:val="center"/>
            <w:hideMark/>
          </w:tcPr>
          <w:p w14:paraId="2209B580"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2017</w:t>
            </w:r>
          </w:p>
        </w:tc>
        <w:tc>
          <w:tcPr>
            <w:tcW w:w="737" w:type="dxa"/>
            <w:tcBorders>
              <w:top w:val="nil"/>
              <w:left w:val="single" w:sz="4" w:space="0" w:color="auto"/>
              <w:bottom w:val="nil"/>
              <w:right w:val="nil"/>
            </w:tcBorders>
            <w:shd w:val="clear" w:color="auto" w:fill="auto"/>
            <w:vAlign w:val="center"/>
            <w:hideMark/>
          </w:tcPr>
          <w:p w14:paraId="6984C49E"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1 707,5</w:t>
            </w:r>
          </w:p>
        </w:tc>
        <w:tc>
          <w:tcPr>
            <w:tcW w:w="735" w:type="dxa"/>
            <w:tcBorders>
              <w:top w:val="nil"/>
              <w:left w:val="nil"/>
              <w:bottom w:val="nil"/>
              <w:right w:val="nil"/>
            </w:tcBorders>
            <w:shd w:val="clear" w:color="auto" w:fill="auto"/>
            <w:vAlign w:val="center"/>
            <w:hideMark/>
          </w:tcPr>
          <w:p w14:paraId="2577C86D"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814,5</w:t>
            </w:r>
          </w:p>
        </w:tc>
        <w:tc>
          <w:tcPr>
            <w:tcW w:w="735" w:type="dxa"/>
            <w:tcBorders>
              <w:top w:val="nil"/>
              <w:left w:val="nil"/>
              <w:bottom w:val="nil"/>
              <w:right w:val="single" w:sz="4" w:space="0" w:color="auto"/>
            </w:tcBorders>
            <w:shd w:val="clear" w:color="auto" w:fill="auto"/>
            <w:vAlign w:val="center"/>
            <w:hideMark/>
          </w:tcPr>
          <w:p w14:paraId="7F50CE11"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893,0</w:t>
            </w:r>
          </w:p>
        </w:tc>
        <w:tc>
          <w:tcPr>
            <w:tcW w:w="736" w:type="dxa"/>
            <w:tcBorders>
              <w:top w:val="nil"/>
              <w:left w:val="nil"/>
              <w:bottom w:val="nil"/>
              <w:right w:val="nil"/>
            </w:tcBorders>
            <w:shd w:val="clear" w:color="auto" w:fill="auto"/>
            <w:vAlign w:val="center"/>
            <w:hideMark/>
          </w:tcPr>
          <w:p w14:paraId="59FE6586"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1 510,9</w:t>
            </w:r>
          </w:p>
        </w:tc>
        <w:tc>
          <w:tcPr>
            <w:tcW w:w="735" w:type="dxa"/>
            <w:tcBorders>
              <w:top w:val="nil"/>
              <w:left w:val="nil"/>
              <w:bottom w:val="nil"/>
              <w:right w:val="nil"/>
            </w:tcBorders>
            <w:shd w:val="clear" w:color="auto" w:fill="auto"/>
            <w:vAlign w:val="center"/>
            <w:hideMark/>
          </w:tcPr>
          <w:p w14:paraId="0F89AF8F"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687,8</w:t>
            </w:r>
          </w:p>
        </w:tc>
        <w:tc>
          <w:tcPr>
            <w:tcW w:w="735" w:type="dxa"/>
            <w:tcBorders>
              <w:top w:val="nil"/>
              <w:left w:val="nil"/>
              <w:bottom w:val="nil"/>
              <w:right w:val="nil"/>
            </w:tcBorders>
            <w:shd w:val="clear" w:color="auto" w:fill="auto"/>
            <w:vAlign w:val="center"/>
            <w:hideMark/>
          </w:tcPr>
          <w:p w14:paraId="3020A750"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823,1</w:t>
            </w:r>
          </w:p>
        </w:tc>
        <w:tc>
          <w:tcPr>
            <w:tcW w:w="754" w:type="dxa"/>
            <w:tcBorders>
              <w:top w:val="nil"/>
              <w:left w:val="single" w:sz="4" w:space="0" w:color="auto"/>
              <w:bottom w:val="nil"/>
              <w:right w:val="nil"/>
            </w:tcBorders>
            <w:shd w:val="clear" w:color="auto" w:fill="auto"/>
            <w:vAlign w:val="center"/>
            <w:hideMark/>
          </w:tcPr>
          <w:p w14:paraId="6FBF81E6"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47,5</w:t>
            </w:r>
          </w:p>
        </w:tc>
        <w:tc>
          <w:tcPr>
            <w:tcW w:w="737" w:type="dxa"/>
            <w:tcBorders>
              <w:top w:val="nil"/>
              <w:left w:val="nil"/>
              <w:bottom w:val="nil"/>
              <w:right w:val="nil"/>
            </w:tcBorders>
            <w:shd w:val="clear" w:color="auto" w:fill="auto"/>
            <w:vAlign w:val="center"/>
            <w:hideMark/>
          </w:tcPr>
          <w:p w14:paraId="20E74C98"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32,6</w:t>
            </w:r>
          </w:p>
        </w:tc>
        <w:tc>
          <w:tcPr>
            <w:tcW w:w="737" w:type="dxa"/>
            <w:tcBorders>
              <w:top w:val="nil"/>
              <w:left w:val="nil"/>
              <w:bottom w:val="nil"/>
              <w:right w:val="single" w:sz="4" w:space="0" w:color="auto"/>
            </w:tcBorders>
            <w:shd w:val="clear" w:color="auto" w:fill="auto"/>
            <w:vAlign w:val="center"/>
            <w:hideMark/>
          </w:tcPr>
          <w:p w14:paraId="64721665"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14,9</w:t>
            </w:r>
          </w:p>
        </w:tc>
        <w:tc>
          <w:tcPr>
            <w:tcW w:w="737" w:type="dxa"/>
            <w:tcBorders>
              <w:top w:val="nil"/>
              <w:left w:val="nil"/>
              <w:bottom w:val="nil"/>
              <w:right w:val="nil"/>
            </w:tcBorders>
            <w:shd w:val="clear" w:color="auto" w:fill="auto"/>
            <w:vAlign w:val="center"/>
            <w:hideMark/>
          </w:tcPr>
          <w:p w14:paraId="07D1FCDB"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149,1</w:t>
            </w:r>
          </w:p>
        </w:tc>
        <w:tc>
          <w:tcPr>
            <w:tcW w:w="737" w:type="dxa"/>
            <w:tcBorders>
              <w:top w:val="nil"/>
              <w:left w:val="nil"/>
              <w:bottom w:val="nil"/>
              <w:right w:val="nil"/>
            </w:tcBorders>
            <w:shd w:val="clear" w:color="auto" w:fill="auto"/>
            <w:vAlign w:val="center"/>
            <w:hideMark/>
          </w:tcPr>
          <w:p w14:paraId="1DDE2112"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94,1</w:t>
            </w:r>
          </w:p>
        </w:tc>
        <w:tc>
          <w:tcPr>
            <w:tcW w:w="737" w:type="dxa"/>
            <w:tcBorders>
              <w:top w:val="nil"/>
              <w:left w:val="nil"/>
              <w:bottom w:val="nil"/>
              <w:right w:val="nil"/>
            </w:tcBorders>
            <w:shd w:val="clear" w:color="auto" w:fill="auto"/>
            <w:vAlign w:val="center"/>
            <w:hideMark/>
          </w:tcPr>
          <w:p w14:paraId="6DA77C43"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55,1</w:t>
            </w:r>
          </w:p>
        </w:tc>
      </w:tr>
      <w:tr w:rsidR="00873671" w:rsidRPr="00D92E20" w14:paraId="3921CB5B" w14:textId="77777777" w:rsidTr="006E58D2">
        <w:trPr>
          <w:trHeight w:val="300"/>
        </w:trPr>
        <w:tc>
          <w:tcPr>
            <w:tcW w:w="736" w:type="dxa"/>
            <w:tcBorders>
              <w:top w:val="nil"/>
              <w:left w:val="nil"/>
              <w:bottom w:val="nil"/>
              <w:right w:val="nil"/>
            </w:tcBorders>
            <w:shd w:val="clear" w:color="auto" w:fill="auto"/>
            <w:vAlign w:val="center"/>
            <w:hideMark/>
          </w:tcPr>
          <w:p w14:paraId="2108A43F"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2018</w:t>
            </w:r>
          </w:p>
        </w:tc>
        <w:tc>
          <w:tcPr>
            <w:tcW w:w="737" w:type="dxa"/>
            <w:tcBorders>
              <w:top w:val="nil"/>
              <w:left w:val="single" w:sz="4" w:space="0" w:color="auto"/>
              <w:bottom w:val="nil"/>
              <w:right w:val="nil"/>
            </w:tcBorders>
            <w:shd w:val="clear" w:color="auto" w:fill="auto"/>
            <w:vAlign w:val="center"/>
            <w:hideMark/>
          </w:tcPr>
          <w:p w14:paraId="6391BEE1"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1 849,5</w:t>
            </w:r>
          </w:p>
        </w:tc>
        <w:tc>
          <w:tcPr>
            <w:tcW w:w="735" w:type="dxa"/>
            <w:tcBorders>
              <w:top w:val="nil"/>
              <w:left w:val="nil"/>
              <w:bottom w:val="nil"/>
              <w:right w:val="nil"/>
            </w:tcBorders>
            <w:shd w:val="clear" w:color="auto" w:fill="auto"/>
            <w:vAlign w:val="center"/>
            <w:hideMark/>
          </w:tcPr>
          <w:p w14:paraId="6954AE34"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874,3</w:t>
            </w:r>
          </w:p>
        </w:tc>
        <w:tc>
          <w:tcPr>
            <w:tcW w:w="735" w:type="dxa"/>
            <w:tcBorders>
              <w:top w:val="nil"/>
              <w:left w:val="nil"/>
              <w:bottom w:val="nil"/>
              <w:right w:val="single" w:sz="4" w:space="0" w:color="auto"/>
            </w:tcBorders>
            <w:shd w:val="clear" w:color="auto" w:fill="auto"/>
            <w:vAlign w:val="center"/>
            <w:hideMark/>
          </w:tcPr>
          <w:p w14:paraId="70ABF361"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975,2</w:t>
            </w:r>
          </w:p>
        </w:tc>
        <w:tc>
          <w:tcPr>
            <w:tcW w:w="736" w:type="dxa"/>
            <w:tcBorders>
              <w:top w:val="nil"/>
              <w:left w:val="nil"/>
              <w:bottom w:val="nil"/>
              <w:right w:val="nil"/>
            </w:tcBorders>
            <w:shd w:val="clear" w:color="auto" w:fill="auto"/>
            <w:vAlign w:val="center"/>
            <w:hideMark/>
          </w:tcPr>
          <w:p w14:paraId="0FA4BF0F"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1 650,3</w:t>
            </w:r>
          </w:p>
        </w:tc>
        <w:tc>
          <w:tcPr>
            <w:tcW w:w="735" w:type="dxa"/>
            <w:tcBorders>
              <w:top w:val="nil"/>
              <w:left w:val="nil"/>
              <w:bottom w:val="nil"/>
              <w:right w:val="nil"/>
            </w:tcBorders>
            <w:shd w:val="clear" w:color="auto" w:fill="auto"/>
            <w:vAlign w:val="center"/>
            <w:hideMark/>
          </w:tcPr>
          <w:p w14:paraId="3E426ECD"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746,8</w:t>
            </w:r>
          </w:p>
        </w:tc>
        <w:tc>
          <w:tcPr>
            <w:tcW w:w="735" w:type="dxa"/>
            <w:tcBorders>
              <w:top w:val="nil"/>
              <w:left w:val="nil"/>
              <w:bottom w:val="nil"/>
              <w:right w:val="nil"/>
            </w:tcBorders>
            <w:shd w:val="clear" w:color="auto" w:fill="auto"/>
            <w:vAlign w:val="center"/>
            <w:hideMark/>
          </w:tcPr>
          <w:p w14:paraId="15A18BD6"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903,5</w:t>
            </w:r>
          </w:p>
        </w:tc>
        <w:tc>
          <w:tcPr>
            <w:tcW w:w="754" w:type="dxa"/>
            <w:tcBorders>
              <w:top w:val="nil"/>
              <w:left w:val="single" w:sz="4" w:space="0" w:color="auto"/>
              <w:bottom w:val="nil"/>
              <w:right w:val="nil"/>
            </w:tcBorders>
            <w:shd w:val="clear" w:color="auto" w:fill="auto"/>
            <w:vAlign w:val="center"/>
            <w:hideMark/>
          </w:tcPr>
          <w:p w14:paraId="717E50A7"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46,2</w:t>
            </w:r>
          </w:p>
        </w:tc>
        <w:tc>
          <w:tcPr>
            <w:tcW w:w="737" w:type="dxa"/>
            <w:tcBorders>
              <w:top w:val="nil"/>
              <w:left w:val="nil"/>
              <w:bottom w:val="nil"/>
              <w:right w:val="nil"/>
            </w:tcBorders>
            <w:shd w:val="clear" w:color="auto" w:fill="auto"/>
            <w:vAlign w:val="center"/>
            <w:hideMark/>
          </w:tcPr>
          <w:p w14:paraId="15E9148D"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31,3</w:t>
            </w:r>
          </w:p>
        </w:tc>
        <w:tc>
          <w:tcPr>
            <w:tcW w:w="737" w:type="dxa"/>
            <w:tcBorders>
              <w:top w:val="nil"/>
              <w:left w:val="nil"/>
              <w:bottom w:val="nil"/>
              <w:right w:val="single" w:sz="4" w:space="0" w:color="auto"/>
            </w:tcBorders>
            <w:shd w:val="clear" w:color="auto" w:fill="auto"/>
            <w:vAlign w:val="center"/>
            <w:hideMark/>
          </w:tcPr>
          <w:p w14:paraId="29C61EB2"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14,9</w:t>
            </w:r>
          </w:p>
        </w:tc>
        <w:tc>
          <w:tcPr>
            <w:tcW w:w="737" w:type="dxa"/>
            <w:tcBorders>
              <w:top w:val="nil"/>
              <w:left w:val="nil"/>
              <w:bottom w:val="nil"/>
              <w:right w:val="nil"/>
            </w:tcBorders>
            <w:shd w:val="clear" w:color="auto" w:fill="auto"/>
            <w:vAlign w:val="center"/>
            <w:hideMark/>
          </w:tcPr>
          <w:p w14:paraId="3094525B"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153,0</w:t>
            </w:r>
          </w:p>
        </w:tc>
        <w:tc>
          <w:tcPr>
            <w:tcW w:w="737" w:type="dxa"/>
            <w:tcBorders>
              <w:top w:val="nil"/>
              <w:left w:val="nil"/>
              <w:bottom w:val="nil"/>
              <w:right w:val="nil"/>
            </w:tcBorders>
            <w:shd w:val="clear" w:color="auto" w:fill="auto"/>
            <w:vAlign w:val="center"/>
            <w:hideMark/>
          </w:tcPr>
          <w:p w14:paraId="45282FAB"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96,1</w:t>
            </w:r>
          </w:p>
        </w:tc>
        <w:tc>
          <w:tcPr>
            <w:tcW w:w="737" w:type="dxa"/>
            <w:tcBorders>
              <w:top w:val="nil"/>
              <w:left w:val="nil"/>
              <w:bottom w:val="nil"/>
              <w:right w:val="nil"/>
            </w:tcBorders>
            <w:shd w:val="clear" w:color="auto" w:fill="auto"/>
            <w:vAlign w:val="center"/>
            <w:hideMark/>
          </w:tcPr>
          <w:p w14:paraId="31B99F52"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56,8</w:t>
            </w:r>
          </w:p>
        </w:tc>
      </w:tr>
      <w:tr w:rsidR="00873671" w:rsidRPr="00D92E20" w14:paraId="5AC1A4CB" w14:textId="77777777" w:rsidTr="006E58D2">
        <w:trPr>
          <w:trHeight w:val="300"/>
        </w:trPr>
        <w:tc>
          <w:tcPr>
            <w:tcW w:w="736" w:type="dxa"/>
            <w:tcBorders>
              <w:top w:val="nil"/>
              <w:left w:val="nil"/>
              <w:bottom w:val="nil"/>
              <w:right w:val="nil"/>
            </w:tcBorders>
            <w:shd w:val="clear" w:color="auto" w:fill="auto"/>
            <w:vAlign w:val="center"/>
            <w:hideMark/>
          </w:tcPr>
          <w:p w14:paraId="60832F3C"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2019</w:t>
            </w:r>
          </w:p>
        </w:tc>
        <w:tc>
          <w:tcPr>
            <w:tcW w:w="737" w:type="dxa"/>
            <w:tcBorders>
              <w:top w:val="nil"/>
              <w:left w:val="single" w:sz="4" w:space="0" w:color="auto"/>
              <w:bottom w:val="nil"/>
              <w:right w:val="nil"/>
            </w:tcBorders>
            <w:shd w:val="clear" w:color="auto" w:fill="auto"/>
            <w:vAlign w:val="center"/>
            <w:hideMark/>
          </w:tcPr>
          <w:p w14:paraId="23B7EE16"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1 914,8</w:t>
            </w:r>
          </w:p>
        </w:tc>
        <w:tc>
          <w:tcPr>
            <w:tcW w:w="735" w:type="dxa"/>
            <w:tcBorders>
              <w:top w:val="nil"/>
              <w:left w:val="nil"/>
              <w:bottom w:val="nil"/>
              <w:right w:val="nil"/>
            </w:tcBorders>
            <w:shd w:val="clear" w:color="auto" w:fill="auto"/>
            <w:vAlign w:val="center"/>
            <w:hideMark/>
          </w:tcPr>
          <w:p w14:paraId="62357AF0"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902,3</w:t>
            </w:r>
          </w:p>
        </w:tc>
        <w:tc>
          <w:tcPr>
            <w:tcW w:w="735" w:type="dxa"/>
            <w:tcBorders>
              <w:top w:val="nil"/>
              <w:left w:val="nil"/>
              <w:bottom w:val="nil"/>
              <w:right w:val="single" w:sz="4" w:space="0" w:color="auto"/>
            </w:tcBorders>
            <w:shd w:val="clear" w:color="auto" w:fill="auto"/>
            <w:vAlign w:val="center"/>
            <w:hideMark/>
          </w:tcPr>
          <w:p w14:paraId="38BA24D3"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1 012,5</w:t>
            </w:r>
          </w:p>
        </w:tc>
        <w:tc>
          <w:tcPr>
            <w:tcW w:w="736" w:type="dxa"/>
            <w:tcBorders>
              <w:top w:val="nil"/>
              <w:left w:val="nil"/>
              <w:bottom w:val="nil"/>
              <w:right w:val="nil"/>
            </w:tcBorders>
            <w:shd w:val="clear" w:color="auto" w:fill="auto"/>
            <w:vAlign w:val="center"/>
            <w:hideMark/>
          </w:tcPr>
          <w:p w14:paraId="5823921C"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1 711,2</w:t>
            </w:r>
          </w:p>
        </w:tc>
        <w:tc>
          <w:tcPr>
            <w:tcW w:w="735" w:type="dxa"/>
            <w:tcBorders>
              <w:top w:val="nil"/>
              <w:left w:val="nil"/>
              <w:bottom w:val="nil"/>
              <w:right w:val="nil"/>
            </w:tcBorders>
            <w:shd w:val="clear" w:color="auto" w:fill="auto"/>
            <w:vAlign w:val="center"/>
            <w:hideMark/>
          </w:tcPr>
          <w:p w14:paraId="67A925BE"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772,9</w:t>
            </w:r>
          </w:p>
        </w:tc>
        <w:tc>
          <w:tcPr>
            <w:tcW w:w="735" w:type="dxa"/>
            <w:tcBorders>
              <w:top w:val="nil"/>
              <w:left w:val="nil"/>
              <w:bottom w:val="nil"/>
              <w:right w:val="nil"/>
            </w:tcBorders>
            <w:shd w:val="clear" w:color="auto" w:fill="auto"/>
            <w:vAlign w:val="center"/>
            <w:hideMark/>
          </w:tcPr>
          <w:p w14:paraId="5F19E79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938,3</w:t>
            </w:r>
          </w:p>
        </w:tc>
        <w:tc>
          <w:tcPr>
            <w:tcW w:w="754" w:type="dxa"/>
            <w:tcBorders>
              <w:top w:val="nil"/>
              <w:left w:val="single" w:sz="4" w:space="0" w:color="auto"/>
              <w:bottom w:val="nil"/>
              <w:right w:val="nil"/>
            </w:tcBorders>
            <w:shd w:val="clear" w:color="auto" w:fill="auto"/>
            <w:vAlign w:val="center"/>
            <w:hideMark/>
          </w:tcPr>
          <w:p w14:paraId="7FD6E944"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44,6</w:t>
            </w:r>
          </w:p>
        </w:tc>
        <w:tc>
          <w:tcPr>
            <w:tcW w:w="737" w:type="dxa"/>
            <w:tcBorders>
              <w:top w:val="nil"/>
              <w:left w:val="nil"/>
              <w:bottom w:val="nil"/>
              <w:right w:val="nil"/>
            </w:tcBorders>
            <w:shd w:val="clear" w:color="auto" w:fill="auto"/>
            <w:vAlign w:val="center"/>
            <w:hideMark/>
          </w:tcPr>
          <w:p w14:paraId="72BFCC3D"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30,1</w:t>
            </w:r>
          </w:p>
        </w:tc>
        <w:tc>
          <w:tcPr>
            <w:tcW w:w="737" w:type="dxa"/>
            <w:tcBorders>
              <w:top w:val="nil"/>
              <w:left w:val="nil"/>
              <w:bottom w:val="nil"/>
              <w:right w:val="single" w:sz="4" w:space="0" w:color="auto"/>
            </w:tcBorders>
            <w:shd w:val="clear" w:color="auto" w:fill="auto"/>
            <w:vAlign w:val="center"/>
            <w:hideMark/>
          </w:tcPr>
          <w:p w14:paraId="430B27C9"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14,5</w:t>
            </w:r>
          </w:p>
        </w:tc>
        <w:tc>
          <w:tcPr>
            <w:tcW w:w="737" w:type="dxa"/>
            <w:tcBorders>
              <w:top w:val="nil"/>
              <w:left w:val="nil"/>
              <w:bottom w:val="nil"/>
              <w:right w:val="nil"/>
            </w:tcBorders>
            <w:shd w:val="clear" w:color="auto" w:fill="auto"/>
            <w:vAlign w:val="center"/>
            <w:hideMark/>
          </w:tcPr>
          <w:p w14:paraId="1E022BF4"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159,0</w:t>
            </w:r>
          </w:p>
        </w:tc>
        <w:tc>
          <w:tcPr>
            <w:tcW w:w="737" w:type="dxa"/>
            <w:tcBorders>
              <w:top w:val="nil"/>
              <w:left w:val="nil"/>
              <w:bottom w:val="nil"/>
              <w:right w:val="nil"/>
            </w:tcBorders>
            <w:shd w:val="clear" w:color="auto" w:fill="auto"/>
            <w:vAlign w:val="center"/>
            <w:hideMark/>
          </w:tcPr>
          <w:p w14:paraId="545CF2A0"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99,3</w:t>
            </w:r>
          </w:p>
        </w:tc>
        <w:tc>
          <w:tcPr>
            <w:tcW w:w="737" w:type="dxa"/>
            <w:tcBorders>
              <w:top w:val="nil"/>
              <w:left w:val="nil"/>
              <w:bottom w:val="nil"/>
              <w:right w:val="nil"/>
            </w:tcBorders>
            <w:shd w:val="clear" w:color="auto" w:fill="auto"/>
            <w:vAlign w:val="center"/>
            <w:hideMark/>
          </w:tcPr>
          <w:p w14:paraId="0CD4CCCE"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59,7</w:t>
            </w:r>
          </w:p>
        </w:tc>
      </w:tr>
      <w:tr w:rsidR="00873671" w:rsidRPr="00D92E20" w14:paraId="4EB0B40A" w14:textId="77777777" w:rsidTr="006E58D2">
        <w:trPr>
          <w:trHeight w:val="300"/>
        </w:trPr>
        <w:tc>
          <w:tcPr>
            <w:tcW w:w="736" w:type="dxa"/>
            <w:tcBorders>
              <w:top w:val="nil"/>
              <w:left w:val="nil"/>
              <w:bottom w:val="nil"/>
              <w:right w:val="single" w:sz="4" w:space="0" w:color="auto"/>
            </w:tcBorders>
            <w:shd w:val="clear" w:color="auto" w:fill="auto"/>
            <w:vAlign w:val="center"/>
            <w:hideMark/>
          </w:tcPr>
          <w:p w14:paraId="51DBF528"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2020</w:t>
            </w:r>
          </w:p>
        </w:tc>
        <w:tc>
          <w:tcPr>
            <w:tcW w:w="737" w:type="dxa"/>
            <w:tcBorders>
              <w:top w:val="nil"/>
              <w:left w:val="nil"/>
              <w:bottom w:val="nil"/>
              <w:right w:val="nil"/>
            </w:tcBorders>
            <w:shd w:val="clear" w:color="auto" w:fill="auto"/>
            <w:vAlign w:val="center"/>
            <w:hideMark/>
          </w:tcPr>
          <w:p w14:paraId="7E58F192"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2 391,0</w:t>
            </w:r>
          </w:p>
        </w:tc>
        <w:tc>
          <w:tcPr>
            <w:tcW w:w="735" w:type="dxa"/>
            <w:tcBorders>
              <w:top w:val="nil"/>
              <w:left w:val="nil"/>
              <w:bottom w:val="nil"/>
              <w:right w:val="nil"/>
            </w:tcBorders>
            <w:shd w:val="clear" w:color="auto" w:fill="auto"/>
            <w:vAlign w:val="center"/>
            <w:hideMark/>
          </w:tcPr>
          <w:p w14:paraId="3538596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1 141,8</w:t>
            </w:r>
          </w:p>
        </w:tc>
        <w:tc>
          <w:tcPr>
            <w:tcW w:w="735" w:type="dxa"/>
            <w:tcBorders>
              <w:top w:val="nil"/>
              <w:left w:val="nil"/>
              <w:bottom w:val="nil"/>
              <w:right w:val="single" w:sz="4" w:space="0" w:color="auto"/>
            </w:tcBorders>
            <w:shd w:val="clear" w:color="auto" w:fill="auto"/>
            <w:vAlign w:val="center"/>
            <w:hideMark/>
          </w:tcPr>
          <w:p w14:paraId="4DCAF639"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1 249,2</w:t>
            </w:r>
          </w:p>
        </w:tc>
        <w:tc>
          <w:tcPr>
            <w:tcW w:w="736" w:type="dxa"/>
            <w:tcBorders>
              <w:top w:val="nil"/>
              <w:left w:val="nil"/>
              <w:bottom w:val="nil"/>
              <w:right w:val="nil"/>
            </w:tcBorders>
            <w:shd w:val="clear" w:color="auto" w:fill="auto"/>
            <w:vAlign w:val="center"/>
            <w:hideMark/>
          </w:tcPr>
          <w:p w14:paraId="7E54C3D1"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2 202,7</w:t>
            </w:r>
          </w:p>
        </w:tc>
        <w:tc>
          <w:tcPr>
            <w:tcW w:w="735" w:type="dxa"/>
            <w:tcBorders>
              <w:top w:val="nil"/>
              <w:left w:val="nil"/>
              <w:bottom w:val="nil"/>
              <w:right w:val="nil"/>
            </w:tcBorders>
            <w:shd w:val="clear" w:color="auto" w:fill="auto"/>
            <w:vAlign w:val="center"/>
            <w:hideMark/>
          </w:tcPr>
          <w:p w14:paraId="14E92456"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1 022,3</w:t>
            </w:r>
          </w:p>
        </w:tc>
        <w:tc>
          <w:tcPr>
            <w:tcW w:w="735" w:type="dxa"/>
            <w:tcBorders>
              <w:top w:val="nil"/>
              <w:left w:val="nil"/>
              <w:bottom w:val="nil"/>
              <w:right w:val="nil"/>
            </w:tcBorders>
            <w:shd w:val="clear" w:color="auto" w:fill="auto"/>
            <w:vAlign w:val="center"/>
            <w:hideMark/>
          </w:tcPr>
          <w:p w14:paraId="4F23B103"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1 180,4</w:t>
            </w:r>
          </w:p>
        </w:tc>
        <w:tc>
          <w:tcPr>
            <w:tcW w:w="754" w:type="dxa"/>
            <w:tcBorders>
              <w:top w:val="nil"/>
              <w:left w:val="single" w:sz="4" w:space="0" w:color="auto"/>
              <w:bottom w:val="nil"/>
              <w:right w:val="nil"/>
            </w:tcBorders>
            <w:shd w:val="clear" w:color="auto" w:fill="auto"/>
            <w:vAlign w:val="center"/>
            <w:hideMark/>
          </w:tcPr>
          <w:p w14:paraId="274A9BA7"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41,4</w:t>
            </w:r>
          </w:p>
        </w:tc>
        <w:tc>
          <w:tcPr>
            <w:tcW w:w="737" w:type="dxa"/>
            <w:tcBorders>
              <w:top w:val="nil"/>
              <w:left w:val="nil"/>
              <w:bottom w:val="nil"/>
              <w:right w:val="nil"/>
            </w:tcBorders>
            <w:shd w:val="clear" w:color="auto" w:fill="auto"/>
            <w:vAlign w:val="center"/>
            <w:hideMark/>
          </w:tcPr>
          <w:p w14:paraId="74422E28"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28,7</w:t>
            </w:r>
          </w:p>
        </w:tc>
        <w:tc>
          <w:tcPr>
            <w:tcW w:w="737" w:type="dxa"/>
            <w:tcBorders>
              <w:top w:val="nil"/>
              <w:left w:val="nil"/>
              <w:bottom w:val="nil"/>
              <w:right w:val="single" w:sz="4" w:space="0" w:color="auto"/>
            </w:tcBorders>
            <w:shd w:val="clear" w:color="auto" w:fill="auto"/>
            <w:vAlign w:val="center"/>
            <w:hideMark/>
          </w:tcPr>
          <w:p w14:paraId="29F1A23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12,7</w:t>
            </w:r>
          </w:p>
        </w:tc>
        <w:tc>
          <w:tcPr>
            <w:tcW w:w="737" w:type="dxa"/>
            <w:tcBorders>
              <w:top w:val="nil"/>
              <w:left w:val="nil"/>
              <w:bottom w:val="nil"/>
              <w:right w:val="nil"/>
            </w:tcBorders>
            <w:shd w:val="clear" w:color="auto" w:fill="auto"/>
            <w:vAlign w:val="center"/>
            <w:hideMark/>
          </w:tcPr>
          <w:p w14:paraId="35E961E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147,0</w:t>
            </w:r>
          </w:p>
        </w:tc>
        <w:tc>
          <w:tcPr>
            <w:tcW w:w="737" w:type="dxa"/>
            <w:tcBorders>
              <w:top w:val="nil"/>
              <w:left w:val="nil"/>
              <w:bottom w:val="nil"/>
              <w:right w:val="nil"/>
            </w:tcBorders>
            <w:shd w:val="clear" w:color="auto" w:fill="auto"/>
            <w:vAlign w:val="center"/>
            <w:hideMark/>
          </w:tcPr>
          <w:p w14:paraId="555E157D"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90,9</w:t>
            </w:r>
          </w:p>
        </w:tc>
        <w:tc>
          <w:tcPr>
            <w:tcW w:w="737" w:type="dxa"/>
            <w:tcBorders>
              <w:top w:val="nil"/>
              <w:left w:val="nil"/>
              <w:bottom w:val="nil"/>
              <w:right w:val="nil"/>
            </w:tcBorders>
            <w:shd w:val="clear" w:color="auto" w:fill="auto"/>
            <w:vAlign w:val="center"/>
            <w:hideMark/>
          </w:tcPr>
          <w:p w14:paraId="156B4131"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56,1</w:t>
            </w:r>
          </w:p>
        </w:tc>
      </w:tr>
      <w:tr w:rsidR="00873671" w:rsidRPr="00873671" w14:paraId="2E57AEA7" w14:textId="77777777" w:rsidTr="00873671">
        <w:trPr>
          <w:trHeight w:val="300"/>
        </w:trPr>
        <w:tc>
          <w:tcPr>
            <w:tcW w:w="736" w:type="dxa"/>
            <w:tcBorders>
              <w:top w:val="nil"/>
              <w:left w:val="nil"/>
              <w:bottom w:val="nil"/>
              <w:right w:val="single" w:sz="4" w:space="0" w:color="auto"/>
            </w:tcBorders>
            <w:shd w:val="clear" w:color="auto" w:fill="auto"/>
            <w:vAlign w:val="center"/>
          </w:tcPr>
          <w:p w14:paraId="6BF7C929" w14:textId="77777777" w:rsidR="00873671" w:rsidRPr="00873671" w:rsidRDefault="00873671" w:rsidP="00873671">
            <w:pPr>
              <w:spacing w:after="0" w:line="240" w:lineRule="auto"/>
              <w:jc w:val="center"/>
              <w:rPr>
                <w:rFonts w:cs="Arial"/>
                <w:color w:val="000000"/>
                <w:sz w:val="16"/>
                <w:szCs w:val="16"/>
              </w:rPr>
            </w:pPr>
            <w:r w:rsidRPr="00873671">
              <w:rPr>
                <w:sz w:val="16"/>
              </w:rPr>
              <w:t>2021</w:t>
            </w:r>
          </w:p>
        </w:tc>
        <w:tc>
          <w:tcPr>
            <w:tcW w:w="737" w:type="dxa"/>
            <w:tcBorders>
              <w:top w:val="nil"/>
              <w:left w:val="nil"/>
              <w:bottom w:val="nil"/>
              <w:right w:val="nil"/>
            </w:tcBorders>
            <w:shd w:val="clear" w:color="auto" w:fill="auto"/>
            <w:vAlign w:val="center"/>
          </w:tcPr>
          <w:p w14:paraId="1BED0875" w14:textId="77777777" w:rsidR="00873671" w:rsidRPr="00873671" w:rsidRDefault="00873671" w:rsidP="00873671">
            <w:pPr>
              <w:spacing w:after="0" w:line="240" w:lineRule="auto"/>
              <w:jc w:val="right"/>
              <w:rPr>
                <w:rFonts w:cs="Arial"/>
                <w:color w:val="000000"/>
                <w:sz w:val="16"/>
                <w:szCs w:val="16"/>
              </w:rPr>
            </w:pPr>
            <w:r w:rsidRPr="00873671">
              <w:rPr>
                <w:sz w:val="16"/>
              </w:rPr>
              <w:t>2 754,8</w:t>
            </w:r>
          </w:p>
        </w:tc>
        <w:tc>
          <w:tcPr>
            <w:tcW w:w="735" w:type="dxa"/>
            <w:tcBorders>
              <w:top w:val="nil"/>
              <w:left w:val="nil"/>
              <w:bottom w:val="nil"/>
              <w:right w:val="nil"/>
            </w:tcBorders>
            <w:shd w:val="clear" w:color="auto" w:fill="auto"/>
            <w:vAlign w:val="center"/>
          </w:tcPr>
          <w:p w14:paraId="6F6A2CF8" w14:textId="77777777" w:rsidR="00873671" w:rsidRPr="00873671" w:rsidRDefault="00873671" w:rsidP="00873671">
            <w:pPr>
              <w:spacing w:after="0" w:line="240" w:lineRule="auto"/>
              <w:jc w:val="right"/>
              <w:rPr>
                <w:rFonts w:cs="Arial"/>
                <w:color w:val="000000"/>
                <w:sz w:val="16"/>
                <w:szCs w:val="16"/>
              </w:rPr>
            </w:pPr>
            <w:r w:rsidRPr="00873671">
              <w:rPr>
                <w:sz w:val="16"/>
              </w:rPr>
              <w:t>1 342,9</w:t>
            </w:r>
          </w:p>
        </w:tc>
        <w:tc>
          <w:tcPr>
            <w:tcW w:w="735" w:type="dxa"/>
            <w:tcBorders>
              <w:top w:val="nil"/>
              <w:left w:val="nil"/>
              <w:bottom w:val="nil"/>
              <w:right w:val="single" w:sz="4" w:space="0" w:color="auto"/>
            </w:tcBorders>
            <w:shd w:val="clear" w:color="auto" w:fill="auto"/>
            <w:vAlign w:val="center"/>
          </w:tcPr>
          <w:p w14:paraId="574C1656" w14:textId="77777777" w:rsidR="00873671" w:rsidRPr="00873671" w:rsidRDefault="00873671" w:rsidP="00873671">
            <w:pPr>
              <w:spacing w:after="0" w:line="240" w:lineRule="auto"/>
              <w:jc w:val="right"/>
              <w:rPr>
                <w:rFonts w:cs="Arial"/>
                <w:color w:val="000000"/>
                <w:sz w:val="16"/>
                <w:szCs w:val="16"/>
              </w:rPr>
            </w:pPr>
            <w:r w:rsidRPr="00873671">
              <w:rPr>
                <w:sz w:val="16"/>
              </w:rPr>
              <w:t>1 411,9</w:t>
            </w:r>
          </w:p>
        </w:tc>
        <w:tc>
          <w:tcPr>
            <w:tcW w:w="736" w:type="dxa"/>
            <w:tcBorders>
              <w:top w:val="nil"/>
              <w:left w:val="nil"/>
              <w:bottom w:val="nil"/>
              <w:right w:val="nil"/>
            </w:tcBorders>
            <w:shd w:val="clear" w:color="auto" w:fill="auto"/>
            <w:vAlign w:val="center"/>
          </w:tcPr>
          <w:p w14:paraId="1D01BEFB" w14:textId="77777777" w:rsidR="00873671" w:rsidRPr="00873671" w:rsidRDefault="00873671" w:rsidP="00873671">
            <w:pPr>
              <w:spacing w:after="0" w:line="240" w:lineRule="auto"/>
              <w:jc w:val="right"/>
              <w:rPr>
                <w:rFonts w:cs="Arial"/>
                <w:color w:val="000000"/>
                <w:sz w:val="16"/>
                <w:szCs w:val="16"/>
              </w:rPr>
            </w:pPr>
            <w:r w:rsidRPr="00873671">
              <w:rPr>
                <w:sz w:val="16"/>
              </w:rPr>
              <w:t>2 549,7</w:t>
            </w:r>
          </w:p>
        </w:tc>
        <w:tc>
          <w:tcPr>
            <w:tcW w:w="735" w:type="dxa"/>
            <w:tcBorders>
              <w:top w:val="nil"/>
              <w:left w:val="nil"/>
              <w:bottom w:val="nil"/>
              <w:right w:val="nil"/>
            </w:tcBorders>
            <w:shd w:val="clear" w:color="auto" w:fill="auto"/>
            <w:vAlign w:val="center"/>
          </w:tcPr>
          <w:p w14:paraId="67085F93" w14:textId="77777777" w:rsidR="00873671" w:rsidRPr="00873671" w:rsidRDefault="00873671" w:rsidP="00873671">
            <w:pPr>
              <w:spacing w:after="0" w:line="240" w:lineRule="auto"/>
              <w:jc w:val="right"/>
              <w:rPr>
                <w:rFonts w:cs="Arial"/>
                <w:color w:val="000000"/>
                <w:sz w:val="16"/>
                <w:szCs w:val="16"/>
              </w:rPr>
            </w:pPr>
            <w:r w:rsidRPr="00873671">
              <w:rPr>
                <w:sz w:val="16"/>
              </w:rPr>
              <w:t>1 213,5</w:t>
            </w:r>
          </w:p>
        </w:tc>
        <w:tc>
          <w:tcPr>
            <w:tcW w:w="735" w:type="dxa"/>
            <w:tcBorders>
              <w:top w:val="nil"/>
              <w:left w:val="nil"/>
              <w:bottom w:val="nil"/>
              <w:right w:val="nil"/>
            </w:tcBorders>
            <w:shd w:val="clear" w:color="auto" w:fill="auto"/>
            <w:vAlign w:val="center"/>
          </w:tcPr>
          <w:p w14:paraId="474773AD" w14:textId="77777777" w:rsidR="00873671" w:rsidRPr="00873671" w:rsidRDefault="00873671" w:rsidP="00873671">
            <w:pPr>
              <w:spacing w:after="0" w:line="240" w:lineRule="auto"/>
              <w:jc w:val="right"/>
              <w:rPr>
                <w:rFonts w:cs="Arial"/>
                <w:color w:val="000000"/>
                <w:sz w:val="16"/>
                <w:szCs w:val="16"/>
              </w:rPr>
            </w:pPr>
            <w:r w:rsidRPr="00873671">
              <w:rPr>
                <w:sz w:val="16"/>
              </w:rPr>
              <w:t>1 336,3</w:t>
            </w:r>
          </w:p>
        </w:tc>
        <w:tc>
          <w:tcPr>
            <w:tcW w:w="754" w:type="dxa"/>
            <w:tcBorders>
              <w:top w:val="nil"/>
              <w:left w:val="single" w:sz="4" w:space="0" w:color="auto"/>
              <w:bottom w:val="nil"/>
              <w:right w:val="nil"/>
            </w:tcBorders>
            <w:shd w:val="clear" w:color="auto" w:fill="auto"/>
            <w:vAlign w:val="center"/>
          </w:tcPr>
          <w:p w14:paraId="1B2D958F" w14:textId="77777777" w:rsidR="00873671" w:rsidRPr="00873671" w:rsidRDefault="00873671" w:rsidP="00873671">
            <w:pPr>
              <w:spacing w:after="0" w:line="240" w:lineRule="auto"/>
              <w:jc w:val="right"/>
              <w:rPr>
                <w:rFonts w:cs="Arial"/>
                <w:color w:val="000000"/>
                <w:sz w:val="16"/>
                <w:szCs w:val="16"/>
              </w:rPr>
            </w:pPr>
            <w:r w:rsidRPr="00873671">
              <w:rPr>
                <w:sz w:val="16"/>
              </w:rPr>
              <w:t>44,9</w:t>
            </w:r>
          </w:p>
        </w:tc>
        <w:tc>
          <w:tcPr>
            <w:tcW w:w="737" w:type="dxa"/>
            <w:tcBorders>
              <w:top w:val="nil"/>
              <w:left w:val="nil"/>
              <w:bottom w:val="nil"/>
              <w:right w:val="nil"/>
            </w:tcBorders>
            <w:shd w:val="clear" w:color="auto" w:fill="auto"/>
            <w:vAlign w:val="center"/>
          </w:tcPr>
          <w:p w14:paraId="3ECF3D08" w14:textId="77777777" w:rsidR="00873671" w:rsidRPr="00873671" w:rsidRDefault="00873671" w:rsidP="00873671">
            <w:pPr>
              <w:spacing w:after="0" w:line="240" w:lineRule="auto"/>
              <w:jc w:val="right"/>
              <w:rPr>
                <w:rFonts w:cs="Arial"/>
                <w:color w:val="000000"/>
                <w:sz w:val="16"/>
                <w:szCs w:val="16"/>
              </w:rPr>
            </w:pPr>
            <w:r w:rsidRPr="00873671">
              <w:rPr>
                <w:sz w:val="16"/>
              </w:rPr>
              <w:t>31,1</w:t>
            </w:r>
          </w:p>
        </w:tc>
        <w:tc>
          <w:tcPr>
            <w:tcW w:w="737" w:type="dxa"/>
            <w:tcBorders>
              <w:top w:val="nil"/>
              <w:left w:val="nil"/>
              <w:bottom w:val="nil"/>
              <w:right w:val="single" w:sz="4" w:space="0" w:color="auto"/>
            </w:tcBorders>
            <w:shd w:val="clear" w:color="auto" w:fill="auto"/>
            <w:vAlign w:val="center"/>
          </w:tcPr>
          <w:p w14:paraId="2F652A95" w14:textId="77777777" w:rsidR="00873671" w:rsidRPr="00873671" w:rsidRDefault="00873671" w:rsidP="00873671">
            <w:pPr>
              <w:spacing w:after="0" w:line="240" w:lineRule="auto"/>
              <w:jc w:val="right"/>
              <w:rPr>
                <w:rFonts w:cs="Arial"/>
                <w:color w:val="000000"/>
                <w:sz w:val="16"/>
                <w:szCs w:val="16"/>
              </w:rPr>
            </w:pPr>
            <w:r w:rsidRPr="00873671">
              <w:rPr>
                <w:sz w:val="16"/>
              </w:rPr>
              <w:t>13,8</w:t>
            </w:r>
          </w:p>
        </w:tc>
        <w:tc>
          <w:tcPr>
            <w:tcW w:w="737" w:type="dxa"/>
            <w:tcBorders>
              <w:top w:val="nil"/>
              <w:left w:val="nil"/>
              <w:bottom w:val="nil"/>
              <w:right w:val="nil"/>
            </w:tcBorders>
            <w:shd w:val="clear" w:color="auto" w:fill="auto"/>
            <w:vAlign w:val="center"/>
          </w:tcPr>
          <w:p w14:paraId="571F6554" w14:textId="77777777" w:rsidR="00873671" w:rsidRPr="00873671" w:rsidRDefault="00873671" w:rsidP="00873671">
            <w:pPr>
              <w:spacing w:after="0" w:line="240" w:lineRule="auto"/>
              <w:jc w:val="right"/>
              <w:rPr>
                <w:rFonts w:cs="Arial"/>
                <w:color w:val="000000"/>
                <w:sz w:val="16"/>
                <w:szCs w:val="16"/>
              </w:rPr>
            </w:pPr>
            <w:r w:rsidRPr="00873671">
              <w:rPr>
                <w:sz w:val="16"/>
              </w:rPr>
              <w:t>160,1</w:t>
            </w:r>
          </w:p>
        </w:tc>
        <w:tc>
          <w:tcPr>
            <w:tcW w:w="737" w:type="dxa"/>
            <w:tcBorders>
              <w:top w:val="nil"/>
              <w:left w:val="nil"/>
              <w:bottom w:val="nil"/>
              <w:right w:val="nil"/>
            </w:tcBorders>
            <w:shd w:val="clear" w:color="auto" w:fill="auto"/>
            <w:vAlign w:val="center"/>
          </w:tcPr>
          <w:p w14:paraId="6A7F2121" w14:textId="77777777" w:rsidR="00873671" w:rsidRPr="00873671" w:rsidRDefault="00873671" w:rsidP="00873671">
            <w:pPr>
              <w:spacing w:after="0" w:line="240" w:lineRule="auto"/>
              <w:jc w:val="right"/>
              <w:rPr>
                <w:rFonts w:cs="Arial"/>
                <w:color w:val="000000"/>
                <w:sz w:val="16"/>
                <w:szCs w:val="16"/>
              </w:rPr>
            </w:pPr>
            <w:r w:rsidRPr="00873671">
              <w:rPr>
                <w:sz w:val="16"/>
              </w:rPr>
              <w:t>98,3</w:t>
            </w:r>
          </w:p>
        </w:tc>
        <w:tc>
          <w:tcPr>
            <w:tcW w:w="737" w:type="dxa"/>
            <w:tcBorders>
              <w:top w:val="nil"/>
              <w:left w:val="nil"/>
              <w:bottom w:val="nil"/>
              <w:right w:val="nil"/>
            </w:tcBorders>
            <w:shd w:val="clear" w:color="auto" w:fill="auto"/>
            <w:vAlign w:val="center"/>
          </w:tcPr>
          <w:p w14:paraId="2A26D21F" w14:textId="77777777" w:rsidR="00873671" w:rsidRPr="00873671" w:rsidRDefault="00873671" w:rsidP="00873671">
            <w:pPr>
              <w:spacing w:after="0" w:line="240" w:lineRule="auto"/>
              <w:jc w:val="right"/>
              <w:rPr>
                <w:rFonts w:cs="Arial"/>
                <w:color w:val="000000"/>
                <w:sz w:val="16"/>
                <w:szCs w:val="16"/>
              </w:rPr>
            </w:pPr>
            <w:r w:rsidRPr="00873671">
              <w:rPr>
                <w:sz w:val="16"/>
              </w:rPr>
              <w:t>61,8</w:t>
            </w:r>
          </w:p>
        </w:tc>
      </w:tr>
    </w:tbl>
    <w:p w14:paraId="74D409C4" w14:textId="77777777" w:rsidR="00873671" w:rsidRPr="00D92E20" w:rsidRDefault="00873671" w:rsidP="00873671">
      <w:pPr>
        <w:spacing w:before="120" w:after="120" w:line="240" w:lineRule="auto"/>
        <w:jc w:val="both"/>
        <w:rPr>
          <w:rFonts w:cs="Arial"/>
          <w:color w:val="000000"/>
          <w:sz w:val="16"/>
          <w:szCs w:val="16"/>
        </w:rPr>
      </w:pPr>
      <w:r w:rsidRPr="00D92E20">
        <w:rPr>
          <w:rFonts w:cs="Arial"/>
          <w:color w:val="000000"/>
          <w:sz w:val="16"/>
          <w:szCs w:val="16"/>
        </w:rPr>
        <w:t>Zdroj: ČSÚ</w:t>
      </w:r>
    </w:p>
    <w:p w14:paraId="0587A0E3" w14:textId="77777777" w:rsidR="00224FFD" w:rsidRDefault="005A7949" w:rsidP="00224FFD">
      <w:pPr>
        <w:spacing w:before="120" w:after="120"/>
        <w:jc w:val="both"/>
      </w:pPr>
      <w:r w:rsidRPr="005A7949">
        <w:rPr>
          <w:b/>
        </w:rPr>
        <w:t>Ženy</w:t>
      </w:r>
      <w:r>
        <w:t xml:space="preserve"> nastupují </w:t>
      </w:r>
      <w:r w:rsidR="00EE0976" w:rsidRPr="00D92E20">
        <w:t xml:space="preserve">do pracovní neschopnosti </w:t>
      </w:r>
      <w:r w:rsidRPr="005A7949">
        <w:t>častěji</w:t>
      </w:r>
      <w:r>
        <w:t>, v roce 2021 v 51 % případů. N</w:t>
      </w:r>
      <w:r w:rsidR="00EE0976" w:rsidRPr="00D92E20">
        <w:t xml:space="preserve">ahlásily </w:t>
      </w:r>
      <w:r>
        <w:t>1 412</w:t>
      </w:r>
      <w:r w:rsidR="00EE0976" w:rsidRPr="00D92E20">
        <w:t xml:space="preserve"> tis. případů. Počet neschopenek mužů </w:t>
      </w:r>
      <w:r>
        <w:t>byl o 69 tis. nižší.</w:t>
      </w:r>
      <w:r w:rsidR="00EE0976" w:rsidRPr="00D92E20">
        <w:t xml:space="preserve"> Ženy vykazovaly o 1</w:t>
      </w:r>
      <w:r>
        <w:t>23</w:t>
      </w:r>
      <w:r w:rsidR="00EE0976" w:rsidRPr="00D92E20">
        <w:t xml:space="preserve"> tis. případů dočasné pracovní neschopnosti </w:t>
      </w:r>
      <w:r w:rsidR="00EE0976" w:rsidRPr="00D92E20">
        <w:rPr>
          <w:b/>
        </w:rPr>
        <w:t>pro nemoc</w:t>
      </w:r>
      <w:r w:rsidR="00EE0976" w:rsidRPr="00D92E20">
        <w:t xml:space="preserve"> více než muži. </w:t>
      </w:r>
      <w:r w:rsidR="00EE0976" w:rsidRPr="00D92E20">
        <w:rPr>
          <w:bCs/>
        </w:rPr>
        <w:t>Vyšší podíl žen v pracovní neschopnosti pro nemoc může souviset s mateřskou úlohou žen, u nichž mohou být důvodem pracovní neschopnosti také komplikace v těhotenství.</w:t>
      </w:r>
      <w:r w:rsidR="00224FFD">
        <w:rPr>
          <w:bCs/>
        </w:rPr>
        <w:t xml:space="preserve"> </w:t>
      </w:r>
      <w:r w:rsidR="00224FFD">
        <w:t>Srovnáme-li současný stav s obdobím před pandemií (tedy s rokem 2019), počet neschopenek pro nemoc u mužů vzrostl dokonce o 57 % (+441 tis.), zatímco u žen o 42 % (+398 tis.).</w:t>
      </w:r>
    </w:p>
    <w:p w14:paraId="3F33E188" w14:textId="77777777" w:rsidR="00224FFD" w:rsidRPr="00D92E20" w:rsidRDefault="00224FFD" w:rsidP="00224FFD">
      <w:pPr>
        <w:spacing w:before="120" w:after="120"/>
        <w:jc w:val="both"/>
        <w:rPr>
          <w:bCs/>
        </w:rPr>
      </w:pPr>
      <w:r w:rsidRPr="00D92E20">
        <w:rPr>
          <w:bCs/>
        </w:rPr>
        <w:t xml:space="preserve">Z celkového počtu nově hlášených případů PN (pracovní neschopnosti) pro </w:t>
      </w:r>
      <w:r w:rsidRPr="00D92E20">
        <w:rPr>
          <w:b/>
          <w:bCs/>
        </w:rPr>
        <w:t>pracovní úrazy</w:t>
      </w:r>
      <w:r w:rsidRPr="00D92E20">
        <w:rPr>
          <w:bCs/>
        </w:rPr>
        <w:t xml:space="preserve"> připadala v roce 202</w:t>
      </w:r>
      <w:r>
        <w:rPr>
          <w:bCs/>
        </w:rPr>
        <w:t>1</w:t>
      </w:r>
      <w:r w:rsidRPr="00D92E20">
        <w:rPr>
          <w:bCs/>
        </w:rPr>
        <w:t xml:space="preserve"> na ženy méně než třetina z</w:t>
      </w:r>
      <w:r>
        <w:rPr>
          <w:bCs/>
        </w:rPr>
        <w:t> </w:t>
      </w:r>
      <w:r w:rsidRPr="00D92E20">
        <w:rPr>
          <w:bCs/>
        </w:rPr>
        <w:t>nich</w:t>
      </w:r>
      <w:r>
        <w:rPr>
          <w:bCs/>
        </w:rPr>
        <w:t xml:space="preserve"> (31 %)</w:t>
      </w:r>
      <w:r w:rsidRPr="00D92E20">
        <w:rPr>
          <w:bCs/>
        </w:rPr>
        <w:t>. Tato skutečnost je dána i odlišnou odvětvovou strukturou zaměstnanosti žen a mužů. Odvětví, kde převládají muži a vyskytují se zvýšená rizika pracovního úrazu, jsou např. Těžba a dobývání, Zpracovatelský průmysl, Stavebnictví, Doprava a skladování či Zemědělství, lesnictví, rybářství. Naopak odvětvové sekce, kde převažují v zaměstnání ženy a rizika pracovních úrazů bývají méně častá, jsou Peněžnictví a pojišťovnictví, Veřejná správa, Vzdělávání nebo Zdravotní a sociální péče.</w:t>
      </w:r>
    </w:p>
    <w:p w14:paraId="445FF9AB" w14:textId="77777777" w:rsidR="00361897" w:rsidRDefault="00361897" w:rsidP="00361897">
      <w:pPr>
        <w:spacing w:before="120" w:after="120"/>
        <w:jc w:val="both"/>
        <w:rPr>
          <w:bCs/>
        </w:rPr>
      </w:pPr>
      <w:r>
        <w:rPr>
          <w:bCs/>
        </w:rPr>
        <w:t>Až do roku 2020 byl</w:t>
      </w:r>
      <w:r w:rsidRPr="00D92E20">
        <w:rPr>
          <w:bCs/>
        </w:rPr>
        <w:t xml:space="preserve"> </w:t>
      </w:r>
      <w:r>
        <w:rPr>
          <w:bCs/>
        </w:rPr>
        <w:t xml:space="preserve">u </w:t>
      </w:r>
      <w:r w:rsidRPr="00D92E20">
        <w:rPr>
          <w:bCs/>
        </w:rPr>
        <w:t xml:space="preserve">pracovních neschopností </w:t>
      </w:r>
      <w:r w:rsidRPr="009F305A">
        <w:rPr>
          <w:b/>
          <w:bCs/>
        </w:rPr>
        <w:t>z důvodu nemoci</w:t>
      </w:r>
      <w:r w:rsidRPr="00D92E20">
        <w:rPr>
          <w:bCs/>
        </w:rPr>
        <w:t xml:space="preserve"> podíl </w:t>
      </w:r>
      <w:r w:rsidRPr="00D92E20">
        <w:rPr>
          <w:b/>
          <w:bCs/>
        </w:rPr>
        <w:t xml:space="preserve">podle pohlaví </w:t>
      </w:r>
      <w:r w:rsidRPr="00D92E20">
        <w:rPr>
          <w:bCs/>
        </w:rPr>
        <w:t>dlouhodobě relativně konstantní</w:t>
      </w:r>
      <w:r>
        <w:rPr>
          <w:bCs/>
        </w:rPr>
        <w:t>. Neschopenky mužů činily maximálně 46 %. V roce 2021 se podíl zvýšil na 48 %. U</w:t>
      </w:r>
      <w:r w:rsidRPr="00D92E20">
        <w:rPr>
          <w:bCs/>
        </w:rPr>
        <w:t xml:space="preserve"> pracovních neschopností zapříčiněných úrazem podíl žen v čase roste. Toto je zřejmé zejména u jiných než pracovních úrazů, kdy v</w:t>
      </w:r>
      <w:r>
        <w:rPr>
          <w:bCs/>
        </w:rPr>
        <w:t> roce 2011</w:t>
      </w:r>
      <w:r w:rsidRPr="00D92E20">
        <w:rPr>
          <w:bCs/>
        </w:rPr>
        <w:t xml:space="preserve"> ženy nahlásily </w:t>
      </w:r>
      <w:r>
        <w:rPr>
          <w:bCs/>
        </w:rPr>
        <w:t>25</w:t>
      </w:r>
      <w:r w:rsidRPr="00D92E20">
        <w:rPr>
          <w:bCs/>
        </w:rPr>
        <w:t xml:space="preserve"> tis. případů, </w:t>
      </w:r>
      <w:r>
        <w:rPr>
          <w:bCs/>
        </w:rPr>
        <w:t>kdežto v roce 2021</w:t>
      </w:r>
      <w:r w:rsidRPr="00D92E20">
        <w:rPr>
          <w:bCs/>
        </w:rPr>
        <w:t xml:space="preserve"> to byl</w:t>
      </w:r>
      <w:r>
        <w:rPr>
          <w:bCs/>
        </w:rPr>
        <w:t>o téměř 62 tis. úrazů.</w:t>
      </w:r>
      <w:r w:rsidRPr="00D92E20">
        <w:rPr>
          <w:bCs/>
        </w:rPr>
        <w:t xml:space="preserve"> </w:t>
      </w:r>
      <w:r>
        <w:rPr>
          <w:bCs/>
        </w:rPr>
        <w:t>Absolutní n</w:t>
      </w:r>
      <w:r w:rsidRPr="00D92E20">
        <w:rPr>
          <w:bCs/>
        </w:rPr>
        <w:t xml:space="preserve">árůst je však patrný i u mužů, počet nově hlášených případů pracovní neschopnosti z důvodu </w:t>
      </w:r>
      <w:r w:rsidRPr="00D92E20">
        <w:rPr>
          <w:b/>
          <w:bCs/>
        </w:rPr>
        <w:t>nepracovních (ostatních) úrazů</w:t>
      </w:r>
      <w:r w:rsidRPr="00D92E20">
        <w:rPr>
          <w:bCs/>
        </w:rPr>
        <w:t xml:space="preserve"> v</w:t>
      </w:r>
      <w:r>
        <w:rPr>
          <w:bCs/>
        </w:rPr>
        <w:t> roce 2011</w:t>
      </w:r>
      <w:r w:rsidRPr="00D92E20">
        <w:rPr>
          <w:bCs/>
        </w:rPr>
        <w:t xml:space="preserve"> činil </w:t>
      </w:r>
      <w:r>
        <w:rPr>
          <w:bCs/>
        </w:rPr>
        <w:t xml:space="preserve">52 </w:t>
      </w:r>
      <w:r w:rsidRPr="00D92E20">
        <w:rPr>
          <w:bCs/>
        </w:rPr>
        <w:t>tis.</w:t>
      </w:r>
      <w:r>
        <w:rPr>
          <w:bCs/>
        </w:rPr>
        <w:t xml:space="preserve"> a o 10 let později se blížil 100 tis.</w:t>
      </w:r>
    </w:p>
    <w:p w14:paraId="30F9F81A" w14:textId="77777777" w:rsidR="00361897" w:rsidRDefault="00361897" w:rsidP="00361897">
      <w:pPr>
        <w:spacing w:before="120" w:after="120"/>
        <w:jc w:val="both"/>
        <w:rPr>
          <w:bCs/>
        </w:rPr>
      </w:pPr>
      <w:r w:rsidRPr="00D92E20">
        <w:rPr>
          <w:rFonts w:cs="Arial"/>
        </w:rPr>
        <w:t xml:space="preserve">Meziroční nárůst pracovní neschopnosti </w:t>
      </w:r>
      <w:r w:rsidRPr="00D92E20">
        <w:rPr>
          <w:rFonts w:cs="Arial"/>
          <w:b/>
        </w:rPr>
        <w:t>mužů</w:t>
      </w:r>
      <w:r w:rsidRPr="00D92E20">
        <w:rPr>
          <w:rFonts w:cs="Arial"/>
        </w:rPr>
        <w:t xml:space="preserve"> byl vyšší než u žen. Absolutní počet nově hlášených případů pracovní neschopnosti mužů se meziročně zvýšil z</w:t>
      </w:r>
      <w:r>
        <w:rPr>
          <w:rFonts w:cs="Arial"/>
        </w:rPr>
        <w:t> 1 142</w:t>
      </w:r>
      <w:r w:rsidRPr="00D92E20">
        <w:rPr>
          <w:rFonts w:cs="Arial"/>
        </w:rPr>
        <w:t xml:space="preserve"> tis. případů (u žen z</w:t>
      </w:r>
      <w:r>
        <w:rPr>
          <w:rFonts w:cs="Arial"/>
        </w:rPr>
        <w:t> 1 249</w:t>
      </w:r>
      <w:r w:rsidRPr="00D92E20">
        <w:rPr>
          <w:rFonts w:cs="Arial"/>
        </w:rPr>
        <w:t xml:space="preserve"> tis. případů) v</w:t>
      </w:r>
      <w:r>
        <w:rPr>
          <w:rFonts w:cs="Arial"/>
        </w:rPr>
        <w:t> roce 2020</w:t>
      </w:r>
      <w:r w:rsidRPr="00D92E20">
        <w:rPr>
          <w:rFonts w:cs="Arial"/>
        </w:rPr>
        <w:t xml:space="preserve"> na </w:t>
      </w:r>
      <w:r>
        <w:rPr>
          <w:rFonts w:cs="Arial"/>
        </w:rPr>
        <w:t>1 343</w:t>
      </w:r>
      <w:r w:rsidRPr="00D92E20">
        <w:rPr>
          <w:rFonts w:cs="Arial"/>
        </w:rPr>
        <w:t xml:space="preserve"> tis. případů (u žen na </w:t>
      </w:r>
      <w:r>
        <w:rPr>
          <w:rFonts w:cs="Arial"/>
        </w:rPr>
        <w:t>1 412</w:t>
      </w:r>
      <w:r w:rsidRPr="00D92E20">
        <w:rPr>
          <w:rFonts w:cs="Arial"/>
        </w:rPr>
        <w:t xml:space="preserve"> tis. případů) v</w:t>
      </w:r>
      <w:r>
        <w:rPr>
          <w:rFonts w:cs="Arial"/>
        </w:rPr>
        <w:t> roce 2021.</w:t>
      </w:r>
      <w:r w:rsidRPr="00D92E20">
        <w:rPr>
          <w:rFonts w:cs="Arial"/>
        </w:rPr>
        <w:t xml:space="preserve"> </w:t>
      </w:r>
      <w:r>
        <w:rPr>
          <w:rFonts w:cs="Arial"/>
        </w:rPr>
        <w:t>V</w:t>
      </w:r>
      <w:r w:rsidRPr="00D92E20">
        <w:rPr>
          <w:rFonts w:cs="Arial"/>
        </w:rPr>
        <w:t xml:space="preserve">zrostl </w:t>
      </w:r>
      <w:r>
        <w:rPr>
          <w:rFonts w:cs="Arial"/>
        </w:rPr>
        <w:t xml:space="preserve">tak </w:t>
      </w:r>
      <w:r w:rsidRPr="00D92E20">
        <w:rPr>
          <w:rFonts w:cs="Arial"/>
        </w:rPr>
        <w:t xml:space="preserve">o </w:t>
      </w:r>
      <w:r>
        <w:rPr>
          <w:rFonts w:cs="Arial"/>
        </w:rPr>
        <w:t xml:space="preserve">18 </w:t>
      </w:r>
      <w:r w:rsidRPr="00D92E20">
        <w:rPr>
          <w:rFonts w:cs="Arial"/>
          <w:lang w:val="en-US"/>
        </w:rPr>
        <w:t xml:space="preserve">% </w:t>
      </w:r>
      <w:r w:rsidRPr="00D92E20">
        <w:rPr>
          <w:rFonts w:cs="Arial"/>
        </w:rPr>
        <w:t>(o </w:t>
      </w:r>
      <w:r>
        <w:rPr>
          <w:rFonts w:cs="Arial"/>
        </w:rPr>
        <w:t>13</w:t>
      </w:r>
      <w:r w:rsidRPr="00D92E20">
        <w:rPr>
          <w:rFonts w:cs="Arial"/>
        </w:rPr>
        <w:t xml:space="preserve"> </w:t>
      </w:r>
      <w:r w:rsidRPr="00D92E20">
        <w:rPr>
          <w:rFonts w:cs="Arial"/>
          <w:lang w:val="en-US"/>
        </w:rPr>
        <w:t>%</w:t>
      </w:r>
      <w:r w:rsidRPr="00D92E20">
        <w:rPr>
          <w:rFonts w:cs="Arial"/>
        </w:rPr>
        <w:t xml:space="preserve"> u žen). Co se týče </w:t>
      </w:r>
      <w:r w:rsidRPr="00D92E20">
        <w:rPr>
          <w:rFonts w:cs="Arial"/>
        </w:rPr>
        <w:lastRenderedPageBreak/>
        <w:t xml:space="preserve">neschopností </w:t>
      </w:r>
      <w:r w:rsidRPr="009A1D80">
        <w:rPr>
          <w:rFonts w:cs="Arial"/>
          <w:b/>
        </w:rPr>
        <w:t>pro nemoc</w:t>
      </w:r>
      <w:r w:rsidRPr="00D92E20">
        <w:rPr>
          <w:rFonts w:cs="Arial"/>
        </w:rPr>
        <w:t>, v</w:t>
      </w:r>
      <w:r w:rsidRPr="00D92E20">
        <w:rPr>
          <w:bCs/>
        </w:rPr>
        <w:t xml:space="preserve"> případě mužů </w:t>
      </w:r>
      <w:r>
        <w:rPr>
          <w:bCs/>
        </w:rPr>
        <w:t xml:space="preserve">jejich počet </w:t>
      </w:r>
      <w:r w:rsidRPr="00D92E20">
        <w:rPr>
          <w:bCs/>
        </w:rPr>
        <w:t xml:space="preserve">meziročně </w:t>
      </w:r>
      <w:r>
        <w:rPr>
          <w:bCs/>
        </w:rPr>
        <w:t xml:space="preserve">vzrostl téměř </w:t>
      </w:r>
      <w:r w:rsidRPr="00D92E20">
        <w:rPr>
          <w:bCs/>
        </w:rPr>
        <w:t>o</w:t>
      </w:r>
      <w:r>
        <w:rPr>
          <w:bCs/>
        </w:rPr>
        <w:t xml:space="preserve"> pětinu</w:t>
      </w:r>
      <w:r w:rsidRPr="00D92E20">
        <w:rPr>
          <w:bCs/>
        </w:rPr>
        <w:t xml:space="preserve"> (</w:t>
      </w:r>
      <w:r>
        <w:rPr>
          <w:bCs/>
        </w:rPr>
        <w:t>191</w:t>
      </w:r>
      <w:r w:rsidRPr="00D92E20">
        <w:rPr>
          <w:bCs/>
        </w:rPr>
        <w:t xml:space="preserve"> tis.), u žen to bylo o </w:t>
      </w:r>
      <w:r>
        <w:rPr>
          <w:bCs/>
        </w:rPr>
        <w:t>13 % (156 tis.)</w:t>
      </w:r>
      <w:r w:rsidRPr="00D92E20">
        <w:rPr>
          <w:bCs/>
        </w:rPr>
        <w:t>.</w:t>
      </w:r>
    </w:p>
    <w:p w14:paraId="00AFD544" w14:textId="77777777" w:rsidR="00361897" w:rsidRDefault="00361897" w:rsidP="00361897">
      <w:pPr>
        <w:spacing w:before="120" w:after="120"/>
        <w:jc w:val="both"/>
        <w:rPr>
          <w:rFonts w:cs="Arial"/>
          <w:lang w:val="en-US"/>
        </w:rPr>
      </w:pPr>
      <w:r w:rsidRPr="00D92E20">
        <w:rPr>
          <w:rFonts w:cs="Arial"/>
        </w:rPr>
        <w:t xml:space="preserve">Z hlediska příčin se </w:t>
      </w:r>
      <w:r>
        <w:rPr>
          <w:rFonts w:cs="Arial"/>
        </w:rPr>
        <w:t>1 214</w:t>
      </w:r>
      <w:r w:rsidRPr="00D92E20">
        <w:rPr>
          <w:rFonts w:cs="Arial"/>
        </w:rPr>
        <w:t xml:space="preserve"> tis. (</w:t>
      </w:r>
      <w:r w:rsidRPr="00361897">
        <w:rPr>
          <w:rFonts w:cs="Arial"/>
        </w:rPr>
        <w:t>90</w:t>
      </w:r>
      <w:r w:rsidRPr="00D92E20">
        <w:rPr>
          <w:rFonts w:cs="Arial"/>
        </w:rPr>
        <w:t xml:space="preserve"> %) nově hlášených případů dočasné pracovní neschopnosti mužů týkalo nemoci, </w:t>
      </w:r>
      <w:r>
        <w:rPr>
          <w:rFonts w:cs="Arial"/>
        </w:rPr>
        <w:t>31</w:t>
      </w:r>
      <w:r w:rsidRPr="00D92E20">
        <w:rPr>
          <w:rFonts w:cs="Arial"/>
        </w:rPr>
        <w:t> tis. </w:t>
      </w:r>
      <w:r w:rsidRPr="004E51A9">
        <w:rPr>
          <w:rFonts w:cs="Arial"/>
        </w:rPr>
        <w:t>(2</w:t>
      </w:r>
      <w:r w:rsidRPr="00D92E20">
        <w:rPr>
          <w:rFonts w:cs="Arial"/>
        </w:rPr>
        <w:t xml:space="preserve"> %) pracovních úrazů a </w:t>
      </w:r>
      <w:r>
        <w:rPr>
          <w:rFonts w:cs="Arial"/>
        </w:rPr>
        <w:t>98</w:t>
      </w:r>
      <w:r w:rsidRPr="00D92E20">
        <w:rPr>
          <w:rFonts w:cs="Arial"/>
        </w:rPr>
        <w:t> tis. (</w:t>
      </w:r>
      <w:r w:rsidRPr="004E51A9">
        <w:rPr>
          <w:rFonts w:cs="Arial"/>
        </w:rPr>
        <w:t>7</w:t>
      </w:r>
      <w:r w:rsidRPr="00D92E20">
        <w:rPr>
          <w:rFonts w:cs="Arial"/>
        </w:rPr>
        <w:t xml:space="preserve"> %) ostatních úrazů. </w:t>
      </w:r>
      <w:r w:rsidRPr="00D92E20">
        <w:rPr>
          <w:rFonts w:cs="Arial"/>
          <w:b/>
        </w:rPr>
        <w:t>Ženy</w:t>
      </w:r>
      <w:r w:rsidRPr="00D92E20">
        <w:rPr>
          <w:rFonts w:cs="Arial"/>
        </w:rPr>
        <w:t xml:space="preserve"> byly v pracovní neschopnosti z důvodu nemoci v</w:t>
      </w:r>
      <w:r>
        <w:rPr>
          <w:rFonts w:cs="Arial"/>
        </w:rPr>
        <w:t> 1 336</w:t>
      </w:r>
      <w:r w:rsidRPr="00D92E20">
        <w:rPr>
          <w:rFonts w:cs="Arial"/>
        </w:rPr>
        <w:t xml:space="preserve"> tis. případech (</w:t>
      </w:r>
      <w:r w:rsidRPr="004E51A9">
        <w:rPr>
          <w:rFonts w:cs="Arial"/>
        </w:rPr>
        <w:t>95</w:t>
      </w:r>
      <w:r w:rsidRPr="00D92E20">
        <w:rPr>
          <w:rFonts w:cs="Arial"/>
        </w:rPr>
        <w:t xml:space="preserve"> %), kvůli pracovnímu úrazu v</w:t>
      </w:r>
      <w:r>
        <w:rPr>
          <w:rFonts w:cs="Arial"/>
        </w:rPr>
        <w:t xml:space="preserve">e 14 </w:t>
      </w:r>
      <w:r w:rsidRPr="00D92E20">
        <w:rPr>
          <w:rFonts w:cs="Arial"/>
        </w:rPr>
        <w:t>tis. případech (</w:t>
      </w:r>
      <w:r w:rsidRPr="004E51A9">
        <w:rPr>
          <w:rFonts w:cs="Arial"/>
        </w:rPr>
        <w:t>1</w:t>
      </w:r>
      <w:r w:rsidRPr="00D92E20">
        <w:rPr>
          <w:rFonts w:cs="Arial"/>
        </w:rPr>
        <w:t xml:space="preserve"> %) a z důvodu ostatních úrazů v </w:t>
      </w:r>
      <w:r>
        <w:rPr>
          <w:rFonts w:cs="Arial"/>
        </w:rPr>
        <w:t>62</w:t>
      </w:r>
      <w:r w:rsidRPr="00D92E20">
        <w:rPr>
          <w:rFonts w:cs="Arial"/>
        </w:rPr>
        <w:t xml:space="preserve"> tis. případech (</w:t>
      </w:r>
      <w:r w:rsidRPr="004E51A9">
        <w:rPr>
          <w:rFonts w:cs="Arial"/>
        </w:rPr>
        <w:t>4</w:t>
      </w:r>
      <w:r w:rsidRPr="00D92E20">
        <w:rPr>
          <w:rFonts w:cs="Arial"/>
        </w:rPr>
        <w:t xml:space="preserve"> %)</w:t>
      </w:r>
      <w:r w:rsidRPr="00D92E20">
        <w:rPr>
          <w:rFonts w:cs="Arial"/>
          <w:lang w:val="en-US"/>
        </w:rPr>
        <w:t>.</w:t>
      </w:r>
    </w:p>
    <w:p w14:paraId="749540AE" w14:textId="77777777" w:rsidR="00C60872" w:rsidRPr="00D92E20" w:rsidRDefault="00C60872" w:rsidP="00C60872">
      <w:pPr>
        <w:spacing w:before="120" w:after="120"/>
        <w:jc w:val="both"/>
        <w:rPr>
          <w:noProof/>
        </w:rPr>
      </w:pPr>
      <w:r w:rsidRPr="00D92E20">
        <w:rPr>
          <w:noProof/>
        </w:rPr>
        <w:t xml:space="preserve">Za </w:t>
      </w:r>
      <w:r w:rsidRPr="00D92E20">
        <w:rPr>
          <w:b/>
          <w:noProof/>
        </w:rPr>
        <w:t>posledních pět let</w:t>
      </w:r>
      <w:r w:rsidRPr="00D92E20">
        <w:rPr>
          <w:noProof/>
        </w:rPr>
        <w:t xml:space="preserve"> počet nově hlášených případů pracovní neschopnosti výrazně vzrostl –</w:t>
      </w:r>
      <w:r>
        <w:rPr>
          <w:noProof/>
        </w:rPr>
        <w:t> </w:t>
      </w:r>
      <w:r w:rsidRPr="00D92E20">
        <w:rPr>
          <w:noProof/>
        </w:rPr>
        <w:t>o </w:t>
      </w:r>
      <w:r>
        <w:rPr>
          <w:noProof/>
        </w:rPr>
        <w:t>1 122</w:t>
      </w:r>
      <w:r w:rsidRPr="00D92E20">
        <w:rPr>
          <w:noProof/>
        </w:rPr>
        <w:t xml:space="preserve"> tis. případů (o </w:t>
      </w:r>
      <w:r>
        <w:rPr>
          <w:noProof/>
        </w:rPr>
        <w:t>69</w:t>
      </w:r>
      <w:r w:rsidRPr="00D92E20">
        <w:rPr>
          <w:noProof/>
        </w:rPr>
        <w:t xml:space="preserve"> %) z 1 </w:t>
      </w:r>
      <w:r>
        <w:rPr>
          <w:noProof/>
        </w:rPr>
        <w:t>633</w:t>
      </w:r>
      <w:r w:rsidRPr="00D92E20">
        <w:rPr>
          <w:noProof/>
        </w:rPr>
        <w:t xml:space="preserve"> tis. případů v roce 201</w:t>
      </w:r>
      <w:r>
        <w:rPr>
          <w:noProof/>
        </w:rPr>
        <w:t>6</w:t>
      </w:r>
      <w:r w:rsidRPr="00D92E20">
        <w:rPr>
          <w:noProof/>
        </w:rPr>
        <w:t xml:space="preserve"> na </w:t>
      </w:r>
      <w:r>
        <w:rPr>
          <w:noProof/>
        </w:rPr>
        <w:t>2 75</w:t>
      </w:r>
      <w:r w:rsidR="0004776E">
        <w:rPr>
          <w:noProof/>
        </w:rPr>
        <w:t>5</w:t>
      </w:r>
      <w:r>
        <w:rPr>
          <w:noProof/>
        </w:rPr>
        <w:t xml:space="preserve"> tis. v roce 2021</w:t>
      </w:r>
      <w:r w:rsidRPr="00D92E20">
        <w:rPr>
          <w:noProof/>
        </w:rPr>
        <w:t>. Na zvýšení se větší měrou podílely ženy (+</w:t>
      </w:r>
      <w:r>
        <w:rPr>
          <w:noProof/>
        </w:rPr>
        <w:t>563</w:t>
      </w:r>
      <w:r w:rsidRPr="00D92E20">
        <w:rPr>
          <w:noProof/>
        </w:rPr>
        <w:t xml:space="preserve"> tis. případů). Za nárůstem stály především výše zmíněné neschopenky z důvodu nemoci. </w:t>
      </w:r>
    </w:p>
    <w:p w14:paraId="1CDF4F25" w14:textId="3F98FAF0" w:rsidR="00C60872" w:rsidRPr="00D92E20" w:rsidRDefault="000731F7" w:rsidP="00C60872">
      <w:pPr>
        <w:spacing w:before="120" w:after="120"/>
        <w:jc w:val="both"/>
        <w:rPr>
          <w:rFonts w:cs="Arial"/>
          <w:b/>
          <w:lang w:val="en-US"/>
        </w:rPr>
      </w:pPr>
      <w:r>
        <w:rPr>
          <w:noProof/>
        </w:rPr>
        <w:drawing>
          <wp:anchor distT="0" distB="0" distL="114300" distR="114300" simplePos="0" relativeHeight="251664896" behindDoc="1" locked="0" layoutInCell="1" allowOverlap="1" wp14:anchorId="6E4BD9F4" wp14:editId="35924EA7">
            <wp:simplePos x="0" y="0"/>
            <wp:positionH relativeFrom="column">
              <wp:posOffset>5080</wp:posOffset>
            </wp:positionH>
            <wp:positionV relativeFrom="paragraph">
              <wp:posOffset>220345</wp:posOffset>
            </wp:positionV>
            <wp:extent cx="3018790" cy="2061210"/>
            <wp:effectExtent l="0" t="0" r="10160" b="15240"/>
            <wp:wrapTight wrapText="bothSides">
              <wp:wrapPolygon edited="0">
                <wp:start x="0" y="0"/>
                <wp:lineTo x="0" y="21560"/>
                <wp:lineTo x="21536" y="21560"/>
                <wp:lineTo x="21536" y="0"/>
                <wp:lineTo x="0" y="0"/>
              </wp:wrapPolygon>
            </wp:wrapTight>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532F10CE" wp14:editId="23EC1FEA">
            <wp:simplePos x="0" y="0"/>
            <wp:positionH relativeFrom="column">
              <wp:posOffset>3014345</wp:posOffset>
            </wp:positionH>
            <wp:positionV relativeFrom="paragraph">
              <wp:posOffset>220345</wp:posOffset>
            </wp:positionV>
            <wp:extent cx="3070860" cy="2061210"/>
            <wp:effectExtent l="0" t="0" r="15240" b="15240"/>
            <wp:wrapTight wrapText="bothSides">
              <wp:wrapPolygon edited="0">
                <wp:start x="0" y="0"/>
                <wp:lineTo x="0" y="21560"/>
                <wp:lineTo x="21573" y="21560"/>
                <wp:lineTo x="21573" y="0"/>
                <wp:lineTo x="0" y="0"/>
              </wp:wrapPolygon>
            </wp:wrapTight>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C60872" w:rsidRPr="00D92E20">
        <w:rPr>
          <w:rFonts w:cs="Arial"/>
          <w:b/>
          <w:lang w:val="en-US"/>
        </w:rPr>
        <w:t xml:space="preserve">Graf 2.1: </w:t>
      </w:r>
      <w:r w:rsidR="00C60872" w:rsidRPr="00D92E20">
        <w:rPr>
          <w:rFonts w:cs="Arial"/>
          <w:b/>
        </w:rPr>
        <w:t xml:space="preserve">Nově hlášené případy dočasné pracovní neschopnosti podle příčiny a pohlaví, </w:t>
      </w:r>
      <w:r w:rsidR="00C60872">
        <w:rPr>
          <w:rFonts w:cs="Arial"/>
          <w:b/>
          <w:lang w:val="en-US"/>
        </w:rPr>
        <w:t>2021</w:t>
      </w:r>
    </w:p>
    <w:p w14:paraId="3DEC0E17" w14:textId="77777777" w:rsidR="00B47414" w:rsidRPr="00D92E20" w:rsidRDefault="00B47414" w:rsidP="00B47414">
      <w:pPr>
        <w:spacing w:before="120" w:after="120" w:line="240" w:lineRule="auto"/>
        <w:jc w:val="both"/>
        <w:rPr>
          <w:rFonts w:cs="Arial"/>
          <w:color w:val="000000"/>
          <w:sz w:val="16"/>
          <w:szCs w:val="16"/>
        </w:rPr>
      </w:pPr>
      <w:r w:rsidRPr="00D92E20">
        <w:rPr>
          <w:rFonts w:cs="Arial"/>
          <w:color w:val="000000"/>
          <w:sz w:val="16"/>
          <w:szCs w:val="16"/>
        </w:rPr>
        <w:t>Zdroj: ČSÚ</w:t>
      </w:r>
    </w:p>
    <w:p w14:paraId="23E5656B" w14:textId="77777777" w:rsidR="00B47414" w:rsidRDefault="00B47414" w:rsidP="00B47414">
      <w:pPr>
        <w:pStyle w:val="Seznam"/>
        <w:spacing w:before="120" w:after="120"/>
        <w:contextualSpacing w:val="0"/>
        <w:jc w:val="both"/>
      </w:pPr>
      <w:r w:rsidRPr="00D92E20">
        <w:t xml:space="preserve">Dopad legislativních změn na výskyt pracovní neschopnosti je zřejmý zejména na vývoji případů pracovní neschopnosti </w:t>
      </w:r>
      <w:r w:rsidRPr="00D92E20">
        <w:rPr>
          <w:b/>
        </w:rPr>
        <w:t>pro nemoc</w:t>
      </w:r>
      <w:r w:rsidRPr="00D92E20">
        <w:t>. Počty případů pracovní neschopnosti pro úrazy jsou těmito změnami ovlivněny méně. Legislativní úpravy ve vyplácení dávek nemocenského se nejvíce projevují v četnosti případů méně závažných a krátkodobých pracovních neschopností, např. u nemocí dýchacích cest (běžná nachlazení, záněty horních cest dýchacích apod.).</w:t>
      </w:r>
    </w:p>
    <w:p w14:paraId="151FE840" w14:textId="411D70E1" w:rsidR="00F130FF" w:rsidRDefault="00B47414" w:rsidP="00B47414">
      <w:pPr>
        <w:pStyle w:val="Seznam"/>
        <w:spacing w:before="120" w:after="120"/>
        <w:contextualSpacing w:val="0"/>
        <w:jc w:val="both"/>
      </w:pPr>
      <w:r w:rsidRPr="00D92E20">
        <w:t xml:space="preserve">Do roku 2018 platil trend, že </w:t>
      </w:r>
      <w:r w:rsidRPr="00D92E20">
        <w:rPr>
          <w:b/>
        </w:rPr>
        <w:t>v prvním půlroce</w:t>
      </w:r>
      <w:r w:rsidRPr="00D92E20">
        <w:t xml:space="preserve"> je hlášeno značně více případů pracovní neschopnosti než v pololetí druhém. Možným vysvětlením mohou být jarní chřipkové epidemie. Naopak poklesu nahrávají prázdniny, zejména letní, ale také podzimní a vánoční. Pokud se nejedná o onemocnění závažnějšího charakteru, může se pojištěnec během dovolené sám zotavit bez nutnosti návštěvy lékaře a vystavení pracovní neschopnosti. Jak již bylo zmíněno výše, jedním z faktorů, které zapříčinily meziroční nárůst počtu nových případů pracovní neschopnosti </w:t>
      </w:r>
      <w:r w:rsidRPr="00D92E20">
        <w:rPr>
          <w:b/>
        </w:rPr>
        <w:t>způsobených nemocí</w:t>
      </w:r>
      <w:r w:rsidRPr="00D92E20">
        <w:t xml:space="preserve"> oproti 1. pol. 2018, je patrně </w:t>
      </w:r>
      <w:r w:rsidRPr="00D92E20">
        <w:rPr>
          <w:b/>
        </w:rPr>
        <w:t>zrušení karenční doby od 1. července 2019</w:t>
      </w:r>
      <w:r w:rsidRPr="00D92E20">
        <w:t>, kdy je náhrada mzdy od zaměstnavatele zaměstnanci vyplácena již od prvního dne, a nikoliv až od čtvrtého. Rozdíl mezi prvním a druhým pololetím v roce 2019 již tedy není tak markantní. V roce 2020 tento efekt posílila</w:t>
      </w:r>
      <w:r w:rsidRPr="00D92E20">
        <w:rPr>
          <w:b/>
        </w:rPr>
        <w:t xml:space="preserve"> koronavirová pandemie</w:t>
      </w:r>
      <w:r w:rsidRPr="00D92E20">
        <w:t>, kdy v druhém pololetí Česko zasáhla podzimní vlna onemocnění. Zatímco mezi prvními pololetími roku 2019 a 2020 došlo k nárůstu o 104 tis. (o 12 %) případů pracovní neschopnosti pro nemoc, mezi druhými pololetími se počet navýšil o 387 tis. (o 46 %). V porovnání počtu nově hlášených případů pracovní neschopnosti z důvodu nemoci v druhém pololetí roku 2018 a stejného období v roce 2020 došlo k nárůstu o 72 %.</w:t>
      </w:r>
      <w:r>
        <w:t xml:space="preserve"> G</w:t>
      </w:r>
      <w:r w:rsidR="009F53E6">
        <w:t xml:space="preserve">raf 2.2 dále ilustruje vysoké hodnoty v druhých pololetích let 2020 a 2021, kam spadají podzimní vlny onemocnění </w:t>
      </w:r>
      <w:r w:rsidR="008D4DE1">
        <w:t>c</w:t>
      </w:r>
      <w:r w:rsidR="009F53E6">
        <w:t xml:space="preserve">ovid-19. </w:t>
      </w:r>
      <w:r w:rsidR="00EB51F0">
        <w:t>Tato období ovšem nevykazují takový</w:t>
      </w:r>
      <w:r w:rsidR="009F53E6">
        <w:t xml:space="preserve"> nárůst. Dramatické zvýšení počtu případů pracovní neschopnosti pro nemoc (+423 tis., 43 %) lze vidět v 1. pololetí roku 2021 ve srovnání s 1. pololetím roku 2020.</w:t>
      </w:r>
      <w:r w:rsidR="00EB51F0">
        <w:t xml:space="preserve"> V porovnání s 1. pololetím 2019 (tedy dobou před pandemií) došlo k nárůstu o 60 % případů.</w:t>
      </w:r>
    </w:p>
    <w:p w14:paraId="09B6B3D4" w14:textId="4431F36B" w:rsidR="00F130FF" w:rsidRPr="00D92E20" w:rsidRDefault="00F130FF" w:rsidP="00F130FF">
      <w:pPr>
        <w:spacing w:after="0" w:line="240" w:lineRule="auto"/>
      </w:pPr>
      <w:r>
        <w:br w:type="page"/>
      </w:r>
    </w:p>
    <w:p w14:paraId="218F596F" w14:textId="77777777" w:rsidR="00B47414" w:rsidRDefault="00B47414" w:rsidP="00B47414">
      <w:pPr>
        <w:spacing w:before="120" w:after="0"/>
        <w:jc w:val="both"/>
        <w:rPr>
          <w:b/>
          <w:bCs/>
        </w:rPr>
      </w:pPr>
      <w:r w:rsidRPr="00D92E20">
        <w:rPr>
          <w:b/>
          <w:bCs/>
        </w:rPr>
        <w:lastRenderedPageBreak/>
        <w:t>Graf 2.2: Nově hlášené případy dočasné pracovní neschopnosti pro nemoc, 2015–202</w:t>
      </w:r>
      <w:r>
        <w:rPr>
          <w:b/>
          <w:bCs/>
        </w:rPr>
        <w:t>1</w:t>
      </w:r>
    </w:p>
    <w:p w14:paraId="1366AF4C" w14:textId="77777777" w:rsidR="00B47414" w:rsidRPr="00D92E20" w:rsidRDefault="00B47414" w:rsidP="00B47414">
      <w:pPr>
        <w:spacing w:before="120" w:after="0"/>
        <w:jc w:val="both"/>
        <w:rPr>
          <w:b/>
          <w:bCs/>
        </w:rPr>
      </w:pPr>
      <w:r>
        <w:rPr>
          <w:noProof/>
        </w:rPr>
        <w:drawing>
          <wp:inline distT="0" distB="0" distL="0" distR="0" wp14:anchorId="31FA5445" wp14:editId="6B7F961C">
            <wp:extent cx="5876925" cy="2933700"/>
            <wp:effectExtent l="0" t="0" r="9525"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5FC462" w14:textId="77777777" w:rsidR="00B47414" w:rsidRPr="00D92E20" w:rsidRDefault="00B47414" w:rsidP="00B47414">
      <w:pPr>
        <w:spacing w:before="120" w:after="120" w:line="240" w:lineRule="auto"/>
        <w:jc w:val="both"/>
        <w:rPr>
          <w:rFonts w:cs="Arial"/>
          <w:color w:val="000000"/>
          <w:sz w:val="16"/>
          <w:szCs w:val="16"/>
        </w:rPr>
      </w:pPr>
      <w:r w:rsidRPr="00D92E20">
        <w:rPr>
          <w:rFonts w:cs="Arial"/>
          <w:color w:val="000000"/>
          <w:sz w:val="16"/>
          <w:szCs w:val="16"/>
        </w:rPr>
        <w:t>Zdroj: ČSÚ</w:t>
      </w:r>
    </w:p>
    <w:p w14:paraId="25FDD246" w14:textId="77777777" w:rsidR="00692DCA" w:rsidRPr="00D92E20" w:rsidRDefault="00692DCA" w:rsidP="00692DCA">
      <w:pPr>
        <w:pStyle w:val="Seznam"/>
        <w:spacing w:before="120" w:after="120"/>
        <w:contextualSpacing w:val="0"/>
        <w:jc w:val="both"/>
      </w:pPr>
      <w:r w:rsidRPr="00EB51F0">
        <w:t xml:space="preserve">V relativním pohledu v roce 2021 meziročně přibylo </w:t>
      </w:r>
      <w:r w:rsidR="00CB66C6">
        <w:t>8 případů</w:t>
      </w:r>
      <w:r w:rsidRPr="00EB51F0">
        <w:t xml:space="preserve"> </w:t>
      </w:r>
      <w:r w:rsidR="00EA56EA">
        <w:t xml:space="preserve">pracovní neschopnosti </w:t>
      </w:r>
      <w:r w:rsidRPr="00EB51F0">
        <w:t>na 100 pojištěnců a</w:t>
      </w:r>
      <w:r w:rsidR="008D4DE1">
        <w:t> </w:t>
      </w:r>
      <w:r w:rsidR="00EA56EA">
        <w:t xml:space="preserve">celková </w:t>
      </w:r>
      <w:r w:rsidRPr="00EB51F0">
        <w:t xml:space="preserve">hodnota tak činila </w:t>
      </w:r>
      <w:r w:rsidR="00CB66C6">
        <w:t>59</w:t>
      </w:r>
      <w:r w:rsidRPr="00EB51F0">
        <w:t xml:space="preserve"> případů. Na 100 pojištěnců připadalo 54 nově hlášených případů pracovní neschopnosti </w:t>
      </w:r>
      <w:r w:rsidRPr="00EB51F0">
        <w:rPr>
          <w:b/>
        </w:rPr>
        <w:t>pro nemoc</w:t>
      </w:r>
      <w:r w:rsidRPr="00EB51F0">
        <w:t xml:space="preserve">, což bylo dvakrát více než v roce 2011. Co se týče počtu neschopenek z důvodu </w:t>
      </w:r>
      <w:r w:rsidRPr="00EB51F0">
        <w:rPr>
          <w:b/>
        </w:rPr>
        <w:t>pracovního úrazu</w:t>
      </w:r>
      <w:r w:rsidRPr="00EB51F0">
        <w:t xml:space="preserve">, jejich počet se pohybuje okolo 1 případu na 100 pojištěnců. </w:t>
      </w:r>
      <w:r w:rsidRPr="00EB51F0">
        <w:rPr>
          <w:b/>
        </w:rPr>
        <w:t>U mimopracovních úrazů</w:t>
      </w:r>
      <w:r w:rsidRPr="00EB51F0">
        <w:t xml:space="preserve"> panuje od roku 2016 víceméně stagnace</w:t>
      </w:r>
      <w:r w:rsidR="00EB51F0" w:rsidRPr="00EB51F0">
        <w:t>, kdy hodnota osciluje okolo 3 případů na 100 pojištěnců</w:t>
      </w:r>
      <w:r w:rsidRPr="00EB51F0">
        <w:t>.</w:t>
      </w:r>
    </w:p>
    <w:p w14:paraId="157885C6" w14:textId="77777777" w:rsidR="00B47414" w:rsidRPr="00D92E20" w:rsidRDefault="00692DCA" w:rsidP="00B47414">
      <w:pPr>
        <w:pStyle w:val="Seznam"/>
        <w:spacing w:before="120" w:after="120"/>
        <w:contextualSpacing w:val="0"/>
        <w:jc w:val="both"/>
      </w:pPr>
      <w:r w:rsidRPr="00D92E20">
        <w:rPr>
          <w:b/>
          <w:spacing w:val="-4"/>
        </w:rPr>
        <w:t>Graf 2.3: Nově hlášené případy dočasné pracovní neschopnosti na 100 pojištěnců podle příčiny, 201</w:t>
      </w:r>
      <w:r>
        <w:rPr>
          <w:b/>
          <w:spacing w:val="-4"/>
        </w:rPr>
        <w:t>1</w:t>
      </w:r>
      <w:r w:rsidRPr="00D92E20">
        <w:rPr>
          <w:b/>
          <w:spacing w:val="-4"/>
        </w:rPr>
        <w:t>–202</w:t>
      </w:r>
      <w:r>
        <w:rPr>
          <w:b/>
          <w:spacing w:val="-4"/>
        </w:rPr>
        <w:t>1</w:t>
      </w:r>
      <w:r w:rsidRPr="00D92E20">
        <w:rPr>
          <w:b/>
        </w:rPr>
        <w:t xml:space="preserve"> </w:t>
      </w:r>
      <w:r w:rsidRPr="00D92E20">
        <w:t xml:space="preserve"> </w:t>
      </w:r>
    </w:p>
    <w:p w14:paraId="4BB0B533" w14:textId="77777777" w:rsidR="00C60872" w:rsidRPr="00D92E20" w:rsidRDefault="00692DCA" w:rsidP="00361897">
      <w:pPr>
        <w:spacing w:before="120" w:after="120"/>
        <w:jc w:val="both"/>
        <w:rPr>
          <w:rFonts w:cs="Arial"/>
          <w:lang w:val="en-US"/>
        </w:rPr>
      </w:pPr>
      <w:r>
        <w:rPr>
          <w:noProof/>
        </w:rPr>
        <w:drawing>
          <wp:inline distT="0" distB="0" distL="0" distR="0" wp14:anchorId="18AE8F1C" wp14:editId="7BB4DE0A">
            <wp:extent cx="6120130" cy="2585085"/>
            <wp:effectExtent l="0" t="0" r="13970" b="5715"/>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5244F2D" w14:textId="77777777" w:rsidR="00692DCA" w:rsidRPr="00D92E20" w:rsidRDefault="00361897" w:rsidP="00692DCA">
      <w:pPr>
        <w:spacing w:before="120" w:after="120" w:line="240" w:lineRule="auto"/>
        <w:jc w:val="both"/>
        <w:rPr>
          <w:rFonts w:cs="Arial"/>
          <w:color w:val="000000"/>
          <w:sz w:val="16"/>
          <w:szCs w:val="16"/>
        </w:rPr>
      </w:pPr>
      <w:r w:rsidRPr="00D92E20">
        <w:rPr>
          <w:bCs/>
        </w:rPr>
        <w:t xml:space="preserve"> </w:t>
      </w:r>
      <w:r w:rsidR="00692DCA" w:rsidRPr="00D92E20">
        <w:rPr>
          <w:rFonts w:cs="Arial"/>
          <w:color w:val="000000"/>
          <w:sz w:val="16"/>
          <w:szCs w:val="16"/>
        </w:rPr>
        <w:t>Zdroj: ČSÚ</w:t>
      </w:r>
    </w:p>
    <w:p w14:paraId="6CFE4F88" w14:textId="77777777" w:rsidR="00EB51F0" w:rsidRDefault="00EB51F0" w:rsidP="00EB51F0">
      <w:pPr>
        <w:autoSpaceDE w:val="0"/>
        <w:autoSpaceDN w:val="0"/>
        <w:adjustRightInd w:val="0"/>
        <w:spacing w:before="120" w:after="120"/>
        <w:jc w:val="both"/>
        <w:rPr>
          <w:rFonts w:cs="Arial"/>
        </w:rPr>
      </w:pPr>
      <w:r w:rsidRPr="00D92E20">
        <w:rPr>
          <w:rFonts w:cs="Arial"/>
        </w:rPr>
        <w:t>Nejvíce nových případů dočasné pracovní neschopnosti bylo v roce 202</w:t>
      </w:r>
      <w:r>
        <w:rPr>
          <w:rFonts w:cs="Arial"/>
        </w:rPr>
        <w:t>1</w:t>
      </w:r>
      <w:r w:rsidRPr="00D92E20">
        <w:rPr>
          <w:rFonts w:cs="Arial"/>
        </w:rPr>
        <w:t xml:space="preserve"> nahlášeno v subjektech, které dle převažující ekonomické činnosti spadají do </w:t>
      </w:r>
      <w:r w:rsidRPr="00D92E20">
        <w:rPr>
          <w:rFonts w:cs="Arial"/>
          <w:b/>
        </w:rPr>
        <w:t>odvětvové sekce</w:t>
      </w:r>
      <w:r w:rsidRPr="00D92E20">
        <w:rPr>
          <w:rFonts w:cs="Arial"/>
        </w:rPr>
        <w:t xml:space="preserve"> Zpracovatelský průmysl (</w:t>
      </w:r>
      <w:r>
        <w:rPr>
          <w:rFonts w:cs="Arial"/>
        </w:rPr>
        <w:t>960 t</w:t>
      </w:r>
      <w:r w:rsidRPr="00D92E20">
        <w:rPr>
          <w:rFonts w:cs="Arial"/>
        </w:rPr>
        <w:t>is. případů) a Velkoobchod a maloobchod; opravy a údržba motorových vozidel (3</w:t>
      </w:r>
      <w:r>
        <w:rPr>
          <w:rFonts w:cs="Arial"/>
        </w:rPr>
        <w:t>57</w:t>
      </w:r>
      <w:r w:rsidRPr="00D92E20">
        <w:rPr>
          <w:rFonts w:cs="Arial"/>
        </w:rPr>
        <w:t xml:space="preserve"> tis.). Není divu, protože jde o odvětví, kde pracuje nejvíce zaměstnaných osob, jak bylo uvedeno výše v kap. 4.1. Naopak nejméně případů bylo v absolutních číslech hlášeno v odvětvích Těžba a dobývání (</w:t>
      </w:r>
      <w:r>
        <w:rPr>
          <w:rFonts w:cs="Arial"/>
        </w:rPr>
        <w:t>14</w:t>
      </w:r>
      <w:r w:rsidRPr="00D92E20">
        <w:rPr>
          <w:rFonts w:cs="Arial"/>
        </w:rPr>
        <w:t xml:space="preserve"> tis.) a Výroba a rozvod elektřiny, plynu, tepla a klimatizovaného vzduchu (1</w:t>
      </w:r>
      <w:r>
        <w:rPr>
          <w:rFonts w:cs="Arial"/>
        </w:rPr>
        <w:t>6</w:t>
      </w:r>
      <w:r w:rsidRPr="00D92E20">
        <w:rPr>
          <w:rFonts w:cs="Arial"/>
        </w:rPr>
        <w:t xml:space="preserve"> tis.).</w:t>
      </w:r>
    </w:p>
    <w:p w14:paraId="733DFA9B" w14:textId="77777777" w:rsidR="006E58D2" w:rsidRPr="00D92E20" w:rsidRDefault="006E58D2" w:rsidP="006E58D2">
      <w:pPr>
        <w:autoSpaceDE w:val="0"/>
        <w:autoSpaceDN w:val="0"/>
        <w:adjustRightInd w:val="0"/>
        <w:spacing w:before="120" w:after="120"/>
        <w:jc w:val="both"/>
        <w:rPr>
          <w:rFonts w:cs="Arial"/>
        </w:rPr>
      </w:pPr>
      <w:r w:rsidRPr="00D92E20">
        <w:rPr>
          <w:rFonts w:cs="Arial"/>
        </w:rPr>
        <w:t>V roce 202</w:t>
      </w:r>
      <w:r>
        <w:rPr>
          <w:rFonts w:cs="Arial"/>
        </w:rPr>
        <w:t>1</w:t>
      </w:r>
      <w:r w:rsidRPr="00D92E20">
        <w:rPr>
          <w:rFonts w:cs="Arial"/>
          <w:b/>
        </w:rPr>
        <w:t xml:space="preserve"> meziročně</w:t>
      </w:r>
      <w:r w:rsidRPr="00D92E20">
        <w:rPr>
          <w:rFonts w:cs="Arial"/>
        </w:rPr>
        <w:t xml:space="preserve"> vzrostl počet případů dočasné pracovní neschopnosti procentuálně nejvíce v odvětvové sekci </w:t>
      </w:r>
      <w:r>
        <w:rPr>
          <w:rFonts w:cs="Arial"/>
        </w:rPr>
        <w:t>Vzdělávání</w:t>
      </w:r>
      <w:r w:rsidRPr="00D92E20">
        <w:rPr>
          <w:rFonts w:cs="Arial"/>
        </w:rPr>
        <w:t xml:space="preserve">, a to o </w:t>
      </w:r>
      <w:r>
        <w:rPr>
          <w:rFonts w:cs="Arial"/>
        </w:rPr>
        <w:t>32</w:t>
      </w:r>
      <w:r w:rsidR="002A3DEB">
        <w:rPr>
          <w:rFonts w:cs="Arial"/>
        </w:rPr>
        <w:t> </w:t>
      </w:r>
      <w:r w:rsidRPr="00D92E20">
        <w:rPr>
          <w:rFonts w:cs="Arial"/>
        </w:rPr>
        <w:t xml:space="preserve">% (téměř o </w:t>
      </w:r>
      <w:r>
        <w:rPr>
          <w:rFonts w:cs="Arial"/>
        </w:rPr>
        <w:t>53 tis.</w:t>
      </w:r>
      <w:r w:rsidRPr="00D92E20">
        <w:rPr>
          <w:rFonts w:cs="Arial"/>
        </w:rPr>
        <w:t>). Absolutně nejvíce (o 1</w:t>
      </w:r>
      <w:r>
        <w:rPr>
          <w:rFonts w:cs="Arial"/>
        </w:rPr>
        <w:t>56</w:t>
      </w:r>
      <w:r w:rsidRPr="00D92E20">
        <w:rPr>
          <w:rFonts w:cs="Arial"/>
        </w:rPr>
        <w:t xml:space="preserve"> tis.) vzrostl počet nově </w:t>
      </w:r>
      <w:r w:rsidRPr="00D92E20">
        <w:rPr>
          <w:rFonts w:cs="Arial"/>
        </w:rPr>
        <w:lastRenderedPageBreak/>
        <w:t xml:space="preserve">nahlášených případů dočasné pracovní neschopnosti ve Zpracovatelském průmyslu. Meziročně vzrostl počet nahlášených případů kromě </w:t>
      </w:r>
      <w:r>
        <w:rPr>
          <w:rFonts w:cs="Arial"/>
        </w:rPr>
        <w:t>tří</w:t>
      </w:r>
      <w:r w:rsidRPr="00D92E20">
        <w:rPr>
          <w:rFonts w:cs="Arial"/>
        </w:rPr>
        <w:t xml:space="preserve"> výjimek ve všech odvětvích. </w:t>
      </w:r>
      <w:r>
        <w:rPr>
          <w:rFonts w:cs="Arial"/>
        </w:rPr>
        <w:t>Případů ubylo v</w:t>
      </w:r>
      <w:r w:rsidRPr="00D92E20">
        <w:rPr>
          <w:rFonts w:cs="Arial"/>
        </w:rPr>
        <w:t xml:space="preserve"> sekcích </w:t>
      </w:r>
      <w:r>
        <w:rPr>
          <w:rFonts w:cs="Arial"/>
        </w:rPr>
        <w:t>Zdravotní a sociální péče (</w:t>
      </w:r>
      <w:r w:rsidR="00235B67">
        <w:rPr>
          <w:rFonts w:cs="Arial"/>
        </w:rPr>
        <w:t>−</w:t>
      </w:r>
      <w:r>
        <w:rPr>
          <w:rFonts w:cs="Arial"/>
        </w:rPr>
        <w:t xml:space="preserve">19 tis., </w:t>
      </w:r>
      <w:r w:rsidR="00235B67">
        <w:rPr>
          <w:rFonts w:cs="Arial"/>
        </w:rPr>
        <w:t>−</w:t>
      </w:r>
      <w:r>
        <w:rPr>
          <w:rFonts w:cs="Arial"/>
        </w:rPr>
        <w:t>8 %), Ubytování, stravování a pohostinství (</w:t>
      </w:r>
      <w:r w:rsidR="00235B67">
        <w:rPr>
          <w:rFonts w:cs="Arial"/>
        </w:rPr>
        <w:t>−</w:t>
      </w:r>
      <w:r>
        <w:rPr>
          <w:rFonts w:cs="Arial"/>
        </w:rPr>
        <w:t xml:space="preserve">6 tis., </w:t>
      </w:r>
      <w:r w:rsidR="00235B67">
        <w:rPr>
          <w:rFonts w:cs="Arial"/>
        </w:rPr>
        <w:t>−</w:t>
      </w:r>
      <w:r>
        <w:rPr>
          <w:rFonts w:cs="Arial"/>
        </w:rPr>
        <w:t>11 %) a Těžba a dobývání (</w:t>
      </w:r>
      <w:r w:rsidR="00235B67">
        <w:rPr>
          <w:rFonts w:cs="Arial"/>
        </w:rPr>
        <w:t>−</w:t>
      </w:r>
      <w:r>
        <w:rPr>
          <w:rFonts w:cs="Arial"/>
        </w:rPr>
        <w:t xml:space="preserve">2 tis., </w:t>
      </w:r>
      <w:r w:rsidR="00235B67">
        <w:rPr>
          <w:rFonts w:cs="Arial"/>
        </w:rPr>
        <w:t>−</w:t>
      </w:r>
      <w:r>
        <w:rPr>
          <w:rFonts w:cs="Arial"/>
        </w:rPr>
        <w:t>14 %).</w:t>
      </w:r>
    </w:p>
    <w:p w14:paraId="2BC40339" w14:textId="77777777" w:rsidR="006E58D2" w:rsidRDefault="006E58D2" w:rsidP="006E58D2">
      <w:pPr>
        <w:autoSpaceDE w:val="0"/>
        <w:autoSpaceDN w:val="0"/>
        <w:adjustRightInd w:val="0"/>
        <w:spacing w:before="120" w:after="120"/>
        <w:jc w:val="both"/>
        <w:rPr>
          <w:rFonts w:cs="Arial"/>
        </w:rPr>
      </w:pPr>
      <w:r>
        <w:rPr>
          <w:rFonts w:cs="Arial"/>
        </w:rPr>
        <w:t>Zejména sekce Ubytování, stravování a pohostinství</w:t>
      </w:r>
      <w:r w:rsidRPr="00BF2411">
        <w:rPr>
          <w:rFonts w:cs="Arial"/>
        </w:rPr>
        <w:t xml:space="preserve"> byla značně postižena covidovým obdobím.</w:t>
      </w:r>
      <w:r>
        <w:rPr>
          <w:rFonts w:cs="Arial"/>
        </w:rPr>
        <w:t xml:space="preserve"> Tím, že bylo fungování těchto provozoven víceméně přerušeno, nebyl důvod pro pracovní neschopnost.</w:t>
      </w:r>
      <w:r w:rsidRPr="00BF2411">
        <w:rPr>
          <w:rFonts w:cs="Arial"/>
        </w:rPr>
        <w:t xml:space="preserve"> </w:t>
      </w:r>
      <w:r>
        <w:rPr>
          <w:rFonts w:cs="Arial"/>
        </w:rPr>
        <w:t xml:space="preserve">A jelikož </w:t>
      </w:r>
      <w:r w:rsidRPr="00BF2411">
        <w:rPr>
          <w:rFonts w:cs="Arial"/>
        </w:rPr>
        <w:t>velké množství</w:t>
      </w:r>
      <w:r>
        <w:rPr>
          <w:rFonts w:cs="Arial"/>
        </w:rPr>
        <w:t xml:space="preserve"> z pracovníků v tomto odvětví jsou </w:t>
      </w:r>
      <w:r w:rsidRPr="00BF2411">
        <w:rPr>
          <w:rFonts w:cs="Arial"/>
        </w:rPr>
        <w:t>OSVČ, jejichž nemocenské pojištění je na dobrovolné bázi, na</w:t>
      </w:r>
      <w:r>
        <w:rPr>
          <w:rFonts w:cs="Arial"/>
        </w:rPr>
        <w:t> </w:t>
      </w:r>
      <w:r w:rsidRPr="00BF2411">
        <w:rPr>
          <w:rFonts w:cs="Arial"/>
        </w:rPr>
        <w:t>neschopenky z dův</w:t>
      </w:r>
      <w:r>
        <w:rPr>
          <w:rFonts w:cs="Arial"/>
        </w:rPr>
        <w:t xml:space="preserve">odu karantény neměly automatický </w:t>
      </w:r>
      <w:r w:rsidRPr="00BF2411">
        <w:rPr>
          <w:rFonts w:cs="Arial"/>
        </w:rPr>
        <w:t xml:space="preserve">nárok </w:t>
      </w:r>
      <w:r>
        <w:rPr>
          <w:rFonts w:cs="Arial"/>
        </w:rPr>
        <w:t xml:space="preserve">ve srovnání s </w:t>
      </w:r>
      <w:r w:rsidRPr="00BF2411">
        <w:rPr>
          <w:rFonts w:cs="Arial"/>
        </w:rPr>
        <w:t xml:space="preserve">pojištěnci v zaměstnaneckém poměru. </w:t>
      </w:r>
    </w:p>
    <w:p w14:paraId="19BC5F60" w14:textId="77777777" w:rsidR="006E58D2" w:rsidRPr="00D92E20" w:rsidRDefault="006E58D2" w:rsidP="006E58D2">
      <w:pPr>
        <w:autoSpaceDE w:val="0"/>
        <w:autoSpaceDN w:val="0"/>
        <w:adjustRightInd w:val="0"/>
        <w:spacing w:before="120" w:after="120"/>
        <w:jc w:val="both"/>
        <w:rPr>
          <w:rFonts w:cs="Arial"/>
        </w:rPr>
      </w:pPr>
      <w:r w:rsidRPr="00D92E20">
        <w:rPr>
          <w:rFonts w:cs="Arial"/>
        </w:rPr>
        <w:t xml:space="preserve">Absolutní počty nově hlášených případů jsou ovlivněny odvětvovou strukturou národního hospodářství a zaměstnaností v jednotlivých odvětvích. Z toho důvodu má vyšší vypovídací schopnost již zmíněný </w:t>
      </w:r>
      <w:r w:rsidR="00235B67">
        <w:rPr>
          <w:rFonts w:cs="Arial"/>
        </w:rPr>
        <w:t xml:space="preserve">relativní </w:t>
      </w:r>
      <w:r w:rsidRPr="00D92E20">
        <w:rPr>
          <w:rFonts w:cs="Arial"/>
        </w:rPr>
        <w:t>ukazatel – počet nově hlášených případů na 100 pojištěnců v daném odvětví.</w:t>
      </w:r>
    </w:p>
    <w:p w14:paraId="6AA3AC28" w14:textId="77777777" w:rsidR="00EB51F0" w:rsidRDefault="00EB51F0" w:rsidP="00EB51F0">
      <w:pPr>
        <w:spacing w:after="0"/>
        <w:jc w:val="both"/>
        <w:rPr>
          <w:b/>
        </w:rPr>
      </w:pPr>
      <w:r w:rsidRPr="00D92E20">
        <w:rPr>
          <w:b/>
        </w:rPr>
        <w:t>Graf 2.4: Nově hlášené případy dočasné pracovní neschopnosti na 100 pojištěnců podle odvětví (sekce CZ-NACE), 201</w:t>
      </w:r>
      <w:r>
        <w:rPr>
          <w:b/>
        </w:rPr>
        <w:t>1 a 2021</w:t>
      </w:r>
    </w:p>
    <w:p w14:paraId="241062E9" w14:textId="77777777" w:rsidR="00CB66C6" w:rsidRDefault="00CB66C6" w:rsidP="00EB51F0">
      <w:pPr>
        <w:spacing w:after="0"/>
        <w:jc w:val="both"/>
        <w:rPr>
          <w:b/>
        </w:rPr>
      </w:pPr>
      <w:r>
        <w:rPr>
          <w:noProof/>
        </w:rPr>
        <w:drawing>
          <wp:inline distT="0" distB="0" distL="0" distR="0" wp14:anchorId="64B720AA" wp14:editId="606CFD7C">
            <wp:extent cx="6120130" cy="5111115"/>
            <wp:effectExtent l="0" t="0" r="13970" b="13335"/>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3AF3919" w14:textId="77777777" w:rsidR="00EB51F0" w:rsidRPr="00D92E20" w:rsidRDefault="00EB51F0" w:rsidP="00EB51F0">
      <w:pPr>
        <w:spacing w:after="0"/>
        <w:jc w:val="both"/>
        <w:rPr>
          <w:rFonts w:cs="Arial"/>
        </w:rPr>
      </w:pPr>
      <w:r w:rsidRPr="00D92E20">
        <w:rPr>
          <w:rFonts w:cs="Arial"/>
        </w:rPr>
        <w:t xml:space="preserve"> </w:t>
      </w:r>
    </w:p>
    <w:p w14:paraId="142E2D41" w14:textId="77777777" w:rsidR="00EB51F0" w:rsidRPr="00D92E20" w:rsidRDefault="00EB51F0" w:rsidP="00EB51F0">
      <w:pPr>
        <w:spacing w:before="120" w:after="120" w:line="240" w:lineRule="auto"/>
        <w:jc w:val="both"/>
        <w:rPr>
          <w:rFonts w:cs="Arial"/>
          <w:color w:val="000000"/>
          <w:sz w:val="16"/>
          <w:szCs w:val="16"/>
        </w:rPr>
      </w:pPr>
      <w:r w:rsidRPr="00D92E20">
        <w:rPr>
          <w:rFonts w:cs="Arial"/>
          <w:color w:val="000000"/>
          <w:sz w:val="16"/>
          <w:szCs w:val="16"/>
        </w:rPr>
        <w:t>Zdroj: ČSÚ</w:t>
      </w:r>
    </w:p>
    <w:p w14:paraId="4A8AE0CB" w14:textId="77777777" w:rsidR="006E58D2" w:rsidRDefault="006E58D2" w:rsidP="006E58D2">
      <w:pPr>
        <w:pStyle w:val="Seznam"/>
        <w:spacing w:after="120"/>
        <w:contextualSpacing w:val="0"/>
        <w:jc w:val="both"/>
      </w:pPr>
      <w:r w:rsidRPr="00D92E20">
        <w:rPr>
          <w:rFonts w:cs="Arial"/>
        </w:rPr>
        <w:t xml:space="preserve">Nejvíce případů dočasné pracovní neschopnosti </w:t>
      </w:r>
      <w:r w:rsidRPr="00D92E20">
        <w:rPr>
          <w:rFonts w:cs="Arial"/>
          <w:b/>
        </w:rPr>
        <w:t>na 100 pojištěnců</w:t>
      </w:r>
      <w:r w:rsidRPr="00D92E20">
        <w:rPr>
          <w:rFonts w:cs="Arial"/>
        </w:rPr>
        <w:t xml:space="preserve"> bylo v roce 202</w:t>
      </w:r>
      <w:r>
        <w:rPr>
          <w:rFonts w:cs="Arial"/>
        </w:rPr>
        <w:t>1</w:t>
      </w:r>
      <w:r w:rsidRPr="00D92E20">
        <w:rPr>
          <w:rFonts w:cs="Arial"/>
        </w:rPr>
        <w:t xml:space="preserve"> zaznamenáno </w:t>
      </w:r>
      <w:r w:rsidR="00CB66C6">
        <w:rPr>
          <w:rFonts w:cs="Arial"/>
        </w:rPr>
        <w:t xml:space="preserve">rovněž </w:t>
      </w:r>
      <w:r w:rsidRPr="00D92E20">
        <w:rPr>
          <w:rFonts w:cs="Arial"/>
        </w:rPr>
        <w:t xml:space="preserve">v odvětví </w:t>
      </w:r>
      <w:r>
        <w:rPr>
          <w:rFonts w:cs="Arial"/>
        </w:rPr>
        <w:t>Zpracovatelský průmysl</w:t>
      </w:r>
      <w:r w:rsidRPr="00D92E20">
        <w:rPr>
          <w:rFonts w:cs="Arial"/>
        </w:rPr>
        <w:t xml:space="preserve"> (</w:t>
      </w:r>
      <w:r>
        <w:rPr>
          <w:rFonts w:cs="Arial"/>
        </w:rPr>
        <w:t>80</w:t>
      </w:r>
      <w:r w:rsidRPr="00D92E20">
        <w:rPr>
          <w:rFonts w:cs="Arial"/>
        </w:rPr>
        <w:t>). Následoval</w:t>
      </w:r>
      <w:r>
        <w:rPr>
          <w:rFonts w:cs="Arial"/>
        </w:rPr>
        <w:t xml:space="preserve">a Těžba a dobývání </w:t>
      </w:r>
      <w:r w:rsidRPr="00D92E20">
        <w:rPr>
          <w:rFonts w:cs="Arial"/>
        </w:rPr>
        <w:t>(7</w:t>
      </w:r>
      <w:r>
        <w:rPr>
          <w:rFonts w:cs="Arial"/>
        </w:rPr>
        <w:t>0</w:t>
      </w:r>
      <w:r w:rsidRPr="00D92E20">
        <w:rPr>
          <w:rFonts w:cs="Arial"/>
        </w:rPr>
        <w:t xml:space="preserve">) a </w:t>
      </w:r>
      <w:r>
        <w:rPr>
          <w:rFonts w:cs="Arial"/>
        </w:rPr>
        <w:t>Administrativní a podpůrné činnosti (66). V</w:t>
      </w:r>
      <w:r>
        <w:t xml:space="preserve"> této sekci jsou zařazeny i subjekty, které poskytují tzv. agenturní pracovníky jiným firmám často působícím např. v již zmiňovaném zpracovatelském průmyslu. Dále tato sekce zahrnuje bezpečnostní a úklidové činnosti. </w:t>
      </w:r>
    </w:p>
    <w:p w14:paraId="4CDE9ED7" w14:textId="77777777" w:rsidR="006E58D2" w:rsidRDefault="006E58D2" w:rsidP="006E58D2">
      <w:pPr>
        <w:autoSpaceDE w:val="0"/>
        <w:autoSpaceDN w:val="0"/>
        <w:adjustRightInd w:val="0"/>
        <w:spacing w:before="120" w:after="120"/>
        <w:jc w:val="both"/>
        <w:rPr>
          <w:rFonts w:cs="Arial"/>
        </w:rPr>
      </w:pPr>
      <w:r w:rsidRPr="00D92E20">
        <w:rPr>
          <w:rFonts w:cs="Arial"/>
        </w:rPr>
        <w:lastRenderedPageBreak/>
        <w:t>Nejnižší počet případů dočasné pracovní neschopnosti v přepočtu na 100 nemocensky pojištěných byl evidován v odvětví Činnosti v oblasti nemovitostí (2</w:t>
      </w:r>
      <w:r w:rsidR="00CB66C6">
        <w:rPr>
          <w:rFonts w:cs="Arial"/>
        </w:rPr>
        <w:t>9</w:t>
      </w:r>
      <w:r w:rsidRPr="00D92E20">
        <w:rPr>
          <w:rFonts w:cs="Arial"/>
        </w:rPr>
        <w:t>). Celorepublikový průměr bez ohledu na odvětví činil již zmíněných 5</w:t>
      </w:r>
      <w:r w:rsidR="00CB66C6">
        <w:rPr>
          <w:rFonts w:cs="Arial"/>
        </w:rPr>
        <w:t>9</w:t>
      </w:r>
      <w:r w:rsidRPr="00D92E20">
        <w:rPr>
          <w:rFonts w:cs="Arial"/>
        </w:rPr>
        <w:t> případů na 100 pojištěnců.</w:t>
      </w:r>
    </w:p>
    <w:p w14:paraId="138088CE" w14:textId="2808AA29" w:rsidR="00DA4D31" w:rsidRPr="00D92E20" w:rsidRDefault="00DA4D31" w:rsidP="00DA4D31">
      <w:pPr>
        <w:spacing w:before="120" w:after="120"/>
        <w:jc w:val="both"/>
        <w:rPr>
          <w:rFonts w:cs="Arial"/>
        </w:rPr>
      </w:pPr>
      <w:r w:rsidRPr="00D92E20">
        <w:rPr>
          <w:rFonts w:cs="Arial"/>
          <w:color w:val="000000"/>
          <w:szCs w:val="16"/>
        </w:rPr>
        <w:t>Vývoj počtu případů pracovní neschopnosti na 100 pojištěnců v jednotlivých odvětvích je zřejmý z grafu 2.4, resp. z tabulky 2.2. V roce 202</w:t>
      </w:r>
      <w:r>
        <w:rPr>
          <w:rFonts w:cs="Arial"/>
          <w:color w:val="000000"/>
          <w:szCs w:val="16"/>
        </w:rPr>
        <w:t>1</w:t>
      </w:r>
      <w:r w:rsidRPr="00D92E20">
        <w:rPr>
          <w:rFonts w:cs="Arial"/>
          <w:color w:val="000000"/>
          <w:szCs w:val="16"/>
        </w:rPr>
        <w:t xml:space="preserve"> bylo nahlášeno o 2</w:t>
      </w:r>
      <w:r>
        <w:rPr>
          <w:rFonts w:cs="Arial"/>
          <w:color w:val="000000"/>
          <w:szCs w:val="16"/>
        </w:rPr>
        <w:t>8</w:t>
      </w:r>
      <w:r w:rsidRPr="00D92E20">
        <w:rPr>
          <w:rFonts w:cs="Arial"/>
          <w:color w:val="000000"/>
          <w:szCs w:val="16"/>
        </w:rPr>
        <w:t xml:space="preserve"> případů na 100 pojištěnců více než před deseti lety. </w:t>
      </w:r>
      <w:r w:rsidRPr="00DA4D31">
        <w:rPr>
          <w:rFonts w:cs="Arial"/>
          <w:color w:val="000000"/>
          <w:szCs w:val="16"/>
        </w:rPr>
        <w:t xml:space="preserve">Nejdynamičtější nárůst je patrný v odvětvové sekci Zásobování vodou; činnosti související s odpady a sanacemi, kde tento ukazatel vzrostl o 123 % (z 29 případů na 100 pojištěnců v roce 2011 na 66 případů v roce 2021). </w:t>
      </w:r>
      <w:r w:rsidRPr="00577453">
        <w:rPr>
          <w:rFonts w:cs="Arial"/>
          <w:color w:val="000000"/>
          <w:szCs w:val="16"/>
        </w:rPr>
        <w:t xml:space="preserve">Rapidní nárůst (o </w:t>
      </w:r>
      <w:r w:rsidR="00577453" w:rsidRPr="00577453">
        <w:rPr>
          <w:rFonts w:cs="Arial"/>
          <w:color w:val="000000"/>
          <w:szCs w:val="16"/>
        </w:rPr>
        <w:t>118</w:t>
      </w:r>
      <w:r w:rsidRPr="00577453">
        <w:rPr>
          <w:rFonts w:cs="Arial"/>
          <w:color w:val="000000"/>
          <w:szCs w:val="16"/>
        </w:rPr>
        <w:t xml:space="preserve"> %) byl zaznamenán i v odvětví </w:t>
      </w:r>
      <w:r w:rsidR="00306A39">
        <w:rPr>
          <w:rFonts w:cs="Arial"/>
          <w:color w:val="000000"/>
          <w:szCs w:val="16"/>
        </w:rPr>
        <w:t>Výroba a rozvod elektřiny, plynu, tepla a klimatizovaného vzduchu</w:t>
      </w:r>
      <w:r w:rsidRPr="00577453">
        <w:rPr>
          <w:rFonts w:cs="Arial"/>
          <w:color w:val="000000"/>
          <w:szCs w:val="16"/>
        </w:rPr>
        <w:t xml:space="preserve">, a sice přibylo </w:t>
      </w:r>
      <w:r w:rsidR="00306A39">
        <w:rPr>
          <w:rFonts w:cs="Arial"/>
          <w:color w:val="000000"/>
          <w:szCs w:val="16"/>
        </w:rPr>
        <w:t>2</w:t>
      </w:r>
      <w:r w:rsidR="00577453" w:rsidRPr="00577453">
        <w:rPr>
          <w:rFonts w:cs="Arial"/>
          <w:color w:val="000000"/>
          <w:szCs w:val="16"/>
        </w:rPr>
        <w:t>3</w:t>
      </w:r>
      <w:r w:rsidR="00577453">
        <w:rPr>
          <w:rFonts w:cs="Arial"/>
          <w:color w:val="000000"/>
          <w:szCs w:val="16"/>
        </w:rPr>
        <w:t> </w:t>
      </w:r>
      <w:r w:rsidRPr="00577453">
        <w:rPr>
          <w:rFonts w:cs="Arial"/>
          <w:color w:val="000000"/>
          <w:szCs w:val="16"/>
        </w:rPr>
        <w:t xml:space="preserve">případů pracovní neschopnosti na 100 pojištěnců. </w:t>
      </w:r>
      <w:r w:rsidR="00577453">
        <w:rPr>
          <w:rFonts w:cs="Arial"/>
          <w:color w:val="000000"/>
          <w:szCs w:val="16"/>
        </w:rPr>
        <w:t xml:space="preserve">Ve všech sekcích došlo </w:t>
      </w:r>
      <w:r w:rsidRPr="00577453">
        <w:rPr>
          <w:rFonts w:cs="Arial"/>
          <w:color w:val="000000"/>
          <w:szCs w:val="16"/>
        </w:rPr>
        <w:t xml:space="preserve">za zmiňované období </w:t>
      </w:r>
      <w:r w:rsidR="00577453" w:rsidRPr="00577453">
        <w:rPr>
          <w:rFonts w:cs="Arial"/>
          <w:color w:val="000000"/>
          <w:szCs w:val="16"/>
        </w:rPr>
        <w:t>k</w:t>
      </w:r>
      <w:r w:rsidR="00577453">
        <w:rPr>
          <w:rFonts w:cs="Arial"/>
          <w:color w:val="000000"/>
          <w:szCs w:val="16"/>
        </w:rPr>
        <w:t>e</w:t>
      </w:r>
      <w:r w:rsidR="00577453" w:rsidRPr="00577453">
        <w:rPr>
          <w:rFonts w:cs="Arial"/>
          <w:color w:val="000000"/>
          <w:szCs w:val="16"/>
        </w:rPr>
        <w:t> </w:t>
      </w:r>
      <w:r w:rsidR="00577453">
        <w:rPr>
          <w:rFonts w:cs="Arial"/>
          <w:color w:val="000000"/>
          <w:szCs w:val="16"/>
        </w:rPr>
        <w:t>zvýšení</w:t>
      </w:r>
      <w:r w:rsidR="00577453" w:rsidRPr="00577453">
        <w:rPr>
          <w:rFonts w:cs="Arial"/>
          <w:color w:val="000000"/>
          <w:szCs w:val="16"/>
        </w:rPr>
        <w:t xml:space="preserve"> počtu případů na 100 pojištěných osob. </w:t>
      </w:r>
      <w:r w:rsidR="00577453">
        <w:rPr>
          <w:rFonts w:cs="Arial"/>
          <w:color w:val="000000"/>
          <w:szCs w:val="16"/>
        </w:rPr>
        <w:t xml:space="preserve">Nejnižší nárůst </w:t>
      </w:r>
      <w:r w:rsidR="00577453" w:rsidRPr="00577453">
        <w:rPr>
          <w:rFonts w:cs="Arial"/>
          <w:color w:val="000000"/>
          <w:szCs w:val="16"/>
        </w:rPr>
        <w:t>zaznamenaly sekce Peněžnictví a pojišťovnictví (o</w:t>
      </w:r>
      <w:r w:rsidR="00577453">
        <w:rPr>
          <w:rFonts w:cs="Arial"/>
          <w:color w:val="000000"/>
          <w:szCs w:val="16"/>
        </w:rPr>
        <w:t> </w:t>
      </w:r>
      <w:r w:rsidR="00577453" w:rsidRPr="00577453">
        <w:rPr>
          <w:rFonts w:cs="Arial"/>
          <w:color w:val="000000"/>
          <w:szCs w:val="16"/>
        </w:rPr>
        <w:t>5</w:t>
      </w:r>
      <w:r w:rsidR="00577453">
        <w:rPr>
          <w:rFonts w:cs="Arial"/>
          <w:color w:val="000000"/>
          <w:szCs w:val="16"/>
        </w:rPr>
        <w:t> </w:t>
      </w:r>
      <w:r w:rsidR="00577453" w:rsidRPr="00577453">
        <w:rPr>
          <w:rFonts w:cs="Arial"/>
          <w:color w:val="000000"/>
          <w:szCs w:val="16"/>
        </w:rPr>
        <w:t xml:space="preserve">%, tedy 2 případy na 100 pojištěnců) a </w:t>
      </w:r>
      <w:r w:rsidRPr="00577453">
        <w:rPr>
          <w:rFonts w:cs="Arial"/>
          <w:color w:val="000000"/>
          <w:szCs w:val="16"/>
        </w:rPr>
        <w:t>Informační a</w:t>
      </w:r>
      <w:r w:rsidR="00306A39">
        <w:rPr>
          <w:rFonts w:cs="Arial"/>
          <w:color w:val="000000"/>
          <w:szCs w:val="16"/>
        </w:rPr>
        <w:t> </w:t>
      </w:r>
      <w:r w:rsidRPr="00577453">
        <w:rPr>
          <w:rFonts w:cs="Arial"/>
          <w:color w:val="000000"/>
          <w:szCs w:val="16"/>
        </w:rPr>
        <w:t xml:space="preserve">komunikační činnosti </w:t>
      </w:r>
      <w:r w:rsidR="00577453" w:rsidRPr="00577453">
        <w:rPr>
          <w:rFonts w:cs="Arial"/>
          <w:color w:val="000000"/>
          <w:szCs w:val="16"/>
        </w:rPr>
        <w:t xml:space="preserve">(o </w:t>
      </w:r>
      <w:r w:rsidR="00306A39">
        <w:rPr>
          <w:rFonts w:cs="Arial"/>
          <w:color w:val="000000"/>
          <w:szCs w:val="16"/>
        </w:rPr>
        <w:t>10</w:t>
      </w:r>
      <w:r w:rsidR="00577453" w:rsidRPr="00577453">
        <w:rPr>
          <w:rFonts w:cs="Arial"/>
          <w:color w:val="000000"/>
          <w:szCs w:val="16"/>
        </w:rPr>
        <w:t xml:space="preserve"> %, resp. o 3 případy).</w:t>
      </w:r>
    </w:p>
    <w:p w14:paraId="450D137D" w14:textId="77777777" w:rsidR="00DA4D31" w:rsidRPr="00D92E20" w:rsidRDefault="00DA4D31" w:rsidP="00DA4D31">
      <w:pPr>
        <w:spacing w:before="120" w:after="0"/>
        <w:jc w:val="both"/>
        <w:rPr>
          <w:rFonts w:cs="Arial"/>
          <w:b/>
          <w:color w:val="000000"/>
          <w:szCs w:val="16"/>
        </w:rPr>
      </w:pPr>
      <w:r w:rsidRPr="00D92E20">
        <w:rPr>
          <w:rFonts w:cs="Arial"/>
          <w:b/>
          <w:color w:val="000000"/>
          <w:szCs w:val="16"/>
        </w:rPr>
        <w:t>Graf 2.5: Nově hlášené případy dočasné pracovní neschopnosti pro nemoc na 100 pojištěnců podle odvětví (sekce CZ-NACE), 20</w:t>
      </w:r>
      <w:r>
        <w:rPr>
          <w:rFonts w:cs="Arial"/>
          <w:b/>
          <w:color w:val="000000"/>
          <w:szCs w:val="16"/>
        </w:rPr>
        <w:t>19 a 2021</w:t>
      </w:r>
    </w:p>
    <w:p w14:paraId="21B17548" w14:textId="77777777" w:rsidR="006E58D2" w:rsidRPr="00BF2411" w:rsidRDefault="00DA4D31" w:rsidP="006E58D2">
      <w:pPr>
        <w:autoSpaceDE w:val="0"/>
        <w:autoSpaceDN w:val="0"/>
        <w:adjustRightInd w:val="0"/>
        <w:spacing w:before="120" w:after="120"/>
        <w:jc w:val="both"/>
        <w:rPr>
          <w:rFonts w:cs="Arial"/>
        </w:rPr>
      </w:pPr>
      <w:r>
        <w:rPr>
          <w:noProof/>
        </w:rPr>
        <w:drawing>
          <wp:inline distT="0" distB="0" distL="0" distR="0" wp14:anchorId="5045752F" wp14:editId="13AD5E93">
            <wp:extent cx="6120130" cy="5471795"/>
            <wp:effectExtent l="0" t="0" r="13970" b="14605"/>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ED20F3" w14:textId="77777777" w:rsidR="00DA4D31" w:rsidRPr="00D92E20" w:rsidRDefault="00DA4D31" w:rsidP="00DA4D31">
      <w:pPr>
        <w:spacing w:before="120" w:after="120" w:line="240" w:lineRule="auto"/>
        <w:jc w:val="both"/>
        <w:rPr>
          <w:rFonts w:cs="Arial"/>
          <w:color w:val="000000"/>
          <w:sz w:val="16"/>
          <w:szCs w:val="16"/>
        </w:rPr>
      </w:pPr>
      <w:r w:rsidRPr="00D92E20">
        <w:rPr>
          <w:rFonts w:cs="Arial"/>
          <w:color w:val="000000"/>
          <w:sz w:val="16"/>
          <w:szCs w:val="16"/>
        </w:rPr>
        <w:t>Zdroj: ČSÚ</w:t>
      </w:r>
    </w:p>
    <w:p w14:paraId="3715E34B" w14:textId="77777777" w:rsidR="008F77F4" w:rsidRDefault="008F77F4" w:rsidP="008F77F4">
      <w:pPr>
        <w:spacing w:before="120" w:after="120"/>
        <w:jc w:val="both"/>
      </w:pPr>
      <w:r w:rsidRPr="008B2C0B">
        <w:t xml:space="preserve">Odvětvím s největším </w:t>
      </w:r>
      <w:r w:rsidRPr="008B2C0B">
        <w:rPr>
          <w:b/>
        </w:rPr>
        <w:t>nárůstem</w:t>
      </w:r>
      <w:r w:rsidRPr="008B2C0B">
        <w:t xml:space="preserve"> počtu případů pracovní neschopnosti </w:t>
      </w:r>
      <w:r w:rsidRPr="008B2C0B">
        <w:rPr>
          <w:b/>
        </w:rPr>
        <w:t>pro nemoc</w:t>
      </w:r>
      <w:r w:rsidRPr="008B2C0B">
        <w:t xml:space="preserve"> na 100 pojištěnců </w:t>
      </w:r>
      <w:r w:rsidR="008B2C0B" w:rsidRPr="008B2C0B">
        <w:t xml:space="preserve">mezi lety 2019 (tedy obdobím před pandemií) a 2021 byl </w:t>
      </w:r>
      <w:r w:rsidR="008B2C0B" w:rsidRPr="008B2C0B">
        <w:rPr>
          <w:b/>
        </w:rPr>
        <w:t xml:space="preserve">Zpracovatelský průmysl </w:t>
      </w:r>
      <w:r w:rsidR="008B2C0B" w:rsidRPr="008B2C0B">
        <w:t>spolu se sekcí</w:t>
      </w:r>
      <w:r w:rsidR="008B2C0B" w:rsidRPr="008B2C0B">
        <w:rPr>
          <w:b/>
        </w:rPr>
        <w:t xml:space="preserve"> Těžba a dobývání</w:t>
      </w:r>
      <w:r w:rsidRPr="008B2C0B">
        <w:t xml:space="preserve">. Oproti roku 2019 hodnota vzrostla </w:t>
      </w:r>
      <w:r w:rsidR="008B2C0B" w:rsidRPr="008B2C0B">
        <w:t xml:space="preserve">shodně </w:t>
      </w:r>
      <w:r w:rsidRPr="008B2C0B">
        <w:t>o 2</w:t>
      </w:r>
      <w:r w:rsidR="008B2C0B" w:rsidRPr="008B2C0B">
        <w:t>6</w:t>
      </w:r>
      <w:r w:rsidRPr="008B2C0B">
        <w:t xml:space="preserve"> případů. </w:t>
      </w:r>
      <w:r w:rsidR="008B2C0B">
        <w:t xml:space="preserve">Za poslední 2 roky se zvýšil počet případů pro nemoc </w:t>
      </w:r>
      <w:r w:rsidR="008B2C0B">
        <w:lastRenderedPageBreak/>
        <w:t xml:space="preserve">ve všech sekcích. </w:t>
      </w:r>
      <w:r w:rsidR="00896E98">
        <w:t>V sekci Peněžnictví a pojišťovnictví resp. Informační a komunikační činnosti došlo jen k minimálnímu nárůstu.</w:t>
      </w:r>
    </w:p>
    <w:p w14:paraId="5DBD85FE" w14:textId="2BA845D4" w:rsidR="00896E98" w:rsidRPr="00D92E20" w:rsidRDefault="00896E98" w:rsidP="00896E98">
      <w:pPr>
        <w:spacing w:before="120" w:after="120"/>
        <w:jc w:val="both"/>
      </w:pPr>
      <w:r w:rsidRPr="00D92E20">
        <w:t xml:space="preserve">Nejvíce případů dočasné pracovní neschopnosti </w:t>
      </w:r>
      <w:r w:rsidRPr="00D92E20">
        <w:rPr>
          <w:b/>
        </w:rPr>
        <w:t>pro pracovní úraz</w:t>
      </w:r>
      <w:r w:rsidR="00F668BE" w:rsidRPr="00F668BE">
        <w:t xml:space="preserve"> </w:t>
      </w:r>
      <w:r w:rsidR="00F668BE" w:rsidRPr="00D92E20">
        <w:t>na 100 pojištěnců</w:t>
      </w:r>
      <w:r w:rsidRPr="00D92E20">
        <w:t>, což je možné chápat jako ukazatel vyjadřující „stupeň rizikovosti“ daného odvětví, bylo v roce 202</w:t>
      </w:r>
      <w:r>
        <w:t>1</w:t>
      </w:r>
      <w:r w:rsidRPr="00D92E20">
        <w:t xml:space="preserve"> </w:t>
      </w:r>
      <w:r w:rsidRPr="00F130FF">
        <w:t>(ale je již dlouhodobě)</w:t>
      </w:r>
      <w:r>
        <w:t xml:space="preserve"> </w:t>
      </w:r>
      <w:r w:rsidRPr="00D92E20">
        <w:t>evidováno u sekce Zemědělství, lesnictví a rybářství (2,</w:t>
      </w:r>
      <w:r>
        <w:t>5</w:t>
      </w:r>
      <w:r w:rsidRPr="00D92E20">
        <w:t>), následované oblastmi Zásobování vodou; činnosti související s odpady a sanacemi (</w:t>
      </w:r>
      <w:r>
        <w:t>2,0</w:t>
      </w:r>
      <w:r w:rsidRPr="00D92E20">
        <w:t>) a Těžba a dobývání (1,7). Naproti tomu nejméně prac</w:t>
      </w:r>
      <w:r>
        <w:t>ovních úrazů bylo zaznamenáno ve firmách</w:t>
      </w:r>
      <w:r w:rsidRPr="00D92E20">
        <w:t xml:space="preserve"> působících v odvětví Peněžnictví a pojišťovnictví </w:t>
      </w:r>
      <w:r>
        <w:t xml:space="preserve">(0,06) </w:t>
      </w:r>
      <w:r w:rsidRPr="00D92E20">
        <w:t xml:space="preserve">a v oblasti Informační a komunikační činnosti (0,08). </w:t>
      </w:r>
      <w:r>
        <w:t>Jak již bylo zmíněno výše, p</w:t>
      </w:r>
      <w:r w:rsidRPr="00D92E20">
        <w:t>růměrně za všechna odvětví připadal na 100</w:t>
      </w:r>
      <w:r w:rsidR="00DC2A86">
        <w:t> </w:t>
      </w:r>
      <w:r w:rsidRPr="00D92E20">
        <w:t xml:space="preserve">pojištěnců </w:t>
      </w:r>
      <w:r>
        <w:t>1</w:t>
      </w:r>
      <w:r w:rsidRPr="00D92E20">
        <w:t xml:space="preserve"> případ pracovní neschopnosti pro pracovní úraz. Více o pracovních úrazech v kap. 4.5.</w:t>
      </w:r>
    </w:p>
    <w:p w14:paraId="4ACA41A2" w14:textId="77777777" w:rsidR="00896E98" w:rsidRPr="00D92E20" w:rsidRDefault="00896E98" w:rsidP="00896E98">
      <w:pPr>
        <w:pStyle w:val="Seznam"/>
        <w:spacing w:after="0"/>
        <w:contextualSpacing w:val="0"/>
        <w:jc w:val="both"/>
      </w:pPr>
      <w:r w:rsidRPr="00D92E20">
        <w:rPr>
          <w:b/>
        </w:rPr>
        <w:t>Tab. 2.2: Nově hlášené případy dočasné pracovní neschopnosti na 100 pojištěnců podle odvětví (sekce CZ-NACE), 201</w:t>
      </w:r>
      <w:r>
        <w:rPr>
          <w:b/>
        </w:rPr>
        <w:t>1–2021</w:t>
      </w:r>
    </w:p>
    <w:tbl>
      <w:tblPr>
        <w:tblW w:w="9639" w:type="dxa"/>
        <w:tblCellMar>
          <w:left w:w="70" w:type="dxa"/>
          <w:right w:w="70" w:type="dxa"/>
        </w:tblCellMar>
        <w:tblLook w:val="04A0" w:firstRow="1" w:lastRow="0" w:firstColumn="1" w:lastColumn="0" w:noHBand="0" w:noVBand="1"/>
      </w:tblPr>
      <w:tblGrid>
        <w:gridCol w:w="3402"/>
        <w:gridCol w:w="567"/>
        <w:gridCol w:w="567"/>
        <w:gridCol w:w="567"/>
        <w:gridCol w:w="567"/>
        <w:gridCol w:w="567"/>
        <w:gridCol w:w="567"/>
        <w:gridCol w:w="567"/>
        <w:gridCol w:w="567"/>
        <w:gridCol w:w="567"/>
        <w:gridCol w:w="567"/>
        <w:gridCol w:w="567"/>
      </w:tblGrid>
      <w:tr w:rsidR="00896E98" w:rsidRPr="00896E98" w14:paraId="1AC2ED2B" w14:textId="77777777" w:rsidTr="00896E98">
        <w:trPr>
          <w:trHeight w:val="300"/>
        </w:trPr>
        <w:tc>
          <w:tcPr>
            <w:tcW w:w="3402" w:type="dxa"/>
            <w:tcBorders>
              <w:top w:val="single" w:sz="4" w:space="0" w:color="auto"/>
              <w:left w:val="nil"/>
              <w:bottom w:val="single" w:sz="4" w:space="0" w:color="auto"/>
              <w:right w:val="single" w:sz="4" w:space="0" w:color="auto"/>
            </w:tcBorders>
            <w:shd w:val="clear" w:color="000000" w:fill="F5DADD"/>
            <w:noWrap/>
            <w:vAlign w:val="center"/>
            <w:hideMark/>
          </w:tcPr>
          <w:p w14:paraId="4C44ADF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Sekce CZ-NACE</w:t>
            </w:r>
          </w:p>
        </w:tc>
        <w:tc>
          <w:tcPr>
            <w:tcW w:w="567" w:type="dxa"/>
            <w:tcBorders>
              <w:top w:val="single" w:sz="4" w:space="0" w:color="auto"/>
              <w:left w:val="nil"/>
              <w:bottom w:val="single" w:sz="4" w:space="0" w:color="auto"/>
              <w:right w:val="nil"/>
            </w:tcBorders>
            <w:shd w:val="clear" w:color="000000" w:fill="F5DADD"/>
            <w:noWrap/>
            <w:vAlign w:val="center"/>
            <w:hideMark/>
          </w:tcPr>
          <w:p w14:paraId="01D25C2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2011</w:t>
            </w:r>
          </w:p>
        </w:tc>
        <w:tc>
          <w:tcPr>
            <w:tcW w:w="567" w:type="dxa"/>
            <w:tcBorders>
              <w:top w:val="single" w:sz="4" w:space="0" w:color="auto"/>
              <w:left w:val="nil"/>
              <w:bottom w:val="single" w:sz="4" w:space="0" w:color="auto"/>
              <w:right w:val="nil"/>
            </w:tcBorders>
            <w:shd w:val="clear" w:color="000000" w:fill="F5DADD"/>
            <w:noWrap/>
            <w:vAlign w:val="center"/>
            <w:hideMark/>
          </w:tcPr>
          <w:p w14:paraId="7E254CC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2012</w:t>
            </w:r>
          </w:p>
        </w:tc>
        <w:tc>
          <w:tcPr>
            <w:tcW w:w="567" w:type="dxa"/>
            <w:tcBorders>
              <w:top w:val="single" w:sz="4" w:space="0" w:color="auto"/>
              <w:left w:val="nil"/>
              <w:bottom w:val="single" w:sz="4" w:space="0" w:color="auto"/>
              <w:right w:val="nil"/>
            </w:tcBorders>
            <w:shd w:val="clear" w:color="000000" w:fill="F5DADD"/>
            <w:noWrap/>
            <w:vAlign w:val="center"/>
            <w:hideMark/>
          </w:tcPr>
          <w:p w14:paraId="78006D7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2013</w:t>
            </w:r>
          </w:p>
        </w:tc>
        <w:tc>
          <w:tcPr>
            <w:tcW w:w="567" w:type="dxa"/>
            <w:tcBorders>
              <w:top w:val="single" w:sz="4" w:space="0" w:color="auto"/>
              <w:left w:val="nil"/>
              <w:bottom w:val="single" w:sz="4" w:space="0" w:color="auto"/>
              <w:right w:val="nil"/>
            </w:tcBorders>
            <w:shd w:val="clear" w:color="000000" w:fill="F5DADD"/>
            <w:noWrap/>
            <w:vAlign w:val="center"/>
            <w:hideMark/>
          </w:tcPr>
          <w:p w14:paraId="4374CEC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2014</w:t>
            </w:r>
          </w:p>
        </w:tc>
        <w:tc>
          <w:tcPr>
            <w:tcW w:w="567" w:type="dxa"/>
            <w:tcBorders>
              <w:top w:val="single" w:sz="4" w:space="0" w:color="auto"/>
              <w:left w:val="nil"/>
              <w:bottom w:val="single" w:sz="4" w:space="0" w:color="auto"/>
              <w:right w:val="nil"/>
            </w:tcBorders>
            <w:shd w:val="clear" w:color="000000" w:fill="F5DADD"/>
            <w:noWrap/>
            <w:vAlign w:val="center"/>
            <w:hideMark/>
          </w:tcPr>
          <w:p w14:paraId="732E03C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2015</w:t>
            </w:r>
          </w:p>
        </w:tc>
        <w:tc>
          <w:tcPr>
            <w:tcW w:w="567" w:type="dxa"/>
            <w:tcBorders>
              <w:top w:val="single" w:sz="4" w:space="0" w:color="auto"/>
              <w:left w:val="nil"/>
              <w:bottom w:val="single" w:sz="4" w:space="0" w:color="auto"/>
              <w:right w:val="nil"/>
            </w:tcBorders>
            <w:shd w:val="clear" w:color="000000" w:fill="F5DADD"/>
            <w:noWrap/>
            <w:vAlign w:val="center"/>
            <w:hideMark/>
          </w:tcPr>
          <w:p w14:paraId="4753044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2016</w:t>
            </w:r>
          </w:p>
        </w:tc>
        <w:tc>
          <w:tcPr>
            <w:tcW w:w="567" w:type="dxa"/>
            <w:tcBorders>
              <w:top w:val="single" w:sz="4" w:space="0" w:color="auto"/>
              <w:left w:val="nil"/>
              <w:bottom w:val="single" w:sz="4" w:space="0" w:color="auto"/>
              <w:right w:val="nil"/>
            </w:tcBorders>
            <w:shd w:val="clear" w:color="000000" w:fill="F5DADD"/>
            <w:noWrap/>
            <w:vAlign w:val="center"/>
            <w:hideMark/>
          </w:tcPr>
          <w:p w14:paraId="56D86A6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2017</w:t>
            </w:r>
          </w:p>
        </w:tc>
        <w:tc>
          <w:tcPr>
            <w:tcW w:w="567" w:type="dxa"/>
            <w:tcBorders>
              <w:top w:val="single" w:sz="4" w:space="0" w:color="auto"/>
              <w:left w:val="nil"/>
              <w:bottom w:val="single" w:sz="4" w:space="0" w:color="auto"/>
              <w:right w:val="nil"/>
            </w:tcBorders>
            <w:shd w:val="clear" w:color="000000" w:fill="F5DADD"/>
            <w:noWrap/>
            <w:vAlign w:val="center"/>
            <w:hideMark/>
          </w:tcPr>
          <w:p w14:paraId="4777550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2018</w:t>
            </w:r>
          </w:p>
        </w:tc>
        <w:tc>
          <w:tcPr>
            <w:tcW w:w="567" w:type="dxa"/>
            <w:tcBorders>
              <w:top w:val="single" w:sz="4" w:space="0" w:color="auto"/>
              <w:left w:val="nil"/>
              <w:bottom w:val="single" w:sz="4" w:space="0" w:color="auto"/>
              <w:right w:val="nil"/>
            </w:tcBorders>
            <w:shd w:val="clear" w:color="000000" w:fill="F5DADD"/>
            <w:noWrap/>
            <w:vAlign w:val="center"/>
            <w:hideMark/>
          </w:tcPr>
          <w:p w14:paraId="4806A6D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2019</w:t>
            </w:r>
          </w:p>
        </w:tc>
        <w:tc>
          <w:tcPr>
            <w:tcW w:w="567" w:type="dxa"/>
            <w:tcBorders>
              <w:top w:val="single" w:sz="4" w:space="0" w:color="auto"/>
              <w:left w:val="nil"/>
              <w:bottom w:val="single" w:sz="4" w:space="0" w:color="auto"/>
              <w:right w:val="nil"/>
            </w:tcBorders>
            <w:shd w:val="clear" w:color="000000" w:fill="F5DADD"/>
            <w:noWrap/>
            <w:vAlign w:val="center"/>
            <w:hideMark/>
          </w:tcPr>
          <w:p w14:paraId="423A8AA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2020</w:t>
            </w:r>
          </w:p>
        </w:tc>
        <w:tc>
          <w:tcPr>
            <w:tcW w:w="567" w:type="dxa"/>
            <w:tcBorders>
              <w:top w:val="single" w:sz="4" w:space="0" w:color="auto"/>
              <w:left w:val="nil"/>
              <w:bottom w:val="single" w:sz="4" w:space="0" w:color="auto"/>
              <w:right w:val="nil"/>
            </w:tcBorders>
            <w:shd w:val="clear" w:color="000000" w:fill="F5DADD"/>
            <w:noWrap/>
            <w:vAlign w:val="center"/>
            <w:hideMark/>
          </w:tcPr>
          <w:p w14:paraId="5AE4E8C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2021</w:t>
            </w:r>
          </w:p>
        </w:tc>
      </w:tr>
      <w:tr w:rsidR="00896E98" w:rsidRPr="00896E98" w14:paraId="762F1E69"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43113A0D" w14:textId="77777777" w:rsidR="00896E98" w:rsidRPr="00896E98" w:rsidRDefault="00896E98" w:rsidP="00896E98">
            <w:pPr>
              <w:spacing w:after="0" w:line="240" w:lineRule="auto"/>
              <w:rPr>
                <w:rFonts w:cs="Arial"/>
                <w:b/>
                <w:bCs/>
                <w:color w:val="000000"/>
                <w:sz w:val="16"/>
                <w:szCs w:val="16"/>
              </w:rPr>
            </w:pPr>
            <w:r w:rsidRPr="00896E98">
              <w:rPr>
                <w:rFonts w:cs="Arial"/>
                <w:b/>
                <w:bCs/>
                <w:color w:val="000000"/>
                <w:sz w:val="16"/>
                <w:szCs w:val="16"/>
              </w:rPr>
              <w:t xml:space="preserve">Celkem </w:t>
            </w:r>
          </w:p>
        </w:tc>
        <w:tc>
          <w:tcPr>
            <w:tcW w:w="567" w:type="dxa"/>
            <w:tcBorders>
              <w:top w:val="nil"/>
              <w:left w:val="nil"/>
              <w:bottom w:val="nil"/>
              <w:right w:val="nil"/>
            </w:tcBorders>
            <w:shd w:val="clear" w:color="auto" w:fill="auto"/>
            <w:noWrap/>
            <w:vAlign w:val="center"/>
            <w:hideMark/>
          </w:tcPr>
          <w:p w14:paraId="06ECDDBE" w14:textId="77777777" w:rsidR="00896E98" w:rsidRPr="00896E98" w:rsidRDefault="00896E98" w:rsidP="00896E98">
            <w:pPr>
              <w:spacing w:after="0" w:line="240" w:lineRule="auto"/>
              <w:jc w:val="center"/>
              <w:rPr>
                <w:rFonts w:cs="Arial"/>
                <w:b/>
                <w:bCs/>
                <w:color w:val="000000"/>
                <w:sz w:val="16"/>
                <w:szCs w:val="16"/>
              </w:rPr>
            </w:pPr>
            <w:r w:rsidRPr="00896E98">
              <w:rPr>
                <w:rFonts w:cs="Arial"/>
                <w:b/>
                <w:bCs/>
                <w:color w:val="000000"/>
                <w:sz w:val="16"/>
                <w:szCs w:val="16"/>
              </w:rPr>
              <w:t>30,1</w:t>
            </w:r>
          </w:p>
        </w:tc>
        <w:tc>
          <w:tcPr>
            <w:tcW w:w="567" w:type="dxa"/>
            <w:tcBorders>
              <w:top w:val="nil"/>
              <w:left w:val="nil"/>
              <w:bottom w:val="nil"/>
              <w:right w:val="nil"/>
            </w:tcBorders>
            <w:shd w:val="clear" w:color="auto" w:fill="auto"/>
            <w:noWrap/>
            <w:vAlign w:val="center"/>
            <w:hideMark/>
          </w:tcPr>
          <w:p w14:paraId="48036D68" w14:textId="77777777" w:rsidR="00896E98" w:rsidRPr="00896E98" w:rsidRDefault="00896E98" w:rsidP="00896E98">
            <w:pPr>
              <w:spacing w:after="0" w:line="240" w:lineRule="auto"/>
              <w:jc w:val="center"/>
              <w:rPr>
                <w:rFonts w:cs="Arial"/>
                <w:b/>
                <w:bCs/>
                <w:color w:val="000000"/>
                <w:sz w:val="16"/>
                <w:szCs w:val="16"/>
              </w:rPr>
            </w:pPr>
            <w:r w:rsidRPr="00896E98">
              <w:rPr>
                <w:rFonts w:cs="Arial"/>
                <w:b/>
                <w:bCs/>
                <w:color w:val="000000"/>
                <w:sz w:val="16"/>
                <w:szCs w:val="16"/>
              </w:rPr>
              <w:t>27,4</w:t>
            </w:r>
          </w:p>
        </w:tc>
        <w:tc>
          <w:tcPr>
            <w:tcW w:w="567" w:type="dxa"/>
            <w:tcBorders>
              <w:top w:val="nil"/>
              <w:left w:val="nil"/>
              <w:bottom w:val="nil"/>
              <w:right w:val="nil"/>
            </w:tcBorders>
            <w:shd w:val="clear" w:color="auto" w:fill="auto"/>
            <w:noWrap/>
            <w:vAlign w:val="center"/>
            <w:hideMark/>
          </w:tcPr>
          <w:p w14:paraId="46890F24" w14:textId="77777777" w:rsidR="00896E98" w:rsidRPr="00896E98" w:rsidRDefault="00896E98" w:rsidP="00896E98">
            <w:pPr>
              <w:spacing w:after="0" w:line="240" w:lineRule="auto"/>
              <w:jc w:val="center"/>
              <w:rPr>
                <w:rFonts w:cs="Arial"/>
                <w:b/>
                <w:bCs/>
                <w:color w:val="000000"/>
                <w:sz w:val="16"/>
                <w:szCs w:val="16"/>
              </w:rPr>
            </w:pPr>
            <w:r w:rsidRPr="00896E98">
              <w:rPr>
                <w:rFonts w:cs="Arial"/>
                <w:b/>
                <w:bCs/>
                <w:color w:val="000000"/>
                <w:sz w:val="16"/>
                <w:szCs w:val="16"/>
              </w:rPr>
              <w:t>30,0</w:t>
            </w:r>
          </w:p>
        </w:tc>
        <w:tc>
          <w:tcPr>
            <w:tcW w:w="567" w:type="dxa"/>
            <w:tcBorders>
              <w:top w:val="nil"/>
              <w:left w:val="nil"/>
              <w:bottom w:val="nil"/>
              <w:right w:val="nil"/>
            </w:tcBorders>
            <w:shd w:val="clear" w:color="auto" w:fill="auto"/>
            <w:noWrap/>
            <w:vAlign w:val="center"/>
            <w:hideMark/>
          </w:tcPr>
          <w:p w14:paraId="1316A22F" w14:textId="77777777" w:rsidR="00896E98" w:rsidRPr="00896E98" w:rsidRDefault="00896E98" w:rsidP="00896E98">
            <w:pPr>
              <w:spacing w:after="0" w:line="240" w:lineRule="auto"/>
              <w:jc w:val="center"/>
              <w:rPr>
                <w:rFonts w:cs="Arial"/>
                <w:b/>
                <w:bCs/>
                <w:color w:val="000000"/>
                <w:sz w:val="16"/>
                <w:szCs w:val="16"/>
              </w:rPr>
            </w:pPr>
            <w:r w:rsidRPr="00896E98">
              <w:rPr>
                <w:rFonts w:cs="Arial"/>
                <w:b/>
                <w:bCs/>
                <w:color w:val="000000"/>
                <w:sz w:val="16"/>
                <w:szCs w:val="16"/>
              </w:rPr>
              <w:t>29,5</w:t>
            </w:r>
          </w:p>
        </w:tc>
        <w:tc>
          <w:tcPr>
            <w:tcW w:w="567" w:type="dxa"/>
            <w:tcBorders>
              <w:top w:val="nil"/>
              <w:left w:val="nil"/>
              <w:bottom w:val="nil"/>
              <w:right w:val="nil"/>
            </w:tcBorders>
            <w:shd w:val="clear" w:color="auto" w:fill="auto"/>
            <w:noWrap/>
            <w:vAlign w:val="center"/>
            <w:hideMark/>
          </w:tcPr>
          <w:p w14:paraId="6658B133" w14:textId="77777777" w:rsidR="00896E98" w:rsidRPr="00896E98" w:rsidRDefault="00896E98" w:rsidP="00896E98">
            <w:pPr>
              <w:spacing w:after="0" w:line="240" w:lineRule="auto"/>
              <w:jc w:val="center"/>
              <w:rPr>
                <w:rFonts w:cs="Arial"/>
                <w:b/>
                <w:bCs/>
                <w:color w:val="000000"/>
                <w:sz w:val="16"/>
                <w:szCs w:val="16"/>
              </w:rPr>
            </w:pPr>
            <w:r w:rsidRPr="00896E98">
              <w:rPr>
                <w:rFonts w:cs="Arial"/>
                <w:b/>
                <w:bCs/>
                <w:color w:val="000000"/>
                <w:sz w:val="16"/>
                <w:szCs w:val="16"/>
              </w:rPr>
              <w:t>34,7</w:t>
            </w:r>
          </w:p>
        </w:tc>
        <w:tc>
          <w:tcPr>
            <w:tcW w:w="567" w:type="dxa"/>
            <w:tcBorders>
              <w:top w:val="nil"/>
              <w:left w:val="nil"/>
              <w:bottom w:val="nil"/>
              <w:right w:val="nil"/>
            </w:tcBorders>
            <w:shd w:val="clear" w:color="auto" w:fill="auto"/>
            <w:noWrap/>
            <w:vAlign w:val="center"/>
            <w:hideMark/>
          </w:tcPr>
          <w:p w14:paraId="7392E058" w14:textId="77777777" w:rsidR="00896E98" w:rsidRPr="00896E98" w:rsidRDefault="00896E98" w:rsidP="00896E98">
            <w:pPr>
              <w:spacing w:after="0" w:line="240" w:lineRule="auto"/>
              <w:jc w:val="center"/>
              <w:rPr>
                <w:rFonts w:cs="Arial"/>
                <w:b/>
                <w:bCs/>
                <w:color w:val="000000"/>
                <w:sz w:val="16"/>
                <w:szCs w:val="16"/>
              </w:rPr>
            </w:pPr>
            <w:r w:rsidRPr="00896E98">
              <w:rPr>
                <w:rFonts w:cs="Arial"/>
                <w:b/>
                <w:bCs/>
                <w:color w:val="000000"/>
                <w:sz w:val="16"/>
                <w:szCs w:val="16"/>
              </w:rPr>
              <w:t>35,7</w:t>
            </w:r>
          </w:p>
        </w:tc>
        <w:tc>
          <w:tcPr>
            <w:tcW w:w="567" w:type="dxa"/>
            <w:tcBorders>
              <w:top w:val="nil"/>
              <w:left w:val="nil"/>
              <w:bottom w:val="nil"/>
              <w:right w:val="nil"/>
            </w:tcBorders>
            <w:shd w:val="clear" w:color="auto" w:fill="auto"/>
            <w:noWrap/>
            <w:vAlign w:val="center"/>
            <w:hideMark/>
          </w:tcPr>
          <w:p w14:paraId="64B5829B" w14:textId="77777777" w:rsidR="00896E98" w:rsidRPr="00896E98" w:rsidRDefault="00896E98" w:rsidP="00896E98">
            <w:pPr>
              <w:spacing w:after="0" w:line="240" w:lineRule="auto"/>
              <w:jc w:val="center"/>
              <w:rPr>
                <w:rFonts w:cs="Arial"/>
                <w:b/>
                <w:bCs/>
                <w:color w:val="000000"/>
                <w:sz w:val="16"/>
                <w:szCs w:val="16"/>
              </w:rPr>
            </w:pPr>
            <w:r w:rsidRPr="00896E98">
              <w:rPr>
                <w:rFonts w:cs="Arial"/>
                <w:b/>
                <w:bCs/>
                <w:color w:val="000000"/>
                <w:sz w:val="16"/>
                <w:szCs w:val="16"/>
              </w:rPr>
              <w:t>36,6</w:t>
            </w:r>
          </w:p>
        </w:tc>
        <w:tc>
          <w:tcPr>
            <w:tcW w:w="567" w:type="dxa"/>
            <w:tcBorders>
              <w:top w:val="nil"/>
              <w:left w:val="nil"/>
              <w:bottom w:val="nil"/>
              <w:right w:val="nil"/>
            </w:tcBorders>
            <w:shd w:val="clear" w:color="auto" w:fill="auto"/>
            <w:noWrap/>
            <w:vAlign w:val="center"/>
            <w:hideMark/>
          </w:tcPr>
          <w:p w14:paraId="22607137" w14:textId="77777777" w:rsidR="00896E98" w:rsidRPr="00896E98" w:rsidRDefault="00896E98" w:rsidP="00896E98">
            <w:pPr>
              <w:spacing w:after="0" w:line="240" w:lineRule="auto"/>
              <w:jc w:val="center"/>
              <w:rPr>
                <w:rFonts w:cs="Arial"/>
                <w:b/>
                <w:bCs/>
                <w:color w:val="000000"/>
                <w:sz w:val="16"/>
                <w:szCs w:val="16"/>
              </w:rPr>
            </w:pPr>
            <w:r w:rsidRPr="00896E98">
              <w:rPr>
                <w:rFonts w:cs="Arial"/>
                <w:b/>
                <w:bCs/>
                <w:color w:val="000000"/>
                <w:sz w:val="16"/>
                <w:szCs w:val="16"/>
              </w:rPr>
              <w:t>39,1</w:t>
            </w:r>
          </w:p>
        </w:tc>
        <w:tc>
          <w:tcPr>
            <w:tcW w:w="567" w:type="dxa"/>
            <w:tcBorders>
              <w:top w:val="nil"/>
              <w:left w:val="nil"/>
              <w:bottom w:val="nil"/>
              <w:right w:val="nil"/>
            </w:tcBorders>
            <w:shd w:val="clear" w:color="auto" w:fill="auto"/>
            <w:noWrap/>
            <w:vAlign w:val="center"/>
            <w:hideMark/>
          </w:tcPr>
          <w:p w14:paraId="68E41CF3" w14:textId="77777777" w:rsidR="00896E98" w:rsidRPr="00896E98" w:rsidRDefault="00896E98" w:rsidP="00896E98">
            <w:pPr>
              <w:spacing w:after="0" w:line="240" w:lineRule="auto"/>
              <w:jc w:val="center"/>
              <w:rPr>
                <w:rFonts w:cs="Arial"/>
                <w:b/>
                <w:bCs/>
                <w:color w:val="000000"/>
                <w:sz w:val="16"/>
                <w:szCs w:val="16"/>
              </w:rPr>
            </w:pPr>
            <w:r w:rsidRPr="00896E98">
              <w:rPr>
                <w:rFonts w:cs="Arial"/>
                <w:b/>
                <w:bCs/>
                <w:color w:val="000000"/>
                <w:sz w:val="16"/>
                <w:szCs w:val="16"/>
              </w:rPr>
              <w:t>40,5</w:t>
            </w:r>
          </w:p>
        </w:tc>
        <w:tc>
          <w:tcPr>
            <w:tcW w:w="567" w:type="dxa"/>
            <w:tcBorders>
              <w:top w:val="nil"/>
              <w:left w:val="nil"/>
              <w:bottom w:val="nil"/>
              <w:right w:val="nil"/>
            </w:tcBorders>
            <w:shd w:val="clear" w:color="auto" w:fill="auto"/>
            <w:noWrap/>
            <w:vAlign w:val="center"/>
            <w:hideMark/>
          </w:tcPr>
          <w:p w14:paraId="12378B8B" w14:textId="77777777" w:rsidR="00896E98" w:rsidRPr="00896E98" w:rsidRDefault="00896E98" w:rsidP="00896E98">
            <w:pPr>
              <w:spacing w:after="0" w:line="240" w:lineRule="auto"/>
              <w:jc w:val="center"/>
              <w:rPr>
                <w:rFonts w:cs="Arial"/>
                <w:b/>
                <w:bCs/>
                <w:color w:val="000000"/>
                <w:sz w:val="16"/>
                <w:szCs w:val="16"/>
              </w:rPr>
            </w:pPr>
            <w:r w:rsidRPr="00896E98">
              <w:rPr>
                <w:rFonts w:cs="Arial"/>
                <w:b/>
                <w:bCs/>
                <w:color w:val="000000"/>
                <w:sz w:val="16"/>
                <w:szCs w:val="16"/>
              </w:rPr>
              <w:t>51,0</w:t>
            </w:r>
          </w:p>
        </w:tc>
        <w:tc>
          <w:tcPr>
            <w:tcW w:w="567" w:type="dxa"/>
            <w:tcBorders>
              <w:top w:val="nil"/>
              <w:left w:val="nil"/>
              <w:bottom w:val="nil"/>
              <w:right w:val="nil"/>
            </w:tcBorders>
            <w:shd w:val="clear" w:color="auto" w:fill="auto"/>
            <w:noWrap/>
            <w:vAlign w:val="center"/>
            <w:hideMark/>
          </w:tcPr>
          <w:p w14:paraId="77F1113C" w14:textId="77777777" w:rsidR="00896E98" w:rsidRPr="00896E98" w:rsidRDefault="00896E98" w:rsidP="00896E98">
            <w:pPr>
              <w:spacing w:after="0" w:line="240" w:lineRule="auto"/>
              <w:jc w:val="center"/>
              <w:rPr>
                <w:rFonts w:cs="Arial"/>
                <w:b/>
                <w:bCs/>
                <w:color w:val="000000"/>
                <w:sz w:val="16"/>
                <w:szCs w:val="16"/>
              </w:rPr>
            </w:pPr>
            <w:r>
              <w:rPr>
                <w:rFonts w:cs="Arial"/>
                <w:b/>
                <w:bCs/>
                <w:color w:val="000000"/>
                <w:sz w:val="16"/>
                <w:szCs w:val="16"/>
              </w:rPr>
              <w:t>58,5</w:t>
            </w:r>
          </w:p>
        </w:tc>
      </w:tr>
      <w:tr w:rsidR="00896E98" w:rsidRPr="00896E98" w14:paraId="5685555E"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08AE867A"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A – Zemědělství, lesnictví a rybářství</w:t>
            </w:r>
          </w:p>
        </w:tc>
        <w:tc>
          <w:tcPr>
            <w:tcW w:w="567" w:type="dxa"/>
            <w:tcBorders>
              <w:top w:val="nil"/>
              <w:left w:val="nil"/>
              <w:bottom w:val="nil"/>
              <w:right w:val="nil"/>
            </w:tcBorders>
            <w:shd w:val="clear" w:color="auto" w:fill="auto"/>
            <w:noWrap/>
            <w:vAlign w:val="center"/>
            <w:hideMark/>
          </w:tcPr>
          <w:p w14:paraId="2A69B23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26,9</w:t>
            </w:r>
          </w:p>
        </w:tc>
        <w:tc>
          <w:tcPr>
            <w:tcW w:w="567" w:type="dxa"/>
            <w:tcBorders>
              <w:top w:val="nil"/>
              <w:left w:val="nil"/>
              <w:bottom w:val="nil"/>
              <w:right w:val="nil"/>
            </w:tcBorders>
            <w:shd w:val="clear" w:color="auto" w:fill="auto"/>
            <w:noWrap/>
            <w:vAlign w:val="center"/>
            <w:hideMark/>
          </w:tcPr>
          <w:p w14:paraId="33E5BA4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24,4</w:t>
            </w:r>
          </w:p>
        </w:tc>
        <w:tc>
          <w:tcPr>
            <w:tcW w:w="567" w:type="dxa"/>
            <w:tcBorders>
              <w:top w:val="nil"/>
              <w:left w:val="nil"/>
              <w:bottom w:val="nil"/>
              <w:right w:val="nil"/>
            </w:tcBorders>
            <w:shd w:val="clear" w:color="auto" w:fill="auto"/>
            <w:noWrap/>
            <w:vAlign w:val="center"/>
            <w:hideMark/>
          </w:tcPr>
          <w:p w14:paraId="0F28CDC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27,4</w:t>
            </w:r>
          </w:p>
        </w:tc>
        <w:tc>
          <w:tcPr>
            <w:tcW w:w="567" w:type="dxa"/>
            <w:tcBorders>
              <w:top w:val="nil"/>
              <w:left w:val="nil"/>
              <w:bottom w:val="nil"/>
              <w:right w:val="nil"/>
            </w:tcBorders>
            <w:shd w:val="clear" w:color="auto" w:fill="auto"/>
            <w:noWrap/>
            <w:vAlign w:val="center"/>
            <w:hideMark/>
          </w:tcPr>
          <w:p w14:paraId="2B6C034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26,5</w:t>
            </w:r>
          </w:p>
        </w:tc>
        <w:tc>
          <w:tcPr>
            <w:tcW w:w="567" w:type="dxa"/>
            <w:tcBorders>
              <w:top w:val="nil"/>
              <w:left w:val="nil"/>
              <w:bottom w:val="nil"/>
              <w:right w:val="nil"/>
            </w:tcBorders>
            <w:shd w:val="clear" w:color="auto" w:fill="auto"/>
            <w:noWrap/>
            <w:vAlign w:val="center"/>
            <w:hideMark/>
          </w:tcPr>
          <w:p w14:paraId="69C73B9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30,6</w:t>
            </w:r>
          </w:p>
        </w:tc>
        <w:tc>
          <w:tcPr>
            <w:tcW w:w="567" w:type="dxa"/>
            <w:tcBorders>
              <w:top w:val="nil"/>
              <w:left w:val="nil"/>
              <w:bottom w:val="nil"/>
              <w:right w:val="nil"/>
            </w:tcBorders>
            <w:shd w:val="clear" w:color="auto" w:fill="auto"/>
            <w:noWrap/>
            <w:vAlign w:val="center"/>
            <w:hideMark/>
          </w:tcPr>
          <w:p w14:paraId="1B453C6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30,9</w:t>
            </w:r>
          </w:p>
        </w:tc>
        <w:tc>
          <w:tcPr>
            <w:tcW w:w="567" w:type="dxa"/>
            <w:tcBorders>
              <w:top w:val="nil"/>
              <w:left w:val="nil"/>
              <w:bottom w:val="nil"/>
              <w:right w:val="nil"/>
            </w:tcBorders>
            <w:shd w:val="clear" w:color="auto" w:fill="auto"/>
            <w:noWrap/>
            <w:vAlign w:val="center"/>
            <w:hideMark/>
          </w:tcPr>
          <w:p w14:paraId="4A2A6E77"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32,4</w:t>
            </w:r>
          </w:p>
        </w:tc>
        <w:tc>
          <w:tcPr>
            <w:tcW w:w="567" w:type="dxa"/>
            <w:tcBorders>
              <w:top w:val="nil"/>
              <w:left w:val="nil"/>
              <w:bottom w:val="nil"/>
              <w:right w:val="nil"/>
            </w:tcBorders>
            <w:shd w:val="clear" w:color="auto" w:fill="auto"/>
            <w:noWrap/>
            <w:vAlign w:val="center"/>
            <w:hideMark/>
          </w:tcPr>
          <w:p w14:paraId="58DCB687"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34,4</w:t>
            </w:r>
          </w:p>
        </w:tc>
        <w:tc>
          <w:tcPr>
            <w:tcW w:w="567" w:type="dxa"/>
            <w:tcBorders>
              <w:top w:val="nil"/>
              <w:left w:val="nil"/>
              <w:bottom w:val="nil"/>
              <w:right w:val="nil"/>
            </w:tcBorders>
            <w:shd w:val="clear" w:color="auto" w:fill="auto"/>
            <w:noWrap/>
            <w:vAlign w:val="center"/>
            <w:hideMark/>
          </w:tcPr>
          <w:p w14:paraId="2653371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34,6</w:t>
            </w:r>
          </w:p>
        </w:tc>
        <w:tc>
          <w:tcPr>
            <w:tcW w:w="567" w:type="dxa"/>
            <w:tcBorders>
              <w:top w:val="nil"/>
              <w:left w:val="nil"/>
              <w:bottom w:val="nil"/>
              <w:right w:val="nil"/>
            </w:tcBorders>
            <w:shd w:val="clear" w:color="auto" w:fill="auto"/>
            <w:noWrap/>
            <w:vAlign w:val="center"/>
            <w:hideMark/>
          </w:tcPr>
          <w:p w14:paraId="6174D28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43,0</w:t>
            </w:r>
          </w:p>
        </w:tc>
        <w:tc>
          <w:tcPr>
            <w:tcW w:w="567" w:type="dxa"/>
            <w:tcBorders>
              <w:top w:val="nil"/>
              <w:left w:val="nil"/>
              <w:bottom w:val="nil"/>
              <w:right w:val="nil"/>
            </w:tcBorders>
            <w:shd w:val="clear" w:color="auto" w:fill="auto"/>
            <w:noWrap/>
            <w:vAlign w:val="center"/>
            <w:hideMark/>
          </w:tcPr>
          <w:p w14:paraId="59BD8432"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52,8</w:t>
            </w:r>
          </w:p>
        </w:tc>
      </w:tr>
      <w:tr w:rsidR="00896E98" w:rsidRPr="00896E98" w14:paraId="4082CF79"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5428E3DE"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B – Těžba a dobývání</w:t>
            </w:r>
          </w:p>
        </w:tc>
        <w:tc>
          <w:tcPr>
            <w:tcW w:w="567" w:type="dxa"/>
            <w:tcBorders>
              <w:top w:val="nil"/>
              <w:left w:val="nil"/>
              <w:bottom w:val="nil"/>
              <w:right w:val="nil"/>
            </w:tcBorders>
            <w:shd w:val="clear" w:color="auto" w:fill="auto"/>
            <w:noWrap/>
            <w:vAlign w:val="center"/>
            <w:hideMark/>
          </w:tcPr>
          <w:p w14:paraId="3FBAAAF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39,1</w:t>
            </w:r>
          </w:p>
        </w:tc>
        <w:tc>
          <w:tcPr>
            <w:tcW w:w="567" w:type="dxa"/>
            <w:tcBorders>
              <w:top w:val="nil"/>
              <w:left w:val="nil"/>
              <w:bottom w:val="nil"/>
              <w:right w:val="nil"/>
            </w:tcBorders>
            <w:shd w:val="clear" w:color="auto" w:fill="auto"/>
            <w:noWrap/>
            <w:vAlign w:val="center"/>
            <w:hideMark/>
          </w:tcPr>
          <w:p w14:paraId="773EA8F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36,5</w:t>
            </w:r>
          </w:p>
        </w:tc>
        <w:tc>
          <w:tcPr>
            <w:tcW w:w="567" w:type="dxa"/>
            <w:tcBorders>
              <w:top w:val="nil"/>
              <w:left w:val="nil"/>
              <w:bottom w:val="nil"/>
              <w:right w:val="nil"/>
            </w:tcBorders>
            <w:shd w:val="clear" w:color="auto" w:fill="auto"/>
            <w:noWrap/>
            <w:vAlign w:val="center"/>
            <w:hideMark/>
          </w:tcPr>
          <w:p w14:paraId="39E4EBA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38,9</w:t>
            </w:r>
          </w:p>
        </w:tc>
        <w:tc>
          <w:tcPr>
            <w:tcW w:w="567" w:type="dxa"/>
            <w:tcBorders>
              <w:top w:val="nil"/>
              <w:left w:val="nil"/>
              <w:bottom w:val="nil"/>
              <w:right w:val="nil"/>
            </w:tcBorders>
            <w:shd w:val="clear" w:color="auto" w:fill="auto"/>
            <w:noWrap/>
            <w:vAlign w:val="center"/>
            <w:hideMark/>
          </w:tcPr>
          <w:p w14:paraId="1E30B93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36,0</w:t>
            </w:r>
          </w:p>
        </w:tc>
        <w:tc>
          <w:tcPr>
            <w:tcW w:w="567" w:type="dxa"/>
            <w:tcBorders>
              <w:top w:val="nil"/>
              <w:left w:val="nil"/>
              <w:bottom w:val="nil"/>
              <w:right w:val="nil"/>
            </w:tcBorders>
            <w:shd w:val="clear" w:color="auto" w:fill="auto"/>
            <w:noWrap/>
            <w:vAlign w:val="center"/>
            <w:hideMark/>
          </w:tcPr>
          <w:p w14:paraId="4E3F17A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39,7</w:t>
            </w:r>
          </w:p>
        </w:tc>
        <w:tc>
          <w:tcPr>
            <w:tcW w:w="567" w:type="dxa"/>
            <w:tcBorders>
              <w:top w:val="nil"/>
              <w:left w:val="nil"/>
              <w:bottom w:val="nil"/>
              <w:right w:val="nil"/>
            </w:tcBorders>
            <w:shd w:val="clear" w:color="auto" w:fill="auto"/>
            <w:noWrap/>
            <w:vAlign w:val="center"/>
            <w:hideMark/>
          </w:tcPr>
          <w:p w14:paraId="657B27E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39,7</w:t>
            </w:r>
          </w:p>
        </w:tc>
        <w:tc>
          <w:tcPr>
            <w:tcW w:w="567" w:type="dxa"/>
            <w:tcBorders>
              <w:top w:val="nil"/>
              <w:left w:val="nil"/>
              <w:bottom w:val="nil"/>
              <w:right w:val="nil"/>
            </w:tcBorders>
            <w:shd w:val="clear" w:color="auto" w:fill="auto"/>
            <w:noWrap/>
            <w:vAlign w:val="center"/>
            <w:hideMark/>
          </w:tcPr>
          <w:p w14:paraId="40B59DC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39,5</w:t>
            </w:r>
          </w:p>
        </w:tc>
        <w:tc>
          <w:tcPr>
            <w:tcW w:w="567" w:type="dxa"/>
            <w:tcBorders>
              <w:top w:val="nil"/>
              <w:left w:val="nil"/>
              <w:bottom w:val="nil"/>
              <w:right w:val="nil"/>
            </w:tcBorders>
            <w:shd w:val="clear" w:color="auto" w:fill="auto"/>
            <w:noWrap/>
            <w:vAlign w:val="center"/>
            <w:hideMark/>
          </w:tcPr>
          <w:p w14:paraId="1272E09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42,7</w:t>
            </w:r>
          </w:p>
        </w:tc>
        <w:tc>
          <w:tcPr>
            <w:tcW w:w="567" w:type="dxa"/>
            <w:tcBorders>
              <w:top w:val="nil"/>
              <w:left w:val="nil"/>
              <w:bottom w:val="nil"/>
              <w:right w:val="nil"/>
            </w:tcBorders>
            <w:shd w:val="clear" w:color="auto" w:fill="auto"/>
            <w:noWrap/>
            <w:vAlign w:val="center"/>
            <w:hideMark/>
          </w:tcPr>
          <w:p w14:paraId="5C1EE00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44,5</w:t>
            </w:r>
          </w:p>
        </w:tc>
        <w:tc>
          <w:tcPr>
            <w:tcW w:w="567" w:type="dxa"/>
            <w:tcBorders>
              <w:top w:val="nil"/>
              <w:left w:val="nil"/>
              <w:bottom w:val="nil"/>
              <w:right w:val="nil"/>
            </w:tcBorders>
            <w:shd w:val="clear" w:color="auto" w:fill="auto"/>
            <w:noWrap/>
            <w:vAlign w:val="center"/>
            <w:hideMark/>
          </w:tcPr>
          <w:p w14:paraId="2784C72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71,1</w:t>
            </w:r>
          </w:p>
        </w:tc>
        <w:tc>
          <w:tcPr>
            <w:tcW w:w="567" w:type="dxa"/>
            <w:tcBorders>
              <w:top w:val="nil"/>
              <w:left w:val="nil"/>
              <w:bottom w:val="nil"/>
              <w:right w:val="nil"/>
            </w:tcBorders>
            <w:shd w:val="clear" w:color="auto" w:fill="auto"/>
            <w:noWrap/>
            <w:vAlign w:val="center"/>
            <w:hideMark/>
          </w:tcPr>
          <w:p w14:paraId="2BD90ADF"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70,1</w:t>
            </w:r>
          </w:p>
        </w:tc>
      </w:tr>
      <w:tr w:rsidR="00896E98" w:rsidRPr="00896E98" w14:paraId="233704B6"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755E3337"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C – Zpracovatelský průmysl</w:t>
            </w:r>
          </w:p>
        </w:tc>
        <w:tc>
          <w:tcPr>
            <w:tcW w:w="567" w:type="dxa"/>
            <w:tcBorders>
              <w:top w:val="nil"/>
              <w:left w:val="nil"/>
              <w:bottom w:val="nil"/>
              <w:right w:val="nil"/>
            </w:tcBorders>
            <w:shd w:val="clear" w:color="auto" w:fill="auto"/>
            <w:noWrap/>
            <w:vAlign w:val="center"/>
            <w:hideMark/>
          </w:tcPr>
          <w:p w14:paraId="39DFB227"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37,5</w:t>
            </w:r>
          </w:p>
        </w:tc>
        <w:tc>
          <w:tcPr>
            <w:tcW w:w="567" w:type="dxa"/>
            <w:tcBorders>
              <w:top w:val="nil"/>
              <w:left w:val="nil"/>
              <w:bottom w:val="nil"/>
              <w:right w:val="nil"/>
            </w:tcBorders>
            <w:shd w:val="clear" w:color="auto" w:fill="auto"/>
            <w:noWrap/>
            <w:vAlign w:val="center"/>
            <w:hideMark/>
          </w:tcPr>
          <w:p w14:paraId="55C24EAB"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33,9</w:t>
            </w:r>
          </w:p>
        </w:tc>
        <w:tc>
          <w:tcPr>
            <w:tcW w:w="567" w:type="dxa"/>
            <w:tcBorders>
              <w:top w:val="nil"/>
              <w:left w:val="nil"/>
              <w:bottom w:val="nil"/>
              <w:right w:val="nil"/>
            </w:tcBorders>
            <w:shd w:val="clear" w:color="auto" w:fill="auto"/>
            <w:noWrap/>
            <w:vAlign w:val="center"/>
            <w:hideMark/>
          </w:tcPr>
          <w:p w14:paraId="1A50E16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37,6</w:t>
            </w:r>
          </w:p>
        </w:tc>
        <w:tc>
          <w:tcPr>
            <w:tcW w:w="567" w:type="dxa"/>
            <w:tcBorders>
              <w:top w:val="nil"/>
              <w:left w:val="nil"/>
              <w:bottom w:val="nil"/>
              <w:right w:val="nil"/>
            </w:tcBorders>
            <w:shd w:val="clear" w:color="auto" w:fill="auto"/>
            <w:noWrap/>
            <w:vAlign w:val="center"/>
            <w:hideMark/>
          </w:tcPr>
          <w:p w14:paraId="2BE4A3E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37,7</w:t>
            </w:r>
          </w:p>
        </w:tc>
        <w:tc>
          <w:tcPr>
            <w:tcW w:w="567" w:type="dxa"/>
            <w:tcBorders>
              <w:top w:val="nil"/>
              <w:left w:val="nil"/>
              <w:bottom w:val="nil"/>
              <w:right w:val="nil"/>
            </w:tcBorders>
            <w:shd w:val="clear" w:color="auto" w:fill="auto"/>
            <w:noWrap/>
            <w:vAlign w:val="center"/>
            <w:hideMark/>
          </w:tcPr>
          <w:p w14:paraId="7D70D38B"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45,1</w:t>
            </w:r>
          </w:p>
        </w:tc>
        <w:tc>
          <w:tcPr>
            <w:tcW w:w="567" w:type="dxa"/>
            <w:tcBorders>
              <w:top w:val="nil"/>
              <w:left w:val="nil"/>
              <w:bottom w:val="nil"/>
              <w:right w:val="nil"/>
            </w:tcBorders>
            <w:shd w:val="clear" w:color="auto" w:fill="auto"/>
            <w:noWrap/>
            <w:vAlign w:val="center"/>
            <w:hideMark/>
          </w:tcPr>
          <w:p w14:paraId="6C707AA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47,2</w:t>
            </w:r>
          </w:p>
        </w:tc>
        <w:tc>
          <w:tcPr>
            <w:tcW w:w="567" w:type="dxa"/>
            <w:tcBorders>
              <w:top w:val="nil"/>
              <w:left w:val="nil"/>
              <w:bottom w:val="nil"/>
              <w:right w:val="nil"/>
            </w:tcBorders>
            <w:shd w:val="clear" w:color="auto" w:fill="auto"/>
            <w:noWrap/>
            <w:vAlign w:val="center"/>
            <w:hideMark/>
          </w:tcPr>
          <w:p w14:paraId="321E159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48,2</w:t>
            </w:r>
          </w:p>
        </w:tc>
        <w:tc>
          <w:tcPr>
            <w:tcW w:w="567" w:type="dxa"/>
            <w:tcBorders>
              <w:top w:val="nil"/>
              <w:left w:val="nil"/>
              <w:bottom w:val="nil"/>
              <w:right w:val="nil"/>
            </w:tcBorders>
            <w:shd w:val="clear" w:color="auto" w:fill="auto"/>
            <w:noWrap/>
            <w:vAlign w:val="center"/>
            <w:hideMark/>
          </w:tcPr>
          <w:p w14:paraId="472EE8E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51,8</w:t>
            </w:r>
          </w:p>
        </w:tc>
        <w:tc>
          <w:tcPr>
            <w:tcW w:w="567" w:type="dxa"/>
            <w:tcBorders>
              <w:top w:val="nil"/>
              <w:left w:val="nil"/>
              <w:bottom w:val="nil"/>
              <w:right w:val="nil"/>
            </w:tcBorders>
            <w:shd w:val="clear" w:color="auto" w:fill="auto"/>
            <w:noWrap/>
            <w:vAlign w:val="center"/>
            <w:hideMark/>
          </w:tcPr>
          <w:p w14:paraId="6DA9650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53,9</w:t>
            </w:r>
          </w:p>
        </w:tc>
        <w:tc>
          <w:tcPr>
            <w:tcW w:w="567" w:type="dxa"/>
            <w:tcBorders>
              <w:top w:val="nil"/>
              <w:left w:val="nil"/>
              <w:bottom w:val="nil"/>
              <w:right w:val="nil"/>
            </w:tcBorders>
            <w:shd w:val="clear" w:color="auto" w:fill="auto"/>
            <w:noWrap/>
            <w:vAlign w:val="center"/>
            <w:hideMark/>
          </w:tcPr>
          <w:p w14:paraId="169543C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67,1</w:t>
            </w:r>
          </w:p>
        </w:tc>
        <w:tc>
          <w:tcPr>
            <w:tcW w:w="567" w:type="dxa"/>
            <w:tcBorders>
              <w:top w:val="nil"/>
              <w:left w:val="nil"/>
              <w:bottom w:val="nil"/>
              <w:right w:val="nil"/>
            </w:tcBorders>
            <w:shd w:val="clear" w:color="auto" w:fill="auto"/>
            <w:noWrap/>
            <w:vAlign w:val="center"/>
            <w:hideMark/>
          </w:tcPr>
          <w:p w14:paraId="77556CAC"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80,4</w:t>
            </w:r>
          </w:p>
        </w:tc>
      </w:tr>
      <w:tr w:rsidR="00896E98" w:rsidRPr="00896E98" w14:paraId="3B3165A3" w14:textId="77777777" w:rsidTr="00896E98">
        <w:trPr>
          <w:trHeight w:val="480"/>
        </w:trPr>
        <w:tc>
          <w:tcPr>
            <w:tcW w:w="3402" w:type="dxa"/>
            <w:tcBorders>
              <w:top w:val="nil"/>
              <w:left w:val="nil"/>
              <w:bottom w:val="nil"/>
              <w:right w:val="single" w:sz="4" w:space="0" w:color="auto"/>
            </w:tcBorders>
            <w:shd w:val="clear" w:color="auto" w:fill="auto"/>
            <w:vAlign w:val="center"/>
            <w:hideMark/>
          </w:tcPr>
          <w:p w14:paraId="10BC8845"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 xml:space="preserve">D – Výroba a rozvod elektřiny, plynu, </w:t>
            </w:r>
            <w:r w:rsidRPr="00896E98">
              <w:rPr>
                <w:rFonts w:cs="Arial"/>
                <w:color w:val="000000"/>
                <w:sz w:val="16"/>
                <w:szCs w:val="16"/>
              </w:rPr>
              <w:br/>
              <w:t xml:space="preserve">       </w:t>
            </w:r>
            <w:r>
              <w:rPr>
                <w:rFonts w:cs="Arial"/>
                <w:color w:val="000000"/>
                <w:sz w:val="16"/>
                <w:szCs w:val="16"/>
              </w:rPr>
              <w:t xml:space="preserve">   </w:t>
            </w:r>
            <w:r w:rsidRPr="00896E98">
              <w:rPr>
                <w:rFonts w:cs="Arial"/>
                <w:color w:val="000000"/>
                <w:sz w:val="16"/>
                <w:szCs w:val="16"/>
              </w:rPr>
              <w:t>tepla a klimatiz</w:t>
            </w:r>
            <w:r>
              <w:rPr>
                <w:rFonts w:cs="Arial"/>
                <w:color w:val="000000"/>
                <w:sz w:val="16"/>
                <w:szCs w:val="16"/>
              </w:rPr>
              <w:t>ovaného</w:t>
            </w:r>
            <w:r w:rsidRPr="00896E98">
              <w:rPr>
                <w:rFonts w:cs="Arial"/>
                <w:color w:val="000000"/>
                <w:sz w:val="16"/>
                <w:szCs w:val="16"/>
              </w:rPr>
              <w:t xml:space="preserve"> vzduchu</w:t>
            </w:r>
          </w:p>
        </w:tc>
        <w:tc>
          <w:tcPr>
            <w:tcW w:w="567" w:type="dxa"/>
            <w:tcBorders>
              <w:top w:val="nil"/>
              <w:left w:val="nil"/>
              <w:bottom w:val="nil"/>
              <w:right w:val="nil"/>
            </w:tcBorders>
            <w:shd w:val="clear" w:color="auto" w:fill="auto"/>
            <w:noWrap/>
            <w:vAlign w:val="center"/>
            <w:hideMark/>
          </w:tcPr>
          <w:p w14:paraId="2BC483D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19,3</w:t>
            </w:r>
          </w:p>
        </w:tc>
        <w:tc>
          <w:tcPr>
            <w:tcW w:w="567" w:type="dxa"/>
            <w:tcBorders>
              <w:top w:val="nil"/>
              <w:left w:val="nil"/>
              <w:bottom w:val="nil"/>
              <w:right w:val="nil"/>
            </w:tcBorders>
            <w:shd w:val="clear" w:color="auto" w:fill="auto"/>
            <w:noWrap/>
            <w:vAlign w:val="center"/>
            <w:hideMark/>
          </w:tcPr>
          <w:p w14:paraId="2D03124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16,7</w:t>
            </w:r>
          </w:p>
        </w:tc>
        <w:tc>
          <w:tcPr>
            <w:tcW w:w="567" w:type="dxa"/>
            <w:tcBorders>
              <w:top w:val="nil"/>
              <w:left w:val="nil"/>
              <w:bottom w:val="nil"/>
              <w:right w:val="nil"/>
            </w:tcBorders>
            <w:shd w:val="clear" w:color="auto" w:fill="auto"/>
            <w:noWrap/>
            <w:vAlign w:val="center"/>
            <w:hideMark/>
          </w:tcPr>
          <w:p w14:paraId="69E1A7C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20,2</w:t>
            </w:r>
          </w:p>
        </w:tc>
        <w:tc>
          <w:tcPr>
            <w:tcW w:w="567" w:type="dxa"/>
            <w:tcBorders>
              <w:top w:val="nil"/>
              <w:left w:val="nil"/>
              <w:bottom w:val="nil"/>
              <w:right w:val="nil"/>
            </w:tcBorders>
            <w:shd w:val="clear" w:color="auto" w:fill="auto"/>
            <w:noWrap/>
            <w:vAlign w:val="center"/>
            <w:hideMark/>
          </w:tcPr>
          <w:p w14:paraId="10ED6F2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19,7</w:t>
            </w:r>
          </w:p>
        </w:tc>
        <w:tc>
          <w:tcPr>
            <w:tcW w:w="567" w:type="dxa"/>
            <w:tcBorders>
              <w:top w:val="nil"/>
              <w:left w:val="nil"/>
              <w:bottom w:val="nil"/>
              <w:right w:val="nil"/>
            </w:tcBorders>
            <w:shd w:val="clear" w:color="auto" w:fill="auto"/>
            <w:noWrap/>
            <w:vAlign w:val="center"/>
            <w:hideMark/>
          </w:tcPr>
          <w:p w14:paraId="7FCE156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23,0</w:t>
            </w:r>
          </w:p>
        </w:tc>
        <w:tc>
          <w:tcPr>
            <w:tcW w:w="567" w:type="dxa"/>
            <w:tcBorders>
              <w:top w:val="nil"/>
              <w:left w:val="nil"/>
              <w:bottom w:val="nil"/>
              <w:right w:val="nil"/>
            </w:tcBorders>
            <w:shd w:val="clear" w:color="auto" w:fill="auto"/>
            <w:noWrap/>
            <w:vAlign w:val="center"/>
            <w:hideMark/>
          </w:tcPr>
          <w:p w14:paraId="2018731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23,5</w:t>
            </w:r>
          </w:p>
        </w:tc>
        <w:tc>
          <w:tcPr>
            <w:tcW w:w="567" w:type="dxa"/>
            <w:tcBorders>
              <w:top w:val="nil"/>
              <w:left w:val="nil"/>
              <w:bottom w:val="nil"/>
              <w:right w:val="nil"/>
            </w:tcBorders>
            <w:shd w:val="clear" w:color="auto" w:fill="auto"/>
            <w:noWrap/>
            <w:vAlign w:val="center"/>
            <w:hideMark/>
          </w:tcPr>
          <w:p w14:paraId="65038B9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25,3</w:t>
            </w:r>
          </w:p>
        </w:tc>
        <w:tc>
          <w:tcPr>
            <w:tcW w:w="567" w:type="dxa"/>
            <w:tcBorders>
              <w:top w:val="nil"/>
              <w:left w:val="nil"/>
              <w:bottom w:val="nil"/>
              <w:right w:val="nil"/>
            </w:tcBorders>
            <w:shd w:val="clear" w:color="auto" w:fill="auto"/>
            <w:noWrap/>
            <w:vAlign w:val="center"/>
            <w:hideMark/>
          </w:tcPr>
          <w:p w14:paraId="540E60E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29,0</w:t>
            </w:r>
          </w:p>
        </w:tc>
        <w:tc>
          <w:tcPr>
            <w:tcW w:w="567" w:type="dxa"/>
            <w:tcBorders>
              <w:top w:val="nil"/>
              <w:left w:val="nil"/>
              <w:bottom w:val="nil"/>
              <w:right w:val="nil"/>
            </w:tcBorders>
            <w:shd w:val="clear" w:color="auto" w:fill="auto"/>
            <w:noWrap/>
            <w:vAlign w:val="center"/>
            <w:hideMark/>
          </w:tcPr>
          <w:p w14:paraId="46A8DB0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30,0</w:t>
            </w:r>
          </w:p>
        </w:tc>
        <w:tc>
          <w:tcPr>
            <w:tcW w:w="567" w:type="dxa"/>
            <w:tcBorders>
              <w:top w:val="nil"/>
              <w:left w:val="nil"/>
              <w:bottom w:val="nil"/>
              <w:right w:val="nil"/>
            </w:tcBorders>
            <w:shd w:val="clear" w:color="auto" w:fill="auto"/>
            <w:noWrap/>
            <w:vAlign w:val="center"/>
            <w:hideMark/>
          </w:tcPr>
          <w:p w14:paraId="56E79C9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36,1</w:t>
            </w:r>
          </w:p>
        </w:tc>
        <w:tc>
          <w:tcPr>
            <w:tcW w:w="567" w:type="dxa"/>
            <w:tcBorders>
              <w:top w:val="nil"/>
              <w:left w:val="nil"/>
              <w:bottom w:val="nil"/>
              <w:right w:val="nil"/>
            </w:tcBorders>
            <w:shd w:val="clear" w:color="auto" w:fill="auto"/>
            <w:noWrap/>
            <w:vAlign w:val="center"/>
            <w:hideMark/>
          </w:tcPr>
          <w:p w14:paraId="0E6E5EA4"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41,9</w:t>
            </w:r>
          </w:p>
        </w:tc>
      </w:tr>
      <w:tr w:rsidR="00896E98" w:rsidRPr="00896E98" w14:paraId="0E754475" w14:textId="77777777" w:rsidTr="00896E98">
        <w:trPr>
          <w:trHeight w:val="480"/>
        </w:trPr>
        <w:tc>
          <w:tcPr>
            <w:tcW w:w="3402" w:type="dxa"/>
            <w:tcBorders>
              <w:top w:val="nil"/>
              <w:left w:val="nil"/>
              <w:bottom w:val="nil"/>
              <w:right w:val="single" w:sz="4" w:space="0" w:color="auto"/>
            </w:tcBorders>
            <w:shd w:val="clear" w:color="auto" w:fill="auto"/>
            <w:vAlign w:val="center"/>
            <w:hideMark/>
          </w:tcPr>
          <w:p w14:paraId="7114F08F"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 xml:space="preserve">E – Zásobování vodou; činnosti </w:t>
            </w:r>
            <w:r w:rsidRPr="00896E98">
              <w:rPr>
                <w:rFonts w:cs="Arial"/>
                <w:color w:val="000000"/>
                <w:sz w:val="16"/>
                <w:szCs w:val="16"/>
              </w:rPr>
              <w:br/>
              <w:t xml:space="preserve">      </w:t>
            </w:r>
            <w:r>
              <w:rPr>
                <w:rFonts w:cs="Arial"/>
                <w:color w:val="000000"/>
                <w:sz w:val="16"/>
                <w:szCs w:val="16"/>
              </w:rPr>
              <w:t xml:space="preserve">    </w:t>
            </w:r>
            <w:r w:rsidRPr="00896E98">
              <w:rPr>
                <w:rFonts w:cs="Arial"/>
                <w:color w:val="000000"/>
                <w:sz w:val="16"/>
                <w:szCs w:val="16"/>
              </w:rPr>
              <w:t>souvis</w:t>
            </w:r>
            <w:r>
              <w:rPr>
                <w:rFonts w:cs="Arial"/>
                <w:color w:val="000000"/>
                <w:sz w:val="16"/>
                <w:szCs w:val="16"/>
              </w:rPr>
              <w:t>ející</w:t>
            </w:r>
            <w:r w:rsidRPr="00896E98">
              <w:rPr>
                <w:rFonts w:cs="Arial"/>
                <w:color w:val="000000"/>
                <w:sz w:val="16"/>
                <w:szCs w:val="16"/>
              </w:rPr>
              <w:t xml:space="preserve"> s odpady a sanacemi</w:t>
            </w:r>
          </w:p>
        </w:tc>
        <w:tc>
          <w:tcPr>
            <w:tcW w:w="567" w:type="dxa"/>
            <w:tcBorders>
              <w:top w:val="nil"/>
              <w:left w:val="nil"/>
              <w:bottom w:val="nil"/>
              <w:right w:val="nil"/>
            </w:tcBorders>
            <w:shd w:val="clear" w:color="auto" w:fill="auto"/>
            <w:noWrap/>
            <w:vAlign w:val="center"/>
            <w:hideMark/>
          </w:tcPr>
          <w:p w14:paraId="4B5D8FB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29,4</w:t>
            </w:r>
          </w:p>
        </w:tc>
        <w:tc>
          <w:tcPr>
            <w:tcW w:w="567" w:type="dxa"/>
            <w:tcBorders>
              <w:top w:val="nil"/>
              <w:left w:val="nil"/>
              <w:bottom w:val="nil"/>
              <w:right w:val="nil"/>
            </w:tcBorders>
            <w:shd w:val="clear" w:color="auto" w:fill="auto"/>
            <w:noWrap/>
            <w:vAlign w:val="center"/>
            <w:hideMark/>
          </w:tcPr>
          <w:p w14:paraId="5F5E48F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25,6</w:t>
            </w:r>
          </w:p>
        </w:tc>
        <w:tc>
          <w:tcPr>
            <w:tcW w:w="567" w:type="dxa"/>
            <w:tcBorders>
              <w:top w:val="nil"/>
              <w:left w:val="nil"/>
              <w:bottom w:val="nil"/>
              <w:right w:val="nil"/>
            </w:tcBorders>
            <w:shd w:val="clear" w:color="auto" w:fill="auto"/>
            <w:noWrap/>
            <w:vAlign w:val="center"/>
            <w:hideMark/>
          </w:tcPr>
          <w:p w14:paraId="3F216F57"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29,8</w:t>
            </w:r>
          </w:p>
        </w:tc>
        <w:tc>
          <w:tcPr>
            <w:tcW w:w="567" w:type="dxa"/>
            <w:tcBorders>
              <w:top w:val="nil"/>
              <w:left w:val="nil"/>
              <w:bottom w:val="nil"/>
              <w:right w:val="nil"/>
            </w:tcBorders>
            <w:shd w:val="clear" w:color="auto" w:fill="auto"/>
            <w:noWrap/>
            <w:vAlign w:val="center"/>
            <w:hideMark/>
          </w:tcPr>
          <w:p w14:paraId="00B9270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29,7</w:t>
            </w:r>
          </w:p>
        </w:tc>
        <w:tc>
          <w:tcPr>
            <w:tcW w:w="567" w:type="dxa"/>
            <w:tcBorders>
              <w:top w:val="nil"/>
              <w:left w:val="nil"/>
              <w:bottom w:val="nil"/>
              <w:right w:val="nil"/>
            </w:tcBorders>
            <w:shd w:val="clear" w:color="auto" w:fill="auto"/>
            <w:noWrap/>
            <w:vAlign w:val="center"/>
            <w:hideMark/>
          </w:tcPr>
          <w:p w14:paraId="5A1A5FB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34,5</w:t>
            </w:r>
          </w:p>
        </w:tc>
        <w:tc>
          <w:tcPr>
            <w:tcW w:w="567" w:type="dxa"/>
            <w:tcBorders>
              <w:top w:val="nil"/>
              <w:left w:val="nil"/>
              <w:bottom w:val="nil"/>
              <w:right w:val="nil"/>
            </w:tcBorders>
            <w:shd w:val="clear" w:color="auto" w:fill="auto"/>
            <w:noWrap/>
            <w:vAlign w:val="center"/>
            <w:hideMark/>
          </w:tcPr>
          <w:p w14:paraId="40D740E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36,1</w:t>
            </w:r>
          </w:p>
        </w:tc>
        <w:tc>
          <w:tcPr>
            <w:tcW w:w="567" w:type="dxa"/>
            <w:tcBorders>
              <w:top w:val="nil"/>
              <w:left w:val="nil"/>
              <w:bottom w:val="nil"/>
              <w:right w:val="nil"/>
            </w:tcBorders>
            <w:shd w:val="clear" w:color="auto" w:fill="auto"/>
            <w:noWrap/>
            <w:vAlign w:val="center"/>
            <w:hideMark/>
          </w:tcPr>
          <w:p w14:paraId="1CE1DD8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37,7</w:t>
            </w:r>
          </w:p>
        </w:tc>
        <w:tc>
          <w:tcPr>
            <w:tcW w:w="567" w:type="dxa"/>
            <w:tcBorders>
              <w:top w:val="nil"/>
              <w:left w:val="nil"/>
              <w:bottom w:val="nil"/>
              <w:right w:val="nil"/>
            </w:tcBorders>
            <w:shd w:val="clear" w:color="auto" w:fill="auto"/>
            <w:noWrap/>
            <w:vAlign w:val="center"/>
            <w:hideMark/>
          </w:tcPr>
          <w:p w14:paraId="1FFC1DF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40,9</w:t>
            </w:r>
          </w:p>
        </w:tc>
        <w:tc>
          <w:tcPr>
            <w:tcW w:w="567" w:type="dxa"/>
            <w:tcBorders>
              <w:top w:val="nil"/>
              <w:left w:val="nil"/>
              <w:bottom w:val="nil"/>
              <w:right w:val="nil"/>
            </w:tcBorders>
            <w:shd w:val="clear" w:color="auto" w:fill="auto"/>
            <w:noWrap/>
            <w:vAlign w:val="center"/>
            <w:hideMark/>
          </w:tcPr>
          <w:p w14:paraId="26168717"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42,6</w:t>
            </w:r>
          </w:p>
        </w:tc>
        <w:tc>
          <w:tcPr>
            <w:tcW w:w="567" w:type="dxa"/>
            <w:tcBorders>
              <w:top w:val="nil"/>
              <w:left w:val="nil"/>
              <w:bottom w:val="nil"/>
              <w:right w:val="nil"/>
            </w:tcBorders>
            <w:shd w:val="clear" w:color="auto" w:fill="auto"/>
            <w:noWrap/>
            <w:vAlign w:val="center"/>
            <w:hideMark/>
          </w:tcPr>
          <w:p w14:paraId="4949489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51,8</w:t>
            </w:r>
          </w:p>
        </w:tc>
        <w:tc>
          <w:tcPr>
            <w:tcW w:w="567" w:type="dxa"/>
            <w:tcBorders>
              <w:top w:val="nil"/>
              <w:left w:val="nil"/>
              <w:bottom w:val="nil"/>
              <w:right w:val="nil"/>
            </w:tcBorders>
            <w:shd w:val="clear" w:color="auto" w:fill="auto"/>
            <w:noWrap/>
            <w:vAlign w:val="center"/>
            <w:hideMark/>
          </w:tcPr>
          <w:p w14:paraId="1B72640F"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65,6</w:t>
            </w:r>
          </w:p>
        </w:tc>
      </w:tr>
      <w:tr w:rsidR="00896E98" w:rsidRPr="00896E98" w14:paraId="29B898C0"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43CFE80A"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F – Stavebnictví</w:t>
            </w:r>
          </w:p>
        </w:tc>
        <w:tc>
          <w:tcPr>
            <w:tcW w:w="567" w:type="dxa"/>
            <w:tcBorders>
              <w:top w:val="nil"/>
              <w:left w:val="nil"/>
              <w:bottom w:val="nil"/>
              <w:right w:val="nil"/>
            </w:tcBorders>
            <w:shd w:val="clear" w:color="auto" w:fill="auto"/>
            <w:noWrap/>
            <w:vAlign w:val="center"/>
            <w:hideMark/>
          </w:tcPr>
          <w:p w14:paraId="1A058F9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28,9</w:t>
            </w:r>
          </w:p>
        </w:tc>
        <w:tc>
          <w:tcPr>
            <w:tcW w:w="567" w:type="dxa"/>
            <w:tcBorders>
              <w:top w:val="nil"/>
              <w:left w:val="nil"/>
              <w:bottom w:val="nil"/>
              <w:right w:val="nil"/>
            </w:tcBorders>
            <w:shd w:val="clear" w:color="auto" w:fill="auto"/>
            <w:noWrap/>
            <w:vAlign w:val="center"/>
            <w:hideMark/>
          </w:tcPr>
          <w:p w14:paraId="62616F89"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26,7</w:t>
            </w:r>
          </w:p>
        </w:tc>
        <w:tc>
          <w:tcPr>
            <w:tcW w:w="567" w:type="dxa"/>
            <w:tcBorders>
              <w:top w:val="nil"/>
              <w:left w:val="nil"/>
              <w:bottom w:val="nil"/>
              <w:right w:val="nil"/>
            </w:tcBorders>
            <w:shd w:val="clear" w:color="auto" w:fill="auto"/>
            <w:noWrap/>
            <w:vAlign w:val="center"/>
            <w:hideMark/>
          </w:tcPr>
          <w:p w14:paraId="4F00CE0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28,9</w:t>
            </w:r>
          </w:p>
        </w:tc>
        <w:tc>
          <w:tcPr>
            <w:tcW w:w="567" w:type="dxa"/>
            <w:tcBorders>
              <w:top w:val="nil"/>
              <w:left w:val="nil"/>
              <w:bottom w:val="nil"/>
              <w:right w:val="nil"/>
            </w:tcBorders>
            <w:shd w:val="clear" w:color="auto" w:fill="auto"/>
            <w:noWrap/>
            <w:vAlign w:val="center"/>
            <w:hideMark/>
          </w:tcPr>
          <w:p w14:paraId="6CEC0A8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27,0</w:t>
            </w:r>
          </w:p>
        </w:tc>
        <w:tc>
          <w:tcPr>
            <w:tcW w:w="567" w:type="dxa"/>
            <w:tcBorders>
              <w:top w:val="nil"/>
              <w:left w:val="nil"/>
              <w:bottom w:val="nil"/>
              <w:right w:val="nil"/>
            </w:tcBorders>
            <w:shd w:val="clear" w:color="auto" w:fill="auto"/>
            <w:noWrap/>
            <w:vAlign w:val="center"/>
            <w:hideMark/>
          </w:tcPr>
          <w:p w14:paraId="365BC04B"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30,9</w:t>
            </w:r>
          </w:p>
        </w:tc>
        <w:tc>
          <w:tcPr>
            <w:tcW w:w="567" w:type="dxa"/>
            <w:tcBorders>
              <w:top w:val="nil"/>
              <w:left w:val="nil"/>
              <w:bottom w:val="nil"/>
              <w:right w:val="nil"/>
            </w:tcBorders>
            <w:shd w:val="clear" w:color="auto" w:fill="auto"/>
            <w:noWrap/>
            <w:vAlign w:val="center"/>
            <w:hideMark/>
          </w:tcPr>
          <w:p w14:paraId="78ECD76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31,2</w:t>
            </w:r>
          </w:p>
        </w:tc>
        <w:tc>
          <w:tcPr>
            <w:tcW w:w="567" w:type="dxa"/>
            <w:tcBorders>
              <w:top w:val="nil"/>
              <w:left w:val="nil"/>
              <w:bottom w:val="nil"/>
              <w:right w:val="nil"/>
            </w:tcBorders>
            <w:shd w:val="clear" w:color="auto" w:fill="auto"/>
            <w:noWrap/>
            <w:vAlign w:val="center"/>
            <w:hideMark/>
          </w:tcPr>
          <w:p w14:paraId="310FB82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31,6</w:t>
            </w:r>
          </w:p>
        </w:tc>
        <w:tc>
          <w:tcPr>
            <w:tcW w:w="567" w:type="dxa"/>
            <w:tcBorders>
              <w:top w:val="nil"/>
              <w:left w:val="nil"/>
              <w:bottom w:val="nil"/>
              <w:right w:val="nil"/>
            </w:tcBorders>
            <w:shd w:val="clear" w:color="auto" w:fill="auto"/>
            <w:noWrap/>
            <w:vAlign w:val="center"/>
            <w:hideMark/>
          </w:tcPr>
          <w:p w14:paraId="431852D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32,7</w:t>
            </w:r>
          </w:p>
        </w:tc>
        <w:tc>
          <w:tcPr>
            <w:tcW w:w="567" w:type="dxa"/>
            <w:tcBorders>
              <w:top w:val="nil"/>
              <w:left w:val="nil"/>
              <w:bottom w:val="nil"/>
              <w:right w:val="nil"/>
            </w:tcBorders>
            <w:shd w:val="clear" w:color="auto" w:fill="auto"/>
            <w:noWrap/>
            <w:vAlign w:val="center"/>
            <w:hideMark/>
          </w:tcPr>
          <w:p w14:paraId="172F9F9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33,9</w:t>
            </w:r>
          </w:p>
        </w:tc>
        <w:tc>
          <w:tcPr>
            <w:tcW w:w="567" w:type="dxa"/>
            <w:tcBorders>
              <w:top w:val="nil"/>
              <w:left w:val="nil"/>
              <w:bottom w:val="nil"/>
              <w:right w:val="nil"/>
            </w:tcBorders>
            <w:shd w:val="clear" w:color="auto" w:fill="auto"/>
            <w:noWrap/>
            <w:vAlign w:val="center"/>
            <w:hideMark/>
          </w:tcPr>
          <w:p w14:paraId="1909F2EB"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2DB8E868"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52,4</w:t>
            </w:r>
          </w:p>
        </w:tc>
      </w:tr>
      <w:tr w:rsidR="00896E98" w:rsidRPr="00896E98" w14:paraId="367973CD" w14:textId="77777777" w:rsidTr="00896E98">
        <w:trPr>
          <w:trHeight w:val="480"/>
        </w:trPr>
        <w:tc>
          <w:tcPr>
            <w:tcW w:w="3402" w:type="dxa"/>
            <w:tcBorders>
              <w:top w:val="nil"/>
              <w:left w:val="nil"/>
              <w:bottom w:val="nil"/>
              <w:right w:val="single" w:sz="4" w:space="0" w:color="auto"/>
            </w:tcBorders>
            <w:shd w:val="clear" w:color="auto" w:fill="auto"/>
            <w:vAlign w:val="center"/>
            <w:hideMark/>
          </w:tcPr>
          <w:p w14:paraId="29C8D5B8"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 xml:space="preserve">G – Velkoobchod a maloobchod; </w:t>
            </w:r>
            <w:r w:rsidRPr="00896E98">
              <w:rPr>
                <w:rFonts w:cs="Arial"/>
                <w:color w:val="000000"/>
                <w:sz w:val="16"/>
                <w:szCs w:val="16"/>
              </w:rPr>
              <w:br/>
              <w:t xml:space="preserve">      </w:t>
            </w:r>
            <w:r>
              <w:rPr>
                <w:rFonts w:cs="Arial"/>
                <w:color w:val="000000"/>
                <w:sz w:val="16"/>
                <w:szCs w:val="16"/>
              </w:rPr>
              <w:t xml:space="preserve">   </w:t>
            </w:r>
            <w:r w:rsidRPr="00896E98">
              <w:rPr>
                <w:rFonts w:cs="Arial"/>
                <w:color w:val="000000"/>
                <w:sz w:val="16"/>
                <w:szCs w:val="16"/>
              </w:rPr>
              <w:t xml:space="preserve"> opravy a údržba motor</w:t>
            </w:r>
            <w:r>
              <w:rPr>
                <w:rFonts w:cs="Arial"/>
                <w:color w:val="000000"/>
                <w:sz w:val="16"/>
                <w:szCs w:val="16"/>
              </w:rPr>
              <w:t>ových</w:t>
            </w:r>
            <w:r w:rsidRPr="00896E98">
              <w:rPr>
                <w:rFonts w:cs="Arial"/>
                <w:color w:val="000000"/>
                <w:sz w:val="16"/>
                <w:szCs w:val="16"/>
              </w:rPr>
              <w:t xml:space="preserve"> vozidel</w:t>
            </w:r>
          </w:p>
        </w:tc>
        <w:tc>
          <w:tcPr>
            <w:tcW w:w="567" w:type="dxa"/>
            <w:tcBorders>
              <w:top w:val="nil"/>
              <w:left w:val="nil"/>
              <w:bottom w:val="nil"/>
              <w:right w:val="nil"/>
            </w:tcBorders>
            <w:shd w:val="clear" w:color="auto" w:fill="auto"/>
            <w:noWrap/>
            <w:vAlign w:val="center"/>
            <w:hideMark/>
          </w:tcPr>
          <w:p w14:paraId="18BBB0C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7378F62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24,1</w:t>
            </w:r>
          </w:p>
        </w:tc>
        <w:tc>
          <w:tcPr>
            <w:tcW w:w="567" w:type="dxa"/>
            <w:tcBorders>
              <w:top w:val="nil"/>
              <w:left w:val="nil"/>
              <w:bottom w:val="nil"/>
              <w:right w:val="nil"/>
            </w:tcBorders>
            <w:shd w:val="clear" w:color="auto" w:fill="auto"/>
            <w:noWrap/>
            <w:vAlign w:val="center"/>
            <w:hideMark/>
          </w:tcPr>
          <w:p w14:paraId="0288947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26,6</w:t>
            </w:r>
          </w:p>
        </w:tc>
        <w:tc>
          <w:tcPr>
            <w:tcW w:w="567" w:type="dxa"/>
            <w:tcBorders>
              <w:top w:val="nil"/>
              <w:left w:val="nil"/>
              <w:bottom w:val="nil"/>
              <w:right w:val="nil"/>
            </w:tcBorders>
            <w:shd w:val="clear" w:color="auto" w:fill="auto"/>
            <w:noWrap/>
            <w:vAlign w:val="center"/>
            <w:hideMark/>
          </w:tcPr>
          <w:p w14:paraId="4CB509D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26,3</w:t>
            </w:r>
          </w:p>
        </w:tc>
        <w:tc>
          <w:tcPr>
            <w:tcW w:w="567" w:type="dxa"/>
            <w:tcBorders>
              <w:top w:val="nil"/>
              <w:left w:val="nil"/>
              <w:bottom w:val="nil"/>
              <w:right w:val="nil"/>
            </w:tcBorders>
            <w:shd w:val="clear" w:color="auto" w:fill="auto"/>
            <w:noWrap/>
            <w:vAlign w:val="center"/>
            <w:hideMark/>
          </w:tcPr>
          <w:p w14:paraId="5846C70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30,3</w:t>
            </w:r>
          </w:p>
        </w:tc>
        <w:tc>
          <w:tcPr>
            <w:tcW w:w="567" w:type="dxa"/>
            <w:tcBorders>
              <w:top w:val="nil"/>
              <w:left w:val="nil"/>
              <w:bottom w:val="nil"/>
              <w:right w:val="nil"/>
            </w:tcBorders>
            <w:shd w:val="clear" w:color="auto" w:fill="auto"/>
            <w:noWrap/>
            <w:vAlign w:val="center"/>
            <w:hideMark/>
          </w:tcPr>
          <w:p w14:paraId="2E4D830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33,8</w:t>
            </w:r>
          </w:p>
        </w:tc>
        <w:tc>
          <w:tcPr>
            <w:tcW w:w="567" w:type="dxa"/>
            <w:tcBorders>
              <w:top w:val="nil"/>
              <w:left w:val="nil"/>
              <w:bottom w:val="nil"/>
              <w:right w:val="nil"/>
            </w:tcBorders>
            <w:shd w:val="clear" w:color="auto" w:fill="auto"/>
            <w:noWrap/>
            <w:vAlign w:val="center"/>
            <w:hideMark/>
          </w:tcPr>
          <w:p w14:paraId="6EA85B3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34,5</w:t>
            </w:r>
          </w:p>
        </w:tc>
        <w:tc>
          <w:tcPr>
            <w:tcW w:w="567" w:type="dxa"/>
            <w:tcBorders>
              <w:top w:val="nil"/>
              <w:left w:val="nil"/>
              <w:bottom w:val="nil"/>
              <w:right w:val="nil"/>
            </w:tcBorders>
            <w:shd w:val="clear" w:color="auto" w:fill="auto"/>
            <w:noWrap/>
            <w:vAlign w:val="center"/>
            <w:hideMark/>
          </w:tcPr>
          <w:p w14:paraId="4BC0253F"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37,6</w:t>
            </w:r>
          </w:p>
        </w:tc>
        <w:tc>
          <w:tcPr>
            <w:tcW w:w="567" w:type="dxa"/>
            <w:tcBorders>
              <w:top w:val="nil"/>
              <w:left w:val="nil"/>
              <w:bottom w:val="nil"/>
              <w:right w:val="nil"/>
            </w:tcBorders>
            <w:shd w:val="clear" w:color="auto" w:fill="auto"/>
            <w:noWrap/>
            <w:vAlign w:val="center"/>
            <w:hideMark/>
          </w:tcPr>
          <w:p w14:paraId="2561BAD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314921C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49,9</w:t>
            </w:r>
          </w:p>
        </w:tc>
        <w:tc>
          <w:tcPr>
            <w:tcW w:w="567" w:type="dxa"/>
            <w:tcBorders>
              <w:top w:val="nil"/>
              <w:left w:val="nil"/>
              <w:bottom w:val="nil"/>
              <w:right w:val="nil"/>
            </w:tcBorders>
            <w:shd w:val="clear" w:color="auto" w:fill="auto"/>
            <w:noWrap/>
            <w:vAlign w:val="center"/>
            <w:hideMark/>
          </w:tcPr>
          <w:p w14:paraId="5DA24D39"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56,9</w:t>
            </w:r>
          </w:p>
        </w:tc>
      </w:tr>
      <w:tr w:rsidR="00896E98" w:rsidRPr="00896E98" w14:paraId="7DEE79C3"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6C5C4F1E"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H – Doprava a skladování</w:t>
            </w:r>
          </w:p>
        </w:tc>
        <w:tc>
          <w:tcPr>
            <w:tcW w:w="567" w:type="dxa"/>
            <w:tcBorders>
              <w:top w:val="nil"/>
              <w:left w:val="nil"/>
              <w:bottom w:val="nil"/>
              <w:right w:val="nil"/>
            </w:tcBorders>
            <w:shd w:val="clear" w:color="auto" w:fill="auto"/>
            <w:noWrap/>
            <w:vAlign w:val="center"/>
            <w:hideMark/>
          </w:tcPr>
          <w:p w14:paraId="2C54355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28,2</w:t>
            </w:r>
          </w:p>
        </w:tc>
        <w:tc>
          <w:tcPr>
            <w:tcW w:w="567" w:type="dxa"/>
            <w:tcBorders>
              <w:top w:val="nil"/>
              <w:left w:val="nil"/>
              <w:bottom w:val="nil"/>
              <w:right w:val="nil"/>
            </w:tcBorders>
            <w:shd w:val="clear" w:color="auto" w:fill="auto"/>
            <w:noWrap/>
            <w:vAlign w:val="center"/>
            <w:hideMark/>
          </w:tcPr>
          <w:p w14:paraId="358E7BB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24,8</w:t>
            </w:r>
          </w:p>
        </w:tc>
        <w:tc>
          <w:tcPr>
            <w:tcW w:w="567" w:type="dxa"/>
            <w:tcBorders>
              <w:top w:val="nil"/>
              <w:left w:val="nil"/>
              <w:bottom w:val="nil"/>
              <w:right w:val="nil"/>
            </w:tcBorders>
            <w:shd w:val="clear" w:color="auto" w:fill="auto"/>
            <w:noWrap/>
            <w:vAlign w:val="center"/>
            <w:hideMark/>
          </w:tcPr>
          <w:p w14:paraId="362C9E5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27,5</w:t>
            </w:r>
          </w:p>
        </w:tc>
        <w:tc>
          <w:tcPr>
            <w:tcW w:w="567" w:type="dxa"/>
            <w:tcBorders>
              <w:top w:val="nil"/>
              <w:left w:val="nil"/>
              <w:bottom w:val="nil"/>
              <w:right w:val="nil"/>
            </w:tcBorders>
            <w:shd w:val="clear" w:color="auto" w:fill="auto"/>
            <w:noWrap/>
            <w:vAlign w:val="center"/>
            <w:hideMark/>
          </w:tcPr>
          <w:p w14:paraId="68C2D29B"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1516793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32,5</w:t>
            </w:r>
          </w:p>
        </w:tc>
        <w:tc>
          <w:tcPr>
            <w:tcW w:w="567" w:type="dxa"/>
            <w:tcBorders>
              <w:top w:val="nil"/>
              <w:left w:val="nil"/>
              <w:bottom w:val="nil"/>
              <w:right w:val="nil"/>
            </w:tcBorders>
            <w:shd w:val="clear" w:color="auto" w:fill="auto"/>
            <w:noWrap/>
            <w:vAlign w:val="center"/>
            <w:hideMark/>
          </w:tcPr>
          <w:p w14:paraId="1A345ACB"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33,6</w:t>
            </w:r>
          </w:p>
        </w:tc>
        <w:tc>
          <w:tcPr>
            <w:tcW w:w="567" w:type="dxa"/>
            <w:tcBorders>
              <w:top w:val="nil"/>
              <w:left w:val="nil"/>
              <w:bottom w:val="nil"/>
              <w:right w:val="nil"/>
            </w:tcBorders>
            <w:shd w:val="clear" w:color="auto" w:fill="auto"/>
            <w:noWrap/>
            <w:vAlign w:val="center"/>
            <w:hideMark/>
          </w:tcPr>
          <w:p w14:paraId="658BD93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36,4</w:t>
            </w:r>
          </w:p>
        </w:tc>
        <w:tc>
          <w:tcPr>
            <w:tcW w:w="567" w:type="dxa"/>
            <w:tcBorders>
              <w:top w:val="nil"/>
              <w:left w:val="nil"/>
              <w:bottom w:val="nil"/>
              <w:right w:val="nil"/>
            </w:tcBorders>
            <w:shd w:val="clear" w:color="auto" w:fill="auto"/>
            <w:noWrap/>
            <w:vAlign w:val="center"/>
            <w:hideMark/>
          </w:tcPr>
          <w:p w14:paraId="4119DB8B"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39,2</w:t>
            </w:r>
          </w:p>
        </w:tc>
        <w:tc>
          <w:tcPr>
            <w:tcW w:w="567" w:type="dxa"/>
            <w:tcBorders>
              <w:top w:val="nil"/>
              <w:left w:val="nil"/>
              <w:bottom w:val="nil"/>
              <w:right w:val="nil"/>
            </w:tcBorders>
            <w:shd w:val="clear" w:color="auto" w:fill="auto"/>
            <w:noWrap/>
            <w:vAlign w:val="center"/>
            <w:hideMark/>
          </w:tcPr>
          <w:p w14:paraId="180829E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39,9</w:t>
            </w:r>
          </w:p>
        </w:tc>
        <w:tc>
          <w:tcPr>
            <w:tcW w:w="567" w:type="dxa"/>
            <w:tcBorders>
              <w:top w:val="nil"/>
              <w:left w:val="nil"/>
              <w:bottom w:val="nil"/>
              <w:right w:val="nil"/>
            </w:tcBorders>
            <w:shd w:val="clear" w:color="auto" w:fill="auto"/>
            <w:noWrap/>
            <w:vAlign w:val="center"/>
            <w:hideMark/>
          </w:tcPr>
          <w:p w14:paraId="0C3D5F6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50,0</w:t>
            </w:r>
          </w:p>
        </w:tc>
        <w:tc>
          <w:tcPr>
            <w:tcW w:w="567" w:type="dxa"/>
            <w:tcBorders>
              <w:top w:val="nil"/>
              <w:left w:val="nil"/>
              <w:bottom w:val="nil"/>
              <w:right w:val="nil"/>
            </w:tcBorders>
            <w:shd w:val="clear" w:color="auto" w:fill="auto"/>
            <w:noWrap/>
            <w:vAlign w:val="center"/>
            <w:hideMark/>
          </w:tcPr>
          <w:p w14:paraId="298211B8"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61,2</w:t>
            </w:r>
          </w:p>
        </w:tc>
      </w:tr>
      <w:tr w:rsidR="00896E98" w:rsidRPr="00896E98" w14:paraId="1850202C" w14:textId="77777777" w:rsidTr="00896E98">
        <w:trPr>
          <w:trHeight w:val="480"/>
        </w:trPr>
        <w:tc>
          <w:tcPr>
            <w:tcW w:w="3402" w:type="dxa"/>
            <w:tcBorders>
              <w:top w:val="nil"/>
              <w:left w:val="nil"/>
              <w:bottom w:val="nil"/>
              <w:right w:val="single" w:sz="4" w:space="0" w:color="auto"/>
            </w:tcBorders>
            <w:shd w:val="clear" w:color="auto" w:fill="auto"/>
            <w:vAlign w:val="center"/>
            <w:hideMark/>
          </w:tcPr>
          <w:p w14:paraId="40C21757"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 xml:space="preserve">I – Ubytování, stravování </w:t>
            </w:r>
            <w:r w:rsidRPr="00896E98">
              <w:rPr>
                <w:rFonts w:cs="Arial"/>
                <w:color w:val="000000"/>
                <w:sz w:val="16"/>
                <w:szCs w:val="16"/>
              </w:rPr>
              <w:br/>
              <w:t xml:space="preserve">    </w:t>
            </w:r>
            <w:r>
              <w:rPr>
                <w:rFonts w:cs="Arial"/>
                <w:color w:val="000000"/>
                <w:sz w:val="16"/>
                <w:szCs w:val="16"/>
              </w:rPr>
              <w:t xml:space="preserve">    </w:t>
            </w:r>
            <w:r w:rsidRPr="00896E98">
              <w:rPr>
                <w:rFonts w:cs="Arial"/>
                <w:color w:val="000000"/>
                <w:sz w:val="16"/>
                <w:szCs w:val="16"/>
              </w:rPr>
              <w:t xml:space="preserve"> a pohostinství</w:t>
            </w:r>
          </w:p>
        </w:tc>
        <w:tc>
          <w:tcPr>
            <w:tcW w:w="567" w:type="dxa"/>
            <w:tcBorders>
              <w:top w:val="nil"/>
              <w:left w:val="nil"/>
              <w:bottom w:val="nil"/>
              <w:right w:val="nil"/>
            </w:tcBorders>
            <w:shd w:val="clear" w:color="auto" w:fill="auto"/>
            <w:noWrap/>
            <w:vAlign w:val="center"/>
            <w:hideMark/>
          </w:tcPr>
          <w:p w14:paraId="710634D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25,2</w:t>
            </w:r>
          </w:p>
        </w:tc>
        <w:tc>
          <w:tcPr>
            <w:tcW w:w="567" w:type="dxa"/>
            <w:tcBorders>
              <w:top w:val="nil"/>
              <w:left w:val="nil"/>
              <w:bottom w:val="nil"/>
              <w:right w:val="nil"/>
            </w:tcBorders>
            <w:shd w:val="clear" w:color="auto" w:fill="auto"/>
            <w:noWrap/>
            <w:vAlign w:val="center"/>
            <w:hideMark/>
          </w:tcPr>
          <w:p w14:paraId="16267DA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22,6</w:t>
            </w:r>
          </w:p>
        </w:tc>
        <w:tc>
          <w:tcPr>
            <w:tcW w:w="567" w:type="dxa"/>
            <w:tcBorders>
              <w:top w:val="nil"/>
              <w:left w:val="nil"/>
              <w:bottom w:val="nil"/>
              <w:right w:val="nil"/>
            </w:tcBorders>
            <w:shd w:val="clear" w:color="auto" w:fill="auto"/>
            <w:noWrap/>
            <w:vAlign w:val="center"/>
            <w:hideMark/>
          </w:tcPr>
          <w:p w14:paraId="5DAECC8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23,7</w:t>
            </w:r>
          </w:p>
        </w:tc>
        <w:tc>
          <w:tcPr>
            <w:tcW w:w="567" w:type="dxa"/>
            <w:tcBorders>
              <w:top w:val="nil"/>
              <w:left w:val="nil"/>
              <w:bottom w:val="nil"/>
              <w:right w:val="nil"/>
            </w:tcBorders>
            <w:shd w:val="clear" w:color="auto" w:fill="auto"/>
            <w:noWrap/>
            <w:vAlign w:val="center"/>
            <w:hideMark/>
          </w:tcPr>
          <w:p w14:paraId="15E9299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23,7</w:t>
            </w:r>
          </w:p>
        </w:tc>
        <w:tc>
          <w:tcPr>
            <w:tcW w:w="567" w:type="dxa"/>
            <w:tcBorders>
              <w:top w:val="nil"/>
              <w:left w:val="nil"/>
              <w:bottom w:val="nil"/>
              <w:right w:val="nil"/>
            </w:tcBorders>
            <w:shd w:val="clear" w:color="auto" w:fill="auto"/>
            <w:noWrap/>
            <w:vAlign w:val="center"/>
            <w:hideMark/>
          </w:tcPr>
          <w:p w14:paraId="2CEE4C5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26,9</w:t>
            </w:r>
          </w:p>
        </w:tc>
        <w:tc>
          <w:tcPr>
            <w:tcW w:w="567" w:type="dxa"/>
            <w:tcBorders>
              <w:top w:val="nil"/>
              <w:left w:val="nil"/>
              <w:bottom w:val="nil"/>
              <w:right w:val="nil"/>
            </w:tcBorders>
            <w:shd w:val="clear" w:color="auto" w:fill="auto"/>
            <w:noWrap/>
            <w:vAlign w:val="center"/>
            <w:hideMark/>
          </w:tcPr>
          <w:p w14:paraId="4CF2A8E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28,0</w:t>
            </w:r>
          </w:p>
        </w:tc>
        <w:tc>
          <w:tcPr>
            <w:tcW w:w="567" w:type="dxa"/>
            <w:tcBorders>
              <w:top w:val="nil"/>
              <w:left w:val="nil"/>
              <w:bottom w:val="nil"/>
              <w:right w:val="nil"/>
            </w:tcBorders>
            <w:shd w:val="clear" w:color="auto" w:fill="auto"/>
            <w:noWrap/>
            <w:vAlign w:val="center"/>
            <w:hideMark/>
          </w:tcPr>
          <w:p w14:paraId="14475C59"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27,9</w:t>
            </w:r>
          </w:p>
        </w:tc>
        <w:tc>
          <w:tcPr>
            <w:tcW w:w="567" w:type="dxa"/>
            <w:tcBorders>
              <w:top w:val="nil"/>
              <w:left w:val="nil"/>
              <w:bottom w:val="nil"/>
              <w:right w:val="nil"/>
            </w:tcBorders>
            <w:shd w:val="clear" w:color="auto" w:fill="auto"/>
            <w:noWrap/>
            <w:vAlign w:val="center"/>
            <w:hideMark/>
          </w:tcPr>
          <w:p w14:paraId="10AE8A6B"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29,9</w:t>
            </w:r>
          </w:p>
        </w:tc>
        <w:tc>
          <w:tcPr>
            <w:tcW w:w="567" w:type="dxa"/>
            <w:tcBorders>
              <w:top w:val="nil"/>
              <w:left w:val="nil"/>
              <w:bottom w:val="nil"/>
              <w:right w:val="nil"/>
            </w:tcBorders>
            <w:shd w:val="clear" w:color="auto" w:fill="auto"/>
            <w:noWrap/>
            <w:vAlign w:val="center"/>
            <w:hideMark/>
          </w:tcPr>
          <w:p w14:paraId="1300D44F"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30,8</w:t>
            </w:r>
          </w:p>
        </w:tc>
        <w:tc>
          <w:tcPr>
            <w:tcW w:w="567" w:type="dxa"/>
            <w:tcBorders>
              <w:top w:val="nil"/>
              <w:left w:val="nil"/>
              <w:bottom w:val="nil"/>
              <w:right w:val="nil"/>
            </w:tcBorders>
            <w:shd w:val="clear" w:color="auto" w:fill="auto"/>
            <w:noWrap/>
            <w:vAlign w:val="center"/>
            <w:hideMark/>
          </w:tcPr>
          <w:p w14:paraId="21DD9F5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41,5</w:t>
            </w:r>
          </w:p>
        </w:tc>
        <w:tc>
          <w:tcPr>
            <w:tcW w:w="567" w:type="dxa"/>
            <w:tcBorders>
              <w:top w:val="nil"/>
              <w:left w:val="nil"/>
              <w:bottom w:val="nil"/>
              <w:right w:val="nil"/>
            </w:tcBorders>
            <w:shd w:val="clear" w:color="auto" w:fill="auto"/>
            <w:noWrap/>
            <w:vAlign w:val="center"/>
            <w:hideMark/>
          </w:tcPr>
          <w:p w14:paraId="4E366867"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39,2</w:t>
            </w:r>
          </w:p>
        </w:tc>
      </w:tr>
      <w:tr w:rsidR="00896E98" w:rsidRPr="00896E98" w14:paraId="29034E36"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54EEE8E9"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J – Informační a komunikační činnosti</w:t>
            </w:r>
          </w:p>
        </w:tc>
        <w:tc>
          <w:tcPr>
            <w:tcW w:w="567" w:type="dxa"/>
            <w:tcBorders>
              <w:top w:val="nil"/>
              <w:left w:val="nil"/>
              <w:bottom w:val="nil"/>
              <w:right w:val="nil"/>
            </w:tcBorders>
            <w:shd w:val="clear" w:color="auto" w:fill="auto"/>
            <w:noWrap/>
            <w:vAlign w:val="center"/>
            <w:hideMark/>
          </w:tcPr>
          <w:p w14:paraId="6C6A23EF"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26,1</w:t>
            </w:r>
          </w:p>
        </w:tc>
        <w:tc>
          <w:tcPr>
            <w:tcW w:w="567" w:type="dxa"/>
            <w:tcBorders>
              <w:top w:val="nil"/>
              <w:left w:val="nil"/>
              <w:bottom w:val="nil"/>
              <w:right w:val="nil"/>
            </w:tcBorders>
            <w:shd w:val="clear" w:color="auto" w:fill="auto"/>
            <w:noWrap/>
            <w:vAlign w:val="center"/>
            <w:hideMark/>
          </w:tcPr>
          <w:p w14:paraId="3EF17A3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21,3</w:t>
            </w:r>
          </w:p>
        </w:tc>
        <w:tc>
          <w:tcPr>
            <w:tcW w:w="567" w:type="dxa"/>
            <w:tcBorders>
              <w:top w:val="nil"/>
              <w:left w:val="nil"/>
              <w:bottom w:val="nil"/>
              <w:right w:val="nil"/>
            </w:tcBorders>
            <w:shd w:val="clear" w:color="auto" w:fill="auto"/>
            <w:noWrap/>
            <w:vAlign w:val="center"/>
            <w:hideMark/>
          </w:tcPr>
          <w:p w14:paraId="50EB5E1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23,0</w:t>
            </w:r>
          </w:p>
        </w:tc>
        <w:tc>
          <w:tcPr>
            <w:tcW w:w="567" w:type="dxa"/>
            <w:tcBorders>
              <w:top w:val="nil"/>
              <w:left w:val="nil"/>
              <w:bottom w:val="nil"/>
              <w:right w:val="nil"/>
            </w:tcBorders>
            <w:shd w:val="clear" w:color="auto" w:fill="auto"/>
            <w:noWrap/>
            <w:vAlign w:val="center"/>
            <w:hideMark/>
          </w:tcPr>
          <w:p w14:paraId="7085495B"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21,7</w:t>
            </w:r>
          </w:p>
        </w:tc>
        <w:tc>
          <w:tcPr>
            <w:tcW w:w="567" w:type="dxa"/>
            <w:tcBorders>
              <w:top w:val="nil"/>
              <w:left w:val="nil"/>
              <w:bottom w:val="nil"/>
              <w:right w:val="nil"/>
            </w:tcBorders>
            <w:shd w:val="clear" w:color="auto" w:fill="auto"/>
            <w:noWrap/>
            <w:vAlign w:val="center"/>
            <w:hideMark/>
          </w:tcPr>
          <w:p w14:paraId="445C205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23,1</w:t>
            </w:r>
          </w:p>
        </w:tc>
        <w:tc>
          <w:tcPr>
            <w:tcW w:w="567" w:type="dxa"/>
            <w:tcBorders>
              <w:top w:val="nil"/>
              <w:left w:val="nil"/>
              <w:bottom w:val="nil"/>
              <w:right w:val="nil"/>
            </w:tcBorders>
            <w:shd w:val="clear" w:color="auto" w:fill="auto"/>
            <w:noWrap/>
            <w:vAlign w:val="center"/>
            <w:hideMark/>
          </w:tcPr>
          <w:p w14:paraId="1D50B1C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23,8</w:t>
            </w:r>
          </w:p>
        </w:tc>
        <w:tc>
          <w:tcPr>
            <w:tcW w:w="567" w:type="dxa"/>
            <w:tcBorders>
              <w:top w:val="nil"/>
              <w:left w:val="nil"/>
              <w:bottom w:val="nil"/>
              <w:right w:val="nil"/>
            </w:tcBorders>
            <w:shd w:val="clear" w:color="auto" w:fill="auto"/>
            <w:noWrap/>
            <w:vAlign w:val="center"/>
            <w:hideMark/>
          </w:tcPr>
          <w:p w14:paraId="3BC1A7F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24,7</w:t>
            </w:r>
          </w:p>
        </w:tc>
        <w:tc>
          <w:tcPr>
            <w:tcW w:w="567" w:type="dxa"/>
            <w:tcBorders>
              <w:top w:val="nil"/>
              <w:left w:val="nil"/>
              <w:bottom w:val="nil"/>
              <w:right w:val="nil"/>
            </w:tcBorders>
            <w:shd w:val="clear" w:color="auto" w:fill="auto"/>
            <w:noWrap/>
            <w:vAlign w:val="center"/>
            <w:hideMark/>
          </w:tcPr>
          <w:p w14:paraId="0F54914F"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25,7</w:t>
            </w:r>
          </w:p>
        </w:tc>
        <w:tc>
          <w:tcPr>
            <w:tcW w:w="567" w:type="dxa"/>
            <w:tcBorders>
              <w:top w:val="nil"/>
              <w:left w:val="nil"/>
              <w:bottom w:val="nil"/>
              <w:right w:val="nil"/>
            </w:tcBorders>
            <w:shd w:val="clear" w:color="auto" w:fill="auto"/>
            <w:noWrap/>
            <w:vAlign w:val="center"/>
            <w:hideMark/>
          </w:tcPr>
          <w:p w14:paraId="3A57457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4111925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26,0</w:t>
            </w:r>
          </w:p>
        </w:tc>
        <w:tc>
          <w:tcPr>
            <w:tcW w:w="567" w:type="dxa"/>
            <w:tcBorders>
              <w:top w:val="nil"/>
              <w:left w:val="nil"/>
              <w:bottom w:val="nil"/>
              <w:right w:val="nil"/>
            </w:tcBorders>
            <w:shd w:val="clear" w:color="auto" w:fill="auto"/>
            <w:noWrap/>
            <w:vAlign w:val="center"/>
            <w:hideMark/>
          </w:tcPr>
          <w:p w14:paraId="5A271952"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28,9</w:t>
            </w:r>
          </w:p>
        </w:tc>
      </w:tr>
      <w:tr w:rsidR="00896E98" w:rsidRPr="00896E98" w14:paraId="28421230"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7EDC24E9"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K – Peněžnictví a pojišťovnictví</w:t>
            </w:r>
          </w:p>
        </w:tc>
        <w:tc>
          <w:tcPr>
            <w:tcW w:w="567" w:type="dxa"/>
            <w:tcBorders>
              <w:top w:val="nil"/>
              <w:left w:val="nil"/>
              <w:bottom w:val="nil"/>
              <w:right w:val="nil"/>
            </w:tcBorders>
            <w:shd w:val="clear" w:color="auto" w:fill="auto"/>
            <w:noWrap/>
            <w:vAlign w:val="center"/>
            <w:hideMark/>
          </w:tcPr>
          <w:p w14:paraId="5E8100CB"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29,6</w:t>
            </w:r>
          </w:p>
        </w:tc>
        <w:tc>
          <w:tcPr>
            <w:tcW w:w="567" w:type="dxa"/>
            <w:tcBorders>
              <w:top w:val="nil"/>
              <w:left w:val="nil"/>
              <w:bottom w:val="nil"/>
              <w:right w:val="nil"/>
            </w:tcBorders>
            <w:shd w:val="clear" w:color="auto" w:fill="auto"/>
            <w:noWrap/>
            <w:vAlign w:val="center"/>
            <w:hideMark/>
          </w:tcPr>
          <w:p w14:paraId="1608593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23,7</w:t>
            </w:r>
          </w:p>
        </w:tc>
        <w:tc>
          <w:tcPr>
            <w:tcW w:w="567" w:type="dxa"/>
            <w:tcBorders>
              <w:top w:val="nil"/>
              <w:left w:val="nil"/>
              <w:bottom w:val="nil"/>
              <w:right w:val="nil"/>
            </w:tcBorders>
            <w:shd w:val="clear" w:color="auto" w:fill="auto"/>
            <w:noWrap/>
            <w:vAlign w:val="center"/>
            <w:hideMark/>
          </w:tcPr>
          <w:p w14:paraId="59537B4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26,6</w:t>
            </w:r>
          </w:p>
        </w:tc>
        <w:tc>
          <w:tcPr>
            <w:tcW w:w="567" w:type="dxa"/>
            <w:tcBorders>
              <w:top w:val="nil"/>
              <w:left w:val="nil"/>
              <w:bottom w:val="nil"/>
              <w:right w:val="nil"/>
            </w:tcBorders>
            <w:shd w:val="clear" w:color="auto" w:fill="auto"/>
            <w:noWrap/>
            <w:vAlign w:val="center"/>
            <w:hideMark/>
          </w:tcPr>
          <w:p w14:paraId="72AD4D0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25,2</w:t>
            </w:r>
          </w:p>
        </w:tc>
        <w:tc>
          <w:tcPr>
            <w:tcW w:w="567" w:type="dxa"/>
            <w:tcBorders>
              <w:top w:val="nil"/>
              <w:left w:val="nil"/>
              <w:bottom w:val="nil"/>
              <w:right w:val="nil"/>
            </w:tcBorders>
            <w:shd w:val="clear" w:color="auto" w:fill="auto"/>
            <w:noWrap/>
            <w:vAlign w:val="center"/>
            <w:hideMark/>
          </w:tcPr>
          <w:p w14:paraId="7D6FDCA7"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28,3</w:t>
            </w:r>
          </w:p>
        </w:tc>
        <w:tc>
          <w:tcPr>
            <w:tcW w:w="567" w:type="dxa"/>
            <w:tcBorders>
              <w:top w:val="nil"/>
              <w:left w:val="nil"/>
              <w:bottom w:val="nil"/>
              <w:right w:val="nil"/>
            </w:tcBorders>
            <w:shd w:val="clear" w:color="auto" w:fill="auto"/>
            <w:noWrap/>
            <w:vAlign w:val="center"/>
            <w:hideMark/>
          </w:tcPr>
          <w:p w14:paraId="4770E2F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27,8</w:t>
            </w:r>
          </w:p>
        </w:tc>
        <w:tc>
          <w:tcPr>
            <w:tcW w:w="567" w:type="dxa"/>
            <w:tcBorders>
              <w:top w:val="nil"/>
              <w:left w:val="nil"/>
              <w:bottom w:val="nil"/>
              <w:right w:val="nil"/>
            </w:tcBorders>
            <w:shd w:val="clear" w:color="auto" w:fill="auto"/>
            <w:noWrap/>
            <w:vAlign w:val="center"/>
            <w:hideMark/>
          </w:tcPr>
          <w:p w14:paraId="50C0C22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0DE6100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29,4</w:t>
            </w:r>
          </w:p>
        </w:tc>
        <w:tc>
          <w:tcPr>
            <w:tcW w:w="567" w:type="dxa"/>
            <w:tcBorders>
              <w:top w:val="nil"/>
              <w:left w:val="nil"/>
              <w:bottom w:val="nil"/>
              <w:right w:val="nil"/>
            </w:tcBorders>
            <w:shd w:val="clear" w:color="auto" w:fill="auto"/>
            <w:noWrap/>
            <w:vAlign w:val="center"/>
            <w:hideMark/>
          </w:tcPr>
          <w:p w14:paraId="4E0130D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30,9</w:t>
            </w:r>
          </w:p>
        </w:tc>
        <w:tc>
          <w:tcPr>
            <w:tcW w:w="567" w:type="dxa"/>
            <w:tcBorders>
              <w:top w:val="nil"/>
              <w:left w:val="nil"/>
              <w:bottom w:val="nil"/>
              <w:right w:val="nil"/>
            </w:tcBorders>
            <w:shd w:val="clear" w:color="auto" w:fill="auto"/>
            <w:noWrap/>
            <w:vAlign w:val="center"/>
            <w:hideMark/>
          </w:tcPr>
          <w:p w14:paraId="1EBC45B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30,2</w:t>
            </w:r>
          </w:p>
        </w:tc>
        <w:tc>
          <w:tcPr>
            <w:tcW w:w="567" w:type="dxa"/>
            <w:tcBorders>
              <w:top w:val="nil"/>
              <w:left w:val="nil"/>
              <w:bottom w:val="nil"/>
              <w:right w:val="nil"/>
            </w:tcBorders>
            <w:shd w:val="clear" w:color="auto" w:fill="auto"/>
            <w:noWrap/>
            <w:vAlign w:val="center"/>
            <w:hideMark/>
          </w:tcPr>
          <w:p w14:paraId="37CC00A9"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31,2</w:t>
            </w:r>
          </w:p>
        </w:tc>
      </w:tr>
      <w:tr w:rsidR="00896E98" w:rsidRPr="00896E98" w14:paraId="3750DF11"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09C07729"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L – Činnosti v oblasti nemovitostí</w:t>
            </w:r>
          </w:p>
        </w:tc>
        <w:tc>
          <w:tcPr>
            <w:tcW w:w="567" w:type="dxa"/>
            <w:tcBorders>
              <w:top w:val="nil"/>
              <w:left w:val="nil"/>
              <w:bottom w:val="nil"/>
              <w:right w:val="nil"/>
            </w:tcBorders>
            <w:shd w:val="clear" w:color="auto" w:fill="auto"/>
            <w:noWrap/>
            <w:vAlign w:val="center"/>
            <w:hideMark/>
          </w:tcPr>
          <w:p w14:paraId="37A80A7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20,1</w:t>
            </w:r>
          </w:p>
        </w:tc>
        <w:tc>
          <w:tcPr>
            <w:tcW w:w="567" w:type="dxa"/>
            <w:tcBorders>
              <w:top w:val="nil"/>
              <w:left w:val="nil"/>
              <w:bottom w:val="nil"/>
              <w:right w:val="nil"/>
            </w:tcBorders>
            <w:shd w:val="clear" w:color="auto" w:fill="auto"/>
            <w:noWrap/>
            <w:vAlign w:val="center"/>
            <w:hideMark/>
          </w:tcPr>
          <w:p w14:paraId="44A5E49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13,9</w:t>
            </w:r>
          </w:p>
        </w:tc>
        <w:tc>
          <w:tcPr>
            <w:tcW w:w="567" w:type="dxa"/>
            <w:tcBorders>
              <w:top w:val="nil"/>
              <w:left w:val="nil"/>
              <w:bottom w:val="nil"/>
              <w:right w:val="nil"/>
            </w:tcBorders>
            <w:shd w:val="clear" w:color="auto" w:fill="auto"/>
            <w:noWrap/>
            <w:vAlign w:val="center"/>
            <w:hideMark/>
          </w:tcPr>
          <w:p w14:paraId="2B3EAC7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14,7</w:t>
            </w:r>
          </w:p>
        </w:tc>
        <w:tc>
          <w:tcPr>
            <w:tcW w:w="567" w:type="dxa"/>
            <w:tcBorders>
              <w:top w:val="nil"/>
              <w:left w:val="nil"/>
              <w:bottom w:val="nil"/>
              <w:right w:val="nil"/>
            </w:tcBorders>
            <w:shd w:val="clear" w:color="auto" w:fill="auto"/>
            <w:noWrap/>
            <w:vAlign w:val="center"/>
            <w:hideMark/>
          </w:tcPr>
          <w:p w14:paraId="1E6B8C5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14,0</w:t>
            </w:r>
          </w:p>
        </w:tc>
        <w:tc>
          <w:tcPr>
            <w:tcW w:w="567" w:type="dxa"/>
            <w:tcBorders>
              <w:top w:val="nil"/>
              <w:left w:val="nil"/>
              <w:bottom w:val="nil"/>
              <w:right w:val="nil"/>
            </w:tcBorders>
            <w:shd w:val="clear" w:color="auto" w:fill="auto"/>
            <w:noWrap/>
            <w:vAlign w:val="center"/>
            <w:hideMark/>
          </w:tcPr>
          <w:p w14:paraId="1EF33B59"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16,3</w:t>
            </w:r>
          </w:p>
        </w:tc>
        <w:tc>
          <w:tcPr>
            <w:tcW w:w="567" w:type="dxa"/>
            <w:tcBorders>
              <w:top w:val="nil"/>
              <w:left w:val="nil"/>
              <w:bottom w:val="nil"/>
              <w:right w:val="nil"/>
            </w:tcBorders>
            <w:shd w:val="clear" w:color="auto" w:fill="auto"/>
            <w:noWrap/>
            <w:vAlign w:val="center"/>
            <w:hideMark/>
          </w:tcPr>
          <w:p w14:paraId="74388E1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16,5</w:t>
            </w:r>
          </w:p>
        </w:tc>
        <w:tc>
          <w:tcPr>
            <w:tcW w:w="567" w:type="dxa"/>
            <w:tcBorders>
              <w:top w:val="nil"/>
              <w:left w:val="nil"/>
              <w:bottom w:val="nil"/>
              <w:right w:val="nil"/>
            </w:tcBorders>
            <w:shd w:val="clear" w:color="auto" w:fill="auto"/>
            <w:noWrap/>
            <w:vAlign w:val="center"/>
            <w:hideMark/>
          </w:tcPr>
          <w:p w14:paraId="38AFCA2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15,7</w:t>
            </w:r>
          </w:p>
        </w:tc>
        <w:tc>
          <w:tcPr>
            <w:tcW w:w="567" w:type="dxa"/>
            <w:tcBorders>
              <w:top w:val="nil"/>
              <w:left w:val="nil"/>
              <w:bottom w:val="nil"/>
              <w:right w:val="nil"/>
            </w:tcBorders>
            <w:shd w:val="clear" w:color="auto" w:fill="auto"/>
            <w:noWrap/>
            <w:vAlign w:val="center"/>
            <w:hideMark/>
          </w:tcPr>
          <w:p w14:paraId="4AEAB38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17,4</w:t>
            </w:r>
          </w:p>
        </w:tc>
        <w:tc>
          <w:tcPr>
            <w:tcW w:w="567" w:type="dxa"/>
            <w:tcBorders>
              <w:top w:val="nil"/>
              <w:left w:val="nil"/>
              <w:bottom w:val="nil"/>
              <w:right w:val="nil"/>
            </w:tcBorders>
            <w:shd w:val="clear" w:color="auto" w:fill="auto"/>
            <w:noWrap/>
            <w:vAlign w:val="center"/>
            <w:hideMark/>
          </w:tcPr>
          <w:p w14:paraId="28F508F9"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18,4</w:t>
            </w:r>
          </w:p>
        </w:tc>
        <w:tc>
          <w:tcPr>
            <w:tcW w:w="567" w:type="dxa"/>
            <w:tcBorders>
              <w:top w:val="nil"/>
              <w:left w:val="nil"/>
              <w:bottom w:val="nil"/>
              <w:right w:val="nil"/>
            </w:tcBorders>
            <w:shd w:val="clear" w:color="auto" w:fill="auto"/>
            <w:noWrap/>
            <w:vAlign w:val="center"/>
            <w:hideMark/>
          </w:tcPr>
          <w:p w14:paraId="5B65F94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24,3</w:t>
            </w:r>
          </w:p>
        </w:tc>
        <w:tc>
          <w:tcPr>
            <w:tcW w:w="567" w:type="dxa"/>
            <w:tcBorders>
              <w:top w:val="nil"/>
              <w:left w:val="nil"/>
              <w:bottom w:val="nil"/>
              <w:right w:val="nil"/>
            </w:tcBorders>
            <w:shd w:val="clear" w:color="auto" w:fill="auto"/>
            <w:noWrap/>
            <w:vAlign w:val="center"/>
            <w:hideMark/>
          </w:tcPr>
          <w:p w14:paraId="7218AA79"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28,7</w:t>
            </w:r>
          </w:p>
        </w:tc>
      </w:tr>
      <w:tr w:rsidR="00896E98" w:rsidRPr="00896E98" w14:paraId="3A4BD685" w14:textId="77777777" w:rsidTr="00896E98">
        <w:trPr>
          <w:trHeight w:val="480"/>
        </w:trPr>
        <w:tc>
          <w:tcPr>
            <w:tcW w:w="3402" w:type="dxa"/>
            <w:tcBorders>
              <w:top w:val="nil"/>
              <w:left w:val="nil"/>
              <w:bottom w:val="nil"/>
              <w:right w:val="single" w:sz="4" w:space="0" w:color="auto"/>
            </w:tcBorders>
            <w:shd w:val="clear" w:color="auto" w:fill="auto"/>
            <w:vAlign w:val="center"/>
            <w:hideMark/>
          </w:tcPr>
          <w:p w14:paraId="348A5370"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 xml:space="preserve">M – Profesní, vědecké a technické </w:t>
            </w:r>
            <w:r w:rsidRPr="00896E98">
              <w:rPr>
                <w:rFonts w:cs="Arial"/>
                <w:color w:val="000000"/>
                <w:sz w:val="16"/>
                <w:szCs w:val="16"/>
              </w:rPr>
              <w:br/>
              <w:t xml:space="preserve">        </w:t>
            </w:r>
            <w:r>
              <w:rPr>
                <w:rFonts w:cs="Arial"/>
                <w:color w:val="000000"/>
                <w:sz w:val="16"/>
                <w:szCs w:val="16"/>
              </w:rPr>
              <w:t xml:space="preserve">  </w:t>
            </w:r>
            <w:r w:rsidRPr="00896E98">
              <w:rPr>
                <w:rFonts w:cs="Arial"/>
                <w:color w:val="000000"/>
                <w:sz w:val="16"/>
                <w:szCs w:val="16"/>
              </w:rPr>
              <w:t>činnosti</w:t>
            </w:r>
          </w:p>
        </w:tc>
        <w:tc>
          <w:tcPr>
            <w:tcW w:w="567" w:type="dxa"/>
            <w:tcBorders>
              <w:top w:val="nil"/>
              <w:left w:val="nil"/>
              <w:bottom w:val="nil"/>
              <w:right w:val="nil"/>
            </w:tcBorders>
            <w:shd w:val="clear" w:color="auto" w:fill="auto"/>
            <w:noWrap/>
            <w:vAlign w:val="center"/>
            <w:hideMark/>
          </w:tcPr>
          <w:p w14:paraId="39AFB55F"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20,2</w:t>
            </w:r>
          </w:p>
        </w:tc>
        <w:tc>
          <w:tcPr>
            <w:tcW w:w="567" w:type="dxa"/>
            <w:tcBorders>
              <w:top w:val="nil"/>
              <w:left w:val="nil"/>
              <w:bottom w:val="nil"/>
              <w:right w:val="nil"/>
            </w:tcBorders>
            <w:shd w:val="clear" w:color="auto" w:fill="auto"/>
            <w:noWrap/>
            <w:vAlign w:val="center"/>
            <w:hideMark/>
          </w:tcPr>
          <w:p w14:paraId="24CDD48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17,8</w:t>
            </w:r>
          </w:p>
        </w:tc>
        <w:tc>
          <w:tcPr>
            <w:tcW w:w="567" w:type="dxa"/>
            <w:tcBorders>
              <w:top w:val="nil"/>
              <w:left w:val="nil"/>
              <w:bottom w:val="nil"/>
              <w:right w:val="nil"/>
            </w:tcBorders>
            <w:shd w:val="clear" w:color="auto" w:fill="auto"/>
            <w:noWrap/>
            <w:vAlign w:val="center"/>
            <w:hideMark/>
          </w:tcPr>
          <w:p w14:paraId="075E2E49"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19,4</w:t>
            </w:r>
          </w:p>
        </w:tc>
        <w:tc>
          <w:tcPr>
            <w:tcW w:w="567" w:type="dxa"/>
            <w:tcBorders>
              <w:top w:val="nil"/>
              <w:left w:val="nil"/>
              <w:bottom w:val="nil"/>
              <w:right w:val="nil"/>
            </w:tcBorders>
            <w:shd w:val="clear" w:color="auto" w:fill="auto"/>
            <w:noWrap/>
            <w:vAlign w:val="center"/>
            <w:hideMark/>
          </w:tcPr>
          <w:p w14:paraId="43225CB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18,3</w:t>
            </w:r>
          </w:p>
        </w:tc>
        <w:tc>
          <w:tcPr>
            <w:tcW w:w="567" w:type="dxa"/>
            <w:tcBorders>
              <w:top w:val="nil"/>
              <w:left w:val="nil"/>
              <w:bottom w:val="nil"/>
              <w:right w:val="nil"/>
            </w:tcBorders>
            <w:shd w:val="clear" w:color="auto" w:fill="auto"/>
            <w:noWrap/>
            <w:vAlign w:val="center"/>
            <w:hideMark/>
          </w:tcPr>
          <w:p w14:paraId="184AD8A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21,1</w:t>
            </w:r>
          </w:p>
        </w:tc>
        <w:tc>
          <w:tcPr>
            <w:tcW w:w="567" w:type="dxa"/>
            <w:tcBorders>
              <w:top w:val="nil"/>
              <w:left w:val="nil"/>
              <w:bottom w:val="nil"/>
              <w:right w:val="nil"/>
            </w:tcBorders>
            <w:shd w:val="clear" w:color="auto" w:fill="auto"/>
            <w:noWrap/>
            <w:vAlign w:val="center"/>
            <w:hideMark/>
          </w:tcPr>
          <w:p w14:paraId="0A665D2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21,3</w:t>
            </w:r>
          </w:p>
        </w:tc>
        <w:tc>
          <w:tcPr>
            <w:tcW w:w="567" w:type="dxa"/>
            <w:tcBorders>
              <w:top w:val="nil"/>
              <w:left w:val="nil"/>
              <w:bottom w:val="nil"/>
              <w:right w:val="nil"/>
            </w:tcBorders>
            <w:shd w:val="clear" w:color="auto" w:fill="auto"/>
            <w:noWrap/>
            <w:vAlign w:val="center"/>
            <w:hideMark/>
          </w:tcPr>
          <w:p w14:paraId="14107CE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21,8</w:t>
            </w:r>
          </w:p>
        </w:tc>
        <w:tc>
          <w:tcPr>
            <w:tcW w:w="567" w:type="dxa"/>
            <w:tcBorders>
              <w:top w:val="nil"/>
              <w:left w:val="nil"/>
              <w:bottom w:val="nil"/>
              <w:right w:val="nil"/>
            </w:tcBorders>
            <w:shd w:val="clear" w:color="auto" w:fill="auto"/>
            <w:noWrap/>
            <w:vAlign w:val="center"/>
            <w:hideMark/>
          </w:tcPr>
          <w:p w14:paraId="5793AA2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22,5</w:t>
            </w:r>
          </w:p>
        </w:tc>
        <w:tc>
          <w:tcPr>
            <w:tcW w:w="567" w:type="dxa"/>
            <w:tcBorders>
              <w:top w:val="nil"/>
              <w:left w:val="nil"/>
              <w:bottom w:val="nil"/>
              <w:right w:val="nil"/>
            </w:tcBorders>
            <w:shd w:val="clear" w:color="auto" w:fill="auto"/>
            <w:noWrap/>
            <w:vAlign w:val="center"/>
            <w:hideMark/>
          </w:tcPr>
          <w:p w14:paraId="56F3F2B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23,0</w:t>
            </w:r>
          </w:p>
        </w:tc>
        <w:tc>
          <w:tcPr>
            <w:tcW w:w="567" w:type="dxa"/>
            <w:tcBorders>
              <w:top w:val="nil"/>
              <w:left w:val="nil"/>
              <w:bottom w:val="nil"/>
              <w:right w:val="nil"/>
            </w:tcBorders>
            <w:shd w:val="clear" w:color="auto" w:fill="auto"/>
            <w:noWrap/>
            <w:vAlign w:val="center"/>
            <w:hideMark/>
          </w:tcPr>
          <w:p w14:paraId="67B307B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27,6</w:t>
            </w:r>
          </w:p>
        </w:tc>
        <w:tc>
          <w:tcPr>
            <w:tcW w:w="567" w:type="dxa"/>
            <w:tcBorders>
              <w:top w:val="nil"/>
              <w:left w:val="nil"/>
              <w:bottom w:val="nil"/>
              <w:right w:val="nil"/>
            </w:tcBorders>
            <w:shd w:val="clear" w:color="auto" w:fill="auto"/>
            <w:noWrap/>
            <w:vAlign w:val="center"/>
            <w:hideMark/>
          </w:tcPr>
          <w:p w14:paraId="5A3B918E"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30,3</w:t>
            </w:r>
          </w:p>
        </w:tc>
      </w:tr>
      <w:tr w:rsidR="00896E98" w:rsidRPr="00896E98" w14:paraId="6F7B144E" w14:textId="77777777" w:rsidTr="00896E98">
        <w:trPr>
          <w:trHeight w:val="480"/>
        </w:trPr>
        <w:tc>
          <w:tcPr>
            <w:tcW w:w="3402" w:type="dxa"/>
            <w:tcBorders>
              <w:top w:val="nil"/>
              <w:left w:val="nil"/>
              <w:bottom w:val="nil"/>
              <w:right w:val="single" w:sz="4" w:space="0" w:color="auto"/>
            </w:tcBorders>
            <w:shd w:val="clear" w:color="auto" w:fill="auto"/>
            <w:vAlign w:val="center"/>
            <w:hideMark/>
          </w:tcPr>
          <w:p w14:paraId="0A716F4E"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 xml:space="preserve">N – Administrativní a podpůrné </w:t>
            </w:r>
            <w:r w:rsidRPr="00896E98">
              <w:rPr>
                <w:rFonts w:cs="Arial"/>
                <w:color w:val="000000"/>
                <w:sz w:val="16"/>
                <w:szCs w:val="16"/>
              </w:rPr>
              <w:br/>
              <w:t xml:space="preserve">      </w:t>
            </w:r>
            <w:r>
              <w:rPr>
                <w:rFonts w:cs="Arial"/>
                <w:color w:val="000000"/>
                <w:sz w:val="16"/>
                <w:szCs w:val="16"/>
              </w:rPr>
              <w:t xml:space="preserve">   </w:t>
            </w:r>
            <w:r w:rsidRPr="00896E98">
              <w:rPr>
                <w:rFonts w:cs="Arial"/>
                <w:color w:val="000000"/>
                <w:sz w:val="16"/>
                <w:szCs w:val="16"/>
              </w:rPr>
              <w:t xml:space="preserve"> činnosti</w:t>
            </w:r>
          </w:p>
        </w:tc>
        <w:tc>
          <w:tcPr>
            <w:tcW w:w="567" w:type="dxa"/>
            <w:tcBorders>
              <w:top w:val="nil"/>
              <w:left w:val="nil"/>
              <w:bottom w:val="nil"/>
              <w:right w:val="nil"/>
            </w:tcBorders>
            <w:shd w:val="clear" w:color="auto" w:fill="auto"/>
            <w:noWrap/>
            <w:vAlign w:val="center"/>
            <w:hideMark/>
          </w:tcPr>
          <w:p w14:paraId="3CC7C5A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39,6</w:t>
            </w:r>
          </w:p>
        </w:tc>
        <w:tc>
          <w:tcPr>
            <w:tcW w:w="567" w:type="dxa"/>
            <w:tcBorders>
              <w:top w:val="nil"/>
              <w:left w:val="nil"/>
              <w:bottom w:val="nil"/>
              <w:right w:val="nil"/>
            </w:tcBorders>
            <w:shd w:val="clear" w:color="auto" w:fill="auto"/>
            <w:noWrap/>
            <w:vAlign w:val="center"/>
            <w:hideMark/>
          </w:tcPr>
          <w:p w14:paraId="56F641A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31,1</w:t>
            </w:r>
          </w:p>
        </w:tc>
        <w:tc>
          <w:tcPr>
            <w:tcW w:w="567" w:type="dxa"/>
            <w:tcBorders>
              <w:top w:val="nil"/>
              <w:left w:val="nil"/>
              <w:bottom w:val="nil"/>
              <w:right w:val="nil"/>
            </w:tcBorders>
            <w:shd w:val="clear" w:color="auto" w:fill="auto"/>
            <w:noWrap/>
            <w:vAlign w:val="center"/>
            <w:hideMark/>
          </w:tcPr>
          <w:p w14:paraId="40408C8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36,1</w:t>
            </w:r>
          </w:p>
        </w:tc>
        <w:tc>
          <w:tcPr>
            <w:tcW w:w="567" w:type="dxa"/>
            <w:tcBorders>
              <w:top w:val="nil"/>
              <w:left w:val="nil"/>
              <w:bottom w:val="nil"/>
              <w:right w:val="nil"/>
            </w:tcBorders>
            <w:shd w:val="clear" w:color="auto" w:fill="auto"/>
            <w:noWrap/>
            <w:vAlign w:val="center"/>
            <w:hideMark/>
          </w:tcPr>
          <w:p w14:paraId="075C55D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7C54D19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48,2</w:t>
            </w:r>
          </w:p>
        </w:tc>
        <w:tc>
          <w:tcPr>
            <w:tcW w:w="567" w:type="dxa"/>
            <w:tcBorders>
              <w:top w:val="nil"/>
              <w:left w:val="nil"/>
              <w:bottom w:val="nil"/>
              <w:right w:val="nil"/>
            </w:tcBorders>
            <w:shd w:val="clear" w:color="auto" w:fill="auto"/>
            <w:noWrap/>
            <w:vAlign w:val="center"/>
            <w:hideMark/>
          </w:tcPr>
          <w:p w14:paraId="5CF8B30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49,4</w:t>
            </w:r>
          </w:p>
        </w:tc>
        <w:tc>
          <w:tcPr>
            <w:tcW w:w="567" w:type="dxa"/>
            <w:tcBorders>
              <w:top w:val="nil"/>
              <w:left w:val="nil"/>
              <w:bottom w:val="nil"/>
              <w:right w:val="nil"/>
            </w:tcBorders>
            <w:shd w:val="clear" w:color="auto" w:fill="auto"/>
            <w:noWrap/>
            <w:vAlign w:val="center"/>
            <w:hideMark/>
          </w:tcPr>
          <w:p w14:paraId="4BF9812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48,6</w:t>
            </w:r>
          </w:p>
        </w:tc>
        <w:tc>
          <w:tcPr>
            <w:tcW w:w="567" w:type="dxa"/>
            <w:tcBorders>
              <w:top w:val="nil"/>
              <w:left w:val="nil"/>
              <w:bottom w:val="nil"/>
              <w:right w:val="nil"/>
            </w:tcBorders>
            <w:shd w:val="clear" w:color="auto" w:fill="auto"/>
            <w:noWrap/>
            <w:vAlign w:val="center"/>
            <w:hideMark/>
          </w:tcPr>
          <w:p w14:paraId="3DDC1B3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48,6</w:t>
            </w:r>
          </w:p>
        </w:tc>
        <w:tc>
          <w:tcPr>
            <w:tcW w:w="567" w:type="dxa"/>
            <w:tcBorders>
              <w:top w:val="nil"/>
              <w:left w:val="nil"/>
              <w:bottom w:val="nil"/>
              <w:right w:val="nil"/>
            </w:tcBorders>
            <w:shd w:val="clear" w:color="auto" w:fill="auto"/>
            <w:noWrap/>
            <w:vAlign w:val="center"/>
            <w:hideMark/>
          </w:tcPr>
          <w:p w14:paraId="400DF93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49,7</w:t>
            </w:r>
          </w:p>
        </w:tc>
        <w:tc>
          <w:tcPr>
            <w:tcW w:w="567" w:type="dxa"/>
            <w:tcBorders>
              <w:top w:val="nil"/>
              <w:left w:val="nil"/>
              <w:bottom w:val="nil"/>
              <w:right w:val="nil"/>
            </w:tcBorders>
            <w:shd w:val="clear" w:color="auto" w:fill="auto"/>
            <w:noWrap/>
            <w:vAlign w:val="center"/>
            <w:hideMark/>
          </w:tcPr>
          <w:p w14:paraId="731E3E5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56,9</w:t>
            </w:r>
          </w:p>
        </w:tc>
        <w:tc>
          <w:tcPr>
            <w:tcW w:w="567" w:type="dxa"/>
            <w:tcBorders>
              <w:top w:val="nil"/>
              <w:left w:val="nil"/>
              <w:bottom w:val="nil"/>
              <w:right w:val="nil"/>
            </w:tcBorders>
            <w:shd w:val="clear" w:color="auto" w:fill="auto"/>
            <w:noWrap/>
            <w:vAlign w:val="center"/>
            <w:hideMark/>
          </w:tcPr>
          <w:p w14:paraId="6A4B8D5D"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66,4</w:t>
            </w:r>
          </w:p>
        </w:tc>
      </w:tr>
      <w:tr w:rsidR="00896E98" w:rsidRPr="00896E98" w14:paraId="726DFF56" w14:textId="77777777" w:rsidTr="00896E98">
        <w:trPr>
          <w:trHeight w:val="480"/>
        </w:trPr>
        <w:tc>
          <w:tcPr>
            <w:tcW w:w="3402" w:type="dxa"/>
            <w:tcBorders>
              <w:top w:val="nil"/>
              <w:left w:val="nil"/>
              <w:bottom w:val="nil"/>
              <w:right w:val="single" w:sz="4" w:space="0" w:color="auto"/>
            </w:tcBorders>
            <w:shd w:val="clear" w:color="auto" w:fill="auto"/>
            <w:vAlign w:val="center"/>
            <w:hideMark/>
          </w:tcPr>
          <w:p w14:paraId="5FC6E746"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 xml:space="preserve">O – Veřejná správa a obrana; </w:t>
            </w:r>
            <w:r w:rsidRPr="00896E98">
              <w:rPr>
                <w:rFonts w:cs="Arial"/>
                <w:color w:val="000000"/>
                <w:sz w:val="16"/>
                <w:szCs w:val="16"/>
              </w:rPr>
              <w:br/>
              <w:t xml:space="preserve">        </w:t>
            </w:r>
            <w:r>
              <w:rPr>
                <w:rFonts w:cs="Arial"/>
                <w:color w:val="000000"/>
                <w:sz w:val="16"/>
                <w:szCs w:val="16"/>
              </w:rPr>
              <w:t xml:space="preserve">  </w:t>
            </w:r>
            <w:r w:rsidRPr="00896E98">
              <w:rPr>
                <w:rFonts w:cs="Arial"/>
                <w:color w:val="000000"/>
                <w:sz w:val="16"/>
                <w:szCs w:val="16"/>
              </w:rPr>
              <w:t>povinné sociální zabezpečení</w:t>
            </w:r>
          </w:p>
        </w:tc>
        <w:tc>
          <w:tcPr>
            <w:tcW w:w="567" w:type="dxa"/>
            <w:tcBorders>
              <w:top w:val="nil"/>
              <w:left w:val="nil"/>
              <w:bottom w:val="nil"/>
              <w:right w:val="nil"/>
            </w:tcBorders>
            <w:shd w:val="clear" w:color="auto" w:fill="auto"/>
            <w:noWrap/>
            <w:vAlign w:val="center"/>
            <w:hideMark/>
          </w:tcPr>
          <w:p w14:paraId="6CA35AD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29,5</w:t>
            </w:r>
          </w:p>
        </w:tc>
        <w:tc>
          <w:tcPr>
            <w:tcW w:w="567" w:type="dxa"/>
            <w:tcBorders>
              <w:top w:val="nil"/>
              <w:left w:val="nil"/>
              <w:bottom w:val="nil"/>
              <w:right w:val="nil"/>
            </w:tcBorders>
            <w:shd w:val="clear" w:color="auto" w:fill="auto"/>
            <w:noWrap/>
            <w:vAlign w:val="center"/>
            <w:hideMark/>
          </w:tcPr>
          <w:p w14:paraId="51E0F85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24,5</w:t>
            </w:r>
          </w:p>
        </w:tc>
        <w:tc>
          <w:tcPr>
            <w:tcW w:w="567" w:type="dxa"/>
            <w:tcBorders>
              <w:top w:val="nil"/>
              <w:left w:val="nil"/>
              <w:bottom w:val="nil"/>
              <w:right w:val="nil"/>
            </w:tcBorders>
            <w:shd w:val="clear" w:color="auto" w:fill="auto"/>
            <w:noWrap/>
            <w:vAlign w:val="center"/>
            <w:hideMark/>
          </w:tcPr>
          <w:p w14:paraId="3EA3325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28,1</w:t>
            </w:r>
          </w:p>
        </w:tc>
        <w:tc>
          <w:tcPr>
            <w:tcW w:w="567" w:type="dxa"/>
            <w:tcBorders>
              <w:top w:val="nil"/>
              <w:left w:val="nil"/>
              <w:bottom w:val="nil"/>
              <w:right w:val="nil"/>
            </w:tcBorders>
            <w:shd w:val="clear" w:color="auto" w:fill="auto"/>
            <w:noWrap/>
            <w:vAlign w:val="center"/>
            <w:hideMark/>
          </w:tcPr>
          <w:p w14:paraId="15CEF13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26,3</w:t>
            </w:r>
          </w:p>
        </w:tc>
        <w:tc>
          <w:tcPr>
            <w:tcW w:w="567" w:type="dxa"/>
            <w:tcBorders>
              <w:top w:val="nil"/>
              <w:left w:val="nil"/>
              <w:bottom w:val="nil"/>
              <w:right w:val="nil"/>
            </w:tcBorders>
            <w:shd w:val="clear" w:color="auto" w:fill="auto"/>
            <w:noWrap/>
            <w:vAlign w:val="center"/>
            <w:hideMark/>
          </w:tcPr>
          <w:p w14:paraId="3F07F0D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31,5</w:t>
            </w:r>
          </w:p>
        </w:tc>
        <w:tc>
          <w:tcPr>
            <w:tcW w:w="567" w:type="dxa"/>
            <w:tcBorders>
              <w:top w:val="nil"/>
              <w:left w:val="nil"/>
              <w:bottom w:val="nil"/>
              <w:right w:val="nil"/>
            </w:tcBorders>
            <w:shd w:val="clear" w:color="auto" w:fill="auto"/>
            <w:noWrap/>
            <w:vAlign w:val="center"/>
            <w:hideMark/>
          </w:tcPr>
          <w:p w14:paraId="2EAF549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30,7</w:t>
            </w:r>
          </w:p>
        </w:tc>
        <w:tc>
          <w:tcPr>
            <w:tcW w:w="567" w:type="dxa"/>
            <w:tcBorders>
              <w:top w:val="nil"/>
              <w:left w:val="nil"/>
              <w:bottom w:val="nil"/>
              <w:right w:val="nil"/>
            </w:tcBorders>
            <w:shd w:val="clear" w:color="auto" w:fill="auto"/>
            <w:noWrap/>
            <w:vAlign w:val="center"/>
            <w:hideMark/>
          </w:tcPr>
          <w:p w14:paraId="174D726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31,3</w:t>
            </w:r>
          </w:p>
        </w:tc>
        <w:tc>
          <w:tcPr>
            <w:tcW w:w="567" w:type="dxa"/>
            <w:tcBorders>
              <w:top w:val="nil"/>
              <w:left w:val="nil"/>
              <w:bottom w:val="nil"/>
              <w:right w:val="nil"/>
            </w:tcBorders>
            <w:shd w:val="clear" w:color="auto" w:fill="auto"/>
            <w:noWrap/>
            <w:vAlign w:val="center"/>
            <w:hideMark/>
          </w:tcPr>
          <w:p w14:paraId="1129FCA9"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34,0</w:t>
            </w:r>
          </w:p>
        </w:tc>
        <w:tc>
          <w:tcPr>
            <w:tcW w:w="567" w:type="dxa"/>
            <w:tcBorders>
              <w:top w:val="nil"/>
              <w:left w:val="nil"/>
              <w:bottom w:val="nil"/>
              <w:right w:val="nil"/>
            </w:tcBorders>
            <w:shd w:val="clear" w:color="auto" w:fill="auto"/>
            <w:noWrap/>
            <w:vAlign w:val="center"/>
            <w:hideMark/>
          </w:tcPr>
          <w:p w14:paraId="12CE97D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35,5</w:t>
            </w:r>
          </w:p>
        </w:tc>
        <w:tc>
          <w:tcPr>
            <w:tcW w:w="567" w:type="dxa"/>
            <w:tcBorders>
              <w:top w:val="nil"/>
              <w:left w:val="nil"/>
              <w:bottom w:val="nil"/>
              <w:right w:val="nil"/>
            </w:tcBorders>
            <w:shd w:val="clear" w:color="auto" w:fill="auto"/>
            <w:noWrap/>
            <w:vAlign w:val="center"/>
            <w:hideMark/>
          </w:tcPr>
          <w:p w14:paraId="1AA2FE27"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44,9</w:t>
            </w:r>
          </w:p>
        </w:tc>
        <w:tc>
          <w:tcPr>
            <w:tcW w:w="567" w:type="dxa"/>
            <w:tcBorders>
              <w:top w:val="nil"/>
              <w:left w:val="nil"/>
              <w:bottom w:val="nil"/>
              <w:right w:val="nil"/>
            </w:tcBorders>
            <w:shd w:val="clear" w:color="auto" w:fill="auto"/>
            <w:noWrap/>
            <w:vAlign w:val="center"/>
            <w:hideMark/>
          </w:tcPr>
          <w:p w14:paraId="79FCCDBF"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52,7</w:t>
            </w:r>
          </w:p>
        </w:tc>
      </w:tr>
      <w:tr w:rsidR="00896E98" w:rsidRPr="00896E98" w14:paraId="36EE2413"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00E97644"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P – Vzdělávání</w:t>
            </w:r>
          </w:p>
        </w:tc>
        <w:tc>
          <w:tcPr>
            <w:tcW w:w="567" w:type="dxa"/>
            <w:tcBorders>
              <w:top w:val="nil"/>
              <w:left w:val="nil"/>
              <w:bottom w:val="nil"/>
              <w:right w:val="nil"/>
            </w:tcBorders>
            <w:shd w:val="clear" w:color="auto" w:fill="auto"/>
            <w:noWrap/>
            <w:vAlign w:val="center"/>
            <w:hideMark/>
          </w:tcPr>
          <w:p w14:paraId="176AB119"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7318CDD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21,7</w:t>
            </w:r>
          </w:p>
        </w:tc>
        <w:tc>
          <w:tcPr>
            <w:tcW w:w="567" w:type="dxa"/>
            <w:tcBorders>
              <w:top w:val="nil"/>
              <w:left w:val="nil"/>
              <w:bottom w:val="nil"/>
              <w:right w:val="nil"/>
            </w:tcBorders>
            <w:shd w:val="clear" w:color="auto" w:fill="auto"/>
            <w:noWrap/>
            <w:vAlign w:val="center"/>
            <w:hideMark/>
          </w:tcPr>
          <w:p w14:paraId="199EB56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25,2</w:t>
            </w:r>
          </w:p>
        </w:tc>
        <w:tc>
          <w:tcPr>
            <w:tcW w:w="567" w:type="dxa"/>
            <w:tcBorders>
              <w:top w:val="nil"/>
              <w:left w:val="nil"/>
              <w:bottom w:val="nil"/>
              <w:right w:val="nil"/>
            </w:tcBorders>
            <w:shd w:val="clear" w:color="auto" w:fill="auto"/>
            <w:noWrap/>
            <w:vAlign w:val="center"/>
            <w:hideMark/>
          </w:tcPr>
          <w:p w14:paraId="78A2C487"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24,4</w:t>
            </w:r>
          </w:p>
        </w:tc>
        <w:tc>
          <w:tcPr>
            <w:tcW w:w="567" w:type="dxa"/>
            <w:tcBorders>
              <w:top w:val="nil"/>
              <w:left w:val="nil"/>
              <w:bottom w:val="nil"/>
              <w:right w:val="nil"/>
            </w:tcBorders>
            <w:shd w:val="clear" w:color="auto" w:fill="auto"/>
            <w:noWrap/>
            <w:vAlign w:val="center"/>
            <w:hideMark/>
          </w:tcPr>
          <w:p w14:paraId="175A562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30,5</w:t>
            </w:r>
          </w:p>
        </w:tc>
        <w:tc>
          <w:tcPr>
            <w:tcW w:w="567" w:type="dxa"/>
            <w:tcBorders>
              <w:top w:val="nil"/>
              <w:left w:val="nil"/>
              <w:bottom w:val="nil"/>
              <w:right w:val="nil"/>
            </w:tcBorders>
            <w:shd w:val="clear" w:color="auto" w:fill="auto"/>
            <w:noWrap/>
            <w:vAlign w:val="center"/>
            <w:hideMark/>
          </w:tcPr>
          <w:p w14:paraId="7FA7A0E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30,5</w:t>
            </w:r>
          </w:p>
        </w:tc>
        <w:tc>
          <w:tcPr>
            <w:tcW w:w="567" w:type="dxa"/>
            <w:tcBorders>
              <w:top w:val="nil"/>
              <w:left w:val="nil"/>
              <w:bottom w:val="nil"/>
              <w:right w:val="nil"/>
            </w:tcBorders>
            <w:shd w:val="clear" w:color="auto" w:fill="auto"/>
            <w:noWrap/>
            <w:vAlign w:val="center"/>
            <w:hideMark/>
          </w:tcPr>
          <w:p w14:paraId="5CD3D6F7"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32,6</w:t>
            </w:r>
          </w:p>
        </w:tc>
        <w:tc>
          <w:tcPr>
            <w:tcW w:w="567" w:type="dxa"/>
            <w:tcBorders>
              <w:top w:val="nil"/>
              <w:left w:val="nil"/>
              <w:bottom w:val="nil"/>
              <w:right w:val="nil"/>
            </w:tcBorders>
            <w:shd w:val="clear" w:color="auto" w:fill="auto"/>
            <w:noWrap/>
            <w:vAlign w:val="center"/>
            <w:hideMark/>
          </w:tcPr>
          <w:p w14:paraId="45EAAC0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35,9</w:t>
            </w:r>
          </w:p>
        </w:tc>
        <w:tc>
          <w:tcPr>
            <w:tcW w:w="567" w:type="dxa"/>
            <w:tcBorders>
              <w:top w:val="nil"/>
              <w:left w:val="nil"/>
              <w:bottom w:val="nil"/>
              <w:right w:val="nil"/>
            </w:tcBorders>
            <w:shd w:val="clear" w:color="auto" w:fill="auto"/>
            <w:noWrap/>
            <w:vAlign w:val="center"/>
            <w:hideMark/>
          </w:tcPr>
          <w:p w14:paraId="56D7654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36,0</w:t>
            </w:r>
          </w:p>
        </w:tc>
        <w:tc>
          <w:tcPr>
            <w:tcW w:w="567" w:type="dxa"/>
            <w:tcBorders>
              <w:top w:val="nil"/>
              <w:left w:val="nil"/>
              <w:bottom w:val="nil"/>
              <w:right w:val="nil"/>
            </w:tcBorders>
            <w:shd w:val="clear" w:color="auto" w:fill="auto"/>
            <w:noWrap/>
            <w:vAlign w:val="center"/>
            <w:hideMark/>
          </w:tcPr>
          <w:p w14:paraId="20547C7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43,3</w:t>
            </w:r>
          </w:p>
        </w:tc>
        <w:tc>
          <w:tcPr>
            <w:tcW w:w="567" w:type="dxa"/>
            <w:tcBorders>
              <w:top w:val="nil"/>
              <w:left w:val="nil"/>
              <w:bottom w:val="nil"/>
              <w:right w:val="nil"/>
            </w:tcBorders>
            <w:shd w:val="clear" w:color="auto" w:fill="auto"/>
            <w:noWrap/>
            <w:vAlign w:val="center"/>
            <w:hideMark/>
          </w:tcPr>
          <w:p w14:paraId="6437420F"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55,7</w:t>
            </w:r>
          </w:p>
        </w:tc>
      </w:tr>
      <w:tr w:rsidR="00896E98" w:rsidRPr="00896E98" w14:paraId="02B445CD"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68EAB295"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Q – Zdravotní a sociální péče</w:t>
            </w:r>
          </w:p>
        </w:tc>
        <w:tc>
          <w:tcPr>
            <w:tcW w:w="567" w:type="dxa"/>
            <w:tcBorders>
              <w:top w:val="nil"/>
              <w:left w:val="nil"/>
              <w:bottom w:val="nil"/>
              <w:right w:val="nil"/>
            </w:tcBorders>
            <w:shd w:val="clear" w:color="auto" w:fill="auto"/>
            <w:noWrap/>
            <w:vAlign w:val="center"/>
            <w:hideMark/>
          </w:tcPr>
          <w:p w14:paraId="0ED1FB7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26,1</w:t>
            </w:r>
          </w:p>
        </w:tc>
        <w:tc>
          <w:tcPr>
            <w:tcW w:w="567" w:type="dxa"/>
            <w:tcBorders>
              <w:top w:val="nil"/>
              <w:left w:val="nil"/>
              <w:bottom w:val="nil"/>
              <w:right w:val="nil"/>
            </w:tcBorders>
            <w:shd w:val="clear" w:color="auto" w:fill="auto"/>
            <w:noWrap/>
            <w:vAlign w:val="center"/>
            <w:hideMark/>
          </w:tcPr>
          <w:p w14:paraId="28A9997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22,3</w:t>
            </w:r>
          </w:p>
        </w:tc>
        <w:tc>
          <w:tcPr>
            <w:tcW w:w="567" w:type="dxa"/>
            <w:tcBorders>
              <w:top w:val="nil"/>
              <w:left w:val="nil"/>
              <w:bottom w:val="nil"/>
              <w:right w:val="nil"/>
            </w:tcBorders>
            <w:shd w:val="clear" w:color="auto" w:fill="auto"/>
            <w:noWrap/>
            <w:vAlign w:val="center"/>
            <w:hideMark/>
          </w:tcPr>
          <w:p w14:paraId="0D7146C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25,5</w:t>
            </w:r>
          </w:p>
        </w:tc>
        <w:tc>
          <w:tcPr>
            <w:tcW w:w="567" w:type="dxa"/>
            <w:tcBorders>
              <w:top w:val="nil"/>
              <w:left w:val="nil"/>
              <w:bottom w:val="nil"/>
              <w:right w:val="nil"/>
            </w:tcBorders>
            <w:shd w:val="clear" w:color="auto" w:fill="auto"/>
            <w:noWrap/>
            <w:vAlign w:val="center"/>
            <w:hideMark/>
          </w:tcPr>
          <w:p w14:paraId="4DB4B38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25,4</w:t>
            </w:r>
          </w:p>
        </w:tc>
        <w:tc>
          <w:tcPr>
            <w:tcW w:w="567" w:type="dxa"/>
            <w:tcBorders>
              <w:top w:val="nil"/>
              <w:left w:val="nil"/>
              <w:bottom w:val="nil"/>
              <w:right w:val="nil"/>
            </w:tcBorders>
            <w:shd w:val="clear" w:color="auto" w:fill="auto"/>
            <w:noWrap/>
            <w:vAlign w:val="center"/>
            <w:hideMark/>
          </w:tcPr>
          <w:p w14:paraId="28592D1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29,7</w:t>
            </w:r>
          </w:p>
        </w:tc>
        <w:tc>
          <w:tcPr>
            <w:tcW w:w="567" w:type="dxa"/>
            <w:tcBorders>
              <w:top w:val="nil"/>
              <w:left w:val="nil"/>
              <w:bottom w:val="nil"/>
              <w:right w:val="nil"/>
            </w:tcBorders>
            <w:shd w:val="clear" w:color="auto" w:fill="auto"/>
            <w:noWrap/>
            <w:vAlign w:val="center"/>
            <w:hideMark/>
          </w:tcPr>
          <w:p w14:paraId="0022E74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30,4</w:t>
            </w:r>
          </w:p>
        </w:tc>
        <w:tc>
          <w:tcPr>
            <w:tcW w:w="567" w:type="dxa"/>
            <w:tcBorders>
              <w:top w:val="nil"/>
              <w:left w:val="nil"/>
              <w:bottom w:val="nil"/>
              <w:right w:val="nil"/>
            </w:tcBorders>
            <w:shd w:val="clear" w:color="auto" w:fill="auto"/>
            <w:noWrap/>
            <w:vAlign w:val="center"/>
            <w:hideMark/>
          </w:tcPr>
          <w:p w14:paraId="560E68A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31,3</w:t>
            </w:r>
          </w:p>
        </w:tc>
        <w:tc>
          <w:tcPr>
            <w:tcW w:w="567" w:type="dxa"/>
            <w:tcBorders>
              <w:top w:val="nil"/>
              <w:left w:val="nil"/>
              <w:bottom w:val="nil"/>
              <w:right w:val="nil"/>
            </w:tcBorders>
            <w:shd w:val="clear" w:color="auto" w:fill="auto"/>
            <w:noWrap/>
            <w:vAlign w:val="center"/>
            <w:hideMark/>
          </w:tcPr>
          <w:p w14:paraId="01D29A4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33,7</w:t>
            </w:r>
          </w:p>
        </w:tc>
        <w:tc>
          <w:tcPr>
            <w:tcW w:w="567" w:type="dxa"/>
            <w:tcBorders>
              <w:top w:val="nil"/>
              <w:left w:val="nil"/>
              <w:bottom w:val="nil"/>
              <w:right w:val="nil"/>
            </w:tcBorders>
            <w:shd w:val="clear" w:color="auto" w:fill="auto"/>
            <w:noWrap/>
            <w:vAlign w:val="center"/>
            <w:hideMark/>
          </w:tcPr>
          <w:p w14:paraId="077661F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35,2</w:t>
            </w:r>
          </w:p>
        </w:tc>
        <w:tc>
          <w:tcPr>
            <w:tcW w:w="567" w:type="dxa"/>
            <w:tcBorders>
              <w:top w:val="nil"/>
              <w:left w:val="nil"/>
              <w:bottom w:val="nil"/>
              <w:right w:val="nil"/>
            </w:tcBorders>
            <w:shd w:val="clear" w:color="auto" w:fill="auto"/>
            <w:noWrap/>
            <w:vAlign w:val="center"/>
            <w:hideMark/>
          </w:tcPr>
          <w:p w14:paraId="63988949"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59,7</w:t>
            </w:r>
          </w:p>
        </w:tc>
        <w:tc>
          <w:tcPr>
            <w:tcW w:w="567" w:type="dxa"/>
            <w:tcBorders>
              <w:top w:val="nil"/>
              <w:left w:val="nil"/>
              <w:bottom w:val="nil"/>
              <w:right w:val="nil"/>
            </w:tcBorders>
            <w:shd w:val="clear" w:color="auto" w:fill="auto"/>
            <w:noWrap/>
            <w:vAlign w:val="center"/>
            <w:hideMark/>
          </w:tcPr>
          <w:p w14:paraId="6DD79677"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52,1</w:t>
            </w:r>
          </w:p>
        </w:tc>
      </w:tr>
      <w:tr w:rsidR="00896E98" w:rsidRPr="00896E98" w14:paraId="55A3B6DC" w14:textId="77777777" w:rsidTr="00896E98">
        <w:trPr>
          <w:trHeight w:val="480"/>
        </w:trPr>
        <w:tc>
          <w:tcPr>
            <w:tcW w:w="3402" w:type="dxa"/>
            <w:tcBorders>
              <w:top w:val="nil"/>
              <w:left w:val="nil"/>
              <w:bottom w:val="nil"/>
              <w:right w:val="single" w:sz="4" w:space="0" w:color="auto"/>
            </w:tcBorders>
            <w:shd w:val="clear" w:color="auto" w:fill="auto"/>
            <w:vAlign w:val="center"/>
            <w:hideMark/>
          </w:tcPr>
          <w:p w14:paraId="58E6729B"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 xml:space="preserve">R – Kulturní, zábavní a rekreační </w:t>
            </w:r>
            <w:r w:rsidRPr="00896E98">
              <w:rPr>
                <w:rFonts w:cs="Arial"/>
                <w:color w:val="000000"/>
                <w:sz w:val="16"/>
                <w:szCs w:val="16"/>
              </w:rPr>
              <w:br/>
              <w:t xml:space="preserve">       </w:t>
            </w:r>
            <w:r>
              <w:rPr>
                <w:rFonts w:cs="Arial"/>
                <w:color w:val="000000"/>
                <w:sz w:val="16"/>
                <w:szCs w:val="16"/>
              </w:rPr>
              <w:t xml:space="preserve">   </w:t>
            </w:r>
            <w:r w:rsidRPr="00896E98">
              <w:rPr>
                <w:rFonts w:cs="Arial"/>
                <w:color w:val="000000"/>
                <w:sz w:val="16"/>
                <w:szCs w:val="16"/>
              </w:rPr>
              <w:t>činnosti</w:t>
            </w:r>
          </w:p>
        </w:tc>
        <w:tc>
          <w:tcPr>
            <w:tcW w:w="567" w:type="dxa"/>
            <w:tcBorders>
              <w:top w:val="nil"/>
              <w:left w:val="nil"/>
              <w:bottom w:val="nil"/>
              <w:right w:val="nil"/>
            </w:tcBorders>
            <w:shd w:val="clear" w:color="auto" w:fill="auto"/>
            <w:noWrap/>
            <w:vAlign w:val="center"/>
            <w:hideMark/>
          </w:tcPr>
          <w:p w14:paraId="1BC799C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22,7</w:t>
            </w:r>
          </w:p>
        </w:tc>
        <w:tc>
          <w:tcPr>
            <w:tcW w:w="567" w:type="dxa"/>
            <w:tcBorders>
              <w:top w:val="nil"/>
              <w:left w:val="nil"/>
              <w:bottom w:val="nil"/>
              <w:right w:val="nil"/>
            </w:tcBorders>
            <w:shd w:val="clear" w:color="auto" w:fill="auto"/>
            <w:noWrap/>
            <w:vAlign w:val="center"/>
            <w:hideMark/>
          </w:tcPr>
          <w:p w14:paraId="536410C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18,4</w:t>
            </w:r>
          </w:p>
        </w:tc>
        <w:tc>
          <w:tcPr>
            <w:tcW w:w="567" w:type="dxa"/>
            <w:tcBorders>
              <w:top w:val="nil"/>
              <w:left w:val="nil"/>
              <w:bottom w:val="nil"/>
              <w:right w:val="nil"/>
            </w:tcBorders>
            <w:shd w:val="clear" w:color="auto" w:fill="auto"/>
            <w:noWrap/>
            <w:vAlign w:val="center"/>
            <w:hideMark/>
          </w:tcPr>
          <w:p w14:paraId="40E3C0A9"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20,9</w:t>
            </w:r>
          </w:p>
        </w:tc>
        <w:tc>
          <w:tcPr>
            <w:tcW w:w="567" w:type="dxa"/>
            <w:tcBorders>
              <w:top w:val="nil"/>
              <w:left w:val="nil"/>
              <w:bottom w:val="nil"/>
              <w:right w:val="nil"/>
            </w:tcBorders>
            <w:shd w:val="clear" w:color="auto" w:fill="auto"/>
            <w:noWrap/>
            <w:vAlign w:val="center"/>
            <w:hideMark/>
          </w:tcPr>
          <w:p w14:paraId="7C62F99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20,5</w:t>
            </w:r>
          </w:p>
        </w:tc>
        <w:tc>
          <w:tcPr>
            <w:tcW w:w="567" w:type="dxa"/>
            <w:tcBorders>
              <w:top w:val="nil"/>
              <w:left w:val="nil"/>
              <w:bottom w:val="nil"/>
              <w:right w:val="nil"/>
            </w:tcBorders>
            <w:shd w:val="clear" w:color="auto" w:fill="auto"/>
            <w:noWrap/>
            <w:vAlign w:val="center"/>
            <w:hideMark/>
          </w:tcPr>
          <w:p w14:paraId="7C0E332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24,1</w:t>
            </w:r>
          </w:p>
        </w:tc>
        <w:tc>
          <w:tcPr>
            <w:tcW w:w="567" w:type="dxa"/>
            <w:tcBorders>
              <w:top w:val="nil"/>
              <w:left w:val="nil"/>
              <w:bottom w:val="nil"/>
              <w:right w:val="nil"/>
            </w:tcBorders>
            <w:shd w:val="clear" w:color="auto" w:fill="auto"/>
            <w:noWrap/>
            <w:vAlign w:val="center"/>
            <w:hideMark/>
          </w:tcPr>
          <w:p w14:paraId="47CC5D0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24,6</w:t>
            </w:r>
          </w:p>
        </w:tc>
        <w:tc>
          <w:tcPr>
            <w:tcW w:w="567" w:type="dxa"/>
            <w:tcBorders>
              <w:top w:val="nil"/>
              <w:left w:val="nil"/>
              <w:bottom w:val="nil"/>
              <w:right w:val="nil"/>
            </w:tcBorders>
            <w:shd w:val="clear" w:color="auto" w:fill="auto"/>
            <w:noWrap/>
            <w:vAlign w:val="center"/>
            <w:hideMark/>
          </w:tcPr>
          <w:p w14:paraId="06194F2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24,4</w:t>
            </w:r>
          </w:p>
        </w:tc>
        <w:tc>
          <w:tcPr>
            <w:tcW w:w="567" w:type="dxa"/>
            <w:tcBorders>
              <w:top w:val="nil"/>
              <w:left w:val="nil"/>
              <w:bottom w:val="nil"/>
              <w:right w:val="nil"/>
            </w:tcBorders>
            <w:shd w:val="clear" w:color="auto" w:fill="auto"/>
            <w:noWrap/>
            <w:vAlign w:val="center"/>
            <w:hideMark/>
          </w:tcPr>
          <w:p w14:paraId="13FF3A5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26,8</w:t>
            </w:r>
          </w:p>
        </w:tc>
        <w:tc>
          <w:tcPr>
            <w:tcW w:w="567" w:type="dxa"/>
            <w:tcBorders>
              <w:top w:val="nil"/>
              <w:left w:val="nil"/>
              <w:bottom w:val="nil"/>
              <w:right w:val="nil"/>
            </w:tcBorders>
            <w:shd w:val="clear" w:color="auto" w:fill="auto"/>
            <w:noWrap/>
            <w:vAlign w:val="center"/>
            <w:hideMark/>
          </w:tcPr>
          <w:p w14:paraId="416D7F3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27,9</w:t>
            </w:r>
          </w:p>
        </w:tc>
        <w:tc>
          <w:tcPr>
            <w:tcW w:w="567" w:type="dxa"/>
            <w:tcBorders>
              <w:top w:val="nil"/>
              <w:left w:val="nil"/>
              <w:bottom w:val="nil"/>
              <w:right w:val="nil"/>
            </w:tcBorders>
            <w:shd w:val="clear" w:color="auto" w:fill="auto"/>
            <w:noWrap/>
            <w:vAlign w:val="center"/>
            <w:hideMark/>
          </w:tcPr>
          <w:p w14:paraId="20B5F42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34,1</w:t>
            </w:r>
          </w:p>
        </w:tc>
        <w:tc>
          <w:tcPr>
            <w:tcW w:w="567" w:type="dxa"/>
            <w:tcBorders>
              <w:top w:val="nil"/>
              <w:left w:val="nil"/>
              <w:bottom w:val="nil"/>
              <w:right w:val="nil"/>
            </w:tcBorders>
            <w:shd w:val="clear" w:color="auto" w:fill="auto"/>
            <w:noWrap/>
            <w:vAlign w:val="center"/>
            <w:hideMark/>
          </w:tcPr>
          <w:p w14:paraId="7F64B5E9"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36,5</w:t>
            </w:r>
          </w:p>
        </w:tc>
      </w:tr>
      <w:tr w:rsidR="00896E98" w:rsidRPr="00896E98" w14:paraId="1593E39C"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04AB02A6"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S – Ostatní činnosti</w:t>
            </w:r>
          </w:p>
        </w:tc>
        <w:tc>
          <w:tcPr>
            <w:tcW w:w="567" w:type="dxa"/>
            <w:tcBorders>
              <w:top w:val="nil"/>
              <w:left w:val="nil"/>
              <w:bottom w:val="nil"/>
              <w:right w:val="nil"/>
            </w:tcBorders>
            <w:shd w:val="clear" w:color="auto" w:fill="auto"/>
            <w:noWrap/>
            <w:vAlign w:val="center"/>
            <w:hideMark/>
          </w:tcPr>
          <w:p w14:paraId="2F913CE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23,9</w:t>
            </w:r>
          </w:p>
        </w:tc>
        <w:tc>
          <w:tcPr>
            <w:tcW w:w="567" w:type="dxa"/>
            <w:tcBorders>
              <w:top w:val="nil"/>
              <w:left w:val="nil"/>
              <w:bottom w:val="nil"/>
              <w:right w:val="nil"/>
            </w:tcBorders>
            <w:shd w:val="clear" w:color="auto" w:fill="auto"/>
            <w:noWrap/>
            <w:vAlign w:val="center"/>
            <w:hideMark/>
          </w:tcPr>
          <w:p w14:paraId="71DB006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21,3</w:t>
            </w:r>
          </w:p>
        </w:tc>
        <w:tc>
          <w:tcPr>
            <w:tcW w:w="567" w:type="dxa"/>
            <w:tcBorders>
              <w:top w:val="nil"/>
              <w:left w:val="nil"/>
              <w:bottom w:val="nil"/>
              <w:right w:val="nil"/>
            </w:tcBorders>
            <w:shd w:val="clear" w:color="auto" w:fill="auto"/>
            <w:noWrap/>
            <w:vAlign w:val="center"/>
            <w:hideMark/>
          </w:tcPr>
          <w:p w14:paraId="79AC358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23,5</w:t>
            </w:r>
          </w:p>
        </w:tc>
        <w:tc>
          <w:tcPr>
            <w:tcW w:w="567" w:type="dxa"/>
            <w:tcBorders>
              <w:top w:val="nil"/>
              <w:left w:val="nil"/>
              <w:bottom w:val="nil"/>
              <w:right w:val="nil"/>
            </w:tcBorders>
            <w:shd w:val="clear" w:color="auto" w:fill="auto"/>
            <w:noWrap/>
            <w:vAlign w:val="center"/>
            <w:hideMark/>
          </w:tcPr>
          <w:p w14:paraId="5E8D82E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23,5</w:t>
            </w:r>
          </w:p>
        </w:tc>
        <w:tc>
          <w:tcPr>
            <w:tcW w:w="567" w:type="dxa"/>
            <w:tcBorders>
              <w:top w:val="nil"/>
              <w:left w:val="nil"/>
              <w:bottom w:val="nil"/>
              <w:right w:val="nil"/>
            </w:tcBorders>
            <w:shd w:val="clear" w:color="auto" w:fill="auto"/>
            <w:noWrap/>
            <w:vAlign w:val="center"/>
            <w:hideMark/>
          </w:tcPr>
          <w:p w14:paraId="75E2FD07"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27,5</w:t>
            </w:r>
          </w:p>
        </w:tc>
        <w:tc>
          <w:tcPr>
            <w:tcW w:w="567" w:type="dxa"/>
            <w:tcBorders>
              <w:top w:val="nil"/>
              <w:left w:val="nil"/>
              <w:bottom w:val="nil"/>
              <w:right w:val="nil"/>
            </w:tcBorders>
            <w:shd w:val="clear" w:color="auto" w:fill="auto"/>
            <w:noWrap/>
            <w:vAlign w:val="center"/>
            <w:hideMark/>
          </w:tcPr>
          <w:p w14:paraId="2011E91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28,1</w:t>
            </w:r>
          </w:p>
        </w:tc>
        <w:tc>
          <w:tcPr>
            <w:tcW w:w="567" w:type="dxa"/>
            <w:tcBorders>
              <w:top w:val="nil"/>
              <w:left w:val="nil"/>
              <w:bottom w:val="nil"/>
              <w:right w:val="nil"/>
            </w:tcBorders>
            <w:shd w:val="clear" w:color="auto" w:fill="auto"/>
            <w:noWrap/>
            <w:vAlign w:val="center"/>
            <w:hideMark/>
          </w:tcPr>
          <w:p w14:paraId="6A27A81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27,8</w:t>
            </w:r>
          </w:p>
        </w:tc>
        <w:tc>
          <w:tcPr>
            <w:tcW w:w="567" w:type="dxa"/>
            <w:tcBorders>
              <w:top w:val="nil"/>
              <w:left w:val="nil"/>
              <w:bottom w:val="nil"/>
              <w:right w:val="nil"/>
            </w:tcBorders>
            <w:shd w:val="clear" w:color="auto" w:fill="auto"/>
            <w:noWrap/>
            <w:vAlign w:val="center"/>
            <w:hideMark/>
          </w:tcPr>
          <w:p w14:paraId="0E675B1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29,8</w:t>
            </w:r>
          </w:p>
        </w:tc>
        <w:tc>
          <w:tcPr>
            <w:tcW w:w="567" w:type="dxa"/>
            <w:tcBorders>
              <w:top w:val="nil"/>
              <w:left w:val="nil"/>
              <w:bottom w:val="nil"/>
              <w:right w:val="nil"/>
            </w:tcBorders>
            <w:shd w:val="clear" w:color="auto" w:fill="auto"/>
            <w:noWrap/>
            <w:vAlign w:val="center"/>
            <w:hideMark/>
          </w:tcPr>
          <w:p w14:paraId="2E1D21D9"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31,3</w:t>
            </w:r>
          </w:p>
        </w:tc>
        <w:tc>
          <w:tcPr>
            <w:tcW w:w="567" w:type="dxa"/>
            <w:tcBorders>
              <w:top w:val="nil"/>
              <w:left w:val="nil"/>
              <w:bottom w:val="nil"/>
              <w:right w:val="nil"/>
            </w:tcBorders>
            <w:shd w:val="clear" w:color="auto" w:fill="auto"/>
            <w:noWrap/>
            <w:vAlign w:val="center"/>
            <w:hideMark/>
          </w:tcPr>
          <w:p w14:paraId="2EA83BA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40,6</w:t>
            </w:r>
          </w:p>
        </w:tc>
        <w:tc>
          <w:tcPr>
            <w:tcW w:w="567" w:type="dxa"/>
            <w:tcBorders>
              <w:top w:val="nil"/>
              <w:left w:val="nil"/>
              <w:bottom w:val="nil"/>
              <w:right w:val="nil"/>
            </w:tcBorders>
            <w:shd w:val="clear" w:color="auto" w:fill="auto"/>
            <w:noWrap/>
            <w:vAlign w:val="center"/>
            <w:hideMark/>
          </w:tcPr>
          <w:p w14:paraId="07063E62"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44,2</w:t>
            </w:r>
          </w:p>
        </w:tc>
      </w:tr>
    </w:tbl>
    <w:p w14:paraId="658F9F60" w14:textId="77777777" w:rsidR="00896E98" w:rsidRPr="00D92E20" w:rsidRDefault="00896E98" w:rsidP="00896E98">
      <w:pPr>
        <w:spacing w:before="120" w:after="120" w:line="240" w:lineRule="auto"/>
        <w:jc w:val="both"/>
        <w:rPr>
          <w:rFonts w:cs="Arial"/>
          <w:color w:val="000000"/>
          <w:sz w:val="16"/>
          <w:szCs w:val="16"/>
        </w:rPr>
      </w:pPr>
      <w:r w:rsidRPr="00D92E20">
        <w:rPr>
          <w:rFonts w:cs="Arial"/>
          <w:color w:val="000000"/>
          <w:sz w:val="16"/>
          <w:szCs w:val="16"/>
        </w:rPr>
        <w:t>Zdroj: ČSÚ</w:t>
      </w:r>
    </w:p>
    <w:p w14:paraId="51E21F8F" w14:textId="5DE323CB" w:rsidR="00896E98" w:rsidRDefault="00896E98" w:rsidP="00896E98">
      <w:pPr>
        <w:spacing w:before="120" w:after="120"/>
        <w:jc w:val="both"/>
      </w:pPr>
      <w:r w:rsidRPr="00D92E20">
        <w:t xml:space="preserve">Z pohledu </w:t>
      </w:r>
      <w:r w:rsidRPr="00D92E20">
        <w:rPr>
          <w:b/>
        </w:rPr>
        <w:t>územního členění</w:t>
      </w:r>
      <w:r w:rsidRPr="00D92E20">
        <w:t xml:space="preserve"> bylo v roce 202</w:t>
      </w:r>
      <w:r>
        <w:t>1</w:t>
      </w:r>
      <w:r w:rsidRPr="00D92E20">
        <w:t xml:space="preserve"> nejvíce případů pracovní neschopnosti</w:t>
      </w:r>
      <w:r w:rsidR="008A08D2">
        <w:t xml:space="preserve"> pro nemoc či úraz</w:t>
      </w:r>
      <w:r w:rsidRPr="00D92E20">
        <w:t xml:space="preserve"> na 100 pojištěnců hlášeno v Libereckém (</w:t>
      </w:r>
      <w:r>
        <w:t>73</w:t>
      </w:r>
      <w:r w:rsidRPr="00D92E20">
        <w:t xml:space="preserve">), </w:t>
      </w:r>
      <w:r>
        <w:t xml:space="preserve">Plzeňském (69) a Královéhradeckém kraji (68). </w:t>
      </w:r>
      <w:r w:rsidRPr="00D92E20">
        <w:t>Jak již bylo zmíněno výše, průměr za Českou republiku činil 5</w:t>
      </w:r>
      <w:r w:rsidR="00C74E13">
        <w:t>9</w:t>
      </w:r>
      <w:r w:rsidRPr="00D92E20">
        <w:t xml:space="preserve"> případů, přičemž podprůměrné hodnoty vykazovaly následující 2 kraje: Hlavní město Praha (</w:t>
      </w:r>
      <w:r w:rsidR="00C74E13">
        <w:t>44</w:t>
      </w:r>
      <w:r w:rsidRPr="00D92E20">
        <w:t>) a Jihomoravský kraj (</w:t>
      </w:r>
      <w:r w:rsidR="00C74E13">
        <w:t>56</w:t>
      </w:r>
      <w:r w:rsidRPr="00D92E20">
        <w:t>). Rozdíl dvou extrémních krajů představoval 2</w:t>
      </w:r>
      <w:r w:rsidR="00C74E13">
        <w:t>9</w:t>
      </w:r>
      <w:r w:rsidRPr="00D92E20">
        <w:t xml:space="preserve"> případů pracovní neschopnosti</w:t>
      </w:r>
      <w:r w:rsidR="004930CE">
        <w:t>, zatímco v roce 2019 činil 16 případů</w:t>
      </w:r>
      <w:r w:rsidRPr="00D92E20">
        <w:t xml:space="preserve">. </w:t>
      </w:r>
      <w:r w:rsidR="00605C5E">
        <w:t>Počty případů pracovní neschopnosti na 100 pojištěnců</w:t>
      </w:r>
      <w:r w:rsidRPr="00D92E20">
        <w:t xml:space="preserve"> oproti roku 2019 vzrostly ve všech krajích, což je patrné z grafu 2.6. Nejvíce v</w:t>
      </w:r>
      <w:r w:rsidR="00C74E13">
        <w:t xml:space="preserve"> Libereckém a v Pardubickém kraji </w:t>
      </w:r>
      <w:r w:rsidRPr="00D92E20">
        <w:t>(</w:t>
      </w:r>
      <w:r w:rsidR="00C74E13">
        <w:t xml:space="preserve">shodně </w:t>
      </w:r>
      <w:r w:rsidRPr="00D92E20">
        <w:t>+</w:t>
      </w:r>
      <w:r w:rsidR="00C74E13">
        <w:t xml:space="preserve">23). </w:t>
      </w:r>
      <w:r w:rsidRPr="00D92E20">
        <w:t>Naopak nejnižší nárůst zaznamenala Praha (+</w:t>
      </w:r>
      <w:r w:rsidR="00C74E13">
        <w:t>10</w:t>
      </w:r>
      <w:r w:rsidRPr="00D92E20">
        <w:t>).</w:t>
      </w:r>
    </w:p>
    <w:p w14:paraId="30E6FBCF" w14:textId="77777777" w:rsidR="005C663E" w:rsidRDefault="005C663E">
      <w:pPr>
        <w:spacing w:after="0" w:line="240" w:lineRule="auto"/>
        <w:rPr>
          <w:b/>
          <w:spacing w:val="-7"/>
        </w:rPr>
      </w:pPr>
      <w:r>
        <w:rPr>
          <w:b/>
          <w:spacing w:val="-7"/>
        </w:rPr>
        <w:br w:type="page"/>
      </w:r>
    </w:p>
    <w:p w14:paraId="6AE18A30" w14:textId="12786C7F" w:rsidR="00EE1E70" w:rsidRPr="00D92E20" w:rsidRDefault="00EE1E70" w:rsidP="004930CE">
      <w:pPr>
        <w:spacing w:after="0"/>
        <w:jc w:val="both"/>
        <w:rPr>
          <w:b/>
          <w:spacing w:val="-7"/>
        </w:rPr>
      </w:pPr>
      <w:r w:rsidRPr="00D92E20">
        <w:rPr>
          <w:b/>
          <w:spacing w:val="-7"/>
        </w:rPr>
        <w:lastRenderedPageBreak/>
        <w:t>Graf 2.6: Nově hlášené případy dočasné pracovní neschopnosti na 100 pojišt</w:t>
      </w:r>
      <w:r>
        <w:rPr>
          <w:b/>
          <w:spacing w:val="-7"/>
        </w:rPr>
        <w:t>ěnců podle krajů ČR, 2019 a 2021</w:t>
      </w:r>
    </w:p>
    <w:p w14:paraId="7DDACDAB" w14:textId="05645BE3" w:rsidR="00C92591" w:rsidRPr="00D92E20" w:rsidRDefault="00C92591" w:rsidP="00EE1E70">
      <w:pPr>
        <w:spacing w:before="120" w:after="120"/>
        <w:jc w:val="both"/>
      </w:pPr>
      <w:r>
        <w:rPr>
          <w:noProof/>
        </w:rPr>
        <w:drawing>
          <wp:inline distT="0" distB="0" distL="0" distR="0" wp14:anchorId="7625C357" wp14:editId="7491DC7B">
            <wp:extent cx="6115050" cy="2800350"/>
            <wp:effectExtent l="0" t="0" r="0" b="0"/>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0E45880" w14:textId="77777777" w:rsidR="00EE1E70" w:rsidRPr="00D92E20" w:rsidRDefault="00EE1E70" w:rsidP="00EE1E70">
      <w:pPr>
        <w:spacing w:before="120" w:after="120" w:line="240" w:lineRule="auto"/>
        <w:jc w:val="both"/>
        <w:rPr>
          <w:rFonts w:cs="Arial"/>
          <w:color w:val="000000"/>
          <w:sz w:val="16"/>
          <w:szCs w:val="16"/>
        </w:rPr>
      </w:pPr>
      <w:r w:rsidRPr="00D92E20">
        <w:rPr>
          <w:rFonts w:cs="Arial"/>
          <w:color w:val="000000"/>
          <w:sz w:val="16"/>
          <w:szCs w:val="16"/>
        </w:rPr>
        <w:t>Zdroj: ČSÚ</w:t>
      </w:r>
    </w:p>
    <w:p w14:paraId="6323FFAA" w14:textId="77777777" w:rsidR="00D31FC0" w:rsidRDefault="00D31FC0" w:rsidP="00D31FC0">
      <w:pPr>
        <w:spacing w:before="120" w:after="120"/>
        <w:jc w:val="both"/>
      </w:pPr>
      <w:r>
        <w:t>P</w:t>
      </w:r>
      <w:r w:rsidRPr="00D92E20">
        <w:t>oč</w:t>
      </w:r>
      <w:r>
        <w:t>e</w:t>
      </w:r>
      <w:r w:rsidRPr="00D92E20">
        <w:t xml:space="preserve">t případů dočasné pracovní neschopnosti dle územního členění </w:t>
      </w:r>
      <w:r>
        <w:t>je</w:t>
      </w:r>
      <w:r w:rsidRPr="00D92E20">
        <w:t xml:space="preserve"> značně ovlivněn strukturou zaměstnanosti, charakterem převažující ekonomické činnosti a mírou nezaměstnanosti v daném regionu. Je nutno zohlednit též </w:t>
      </w:r>
      <w:r w:rsidRPr="00D92E20">
        <w:rPr>
          <w:b/>
        </w:rPr>
        <w:t>metodiku zpracování dat, kdy rozlišení dle krajů a okresů vychází z údaje o sídle útvaru</w:t>
      </w:r>
      <w:r w:rsidRPr="00D92E20">
        <w:t>, který vede evidenci mezd zaměstnavateli osoby</w:t>
      </w:r>
      <w:r>
        <w:t>, která je</w:t>
      </w:r>
      <w:r w:rsidRPr="00D92E20">
        <w:t xml:space="preserve"> v pracovní neschopnosti.</w:t>
      </w:r>
    </w:p>
    <w:p w14:paraId="7713FC70" w14:textId="77777777" w:rsidR="00D31FC0" w:rsidRDefault="00D31FC0" w:rsidP="00F77360">
      <w:pPr>
        <w:pStyle w:val="Seznam"/>
        <w:spacing w:after="0"/>
        <w:jc w:val="both"/>
        <w:rPr>
          <w:b/>
          <w:spacing w:val="-6"/>
        </w:rPr>
      </w:pPr>
      <w:r w:rsidRPr="00D31FC0">
        <w:rPr>
          <w:b/>
          <w:spacing w:val="-6"/>
        </w:rPr>
        <w:t>Tab. 2.3: Nově hlášené případy dočasné pracovní neschopnosti na 100 pojištěnců podle krajů ČR, 2011–2021</w:t>
      </w:r>
    </w:p>
    <w:tbl>
      <w:tblPr>
        <w:tblW w:w="9627" w:type="dxa"/>
        <w:tblCellMar>
          <w:left w:w="70" w:type="dxa"/>
          <w:right w:w="70" w:type="dxa"/>
        </w:tblCellMar>
        <w:tblLook w:val="04A0" w:firstRow="1" w:lastRow="0" w:firstColumn="1" w:lastColumn="0" w:noHBand="0" w:noVBand="1"/>
      </w:tblPr>
      <w:tblGrid>
        <w:gridCol w:w="1960"/>
        <w:gridCol w:w="697"/>
        <w:gridCol w:w="697"/>
        <w:gridCol w:w="697"/>
        <w:gridCol w:w="697"/>
        <w:gridCol w:w="697"/>
        <w:gridCol w:w="697"/>
        <w:gridCol w:w="697"/>
        <w:gridCol w:w="697"/>
        <w:gridCol w:w="697"/>
        <w:gridCol w:w="697"/>
        <w:gridCol w:w="697"/>
      </w:tblGrid>
      <w:tr w:rsidR="00D31FC0" w:rsidRPr="00D31FC0" w14:paraId="4FAD1052" w14:textId="77777777" w:rsidTr="00D31FC0">
        <w:trPr>
          <w:trHeight w:val="300"/>
        </w:trPr>
        <w:tc>
          <w:tcPr>
            <w:tcW w:w="1960" w:type="dxa"/>
            <w:tcBorders>
              <w:top w:val="single" w:sz="4" w:space="0" w:color="auto"/>
              <w:left w:val="nil"/>
              <w:bottom w:val="single" w:sz="4" w:space="0" w:color="auto"/>
              <w:right w:val="single" w:sz="4" w:space="0" w:color="auto"/>
            </w:tcBorders>
            <w:shd w:val="clear" w:color="000000" w:fill="F5DADD"/>
            <w:noWrap/>
            <w:vAlign w:val="center"/>
            <w:hideMark/>
          </w:tcPr>
          <w:p w14:paraId="54C8532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Kraj ČR</w:t>
            </w:r>
          </w:p>
        </w:tc>
        <w:tc>
          <w:tcPr>
            <w:tcW w:w="697" w:type="dxa"/>
            <w:tcBorders>
              <w:top w:val="single" w:sz="4" w:space="0" w:color="auto"/>
              <w:left w:val="nil"/>
              <w:bottom w:val="single" w:sz="4" w:space="0" w:color="auto"/>
              <w:right w:val="nil"/>
            </w:tcBorders>
            <w:shd w:val="clear" w:color="000000" w:fill="F5DADD"/>
            <w:noWrap/>
            <w:vAlign w:val="center"/>
            <w:hideMark/>
          </w:tcPr>
          <w:p w14:paraId="242B637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2011</w:t>
            </w:r>
          </w:p>
        </w:tc>
        <w:tc>
          <w:tcPr>
            <w:tcW w:w="697" w:type="dxa"/>
            <w:tcBorders>
              <w:top w:val="single" w:sz="4" w:space="0" w:color="auto"/>
              <w:left w:val="nil"/>
              <w:bottom w:val="single" w:sz="4" w:space="0" w:color="auto"/>
              <w:right w:val="nil"/>
            </w:tcBorders>
            <w:shd w:val="clear" w:color="000000" w:fill="F5DADD"/>
            <w:noWrap/>
            <w:vAlign w:val="center"/>
            <w:hideMark/>
          </w:tcPr>
          <w:p w14:paraId="2F94046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2012</w:t>
            </w:r>
          </w:p>
        </w:tc>
        <w:tc>
          <w:tcPr>
            <w:tcW w:w="697" w:type="dxa"/>
            <w:tcBorders>
              <w:top w:val="single" w:sz="4" w:space="0" w:color="auto"/>
              <w:left w:val="nil"/>
              <w:bottom w:val="single" w:sz="4" w:space="0" w:color="auto"/>
              <w:right w:val="nil"/>
            </w:tcBorders>
            <w:shd w:val="clear" w:color="000000" w:fill="F5DADD"/>
            <w:noWrap/>
            <w:vAlign w:val="center"/>
            <w:hideMark/>
          </w:tcPr>
          <w:p w14:paraId="5C79CF63"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2013</w:t>
            </w:r>
          </w:p>
        </w:tc>
        <w:tc>
          <w:tcPr>
            <w:tcW w:w="697" w:type="dxa"/>
            <w:tcBorders>
              <w:top w:val="single" w:sz="4" w:space="0" w:color="auto"/>
              <w:left w:val="nil"/>
              <w:bottom w:val="single" w:sz="4" w:space="0" w:color="auto"/>
              <w:right w:val="nil"/>
            </w:tcBorders>
            <w:shd w:val="clear" w:color="000000" w:fill="F5DADD"/>
            <w:noWrap/>
            <w:vAlign w:val="center"/>
            <w:hideMark/>
          </w:tcPr>
          <w:p w14:paraId="4815FF5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2014</w:t>
            </w:r>
          </w:p>
        </w:tc>
        <w:tc>
          <w:tcPr>
            <w:tcW w:w="697" w:type="dxa"/>
            <w:tcBorders>
              <w:top w:val="single" w:sz="4" w:space="0" w:color="auto"/>
              <w:left w:val="nil"/>
              <w:bottom w:val="single" w:sz="4" w:space="0" w:color="auto"/>
              <w:right w:val="nil"/>
            </w:tcBorders>
            <w:shd w:val="clear" w:color="000000" w:fill="F5DADD"/>
            <w:noWrap/>
            <w:vAlign w:val="center"/>
            <w:hideMark/>
          </w:tcPr>
          <w:p w14:paraId="0EF1F93D"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2015</w:t>
            </w:r>
          </w:p>
        </w:tc>
        <w:tc>
          <w:tcPr>
            <w:tcW w:w="697" w:type="dxa"/>
            <w:tcBorders>
              <w:top w:val="single" w:sz="4" w:space="0" w:color="auto"/>
              <w:left w:val="nil"/>
              <w:bottom w:val="single" w:sz="4" w:space="0" w:color="auto"/>
              <w:right w:val="nil"/>
            </w:tcBorders>
            <w:shd w:val="clear" w:color="000000" w:fill="F5DADD"/>
            <w:noWrap/>
            <w:vAlign w:val="center"/>
            <w:hideMark/>
          </w:tcPr>
          <w:p w14:paraId="73F34EF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2016</w:t>
            </w:r>
          </w:p>
        </w:tc>
        <w:tc>
          <w:tcPr>
            <w:tcW w:w="697" w:type="dxa"/>
            <w:tcBorders>
              <w:top w:val="single" w:sz="4" w:space="0" w:color="auto"/>
              <w:left w:val="nil"/>
              <w:bottom w:val="single" w:sz="4" w:space="0" w:color="auto"/>
              <w:right w:val="nil"/>
            </w:tcBorders>
            <w:shd w:val="clear" w:color="000000" w:fill="F5DADD"/>
            <w:noWrap/>
            <w:vAlign w:val="center"/>
            <w:hideMark/>
          </w:tcPr>
          <w:p w14:paraId="5828F6E0"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2017</w:t>
            </w:r>
          </w:p>
        </w:tc>
        <w:tc>
          <w:tcPr>
            <w:tcW w:w="697" w:type="dxa"/>
            <w:tcBorders>
              <w:top w:val="single" w:sz="4" w:space="0" w:color="auto"/>
              <w:left w:val="nil"/>
              <w:bottom w:val="single" w:sz="4" w:space="0" w:color="auto"/>
              <w:right w:val="nil"/>
            </w:tcBorders>
            <w:shd w:val="clear" w:color="000000" w:fill="F5DADD"/>
            <w:noWrap/>
            <w:vAlign w:val="center"/>
            <w:hideMark/>
          </w:tcPr>
          <w:p w14:paraId="3693E28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2018</w:t>
            </w:r>
          </w:p>
        </w:tc>
        <w:tc>
          <w:tcPr>
            <w:tcW w:w="697" w:type="dxa"/>
            <w:tcBorders>
              <w:top w:val="single" w:sz="4" w:space="0" w:color="auto"/>
              <w:left w:val="nil"/>
              <w:bottom w:val="single" w:sz="4" w:space="0" w:color="auto"/>
              <w:right w:val="nil"/>
            </w:tcBorders>
            <w:shd w:val="clear" w:color="000000" w:fill="F5DADD"/>
            <w:noWrap/>
            <w:vAlign w:val="center"/>
            <w:hideMark/>
          </w:tcPr>
          <w:p w14:paraId="6266A8F0"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2019</w:t>
            </w:r>
          </w:p>
        </w:tc>
        <w:tc>
          <w:tcPr>
            <w:tcW w:w="697" w:type="dxa"/>
            <w:tcBorders>
              <w:top w:val="single" w:sz="4" w:space="0" w:color="auto"/>
              <w:left w:val="nil"/>
              <w:bottom w:val="single" w:sz="4" w:space="0" w:color="auto"/>
              <w:right w:val="nil"/>
            </w:tcBorders>
            <w:shd w:val="clear" w:color="000000" w:fill="F5DADD"/>
            <w:noWrap/>
            <w:vAlign w:val="center"/>
            <w:hideMark/>
          </w:tcPr>
          <w:p w14:paraId="176BF31B"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2020</w:t>
            </w:r>
          </w:p>
        </w:tc>
        <w:tc>
          <w:tcPr>
            <w:tcW w:w="697" w:type="dxa"/>
            <w:tcBorders>
              <w:top w:val="single" w:sz="4" w:space="0" w:color="auto"/>
              <w:left w:val="nil"/>
              <w:bottom w:val="single" w:sz="4" w:space="0" w:color="auto"/>
              <w:right w:val="nil"/>
            </w:tcBorders>
            <w:shd w:val="clear" w:color="000000" w:fill="F5DADD"/>
            <w:noWrap/>
            <w:vAlign w:val="center"/>
            <w:hideMark/>
          </w:tcPr>
          <w:p w14:paraId="235A063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2021</w:t>
            </w:r>
          </w:p>
        </w:tc>
      </w:tr>
      <w:tr w:rsidR="00D31FC0" w:rsidRPr="00D31FC0" w14:paraId="1875B46E"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3D57F74D" w14:textId="77777777" w:rsidR="00D31FC0" w:rsidRPr="00D31FC0" w:rsidRDefault="00D31FC0" w:rsidP="00D31FC0">
            <w:pPr>
              <w:spacing w:after="0" w:line="240" w:lineRule="auto"/>
              <w:rPr>
                <w:rFonts w:cs="Arial"/>
                <w:b/>
                <w:bCs/>
                <w:color w:val="000000"/>
                <w:sz w:val="16"/>
                <w:szCs w:val="16"/>
              </w:rPr>
            </w:pPr>
            <w:r w:rsidRPr="00D31FC0">
              <w:rPr>
                <w:rFonts w:cs="Arial"/>
                <w:b/>
                <w:bCs/>
                <w:color w:val="000000"/>
                <w:sz w:val="16"/>
                <w:szCs w:val="16"/>
              </w:rPr>
              <w:t>ČR celkem</w:t>
            </w:r>
          </w:p>
        </w:tc>
        <w:tc>
          <w:tcPr>
            <w:tcW w:w="697" w:type="dxa"/>
            <w:tcBorders>
              <w:top w:val="nil"/>
              <w:left w:val="nil"/>
              <w:bottom w:val="nil"/>
              <w:right w:val="nil"/>
            </w:tcBorders>
            <w:shd w:val="clear" w:color="auto" w:fill="auto"/>
            <w:noWrap/>
            <w:vAlign w:val="center"/>
            <w:hideMark/>
          </w:tcPr>
          <w:p w14:paraId="72B712D2"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30,1</w:t>
            </w:r>
          </w:p>
        </w:tc>
        <w:tc>
          <w:tcPr>
            <w:tcW w:w="697" w:type="dxa"/>
            <w:tcBorders>
              <w:top w:val="nil"/>
              <w:left w:val="nil"/>
              <w:bottom w:val="nil"/>
              <w:right w:val="nil"/>
            </w:tcBorders>
            <w:shd w:val="clear" w:color="auto" w:fill="auto"/>
            <w:noWrap/>
            <w:vAlign w:val="center"/>
            <w:hideMark/>
          </w:tcPr>
          <w:p w14:paraId="7459F7EC"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27,4</w:t>
            </w:r>
          </w:p>
        </w:tc>
        <w:tc>
          <w:tcPr>
            <w:tcW w:w="697" w:type="dxa"/>
            <w:tcBorders>
              <w:top w:val="nil"/>
              <w:left w:val="nil"/>
              <w:bottom w:val="nil"/>
              <w:right w:val="nil"/>
            </w:tcBorders>
            <w:shd w:val="clear" w:color="auto" w:fill="auto"/>
            <w:noWrap/>
            <w:vAlign w:val="center"/>
            <w:hideMark/>
          </w:tcPr>
          <w:p w14:paraId="3A891FD5"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30,0</w:t>
            </w:r>
          </w:p>
        </w:tc>
        <w:tc>
          <w:tcPr>
            <w:tcW w:w="697" w:type="dxa"/>
            <w:tcBorders>
              <w:top w:val="nil"/>
              <w:left w:val="nil"/>
              <w:bottom w:val="nil"/>
              <w:right w:val="nil"/>
            </w:tcBorders>
            <w:shd w:val="clear" w:color="auto" w:fill="auto"/>
            <w:noWrap/>
            <w:vAlign w:val="center"/>
            <w:hideMark/>
          </w:tcPr>
          <w:p w14:paraId="3996F509"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29,5</w:t>
            </w:r>
          </w:p>
        </w:tc>
        <w:tc>
          <w:tcPr>
            <w:tcW w:w="697" w:type="dxa"/>
            <w:tcBorders>
              <w:top w:val="nil"/>
              <w:left w:val="nil"/>
              <w:bottom w:val="nil"/>
              <w:right w:val="nil"/>
            </w:tcBorders>
            <w:shd w:val="clear" w:color="auto" w:fill="auto"/>
            <w:noWrap/>
            <w:vAlign w:val="center"/>
            <w:hideMark/>
          </w:tcPr>
          <w:p w14:paraId="6F433F1F"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34,7</w:t>
            </w:r>
          </w:p>
        </w:tc>
        <w:tc>
          <w:tcPr>
            <w:tcW w:w="697" w:type="dxa"/>
            <w:tcBorders>
              <w:top w:val="nil"/>
              <w:left w:val="nil"/>
              <w:bottom w:val="nil"/>
              <w:right w:val="nil"/>
            </w:tcBorders>
            <w:shd w:val="clear" w:color="auto" w:fill="auto"/>
            <w:noWrap/>
            <w:vAlign w:val="center"/>
            <w:hideMark/>
          </w:tcPr>
          <w:p w14:paraId="01D974D6"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35,7</w:t>
            </w:r>
          </w:p>
        </w:tc>
        <w:tc>
          <w:tcPr>
            <w:tcW w:w="697" w:type="dxa"/>
            <w:tcBorders>
              <w:top w:val="nil"/>
              <w:left w:val="nil"/>
              <w:bottom w:val="nil"/>
              <w:right w:val="nil"/>
            </w:tcBorders>
            <w:shd w:val="clear" w:color="auto" w:fill="auto"/>
            <w:noWrap/>
            <w:vAlign w:val="center"/>
            <w:hideMark/>
          </w:tcPr>
          <w:p w14:paraId="0E63F0DD"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36,6</w:t>
            </w:r>
          </w:p>
        </w:tc>
        <w:tc>
          <w:tcPr>
            <w:tcW w:w="697" w:type="dxa"/>
            <w:tcBorders>
              <w:top w:val="nil"/>
              <w:left w:val="nil"/>
              <w:bottom w:val="nil"/>
              <w:right w:val="nil"/>
            </w:tcBorders>
            <w:shd w:val="clear" w:color="auto" w:fill="auto"/>
            <w:noWrap/>
            <w:vAlign w:val="center"/>
            <w:hideMark/>
          </w:tcPr>
          <w:p w14:paraId="2B1C0DD4"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39,1</w:t>
            </w:r>
          </w:p>
        </w:tc>
        <w:tc>
          <w:tcPr>
            <w:tcW w:w="697" w:type="dxa"/>
            <w:tcBorders>
              <w:top w:val="nil"/>
              <w:left w:val="nil"/>
              <w:bottom w:val="nil"/>
              <w:right w:val="nil"/>
            </w:tcBorders>
            <w:shd w:val="clear" w:color="auto" w:fill="auto"/>
            <w:noWrap/>
            <w:vAlign w:val="center"/>
            <w:hideMark/>
          </w:tcPr>
          <w:p w14:paraId="6E4B49B1"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40,5</w:t>
            </w:r>
          </w:p>
        </w:tc>
        <w:tc>
          <w:tcPr>
            <w:tcW w:w="697" w:type="dxa"/>
            <w:tcBorders>
              <w:top w:val="nil"/>
              <w:left w:val="nil"/>
              <w:bottom w:val="nil"/>
              <w:right w:val="nil"/>
            </w:tcBorders>
            <w:shd w:val="clear" w:color="auto" w:fill="auto"/>
            <w:noWrap/>
            <w:vAlign w:val="center"/>
            <w:hideMark/>
          </w:tcPr>
          <w:p w14:paraId="5956F6AC"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51,0</w:t>
            </w:r>
          </w:p>
        </w:tc>
        <w:tc>
          <w:tcPr>
            <w:tcW w:w="697" w:type="dxa"/>
            <w:tcBorders>
              <w:top w:val="nil"/>
              <w:left w:val="nil"/>
              <w:bottom w:val="nil"/>
              <w:right w:val="nil"/>
            </w:tcBorders>
            <w:shd w:val="clear" w:color="auto" w:fill="auto"/>
            <w:noWrap/>
            <w:vAlign w:val="center"/>
            <w:hideMark/>
          </w:tcPr>
          <w:p w14:paraId="7842098F"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58,5</w:t>
            </w:r>
          </w:p>
        </w:tc>
      </w:tr>
      <w:tr w:rsidR="00D31FC0" w:rsidRPr="00D31FC0" w14:paraId="4A4A2DC2"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76978EA3"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Hl. m. Praha</w:t>
            </w:r>
          </w:p>
        </w:tc>
        <w:tc>
          <w:tcPr>
            <w:tcW w:w="697" w:type="dxa"/>
            <w:tcBorders>
              <w:top w:val="nil"/>
              <w:left w:val="nil"/>
              <w:bottom w:val="nil"/>
              <w:right w:val="nil"/>
            </w:tcBorders>
            <w:shd w:val="clear" w:color="auto" w:fill="auto"/>
            <w:noWrap/>
            <w:vAlign w:val="center"/>
            <w:hideMark/>
          </w:tcPr>
          <w:p w14:paraId="2F4809A3"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28,4</w:t>
            </w:r>
          </w:p>
        </w:tc>
        <w:tc>
          <w:tcPr>
            <w:tcW w:w="697" w:type="dxa"/>
            <w:tcBorders>
              <w:top w:val="nil"/>
              <w:left w:val="nil"/>
              <w:bottom w:val="nil"/>
              <w:right w:val="nil"/>
            </w:tcBorders>
            <w:shd w:val="clear" w:color="auto" w:fill="auto"/>
            <w:noWrap/>
            <w:vAlign w:val="center"/>
            <w:hideMark/>
          </w:tcPr>
          <w:p w14:paraId="79A686F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23,8</w:t>
            </w:r>
          </w:p>
        </w:tc>
        <w:tc>
          <w:tcPr>
            <w:tcW w:w="697" w:type="dxa"/>
            <w:tcBorders>
              <w:top w:val="nil"/>
              <w:left w:val="nil"/>
              <w:bottom w:val="nil"/>
              <w:right w:val="nil"/>
            </w:tcBorders>
            <w:shd w:val="clear" w:color="auto" w:fill="auto"/>
            <w:noWrap/>
            <w:vAlign w:val="center"/>
            <w:hideMark/>
          </w:tcPr>
          <w:p w14:paraId="04944F8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25,7</w:t>
            </w:r>
          </w:p>
        </w:tc>
        <w:tc>
          <w:tcPr>
            <w:tcW w:w="697" w:type="dxa"/>
            <w:tcBorders>
              <w:top w:val="nil"/>
              <w:left w:val="nil"/>
              <w:bottom w:val="nil"/>
              <w:right w:val="nil"/>
            </w:tcBorders>
            <w:shd w:val="clear" w:color="auto" w:fill="auto"/>
            <w:noWrap/>
            <w:vAlign w:val="center"/>
            <w:hideMark/>
          </w:tcPr>
          <w:p w14:paraId="48BCB973"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25,8</w:t>
            </w:r>
          </w:p>
        </w:tc>
        <w:tc>
          <w:tcPr>
            <w:tcW w:w="697" w:type="dxa"/>
            <w:tcBorders>
              <w:top w:val="nil"/>
              <w:left w:val="nil"/>
              <w:bottom w:val="nil"/>
              <w:right w:val="nil"/>
            </w:tcBorders>
            <w:shd w:val="clear" w:color="auto" w:fill="auto"/>
            <w:noWrap/>
            <w:vAlign w:val="center"/>
            <w:hideMark/>
          </w:tcPr>
          <w:p w14:paraId="0B2359D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29,4</w:t>
            </w:r>
          </w:p>
        </w:tc>
        <w:tc>
          <w:tcPr>
            <w:tcW w:w="697" w:type="dxa"/>
            <w:tcBorders>
              <w:top w:val="nil"/>
              <w:left w:val="nil"/>
              <w:bottom w:val="nil"/>
              <w:right w:val="nil"/>
            </w:tcBorders>
            <w:shd w:val="clear" w:color="auto" w:fill="auto"/>
            <w:noWrap/>
            <w:vAlign w:val="center"/>
            <w:hideMark/>
          </w:tcPr>
          <w:p w14:paraId="6639E6D1"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30,1</w:t>
            </w:r>
          </w:p>
        </w:tc>
        <w:tc>
          <w:tcPr>
            <w:tcW w:w="697" w:type="dxa"/>
            <w:tcBorders>
              <w:top w:val="nil"/>
              <w:left w:val="nil"/>
              <w:bottom w:val="nil"/>
              <w:right w:val="nil"/>
            </w:tcBorders>
            <w:shd w:val="clear" w:color="auto" w:fill="auto"/>
            <w:noWrap/>
            <w:vAlign w:val="center"/>
            <w:hideMark/>
          </w:tcPr>
          <w:p w14:paraId="5658C0BB"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30,3</w:t>
            </w:r>
          </w:p>
        </w:tc>
        <w:tc>
          <w:tcPr>
            <w:tcW w:w="697" w:type="dxa"/>
            <w:tcBorders>
              <w:top w:val="nil"/>
              <w:left w:val="nil"/>
              <w:bottom w:val="nil"/>
              <w:right w:val="nil"/>
            </w:tcBorders>
            <w:shd w:val="clear" w:color="auto" w:fill="auto"/>
            <w:noWrap/>
            <w:vAlign w:val="center"/>
            <w:hideMark/>
          </w:tcPr>
          <w:p w14:paraId="25E6B9D9"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31,9</w:t>
            </w:r>
          </w:p>
        </w:tc>
        <w:tc>
          <w:tcPr>
            <w:tcW w:w="697" w:type="dxa"/>
            <w:tcBorders>
              <w:top w:val="nil"/>
              <w:left w:val="nil"/>
              <w:bottom w:val="nil"/>
              <w:right w:val="nil"/>
            </w:tcBorders>
            <w:shd w:val="clear" w:color="auto" w:fill="auto"/>
            <w:noWrap/>
            <w:vAlign w:val="center"/>
            <w:hideMark/>
          </w:tcPr>
          <w:p w14:paraId="1F749399"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33,5</w:t>
            </w:r>
          </w:p>
        </w:tc>
        <w:tc>
          <w:tcPr>
            <w:tcW w:w="697" w:type="dxa"/>
            <w:tcBorders>
              <w:top w:val="nil"/>
              <w:left w:val="nil"/>
              <w:bottom w:val="nil"/>
              <w:right w:val="nil"/>
            </w:tcBorders>
            <w:shd w:val="clear" w:color="auto" w:fill="auto"/>
            <w:noWrap/>
            <w:vAlign w:val="center"/>
            <w:hideMark/>
          </w:tcPr>
          <w:p w14:paraId="564F1F49"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38,8</w:t>
            </w:r>
          </w:p>
        </w:tc>
        <w:tc>
          <w:tcPr>
            <w:tcW w:w="697" w:type="dxa"/>
            <w:tcBorders>
              <w:top w:val="nil"/>
              <w:left w:val="nil"/>
              <w:bottom w:val="nil"/>
              <w:right w:val="nil"/>
            </w:tcBorders>
            <w:shd w:val="clear" w:color="auto" w:fill="auto"/>
            <w:noWrap/>
            <w:vAlign w:val="center"/>
            <w:hideMark/>
          </w:tcPr>
          <w:p w14:paraId="3470110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43,6</w:t>
            </w:r>
          </w:p>
        </w:tc>
      </w:tr>
      <w:tr w:rsidR="00D31FC0" w:rsidRPr="00D31FC0" w14:paraId="15C6CDA4"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1ACA3AC1"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Středočeský kraj</w:t>
            </w:r>
          </w:p>
        </w:tc>
        <w:tc>
          <w:tcPr>
            <w:tcW w:w="697" w:type="dxa"/>
            <w:tcBorders>
              <w:top w:val="nil"/>
              <w:left w:val="nil"/>
              <w:bottom w:val="nil"/>
              <w:right w:val="nil"/>
            </w:tcBorders>
            <w:shd w:val="clear" w:color="auto" w:fill="auto"/>
            <w:noWrap/>
            <w:vAlign w:val="center"/>
            <w:hideMark/>
          </w:tcPr>
          <w:p w14:paraId="5B3CB85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31,4</w:t>
            </w:r>
          </w:p>
        </w:tc>
        <w:tc>
          <w:tcPr>
            <w:tcW w:w="697" w:type="dxa"/>
            <w:tcBorders>
              <w:top w:val="nil"/>
              <w:left w:val="nil"/>
              <w:bottom w:val="nil"/>
              <w:right w:val="nil"/>
            </w:tcBorders>
            <w:shd w:val="clear" w:color="auto" w:fill="auto"/>
            <w:noWrap/>
            <w:vAlign w:val="center"/>
            <w:hideMark/>
          </w:tcPr>
          <w:p w14:paraId="437873E3"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29,0</w:t>
            </w:r>
          </w:p>
        </w:tc>
        <w:tc>
          <w:tcPr>
            <w:tcW w:w="697" w:type="dxa"/>
            <w:tcBorders>
              <w:top w:val="nil"/>
              <w:left w:val="nil"/>
              <w:bottom w:val="nil"/>
              <w:right w:val="nil"/>
            </w:tcBorders>
            <w:shd w:val="clear" w:color="auto" w:fill="auto"/>
            <w:noWrap/>
            <w:vAlign w:val="center"/>
            <w:hideMark/>
          </w:tcPr>
          <w:p w14:paraId="7F02B19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31,5</w:t>
            </w:r>
          </w:p>
        </w:tc>
        <w:tc>
          <w:tcPr>
            <w:tcW w:w="697" w:type="dxa"/>
            <w:tcBorders>
              <w:top w:val="nil"/>
              <w:left w:val="nil"/>
              <w:bottom w:val="nil"/>
              <w:right w:val="nil"/>
            </w:tcBorders>
            <w:shd w:val="clear" w:color="auto" w:fill="auto"/>
            <w:noWrap/>
            <w:vAlign w:val="center"/>
            <w:hideMark/>
          </w:tcPr>
          <w:p w14:paraId="2563DDCD"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31,4</w:t>
            </w:r>
          </w:p>
        </w:tc>
        <w:tc>
          <w:tcPr>
            <w:tcW w:w="697" w:type="dxa"/>
            <w:tcBorders>
              <w:top w:val="nil"/>
              <w:left w:val="nil"/>
              <w:bottom w:val="nil"/>
              <w:right w:val="nil"/>
            </w:tcBorders>
            <w:shd w:val="clear" w:color="auto" w:fill="auto"/>
            <w:noWrap/>
            <w:vAlign w:val="center"/>
            <w:hideMark/>
          </w:tcPr>
          <w:p w14:paraId="0340C35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36,6</w:t>
            </w:r>
          </w:p>
        </w:tc>
        <w:tc>
          <w:tcPr>
            <w:tcW w:w="697" w:type="dxa"/>
            <w:tcBorders>
              <w:top w:val="nil"/>
              <w:left w:val="nil"/>
              <w:bottom w:val="nil"/>
              <w:right w:val="nil"/>
            </w:tcBorders>
            <w:shd w:val="clear" w:color="auto" w:fill="auto"/>
            <w:noWrap/>
            <w:vAlign w:val="center"/>
            <w:hideMark/>
          </w:tcPr>
          <w:p w14:paraId="6692871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38,0</w:t>
            </w:r>
          </w:p>
        </w:tc>
        <w:tc>
          <w:tcPr>
            <w:tcW w:w="697" w:type="dxa"/>
            <w:tcBorders>
              <w:top w:val="nil"/>
              <w:left w:val="nil"/>
              <w:bottom w:val="nil"/>
              <w:right w:val="nil"/>
            </w:tcBorders>
            <w:shd w:val="clear" w:color="auto" w:fill="auto"/>
            <w:noWrap/>
            <w:vAlign w:val="center"/>
            <w:hideMark/>
          </w:tcPr>
          <w:p w14:paraId="1E5671A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39,2</w:t>
            </w:r>
          </w:p>
        </w:tc>
        <w:tc>
          <w:tcPr>
            <w:tcW w:w="697" w:type="dxa"/>
            <w:tcBorders>
              <w:top w:val="nil"/>
              <w:left w:val="nil"/>
              <w:bottom w:val="nil"/>
              <w:right w:val="nil"/>
            </w:tcBorders>
            <w:shd w:val="clear" w:color="auto" w:fill="auto"/>
            <w:noWrap/>
            <w:vAlign w:val="center"/>
            <w:hideMark/>
          </w:tcPr>
          <w:p w14:paraId="7553DA4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42,1</w:t>
            </w:r>
          </w:p>
        </w:tc>
        <w:tc>
          <w:tcPr>
            <w:tcW w:w="697" w:type="dxa"/>
            <w:tcBorders>
              <w:top w:val="nil"/>
              <w:left w:val="nil"/>
              <w:bottom w:val="nil"/>
              <w:right w:val="nil"/>
            </w:tcBorders>
            <w:shd w:val="clear" w:color="auto" w:fill="auto"/>
            <w:noWrap/>
            <w:vAlign w:val="center"/>
            <w:hideMark/>
          </w:tcPr>
          <w:p w14:paraId="2CE9CD3B"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43,4</w:t>
            </w:r>
          </w:p>
        </w:tc>
        <w:tc>
          <w:tcPr>
            <w:tcW w:w="697" w:type="dxa"/>
            <w:tcBorders>
              <w:top w:val="nil"/>
              <w:left w:val="nil"/>
              <w:bottom w:val="nil"/>
              <w:right w:val="nil"/>
            </w:tcBorders>
            <w:shd w:val="clear" w:color="auto" w:fill="auto"/>
            <w:noWrap/>
            <w:vAlign w:val="center"/>
            <w:hideMark/>
          </w:tcPr>
          <w:p w14:paraId="2073189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52,9</w:t>
            </w:r>
          </w:p>
        </w:tc>
        <w:tc>
          <w:tcPr>
            <w:tcW w:w="697" w:type="dxa"/>
            <w:tcBorders>
              <w:top w:val="nil"/>
              <w:left w:val="nil"/>
              <w:bottom w:val="nil"/>
              <w:right w:val="nil"/>
            </w:tcBorders>
            <w:shd w:val="clear" w:color="auto" w:fill="auto"/>
            <w:noWrap/>
            <w:vAlign w:val="center"/>
            <w:hideMark/>
          </w:tcPr>
          <w:p w14:paraId="7A832F9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63,7</w:t>
            </w:r>
          </w:p>
        </w:tc>
      </w:tr>
      <w:tr w:rsidR="00D31FC0" w:rsidRPr="00D31FC0" w14:paraId="1AA24A2C"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06CBCF31"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Jihočeský kraj</w:t>
            </w:r>
          </w:p>
        </w:tc>
        <w:tc>
          <w:tcPr>
            <w:tcW w:w="697" w:type="dxa"/>
            <w:tcBorders>
              <w:top w:val="nil"/>
              <w:left w:val="nil"/>
              <w:bottom w:val="nil"/>
              <w:right w:val="nil"/>
            </w:tcBorders>
            <w:shd w:val="clear" w:color="auto" w:fill="auto"/>
            <w:noWrap/>
            <w:vAlign w:val="center"/>
            <w:hideMark/>
          </w:tcPr>
          <w:p w14:paraId="53D850A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31,5</w:t>
            </w:r>
          </w:p>
        </w:tc>
        <w:tc>
          <w:tcPr>
            <w:tcW w:w="697" w:type="dxa"/>
            <w:tcBorders>
              <w:top w:val="nil"/>
              <w:left w:val="nil"/>
              <w:bottom w:val="nil"/>
              <w:right w:val="nil"/>
            </w:tcBorders>
            <w:shd w:val="clear" w:color="auto" w:fill="auto"/>
            <w:noWrap/>
            <w:vAlign w:val="center"/>
            <w:hideMark/>
          </w:tcPr>
          <w:p w14:paraId="2C9A3BC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30,4</w:t>
            </w:r>
          </w:p>
        </w:tc>
        <w:tc>
          <w:tcPr>
            <w:tcW w:w="697" w:type="dxa"/>
            <w:tcBorders>
              <w:top w:val="nil"/>
              <w:left w:val="nil"/>
              <w:bottom w:val="nil"/>
              <w:right w:val="nil"/>
            </w:tcBorders>
            <w:shd w:val="clear" w:color="auto" w:fill="auto"/>
            <w:noWrap/>
            <w:vAlign w:val="center"/>
            <w:hideMark/>
          </w:tcPr>
          <w:p w14:paraId="33F434D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34,3</w:t>
            </w:r>
          </w:p>
        </w:tc>
        <w:tc>
          <w:tcPr>
            <w:tcW w:w="697" w:type="dxa"/>
            <w:tcBorders>
              <w:top w:val="nil"/>
              <w:left w:val="nil"/>
              <w:bottom w:val="nil"/>
              <w:right w:val="nil"/>
            </w:tcBorders>
            <w:shd w:val="clear" w:color="auto" w:fill="auto"/>
            <w:noWrap/>
            <w:vAlign w:val="center"/>
            <w:hideMark/>
          </w:tcPr>
          <w:p w14:paraId="3A9BACA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33,0</w:t>
            </w:r>
          </w:p>
        </w:tc>
        <w:tc>
          <w:tcPr>
            <w:tcW w:w="697" w:type="dxa"/>
            <w:tcBorders>
              <w:top w:val="nil"/>
              <w:left w:val="nil"/>
              <w:bottom w:val="nil"/>
              <w:right w:val="nil"/>
            </w:tcBorders>
            <w:shd w:val="clear" w:color="auto" w:fill="auto"/>
            <w:noWrap/>
            <w:vAlign w:val="center"/>
            <w:hideMark/>
          </w:tcPr>
          <w:p w14:paraId="013BD51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39,3</w:t>
            </w:r>
          </w:p>
        </w:tc>
        <w:tc>
          <w:tcPr>
            <w:tcW w:w="697" w:type="dxa"/>
            <w:tcBorders>
              <w:top w:val="nil"/>
              <w:left w:val="nil"/>
              <w:bottom w:val="nil"/>
              <w:right w:val="nil"/>
            </w:tcBorders>
            <w:shd w:val="clear" w:color="auto" w:fill="auto"/>
            <w:noWrap/>
            <w:vAlign w:val="center"/>
            <w:hideMark/>
          </w:tcPr>
          <w:p w14:paraId="6F69C8C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40,4</w:t>
            </w:r>
          </w:p>
        </w:tc>
        <w:tc>
          <w:tcPr>
            <w:tcW w:w="697" w:type="dxa"/>
            <w:tcBorders>
              <w:top w:val="nil"/>
              <w:left w:val="nil"/>
              <w:bottom w:val="nil"/>
              <w:right w:val="nil"/>
            </w:tcBorders>
            <w:shd w:val="clear" w:color="auto" w:fill="auto"/>
            <w:noWrap/>
            <w:vAlign w:val="center"/>
            <w:hideMark/>
          </w:tcPr>
          <w:p w14:paraId="4849B30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41,1</w:t>
            </w:r>
          </w:p>
        </w:tc>
        <w:tc>
          <w:tcPr>
            <w:tcW w:w="697" w:type="dxa"/>
            <w:tcBorders>
              <w:top w:val="nil"/>
              <w:left w:val="nil"/>
              <w:bottom w:val="nil"/>
              <w:right w:val="nil"/>
            </w:tcBorders>
            <w:shd w:val="clear" w:color="auto" w:fill="auto"/>
            <w:noWrap/>
            <w:vAlign w:val="center"/>
            <w:hideMark/>
          </w:tcPr>
          <w:p w14:paraId="4E65BBE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43,3</w:t>
            </w:r>
          </w:p>
        </w:tc>
        <w:tc>
          <w:tcPr>
            <w:tcW w:w="697" w:type="dxa"/>
            <w:tcBorders>
              <w:top w:val="nil"/>
              <w:left w:val="nil"/>
              <w:bottom w:val="nil"/>
              <w:right w:val="nil"/>
            </w:tcBorders>
            <w:shd w:val="clear" w:color="auto" w:fill="auto"/>
            <w:noWrap/>
            <w:vAlign w:val="center"/>
            <w:hideMark/>
          </w:tcPr>
          <w:p w14:paraId="2FE76FA1"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44,0</w:t>
            </w:r>
          </w:p>
        </w:tc>
        <w:tc>
          <w:tcPr>
            <w:tcW w:w="697" w:type="dxa"/>
            <w:tcBorders>
              <w:top w:val="nil"/>
              <w:left w:val="nil"/>
              <w:bottom w:val="nil"/>
              <w:right w:val="nil"/>
            </w:tcBorders>
            <w:shd w:val="clear" w:color="auto" w:fill="auto"/>
            <w:noWrap/>
            <w:vAlign w:val="center"/>
            <w:hideMark/>
          </w:tcPr>
          <w:p w14:paraId="5CB248FB"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55,8</w:t>
            </w:r>
          </w:p>
        </w:tc>
        <w:tc>
          <w:tcPr>
            <w:tcW w:w="697" w:type="dxa"/>
            <w:tcBorders>
              <w:top w:val="nil"/>
              <w:left w:val="nil"/>
              <w:bottom w:val="nil"/>
              <w:right w:val="nil"/>
            </w:tcBorders>
            <w:shd w:val="clear" w:color="auto" w:fill="auto"/>
            <w:noWrap/>
            <w:vAlign w:val="center"/>
            <w:hideMark/>
          </w:tcPr>
          <w:p w14:paraId="3EA6A8B0"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65,0</w:t>
            </w:r>
          </w:p>
        </w:tc>
      </w:tr>
      <w:tr w:rsidR="00D31FC0" w:rsidRPr="00D31FC0" w14:paraId="5B7975BD"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5F04327B"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Plzeňský kraj</w:t>
            </w:r>
          </w:p>
        </w:tc>
        <w:tc>
          <w:tcPr>
            <w:tcW w:w="697" w:type="dxa"/>
            <w:tcBorders>
              <w:top w:val="nil"/>
              <w:left w:val="nil"/>
              <w:bottom w:val="nil"/>
              <w:right w:val="nil"/>
            </w:tcBorders>
            <w:shd w:val="clear" w:color="auto" w:fill="auto"/>
            <w:noWrap/>
            <w:vAlign w:val="center"/>
            <w:hideMark/>
          </w:tcPr>
          <w:p w14:paraId="3F1170E0"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34,4</w:t>
            </w:r>
          </w:p>
        </w:tc>
        <w:tc>
          <w:tcPr>
            <w:tcW w:w="697" w:type="dxa"/>
            <w:tcBorders>
              <w:top w:val="nil"/>
              <w:left w:val="nil"/>
              <w:bottom w:val="nil"/>
              <w:right w:val="nil"/>
            </w:tcBorders>
            <w:shd w:val="clear" w:color="auto" w:fill="auto"/>
            <w:noWrap/>
            <w:vAlign w:val="center"/>
            <w:hideMark/>
          </w:tcPr>
          <w:p w14:paraId="1B241333"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33,7</w:t>
            </w:r>
          </w:p>
        </w:tc>
        <w:tc>
          <w:tcPr>
            <w:tcW w:w="697" w:type="dxa"/>
            <w:tcBorders>
              <w:top w:val="nil"/>
              <w:left w:val="nil"/>
              <w:bottom w:val="nil"/>
              <w:right w:val="nil"/>
            </w:tcBorders>
            <w:shd w:val="clear" w:color="auto" w:fill="auto"/>
            <w:noWrap/>
            <w:vAlign w:val="center"/>
            <w:hideMark/>
          </w:tcPr>
          <w:p w14:paraId="52014C7D"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35,6</w:t>
            </w:r>
          </w:p>
        </w:tc>
        <w:tc>
          <w:tcPr>
            <w:tcW w:w="697" w:type="dxa"/>
            <w:tcBorders>
              <w:top w:val="nil"/>
              <w:left w:val="nil"/>
              <w:bottom w:val="nil"/>
              <w:right w:val="nil"/>
            </w:tcBorders>
            <w:shd w:val="clear" w:color="auto" w:fill="auto"/>
            <w:noWrap/>
            <w:vAlign w:val="center"/>
            <w:hideMark/>
          </w:tcPr>
          <w:p w14:paraId="16E043C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35,5</w:t>
            </w:r>
          </w:p>
        </w:tc>
        <w:tc>
          <w:tcPr>
            <w:tcW w:w="697" w:type="dxa"/>
            <w:tcBorders>
              <w:top w:val="nil"/>
              <w:left w:val="nil"/>
              <w:bottom w:val="nil"/>
              <w:right w:val="nil"/>
            </w:tcBorders>
            <w:shd w:val="clear" w:color="auto" w:fill="auto"/>
            <w:noWrap/>
            <w:vAlign w:val="center"/>
            <w:hideMark/>
          </w:tcPr>
          <w:p w14:paraId="349435FB"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42,5</w:t>
            </w:r>
          </w:p>
        </w:tc>
        <w:tc>
          <w:tcPr>
            <w:tcW w:w="697" w:type="dxa"/>
            <w:tcBorders>
              <w:top w:val="nil"/>
              <w:left w:val="nil"/>
              <w:bottom w:val="nil"/>
              <w:right w:val="nil"/>
            </w:tcBorders>
            <w:shd w:val="clear" w:color="auto" w:fill="auto"/>
            <w:noWrap/>
            <w:vAlign w:val="center"/>
            <w:hideMark/>
          </w:tcPr>
          <w:p w14:paraId="34E7A31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42,8</w:t>
            </w:r>
          </w:p>
        </w:tc>
        <w:tc>
          <w:tcPr>
            <w:tcW w:w="697" w:type="dxa"/>
            <w:tcBorders>
              <w:top w:val="nil"/>
              <w:left w:val="nil"/>
              <w:bottom w:val="nil"/>
              <w:right w:val="nil"/>
            </w:tcBorders>
            <w:shd w:val="clear" w:color="auto" w:fill="auto"/>
            <w:noWrap/>
            <w:vAlign w:val="center"/>
            <w:hideMark/>
          </w:tcPr>
          <w:p w14:paraId="356993E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43,8</w:t>
            </w:r>
          </w:p>
        </w:tc>
        <w:tc>
          <w:tcPr>
            <w:tcW w:w="697" w:type="dxa"/>
            <w:tcBorders>
              <w:top w:val="nil"/>
              <w:left w:val="nil"/>
              <w:bottom w:val="nil"/>
              <w:right w:val="nil"/>
            </w:tcBorders>
            <w:shd w:val="clear" w:color="auto" w:fill="auto"/>
            <w:noWrap/>
            <w:vAlign w:val="center"/>
            <w:hideMark/>
          </w:tcPr>
          <w:p w14:paraId="2E5D101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46,1</w:t>
            </w:r>
          </w:p>
        </w:tc>
        <w:tc>
          <w:tcPr>
            <w:tcW w:w="697" w:type="dxa"/>
            <w:tcBorders>
              <w:top w:val="nil"/>
              <w:left w:val="nil"/>
              <w:bottom w:val="nil"/>
              <w:right w:val="nil"/>
            </w:tcBorders>
            <w:shd w:val="clear" w:color="auto" w:fill="auto"/>
            <w:noWrap/>
            <w:vAlign w:val="center"/>
            <w:hideMark/>
          </w:tcPr>
          <w:p w14:paraId="433F1B2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46,4</w:t>
            </w:r>
          </w:p>
        </w:tc>
        <w:tc>
          <w:tcPr>
            <w:tcW w:w="697" w:type="dxa"/>
            <w:tcBorders>
              <w:top w:val="nil"/>
              <w:left w:val="nil"/>
              <w:bottom w:val="nil"/>
              <w:right w:val="nil"/>
            </w:tcBorders>
            <w:shd w:val="clear" w:color="auto" w:fill="auto"/>
            <w:noWrap/>
            <w:vAlign w:val="center"/>
            <w:hideMark/>
          </w:tcPr>
          <w:p w14:paraId="67013DA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56,1</w:t>
            </w:r>
          </w:p>
        </w:tc>
        <w:tc>
          <w:tcPr>
            <w:tcW w:w="697" w:type="dxa"/>
            <w:tcBorders>
              <w:top w:val="nil"/>
              <w:left w:val="nil"/>
              <w:bottom w:val="nil"/>
              <w:right w:val="nil"/>
            </w:tcBorders>
            <w:shd w:val="clear" w:color="auto" w:fill="auto"/>
            <w:noWrap/>
            <w:vAlign w:val="center"/>
            <w:hideMark/>
          </w:tcPr>
          <w:p w14:paraId="35A6CFA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68,8</w:t>
            </w:r>
          </w:p>
        </w:tc>
      </w:tr>
      <w:tr w:rsidR="00D31FC0" w:rsidRPr="00D31FC0" w14:paraId="3ECEF4DA"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5DA6AA5A"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Karlovarský kraj</w:t>
            </w:r>
          </w:p>
        </w:tc>
        <w:tc>
          <w:tcPr>
            <w:tcW w:w="697" w:type="dxa"/>
            <w:tcBorders>
              <w:top w:val="nil"/>
              <w:left w:val="nil"/>
              <w:bottom w:val="nil"/>
              <w:right w:val="nil"/>
            </w:tcBorders>
            <w:shd w:val="clear" w:color="auto" w:fill="auto"/>
            <w:noWrap/>
            <w:vAlign w:val="center"/>
            <w:hideMark/>
          </w:tcPr>
          <w:p w14:paraId="5DE21E9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32,3</w:t>
            </w:r>
          </w:p>
        </w:tc>
        <w:tc>
          <w:tcPr>
            <w:tcW w:w="697" w:type="dxa"/>
            <w:tcBorders>
              <w:top w:val="nil"/>
              <w:left w:val="nil"/>
              <w:bottom w:val="nil"/>
              <w:right w:val="nil"/>
            </w:tcBorders>
            <w:shd w:val="clear" w:color="auto" w:fill="auto"/>
            <w:noWrap/>
            <w:vAlign w:val="center"/>
            <w:hideMark/>
          </w:tcPr>
          <w:p w14:paraId="46BCE6F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31,4</w:t>
            </w:r>
          </w:p>
        </w:tc>
        <w:tc>
          <w:tcPr>
            <w:tcW w:w="697" w:type="dxa"/>
            <w:tcBorders>
              <w:top w:val="nil"/>
              <w:left w:val="nil"/>
              <w:bottom w:val="nil"/>
              <w:right w:val="nil"/>
            </w:tcBorders>
            <w:shd w:val="clear" w:color="auto" w:fill="auto"/>
            <w:noWrap/>
            <w:vAlign w:val="center"/>
            <w:hideMark/>
          </w:tcPr>
          <w:p w14:paraId="57F5769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33,4</w:t>
            </w:r>
          </w:p>
        </w:tc>
        <w:tc>
          <w:tcPr>
            <w:tcW w:w="697" w:type="dxa"/>
            <w:tcBorders>
              <w:top w:val="nil"/>
              <w:left w:val="nil"/>
              <w:bottom w:val="nil"/>
              <w:right w:val="nil"/>
            </w:tcBorders>
            <w:shd w:val="clear" w:color="auto" w:fill="auto"/>
            <w:noWrap/>
            <w:vAlign w:val="center"/>
            <w:hideMark/>
          </w:tcPr>
          <w:p w14:paraId="7ED31EB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34,3</w:t>
            </w:r>
          </w:p>
        </w:tc>
        <w:tc>
          <w:tcPr>
            <w:tcW w:w="697" w:type="dxa"/>
            <w:tcBorders>
              <w:top w:val="nil"/>
              <w:left w:val="nil"/>
              <w:bottom w:val="nil"/>
              <w:right w:val="nil"/>
            </w:tcBorders>
            <w:shd w:val="clear" w:color="auto" w:fill="auto"/>
            <w:noWrap/>
            <w:vAlign w:val="center"/>
            <w:hideMark/>
          </w:tcPr>
          <w:p w14:paraId="044D9A70"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41,3</w:t>
            </w:r>
          </w:p>
        </w:tc>
        <w:tc>
          <w:tcPr>
            <w:tcW w:w="697" w:type="dxa"/>
            <w:tcBorders>
              <w:top w:val="nil"/>
              <w:left w:val="nil"/>
              <w:bottom w:val="nil"/>
              <w:right w:val="nil"/>
            </w:tcBorders>
            <w:shd w:val="clear" w:color="auto" w:fill="auto"/>
            <w:noWrap/>
            <w:vAlign w:val="center"/>
            <w:hideMark/>
          </w:tcPr>
          <w:p w14:paraId="302A734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40,8</w:t>
            </w:r>
          </w:p>
        </w:tc>
        <w:tc>
          <w:tcPr>
            <w:tcW w:w="697" w:type="dxa"/>
            <w:tcBorders>
              <w:top w:val="nil"/>
              <w:left w:val="nil"/>
              <w:bottom w:val="nil"/>
              <w:right w:val="nil"/>
            </w:tcBorders>
            <w:shd w:val="clear" w:color="auto" w:fill="auto"/>
            <w:noWrap/>
            <w:vAlign w:val="center"/>
            <w:hideMark/>
          </w:tcPr>
          <w:p w14:paraId="67948A2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40,7</w:t>
            </w:r>
          </w:p>
        </w:tc>
        <w:tc>
          <w:tcPr>
            <w:tcW w:w="697" w:type="dxa"/>
            <w:tcBorders>
              <w:top w:val="nil"/>
              <w:left w:val="nil"/>
              <w:bottom w:val="nil"/>
              <w:right w:val="nil"/>
            </w:tcBorders>
            <w:shd w:val="clear" w:color="auto" w:fill="auto"/>
            <w:noWrap/>
            <w:vAlign w:val="center"/>
            <w:hideMark/>
          </w:tcPr>
          <w:p w14:paraId="48842E6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44,7</w:t>
            </w:r>
          </w:p>
        </w:tc>
        <w:tc>
          <w:tcPr>
            <w:tcW w:w="697" w:type="dxa"/>
            <w:tcBorders>
              <w:top w:val="nil"/>
              <w:left w:val="nil"/>
              <w:bottom w:val="nil"/>
              <w:right w:val="nil"/>
            </w:tcBorders>
            <w:shd w:val="clear" w:color="auto" w:fill="auto"/>
            <w:noWrap/>
            <w:vAlign w:val="center"/>
            <w:hideMark/>
          </w:tcPr>
          <w:p w14:paraId="11F5803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45,6</w:t>
            </w:r>
          </w:p>
        </w:tc>
        <w:tc>
          <w:tcPr>
            <w:tcW w:w="697" w:type="dxa"/>
            <w:tcBorders>
              <w:top w:val="nil"/>
              <w:left w:val="nil"/>
              <w:bottom w:val="nil"/>
              <w:right w:val="nil"/>
            </w:tcBorders>
            <w:shd w:val="clear" w:color="auto" w:fill="auto"/>
            <w:noWrap/>
            <w:vAlign w:val="center"/>
            <w:hideMark/>
          </w:tcPr>
          <w:p w14:paraId="12445A1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52,9</w:t>
            </w:r>
          </w:p>
        </w:tc>
        <w:tc>
          <w:tcPr>
            <w:tcW w:w="697" w:type="dxa"/>
            <w:tcBorders>
              <w:top w:val="nil"/>
              <w:left w:val="nil"/>
              <w:bottom w:val="nil"/>
              <w:right w:val="nil"/>
            </w:tcBorders>
            <w:shd w:val="clear" w:color="auto" w:fill="auto"/>
            <w:noWrap/>
            <w:vAlign w:val="center"/>
            <w:hideMark/>
          </w:tcPr>
          <w:p w14:paraId="63408F8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64,3</w:t>
            </w:r>
          </w:p>
        </w:tc>
      </w:tr>
      <w:tr w:rsidR="00D31FC0" w:rsidRPr="00D31FC0" w14:paraId="239DBC0E"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24941BA0"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Ústecký kraj</w:t>
            </w:r>
          </w:p>
        </w:tc>
        <w:tc>
          <w:tcPr>
            <w:tcW w:w="697" w:type="dxa"/>
            <w:tcBorders>
              <w:top w:val="nil"/>
              <w:left w:val="nil"/>
              <w:bottom w:val="nil"/>
              <w:right w:val="nil"/>
            </w:tcBorders>
            <w:shd w:val="clear" w:color="auto" w:fill="auto"/>
            <w:noWrap/>
            <w:vAlign w:val="center"/>
            <w:hideMark/>
          </w:tcPr>
          <w:p w14:paraId="60F4871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29,9</w:t>
            </w:r>
          </w:p>
        </w:tc>
        <w:tc>
          <w:tcPr>
            <w:tcW w:w="697" w:type="dxa"/>
            <w:tcBorders>
              <w:top w:val="nil"/>
              <w:left w:val="nil"/>
              <w:bottom w:val="nil"/>
              <w:right w:val="nil"/>
            </w:tcBorders>
            <w:shd w:val="clear" w:color="auto" w:fill="auto"/>
            <w:noWrap/>
            <w:vAlign w:val="center"/>
            <w:hideMark/>
          </w:tcPr>
          <w:p w14:paraId="1FEF5F84"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28,0</w:t>
            </w:r>
          </w:p>
        </w:tc>
        <w:tc>
          <w:tcPr>
            <w:tcW w:w="697" w:type="dxa"/>
            <w:tcBorders>
              <w:top w:val="nil"/>
              <w:left w:val="nil"/>
              <w:bottom w:val="nil"/>
              <w:right w:val="nil"/>
            </w:tcBorders>
            <w:shd w:val="clear" w:color="auto" w:fill="auto"/>
            <w:noWrap/>
            <w:vAlign w:val="center"/>
            <w:hideMark/>
          </w:tcPr>
          <w:p w14:paraId="3D2FFC7B"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30,9</w:t>
            </w:r>
          </w:p>
        </w:tc>
        <w:tc>
          <w:tcPr>
            <w:tcW w:w="697" w:type="dxa"/>
            <w:tcBorders>
              <w:top w:val="nil"/>
              <w:left w:val="nil"/>
              <w:bottom w:val="nil"/>
              <w:right w:val="nil"/>
            </w:tcBorders>
            <w:shd w:val="clear" w:color="auto" w:fill="auto"/>
            <w:noWrap/>
            <w:vAlign w:val="center"/>
            <w:hideMark/>
          </w:tcPr>
          <w:p w14:paraId="74F5D6F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30,5</w:t>
            </w:r>
          </w:p>
        </w:tc>
        <w:tc>
          <w:tcPr>
            <w:tcW w:w="697" w:type="dxa"/>
            <w:tcBorders>
              <w:top w:val="nil"/>
              <w:left w:val="nil"/>
              <w:bottom w:val="nil"/>
              <w:right w:val="nil"/>
            </w:tcBorders>
            <w:shd w:val="clear" w:color="auto" w:fill="auto"/>
            <w:noWrap/>
            <w:vAlign w:val="center"/>
            <w:hideMark/>
          </w:tcPr>
          <w:p w14:paraId="1645C61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36,1</w:t>
            </w:r>
          </w:p>
        </w:tc>
        <w:tc>
          <w:tcPr>
            <w:tcW w:w="697" w:type="dxa"/>
            <w:tcBorders>
              <w:top w:val="nil"/>
              <w:left w:val="nil"/>
              <w:bottom w:val="nil"/>
              <w:right w:val="nil"/>
            </w:tcBorders>
            <w:shd w:val="clear" w:color="auto" w:fill="auto"/>
            <w:noWrap/>
            <w:vAlign w:val="center"/>
            <w:hideMark/>
          </w:tcPr>
          <w:p w14:paraId="0DCCFE8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38,2</w:t>
            </w:r>
          </w:p>
        </w:tc>
        <w:tc>
          <w:tcPr>
            <w:tcW w:w="697" w:type="dxa"/>
            <w:tcBorders>
              <w:top w:val="nil"/>
              <w:left w:val="nil"/>
              <w:bottom w:val="nil"/>
              <w:right w:val="nil"/>
            </w:tcBorders>
            <w:shd w:val="clear" w:color="auto" w:fill="auto"/>
            <w:noWrap/>
            <w:vAlign w:val="center"/>
            <w:hideMark/>
          </w:tcPr>
          <w:p w14:paraId="0C4E48C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39,1</w:t>
            </w:r>
          </w:p>
        </w:tc>
        <w:tc>
          <w:tcPr>
            <w:tcW w:w="697" w:type="dxa"/>
            <w:tcBorders>
              <w:top w:val="nil"/>
              <w:left w:val="nil"/>
              <w:bottom w:val="nil"/>
              <w:right w:val="nil"/>
            </w:tcBorders>
            <w:shd w:val="clear" w:color="auto" w:fill="auto"/>
            <w:noWrap/>
            <w:vAlign w:val="center"/>
            <w:hideMark/>
          </w:tcPr>
          <w:p w14:paraId="324AE72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42,8</w:t>
            </w:r>
          </w:p>
        </w:tc>
        <w:tc>
          <w:tcPr>
            <w:tcW w:w="697" w:type="dxa"/>
            <w:tcBorders>
              <w:top w:val="nil"/>
              <w:left w:val="nil"/>
              <w:bottom w:val="nil"/>
              <w:right w:val="nil"/>
            </w:tcBorders>
            <w:shd w:val="clear" w:color="auto" w:fill="auto"/>
            <w:noWrap/>
            <w:vAlign w:val="center"/>
            <w:hideMark/>
          </w:tcPr>
          <w:p w14:paraId="7E930D2C"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44,3</w:t>
            </w:r>
          </w:p>
        </w:tc>
        <w:tc>
          <w:tcPr>
            <w:tcW w:w="697" w:type="dxa"/>
            <w:tcBorders>
              <w:top w:val="nil"/>
              <w:left w:val="nil"/>
              <w:bottom w:val="nil"/>
              <w:right w:val="nil"/>
            </w:tcBorders>
            <w:shd w:val="clear" w:color="auto" w:fill="auto"/>
            <w:noWrap/>
            <w:vAlign w:val="center"/>
            <w:hideMark/>
          </w:tcPr>
          <w:p w14:paraId="6A6D45CC"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55,0</w:t>
            </w:r>
          </w:p>
        </w:tc>
        <w:tc>
          <w:tcPr>
            <w:tcW w:w="697" w:type="dxa"/>
            <w:tcBorders>
              <w:top w:val="nil"/>
              <w:left w:val="nil"/>
              <w:bottom w:val="nil"/>
              <w:right w:val="nil"/>
            </w:tcBorders>
            <w:shd w:val="clear" w:color="auto" w:fill="auto"/>
            <w:noWrap/>
            <w:vAlign w:val="center"/>
            <w:hideMark/>
          </w:tcPr>
          <w:p w14:paraId="7D1B83D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66,6</w:t>
            </w:r>
          </w:p>
        </w:tc>
      </w:tr>
      <w:tr w:rsidR="00D31FC0" w:rsidRPr="00D31FC0" w14:paraId="6C893C2E"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75441CC1"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Liberecký kraj</w:t>
            </w:r>
          </w:p>
        </w:tc>
        <w:tc>
          <w:tcPr>
            <w:tcW w:w="697" w:type="dxa"/>
            <w:tcBorders>
              <w:top w:val="nil"/>
              <w:left w:val="nil"/>
              <w:bottom w:val="nil"/>
              <w:right w:val="nil"/>
            </w:tcBorders>
            <w:shd w:val="clear" w:color="auto" w:fill="auto"/>
            <w:noWrap/>
            <w:vAlign w:val="center"/>
            <w:hideMark/>
          </w:tcPr>
          <w:p w14:paraId="511016B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32,5</w:t>
            </w:r>
          </w:p>
        </w:tc>
        <w:tc>
          <w:tcPr>
            <w:tcW w:w="697" w:type="dxa"/>
            <w:tcBorders>
              <w:top w:val="nil"/>
              <w:left w:val="nil"/>
              <w:bottom w:val="nil"/>
              <w:right w:val="nil"/>
            </w:tcBorders>
            <w:shd w:val="clear" w:color="auto" w:fill="auto"/>
            <w:noWrap/>
            <w:vAlign w:val="center"/>
            <w:hideMark/>
          </w:tcPr>
          <w:p w14:paraId="71454FF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32,1</w:t>
            </w:r>
          </w:p>
        </w:tc>
        <w:tc>
          <w:tcPr>
            <w:tcW w:w="697" w:type="dxa"/>
            <w:tcBorders>
              <w:top w:val="nil"/>
              <w:left w:val="nil"/>
              <w:bottom w:val="nil"/>
              <w:right w:val="nil"/>
            </w:tcBorders>
            <w:shd w:val="clear" w:color="auto" w:fill="auto"/>
            <w:noWrap/>
            <w:vAlign w:val="center"/>
            <w:hideMark/>
          </w:tcPr>
          <w:p w14:paraId="0B198183"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35,7</w:t>
            </w:r>
          </w:p>
        </w:tc>
        <w:tc>
          <w:tcPr>
            <w:tcW w:w="697" w:type="dxa"/>
            <w:tcBorders>
              <w:top w:val="nil"/>
              <w:left w:val="nil"/>
              <w:bottom w:val="nil"/>
              <w:right w:val="nil"/>
            </w:tcBorders>
            <w:shd w:val="clear" w:color="auto" w:fill="auto"/>
            <w:noWrap/>
            <w:vAlign w:val="center"/>
            <w:hideMark/>
          </w:tcPr>
          <w:p w14:paraId="6C8A3CD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34,8</w:t>
            </w:r>
          </w:p>
        </w:tc>
        <w:tc>
          <w:tcPr>
            <w:tcW w:w="697" w:type="dxa"/>
            <w:tcBorders>
              <w:top w:val="nil"/>
              <w:left w:val="nil"/>
              <w:bottom w:val="nil"/>
              <w:right w:val="nil"/>
            </w:tcBorders>
            <w:shd w:val="clear" w:color="auto" w:fill="auto"/>
            <w:noWrap/>
            <w:vAlign w:val="center"/>
            <w:hideMark/>
          </w:tcPr>
          <w:p w14:paraId="0E4D753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40,4</w:t>
            </w:r>
          </w:p>
        </w:tc>
        <w:tc>
          <w:tcPr>
            <w:tcW w:w="697" w:type="dxa"/>
            <w:tcBorders>
              <w:top w:val="nil"/>
              <w:left w:val="nil"/>
              <w:bottom w:val="nil"/>
              <w:right w:val="nil"/>
            </w:tcBorders>
            <w:shd w:val="clear" w:color="auto" w:fill="auto"/>
            <w:noWrap/>
            <w:vAlign w:val="center"/>
            <w:hideMark/>
          </w:tcPr>
          <w:p w14:paraId="4C96F9A0"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43,1</w:t>
            </w:r>
          </w:p>
        </w:tc>
        <w:tc>
          <w:tcPr>
            <w:tcW w:w="697" w:type="dxa"/>
            <w:tcBorders>
              <w:top w:val="nil"/>
              <w:left w:val="nil"/>
              <w:bottom w:val="nil"/>
              <w:right w:val="nil"/>
            </w:tcBorders>
            <w:shd w:val="clear" w:color="auto" w:fill="auto"/>
            <w:noWrap/>
            <w:vAlign w:val="center"/>
            <w:hideMark/>
          </w:tcPr>
          <w:p w14:paraId="56F35AD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44,3</w:t>
            </w:r>
          </w:p>
        </w:tc>
        <w:tc>
          <w:tcPr>
            <w:tcW w:w="697" w:type="dxa"/>
            <w:tcBorders>
              <w:top w:val="nil"/>
              <w:left w:val="nil"/>
              <w:bottom w:val="nil"/>
              <w:right w:val="nil"/>
            </w:tcBorders>
            <w:shd w:val="clear" w:color="auto" w:fill="auto"/>
            <w:noWrap/>
            <w:vAlign w:val="center"/>
            <w:hideMark/>
          </w:tcPr>
          <w:p w14:paraId="50F1FE7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48,1</w:t>
            </w:r>
          </w:p>
        </w:tc>
        <w:tc>
          <w:tcPr>
            <w:tcW w:w="697" w:type="dxa"/>
            <w:tcBorders>
              <w:top w:val="nil"/>
              <w:left w:val="nil"/>
              <w:bottom w:val="nil"/>
              <w:right w:val="nil"/>
            </w:tcBorders>
            <w:shd w:val="clear" w:color="auto" w:fill="auto"/>
            <w:noWrap/>
            <w:vAlign w:val="center"/>
            <w:hideMark/>
          </w:tcPr>
          <w:p w14:paraId="6EBD0DAC"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49,8</w:t>
            </w:r>
          </w:p>
        </w:tc>
        <w:tc>
          <w:tcPr>
            <w:tcW w:w="697" w:type="dxa"/>
            <w:tcBorders>
              <w:top w:val="nil"/>
              <w:left w:val="nil"/>
              <w:bottom w:val="nil"/>
              <w:right w:val="nil"/>
            </w:tcBorders>
            <w:shd w:val="clear" w:color="auto" w:fill="auto"/>
            <w:noWrap/>
            <w:vAlign w:val="center"/>
            <w:hideMark/>
          </w:tcPr>
          <w:p w14:paraId="65C280E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63,7</w:t>
            </w:r>
          </w:p>
        </w:tc>
        <w:tc>
          <w:tcPr>
            <w:tcW w:w="697" w:type="dxa"/>
            <w:tcBorders>
              <w:top w:val="nil"/>
              <w:left w:val="nil"/>
              <w:bottom w:val="nil"/>
              <w:right w:val="nil"/>
            </w:tcBorders>
            <w:shd w:val="clear" w:color="auto" w:fill="auto"/>
            <w:noWrap/>
            <w:vAlign w:val="center"/>
            <w:hideMark/>
          </w:tcPr>
          <w:p w14:paraId="71D7529D"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72,9</w:t>
            </w:r>
          </w:p>
        </w:tc>
      </w:tr>
      <w:tr w:rsidR="00D31FC0" w:rsidRPr="00D31FC0" w14:paraId="7CF2489C"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67D6A752"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Královéhradecký kraj</w:t>
            </w:r>
          </w:p>
        </w:tc>
        <w:tc>
          <w:tcPr>
            <w:tcW w:w="697" w:type="dxa"/>
            <w:tcBorders>
              <w:top w:val="nil"/>
              <w:left w:val="nil"/>
              <w:bottom w:val="nil"/>
              <w:right w:val="nil"/>
            </w:tcBorders>
            <w:shd w:val="clear" w:color="auto" w:fill="auto"/>
            <w:noWrap/>
            <w:vAlign w:val="center"/>
            <w:hideMark/>
          </w:tcPr>
          <w:p w14:paraId="30DDE34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30,7</w:t>
            </w:r>
          </w:p>
        </w:tc>
        <w:tc>
          <w:tcPr>
            <w:tcW w:w="697" w:type="dxa"/>
            <w:tcBorders>
              <w:top w:val="nil"/>
              <w:left w:val="nil"/>
              <w:bottom w:val="nil"/>
              <w:right w:val="nil"/>
            </w:tcBorders>
            <w:shd w:val="clear" w:color="auto" w:fill="auto"/>
            <w:noWrap/>
            <w:vAlign w:val="center"/>
            <w:hideMark/>
          </w:tcPr>
          <w:p w14:paraId="4B66247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28,7</w:t>
            </w:r>
          </w:p>
        </w:tc>
        <w:tc>
          <w:tcPr>
            <w:tcW w:w="697" w:type="dxa"/>
            <w:tcBorders>
              <w:top w:val="nil"/>
              <w:left w:val="nil"/>
              <w:bottom w:val="nil"/>
              <w:right w:val="nil"/>
            </w:tcBorders>
            <w:shd w:val="clear" w:color="auto" w:fill="auto"/>
            <w:noWrap/>
            <w:vAlign w:val="center"/>
            <w:hideMark/>
          </w:tcPr>
          <w:p w14:paraId="2891D01C"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31,5</w:t>
            </w:r>
          </w:p>
        </w:tc>
        <w:tc>
          <w:tcPr>
            <w:tcW w:w="697" w:type="dxa"/>
            <w:tcBorders>
              <w:top w:val="nil"/>
              <w:left w:val="nil"/>
              <w:bottom w:val="nil"/>
              <w:right w:val="nil"/>
            </w:tcBorders>
            <w:shd w:val="clear" w:color="auto" w:fill="auto"/>
            <w:noWrap/>
            <w:vAlign w:val="center"/>
            <w:hideMark/>
          </w:tcPr>
          <w:p w14:paraId="7CE984B4"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30,2</w:t>
            </w:r>
          </w:p>
        </w:tc>
        <w:tc>
          <w:tcPr>
            <w:tcW w:w="697" w:type="dxa"/>
            <w:tcBorders>
              <w:top w:val="nil"/>
              <w:left w:val="nil"/>
              <w:bottom w:val="nil"/>
              <w:right w:val="nil"/>
            </w:tcBorders>
            <w:shd w:val="clear" w:color="auto" w:fill="auto"/>
            <w:noWrap/>
            <w:vAlign w:val="center"/>
            <w:hideMark/>
          </w:tcPr>
          <w:p w14:paraId="2594F8FC"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36,0</w:t>
            </w:r>
          </w:p>
        </w:tc>
        <w:tc>
          <w:tcPr>
            <w:tcW w:w="697" w:type="dxa"/>
            <w:tcBorders>
              <w:top w:val="nil"/>
              <w:left w:val="nil"/>
              <w:bottom w:val="nil"/>
              <w:right w:val="nil"/>
            </w:tcBorders>
            <w:shd w:val="clear" w:color="auto" w:fill="auto"/>
            <w:noWrap/>
            <w:vAlign w:val="center"/>
            <w:hideMark/>
          </w:tcPr>
          <w:p w14:paraId="5F209E4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38,5</w:t>
            </w:r>
          </w:p>
        </w:tc>
        <w:tc>
          <w:tcPr>
            <w:tcW w:w="697" w:type="dxa"/>
            <w:tcBorders>
              <w:top w:val="nil"/>
              <w:left w:val="nil"/>
              <w:bottom w:val="nil"/>
              <w:right w:val="nil"/>
            </w:tcBorders>
            <w:shd w:val="clear" w:color="auto" w:fill="auto"/>
            <w:noWrap/>
            <w:vAlign w:val="center"/>
            <w:hideMark/>
          </w:tcPr>
          <w:p w14:paraId="01661079"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40,6</w:t>
            </w:r>
          </w:p>
        </w:tc>
        <w:tc>
          <w:tcPr>
            <w:tcW w:w="697" w:type="dxa"/>
            <w:tcBorders>
              <w:top w:val="nil"/>
              <w:left w:val="nil"/>
              <w:bottom w:val="nil"/>
              <w:right w:val="nil"/>
            </w:tcBorders>
            <w:shd w:val="clear" w:color="auto" w:fill="auto"/>
            <w:noWrap/>
            <w:vAlign w:val="center"/>
            <w:hideMark/>
          </w:tcPr>
          <w:p w14:paraId="4392A84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44,0</w:t>
            </w:r>
          </w:p>
        </w:tc>
        <w:tc>
          <w:tcPr>
            <w:tcW w:w="697" w:type="dxa"/>
            <w:tcBorders>
              <w:top w:val="nil"/>
              <w:left w:val="nil"/>
              <w:bottom w:val="nil"/>
              <w:right w:val="nil"/>
            </w:tcBorders>
            <w:shd w:val="clear" w:color="auto" w:fill="auto"/>
            <w:noWrap/>
            <w:vAlign w:val="center"/>
            <w:hideMark/>
          </w:tcPr>
          <w:p w14:paraId="6C4EA01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45,7</w:t>
            </w:r>
          </w:p>
        </w:tc>
        <w:tc>
          <w:tcPr>
            <w:tcW w:w="697" w:type="dxa"/>
            <w:tcBorders>
              <w:top w:val="nil"/>
              <w:left w:val="nil"/>
              <w:bottom w:val="nil"/>
              <w:right w:val="nil"/>
            </w:tcBorders>
            <w:shd w:val="clear" w:color="auto" w:fill="auto"/>
            <w:noWrap/>
            <w:vAlign w:val="center"/>
            <w:hideMark/>
          </w:tcPr>
          <w:p w14:paraId="1F60275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58,2</w:t>
            </w:r>
          </w:p>
        </w:tc>
        <w:tc>
          <w:tcPr>
            <w:tcW w:w="697" w:type="dxa"/>
            <w:tcBorders>
              <w:top w:val="nil"/>
              <w:left w:val="nil"/>
              <w:bottom w:val="nil"/>
              <w:right w:val="nil"/>
            </w:tcBorders>
            <w:shd w:val="clear" w:color="auto" w:fill="auto"/>
            <w:noWrap/>
            <w:vAlign w:val="center"/>
            <w:hideMark/>
          </w:tcPr>
          <w:p w14:paraId="46D1E2B0"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67,8</w:t>
            </w:r>
          </w:p>
        </w:tc>
      </w:tr>
      <w:tr w:rsidR="00D31FC0" w:rsidRPr="00D31FC0" w14:paraId="3A43BB48"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75D87E3B"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Pardubický kraj</w:t>
            </w:r>
          </w:p>
        </w:tc>
        <w:tc>
          <w:tcPr>
            <w:tcW w:w="697" w:type="dxa"/>
            <w:tcBorders>
              <w:top w:val="nil"/>
              <w:left w:val="nil"/>
              <w:bottom w:val="nil"/>
              <w:right w:val="nil"/>
            </w:tcBorders>
            <w:shd w:val="clear" w:color="auto" w:fill="auto"/>
            <w:noWrap/>
            <w:vAlign w:val="center"/>
            <w:hideMark/>
          </w:tcPr>
          <w:p w14:paraId="0D6F9D7D"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30,6</w:t>
            </w:r>
          </w:p>
        </w:tc>
        <w:tc>
          <w:tcPr>
            <w:tcW w:w="697" w:type="dxa"/>
            <w:tcBorders>
              <w:top w:val="nil"/>
              <w:left w:val="nil"/>
              <w:bottom w:val="nil"/>
              <w:right w:val="nil"/>
            </w:tcBorders>
            <w:shd w:val="clear" w:color="auto" w:fill="auto"/>
            <w:noWrap/>
            <w:vAlign w:val="center"/>
            <w:hideMark/>
          </w:tcPr>
          <w:p w14:paraId="0DF98839"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28,5</w:t>
            </w:r>
          </w:p>
        </w:tc>
        <w:tc>
          <w:tcPr>
            <w:tcW w:w="697" w:type="dxa"/>
            <w:tcBorders>
              <w:top w:val="nil"/>
              <w:left w:val="nil"/>
              <w:bottom w:val="nil"/>
              <w:right w:val="nil"/>
            </w:tcBorders>
            <w:shd w:val="clear" w:color="auto" w:fill="auto"/>
            <w:noWrap/>
            <w:vAlign w:val="center"/>
            <w:hideMark/>
          </w:tcPr>
          <w:p w14:paraId="38EBB4F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30,8</w:t>
            </w:r>
          </w:p>
        </w:tc>
        <w:tc>
          <w:tcPr>
            <w:tcW w:w="697" w:type="dxa"/>
            <w:tcBorders>
              <w:top w:val="nil"/>
              <w:left w:val="nil"/>
              <w:bottom w:val="nil"/>
              <w:right w:val="nil"/>
            </w:tcBorders>
            <w:shd w:val="clear" w:color="auto" w:fill="auto"/>
            <w:noWrap/>
            <w:vAlign w:val="center"/>
            <w:hideMark/>
          </w:tcPr>
          <w:p w14:paraId="4589714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30,5</w:t>
            </w:r>
          </w:p>
        </w:tc>
        <w:tc>
          <w:tcPr>
            <w:tcW w:w="697" w:type="dxa"/>
            <w:tcBorders>
              <w:top w:val="nil"/>
              <w:left w:val="nil"/>
              <w:bottom w:val="nil"/>
              <w:right w:val="nil"/>
            </w:tcBorders>
            <w:shd w:val="clear" w:color="auto" w:fill="auto"/>
            <w:noWrap/>
            <w:vAlign w:val="center"/>
            <w:hideMark/>
          </w:tcPr>
          <w:p w14:paraId="44CB373D"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36,6</w:t>
            </w:r>
          </w:p>
        </w:tc>
        <w:tc>
          <w:tcPr>
            <w:tcW w:w="697" w:type="dxa"/>
            <w:tcBorders>
              <w:top w:val="nil"/>
              <w:left w:val="nil"/>
              <w:bottom w:val="nil"/>
              <w:right w:val="nil"/>
            </w:tcBorders>
            <w:shd w:val="clear" w:color="auto" w:fill="auto"/>
            <w:noWrap/>
            <w:vAlign w:val="center"/>
            <w:hideMark/>
          </w:tcPr>
          <w:p w14:paraId="4312EA7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37,3</w:t>
            </w:r>
          </w:p>
        </w:tc>
        <w:tc>
          <w:tcPr>
            <w:tcW w:w="697" w:type="dxa"/>
            <w:tcBorders>
              <w:top w:val="nil"/>
              <w:left w:val="nil"/>
              <w:bottom w:val="nil"/>
              <w:right w:val="nil"/>
            </w:tcBorders>
            <w:shd w:val="clear" w:color="auto" w:fill="auto"/>
            <w:noWrap/>
            <w:vAlign w:val="center"/>
            <w:hideMark/>
          </w:tcPr>
          <w:p w14:paraId="47B99FC3"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38,5</w:t>
            </w:r>
          </w:p>
        </w:tc>
        <w:tc>
          <w:tcPr>
            <w:tcW w:w="697" w:type="dxa"/>
            <w:tcBorders>
              <w:top w:val="nil"/>
              <w:left w:val="nil"/>
              <w:bottom w:val="nil"/>
              <w:right w:val="nil"/>
            </w:tcBorders>
            <w:shd w:val="clear" w:color="auto" w:fill="auto"/>
            <w:noWrap/>
            <w:vAlign w:val="center"/>
            <w:hideMark/>
          </w:tcPr>
          <w:p w14:paraId="3732CF1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41,8</w:t>
            </w:r>
          </w:p>
        </w:tc>
        <w:tc>
          <w:tcPr>
            <w:tcW w:w="697" w:type="dxa"/>
            <w:tcBorders>
              <w:top w:val="nil"/>
              <w:left w:val="nil"/>
              <w:bottom w:val="nil"/>
              <w:right w:val="nil"/>
            </w:tcBorders>
            <w:shd w:val="clear" w:color="auto" w:fill="auto"/>
            <w:noWrap/>
            <w:vAlign w:val="center"/>
            <w:hideMark/>
          </w:tcPr>
          <w:p w14:paraId="333F5144"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42,9</w:t>
            </w:r>
          </w:p>
        </w:tc>
        <w:tc>
          <w:tcPr>
            <w:tcW w:w="697" w:type="dxa"/>
            <w:tcBorders>
              <w:top w:val="nil"/>
              <w:left w:val="nil"/>
              <w:bottom w:val="nil"/>
              <w:right w:val="nil"/>
            </w:tcBorders>
            <w:shd w:val="clear" w:color="auto" w:fill="auto"/>
            <w:noWrap/>
            <w:vAlign w:val="center"/>
            <w:hideMark/>
          </w:tcPr>
          <w:p w14:paraId="1F1D621D"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54,1</w:t>
            </w:r>
          </w:p>
        </w:tc>
        <w:tc>
          <w:tcPr>
            <w:tcW w:w="697" w:type="dxa"/>
            <w:tcBorders>
              <w:top w:val="nil"/>
              <w:left w:val="nil"/>
              <w:bottom w:val="nil"/>
              <w:right w:val="nil"/>
            </w:tcBorders>
            <w:shd w:val="clear" w:color="auto" w:fill="auto"/>
            <w:noWrap/>
            <w:vAlign w:val="center"/>
            <w:hideMark/>
          </w:tcPr>
          <w:p w14:paraId="4549C62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65,8</w:t>
            </w:r>
          </w:p>
        </w:tc>
      </w:tr>
      <w:tr w:rsidR="00D31FC0" w:rsidRPr="00D31FC0" w14:paraId="01B79776"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53748F53" w14:textId="77777777" w:rsidR="00D31FC0" w:rsidRPr="00D31FC0" w:rsidRDefault="008D4DE1" w:rsidP="00D31FC0">
            <w:pPr>
              <w:spacing w:after="0" w:line="240" w:lineRule="auto"/>
              <w:ind w:firstLineChars="100" w:firstLine="160"/>
              <w:rPr>
                <w:rFonts w:cs="Arial"/>
                <w:color w:val="000000"/>
                <w:sz w:val="16"/>
                <w:szCs w:val="16"/>
              </w:rPr>
            </w:pPr>
            <w:r>
              <w:rPr>
                <w:rFonts w:cs="Arial"/>
                <w:color w:val="000000"/>
                <w:sz w:val="16"/>
                <w:szCs w:val="16"/>
              </w:rPr>
              <w:t xml:space="preserve">Kraj </w:t>
            </w:r>
            <w:r w:rsidR="00D31FC0" w:rsidRPr="00D31FC0">
              <w:rPr>
                <w:rFonts w:cs="Arial"/>
                <w:color w:val="000000"/>
                <w:sz w:val="16"/>
                <w:szCs w:val="16"/>
              </w:rPr>
              <w:t>Vysočina</w:t>
            </w:r>
          </w:p>
        </w:tc>
        <w:tc>
          <w:tcPr>
            <w:tcW w:w="697" w:type="dxa"/>
            <w:tcBorders>
              <w:top w:val="nil"/>
              <w:left w:val="nil"/>
              <w:bottom w:val="nil"/>
              <w:right w:val="nil"/>
            </w:tcBorders>
            <w:shd w:val="clear" w:color="auto" w:fill="auto"/>
            <w:noWrap/>
            <w:vAlign w:val="center"/>
            <w:hideMark/>
          </w:tcPr>
          <w:p w14:paraId="39AB38A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30,9</w:t>
            </w:r>
          </w:p>
        </w:tc>
        <w:tc>
          <w:tcPr>
            <w:tcW w:w="697" w:type="dxa"/>
            <w:tcBorders>
              <w:top w:val="nil"/>
              <w:left w:val="nil"/>
              <w:bottom w:val="nil"/>
              <w:right w:val="nil"/>
            </w:tcBorders>
            <w:shd w:val="clear" w:color="auto" w:fill="auto"/>
            <w:noWrap/>
            <w:vAlign w:val="center"/>
            <w:hideMark/>
          </w:tcPr>
          <w:p w14:paraId="78A8F571"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28,7</w:t>
            </w:r>
          </w:p>
        </w:tc>
        <w:tc>
          <w:tcPr>
            <w:tcW w:w="697" w:type="dxa"/>
            <w:tcBorders>
              <w:top w:val="nil"/>
              <w:left w:val="nil"/>
              <w:bottom w:val="nil"/>
              <w:right w:val="nil"/>
            </w:tcBorders>
            <w:shd w:val="clear" w:color="auto" w:fill="auto"/>
            <w:noWrap/>
            <w:vAlign w:val="center"/>
            <w:hideMark/>
          </w:tcPr>
          <w:p w14:paraId="04DCF8A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32,1</w:t>
            </w:r>
          </w:p>
        </w:tc>
        <w:tc>
          <w:tcPr>
            <w:tcW w:w="697" w:type="dxa"/>
            <w:tcBorders>
              <w:top w:val="nil"/>
              <w:left w:val="nil"/>
              <w:bottom w:val="nil"/>
              <w:right w:val="nil"/>
            </w:tcBorders>
            <w:shd w:val="clear" w:color="auto" w:fill="auto"/>
            <w:noWrap/>
            <w:vAlign w:val="center"/>
            <w:hideMark/>
          </w:tcPr>
          <w:p w14:paraId="2C3BB0E1"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31,1</w:t>
            </w:r>
          </w:p>
        </w:tc>
        <w:tc>
          <w:tcPr>
            <w:tcW w:w="697" w:type="dxa"/>
            <w:tcBorders>
              <w:top w:val="nil"/>
              <w:left w:val="nil"/>
              <w:bottom w:val="nil"/>
              <w:right w:val="nil"/>
            </w:tcBorders>
            <w:shd w:val="clear" w:color="auto" w:fill="auto"/>
            <w:noWrap/>
            <w:vAlign w:val="center"/>
            <w:hideMark/>
          </w:tcPr>
          <w:p w14:paraId="08FD608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37,6</w:t>
            </w:r>
          </w:p>
        </w:tc>
        <w:tc>
          <w:tcPr>
            <w:tcW w:w="697" w:type="dxa"/>
            <w:tcBorders>
              <w:top w:val="nil"/>
              <w:left w:val="nil"/>
              <w:bottom w:val="nil"/>
              <w:right w:val="nil"/>
            </w:tcBorders>
            <w:shd w:val="clear" w:color="auto" w:fill="auto"/>
            <w:noWrap/>
            <w:vAlign w:val="center"/>
            <w:hideMark/>
          </w:tcPr>
          <w:p w14:paraId="7B6D357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38,3</w:t>
            </w:r>
          </w:p>
        </w:tc>
        <w:tc>
          <w:tcPr>
            <w:tcW w:w="697" w:type="dxa"/>
            <w:tcBorders>
              <w:top w:val="nil"/>
              <w:left w:val="nil"/>
              <w:bottom w:val="nil"/>
              <w:right w:val="nil"/>
            </w:tcBorders>
            <w:shd w:val="clear" w:color="auto" w:fill="auto"/>
            <w:noWrap/>
            <w:vAlign w:val="center"/>
            <w:hideMark/>
          </w:tcPr>
          <w:p w14:paraId="27A9244C"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39,2</w:t>
            </w:r>
          </w:p>
        </w:tc>
        <w:tc>
          <w:tcPr>
            <w:tcW w:w="697" w:type="dxa"/>
            <w:tcBorders>
              <w:top w:val="nil"/>
              <w:left w:val="nil"/>
              <w:bottom w:val="nil"/>
              <w:right w:val="nil"/>
            </w:tcBorders>
            <w:shd w:val="clear" w:color="auto" w:fill="auto"/>
            <w:noWrap/>
            <w:vAlign w:val="center"/>
            <w:hideMark/>
          </w:tcPr>
          <w:p w14:paraId="1EE23A13"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42,2</w:t>
            </w:r>
          </w:p>
        </w:tc>
        <w:tc>
          <w:tcPr>
            <w:tcW w:w="697" w:type="dxa"/>
            <w:tcBorders>
              <w:top w:val="nil"/>
              <w:left w:val="nil"/>
              <w:bottom w:val="nil"/>
              <w:right w:val="nil"/>
            </w:tcBorders>
            <w:shd w:val="clear" w:color="auto" w:fill="auto"/>
            <w:noWrap/>
            <w:vAlign w:val="center"/>
            <w:hideMark/>
          </w:tcPr>
          <w:p w14:paraId="67DAA2CC"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42,8</w:t>
            </w:r>
          </w:p>
        </w:tc>
        <w:tc>
          <w:tcPr>
            <w:tcW w:w="697" w:type="dxa"/>
            <w:tcBorders>
              <w:top w:val="nil"/>
              <w:left w:val="nil"/>
              <w:bottom w:val="nil"/>
              <w:right w:val="nil"/>
            </w:tcBorders>
            <w:shd w:val="clear" w:color="auto" w:fill="auto"/>
            <w:noWrap/>
            <w:vAlign w:val="center"/>
            <w:hideMark/>
          </w:tcPr>
          <w:p w14:paraId="49A4594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57,4</w:t>
            </w:r>
          </w:p>
        </w:tc>
        <w:tc>
          <w:tcPr>
            <w:tcW w:w="697" w:type="dxa"/>
            <w:tcBorders>
              <w:top w:val="nil"/>
              <w:left w:val="nil"/>
              <w:bottom w:val="nil"/>
              <w:right w:val="nil"/>
            </w:tcBorders>
            <w:shd w:val="clear" w:color="auto" w:fill="auto"/>
            <w:noWrap/>
            <w:vAlign w:val="center"/>
            <w:hideMark/>
          </w:tcPr>
          <w:p w14:paraId="4101EB9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61,6</w:t>
            </w:r>
          </w:p>
        </w:tc>
      </w:tr>
      <w:tr w:rsidR="00D31FC0" w:rsidRPr="00D31FC0" w14:paraId="3CB480A9"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7B3A45A8"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Jihomoravský kraj</w:t>
            </w:r>
          </w:p>
        </w:tc>
        <w:tc>
          <w:tcPr>
            <w:tcW w:w="697" w:type="dxa"/>
            <w:tcBorders>
              <w:top w:val="nil"/>
              <w:left w:val="nil"/>
              <w:bottom w:val="nil"/>
              <w:right w:val="nil"/>
            </w:tcBorders>
            <w:shd w:val="clear" w:color="auto" w:fill="auto"/>
            <w:noWrap/>
            <w:vAlign w:val="center"/>
            <w:hideMark/>
          </w:tcPr>
          <w:p w14:paraId="058F3C4B"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28,8</w:t>
            </w:r>
          </w:p>
        </w:tc>
        <w:tc>
          <w:tcPr>
            <w:tcW w:w="697" w:type="dxa"/>
            <w:tcBorders>
              <w:top w:val="nil"/>
              <w:left w:val="nil"/>
              <w:bottom w:val="nil"/>
              <w:right w:val="nil"/>
            </w:tcBorders>
            <w:shd w:val="clear" w:color="auto" w:fill="auto"/>
            <w:noWrap/>
            <w:vAlign w:val="center"/>
            <w:hideMark/>
          </w:tcPr>
          <w:p w14:paraId="6308AFD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26,8</w:t>
            </w:r>
          </w:p>
        </w:tc>
        <w:tc>
          <w:tcPr>
            <w:tcW w:w="697" w:type="dxa"/>
            <w:tcBorders>
              <w:top w:val="nil"/>
              <w:left w:val="nil"/>
              <w:bottom w:val="nil"/>
              <w:right w:val="nil"/>
            </w:tcBorders>
            <w:shd w:val="clear" w:color="auto" w:fill="auto"/>
            <w:noWrap/>
            <w:vAlign w:val="center"/>
            <w:hideMark/>
          </w:tcPr>
          <w:p w14:paraId="5F4E6D1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29,6</w:t>
            </w:r>
          </w:p>
        </w:tc>
        <w:tc>
          <w:tcPr>
            <w:tcW w:w="697" w:type="dxa"/>
            <w:tcBorders>
              <w:top w:val="nil"/>
              <w:left w:val="nil"/>
              <w:bottom w:val="nil"/>
              <w:right w:val="nil"/>
            </w:tcBorders>
            <w:shd w:val="clear" w:color="auto" w:fill="auto"/>
            <w:noWrap/>
            <w:vAlign w:val="center"/>
            <w:hideMark/>
          </w:tcPr>
          <w:p w14:paraId="5EBD29E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28,9</w:t>
            </w:r>
          </w:p>
        </w:tc>
        <w:tc>
          <w:tcPr>
            <w:tcW w:w="697" w:type="dxa"/>
            <w:tcBorders>
              <w:top w:val="nil"/>
              <w:left w:val="nil"/>
              <w:bottom w:val="nil"/>
              <w:right w:val="nil"/>
            </w:tcBorders>
            <w:shd w:val="clear" w:color="auto" w:fill="auto"/>
            <w:noWrap/>
            <w:vAlign w:val="center"/>
            <w:hideMark/>
          </w:tcPr>
          <w:p w14:paraId="19FE905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33,5</w:t>
            </w:r>
          </w:p>
        </w:tc>
        <w:tc>
          <w:tcPr>
            <w:tcW w:w="697" w:type="dxa"/>
            <w:tcBorders>
              <w:top w:val="nil"/>
              <w:left w:val="nil"/>
              <w:bottom w:val="nil"/>
              <w:right w:val="nil"/>
            </w:tcBorders>
            <w:shd w:val="clear" w:color="auto" w:fill="auto"/>
            <w:noWrap/>
            <w:vAlign w:val="center"/>
            <w:hideMark/>
          </w:tcPr>
          <w:p w14:paraId="55F41D44"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34,2</w:t>
            </w:r>
          </w:p>
        </w:tc>
        <w:tc>
          <w:tcPr>
            <w:tcW w:w="697" w:type="dxa"/>
            <w:tcBorders>
              <w:top w:val="nil"/>
              <w:left w:val="nil"/>
              <w:bottom w:val="nil"/>
              <w:right w:val="nil"/>
            </w:tcBorders>
            <w:shd w:val="clear" w:color="auto" w:fill="auto"/>
            <w:noWrap/>
            <w:vAlign w:val="center"/>
            <w:hideMark/>
          </w:tcPr>
          <w:p w14:paraId="1113945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35,4</w:t>
            </w:r>
          </w:p>
        </w:tc>
        <w:tc>
          <w:tcPr>
            <w:tcW w:w="697" w:type="dxa"/>
            <w:tcBorders>
              <w:top w:val="nil"/>
              <w:left w:val="nil"/>
              <w:bottom w:val="nil"/>
              <w:right w:val="nil"/>
            </w:tcBorders>
            <w:shd w:val="clear" w:color="auto" w:fill="auto"/>
            <w:noWrap/>
            <w:vAlign w:val="center"/>
            <w:hideMark/>
          </w:tcPr>
          <w:p w14:paraId="372FABB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37,8</w:t>
            </w:r>
          </w:p>
        </w:tc>
        <w:tc>
          <w:tcPr>
            <w:tcW w:w="697" w:type="dxa"/>
            <w:tcBorders>
              <w:top w:val="nil"/>
              <w:left w:val="nil"/>
              <w:bottom w:val="nil"/>
              <w:right w:val="nil"/>
            </w:tcBorders>
            <w:shd w:val="clear" w:color="auto" w:fill="auto"/>
            <w:noWrap/>
            <w:vAlign w:val="center"/>
            <w:hideMark/>
          </w:tcPr>
          <w:p w14:paraId="3ADC90C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38,9</w:t>
            </w:r>
          </w:p>
        </w:tc>
        <w:tc>
          <w:tcPr>
            <w:tcW w:w="697" w:type="dxa"/>
            <w:tcBorders>
              <w:top w:val="nil"/>
              <w:left w:val="nil"/>
              <w:bottom w:val="nil"/>
              <w:right w:val="nil"/>
            </w:tcBorders>
            <w:shd w:val="clear" w:color="auto" w:fill="auto"/>
            <w:noWrap/>
            <w:vAlign w:val="center"/>
            <w:hideMark/>
          </w:tcPr>
          <w:p w14:paraId="3AAC278C"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48,6</w:t>
            </w:r>
          </w:p>
        </w:tc>
        <w:tc>
          <w:tcPr>
            <w:tcW w:w="697" w:type="dxa"/>
            <w:tcBorders>
              <w:top w:val="nil"/>
              <w:left w:val="nil"/>
              <w:bottom w:val="nil"/>
              <w:right w:val="nil"/>
            </w:tcBorders>
            <w:shd w:val="clear" w:color="auto" w:fill="auto"/>
            <w:noWrap/>
            <w:vAlign w:val="center"/>
            <w:hideMark/>
          </w:tcPr>
          <w:p w14:paraId="7975F13C"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56,2</w:t>
            </w:r>
          </w:p>
        </w:tc>
      </w:tr>
      <w:tr w:rsidR="00D31FC0" w:rsidRPr="00D31FC0" w14:paraId="77CE712C"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73B8A297"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Olomoucký kraj</w:t>
            </w:r>
          </w:p>
        </w:tc>
        <w:tc>
          <w:tcPr>
            <w:tcW w:w="697" w:type="dxa"/>
            <w:tcBorders>
              <w:top w:val="nil"/>
              <w:left w:val="nil"/>
              <w:bottom w:val="nil"/>
              <w:right w:val="nil"/>
            </w:tcBorders>
            <w:shd w:val="clear" w:color="auto" w:fill="auto"/>
            <w:noWrap/>
            <w:vAlign w:val="center"/>
            <w:hideMark/>
          </w:tcPr>
          <w:p w14:paraId="0D427AD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26,7</w:t>
            </w:r>
          </w:p>
        </w:tc>
        <w:tc>
          <w:tcPr>
            <w:tcW w:w="697" w:type="dxa"/>
            <w:tcBorders>
              <w:top w:val="nil"/>
              <w:left w:val="nil"/>
              <w:bottom w:val="nil"/>
              <w:right w:val="nil"/>
            </w:tcBorders>
            <w:shd w:val="clear" w:color="auto" w:fill="auto"/>
            <w:noWrap/>
            <w:vAlign w:val="center"/>
            <w:hideMark/>
          </w:tcPr>
          <w:p w14:paraId="4A6F208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25,4</w:t>
            </w:r>
          </w:p>
        </w:tc>
        <w:tc>
          <w:tcPr>
            <w:tcW w:w="697" w:type="dxa"/>
            <w:tcBorders>
              <w:top w:val="nil"/>
              <w:left w:val="nil"/>
              <w:bottom w:val="nil"/>
              <w:right w:val="nil"/>
            </w:tcBorders>
            <w:shd w:val="clear" w:color="auto" w:fill="auto"/>
            <w:noWrap/>
            <w:vAlign w:val="center"/>
            <w:hideMark/>
          </w:tcPr>
          <w:p w14:paraId="243F00FB"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27,3</w:t>
            </w:r>
          </w:p>
        </w:tc>
        <w:tc>
          <w:tcPr>
            <w:tcW w:w="697" w:type="dxa"/>
            <w:tcBorders>
              <w:top w:val="nil"/>
              <w:left w:val="nil"/>
              <w:bottom w:val="nil"/>
              <w:right w:val="nil"/>
            </w:tcBorders>
            <w:shd w:val="clear" w:color="auto" w:fill="auto"/>
            <w:noWrap/>
            <w:vAlign w:val="center"/>
            <w:hideMark/>
          </w:tcPr>
          <w:p w14:paraId="20156A49"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26,1</w:t>
            </w:r>
          </w:p>
        </w:tc>
        <w:tc>
          <w:tcPr>
            <w:tcW w:w="697" w:type="dxa"/>
            <w:tcBorders>
              <w:top w:val="nil"/>
              <w:left w:val="nil"/>
              <w:bottom w:val="nil"/>
              <w:right w:val="nil"/>
            </w:tcBorders>
            <w:shd w:val="clear" w:color="auto" w:fill="auto"/>
            <w:noWrap/>
            <w:vAlign w:val="center"/>
            <w:hideMark/>
          </w:tcPr>
          <w:p w14:paraId="709B48D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32,7</w:t>
            </w:r>
          </w:p>
        </w:tc>
        <w:tc>
          <w:tcPr>
            <w:tcW w:w="697" w:type="dxa"/>
            <w:tcBorders>
              <w:top w:val="nil"/>
              <w:left w:val="nil"/>
              <w:bottom w:val="nil"/>
              <w:right w:val="nil"/>
            </w:tcBorders>
            <w:shd w:val="clear" w:color="auto" w:fill="auto"/>
            <w:noWrap/>
            <w:vAlign w:val="center"/>
            <w:hideMark/>
          </w:tcPr>
          <w:p w14:paraId="10461D2D"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34,0</w:t>
            </w:r>
          </w:p>
        </w:tc>
        <w:tc>
          <w:tcPr>
            <w:tcW w:w="697" w:type="dxa"/>
            <w:tcBorders>
              <w:top w:val="nil"/>
              <w:left w:val="nil"/>
              <w:bottom w:val="nil"/>
              <w:right w:val="nil"/>
            </w:tcBorders>
            <w:shd w:val="clear" w:color="auto" w:fill="auto"/>
            <w:noWrap/>
            <w:vAlign w:val="center"/>
            <w:hideMark/>
          </w:tcPr>
          <w:p w14:paraId="6CD9FC5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35,2</w:t>
            </w:r>
          </w:p>
        </w:tc>
        <w:tc>
          <w:tcPr>
            <w:tcW w:w="697" w:type="dxa"/>
            <w:tcBorders>
              <w:top w:val="nil"/>
              <w:left w:val="nil"/>
              <w:bottom w:val="nil"/>
              <w:right w:val="nil"/>
            </w:tcBorders>
            <w:shd w:val="clear" w:color="auto" w:fill="auto"/>
            <w:noWrap/>
            <w:vAlign w:val="center"/>
            <w:hideMark/>
          </w:tcPr>
          <w:p w14:paraId="01B1BFB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37,5</w:t>
            </w:r>
          </w:p>
        </w:tc>
        <w:tc>
          <w:tcPr>
            <w:tcW w:w="697" w:type="dxa"/>
            <w:tcBorders>
              <w:top w:val="nil"/>
              <w:left w:val="nil"/>
              <w:bottom w:val="nil"/>
              <w:right w:val="nil"/>
            </w:tcBorders>
            <w:shd w:val="clear" w:color="auto" w:fill="auto"/>
            <w:noWrap/>
            <w:vAlign w:val="center"/>
            <w:hideMark/>
          </w:tcPr>
          <w:p w14:paraId="1B15898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39,5</w:t>
            </w:r>
          </w:p>
        </w:tc>
        <w:tc>
          <w:tcPr>
            <w:tcW w:w="697" w:type="dxa"/>
            <w:tcBorders>
              <w:top w:val="nil"/>
              <w:left w:val="nil"/>
              <w:bottom w:val="nil"/>
              <w:right w:val="nil"/>
            </w:tcBorders>
            <w:shd w:val="clear" w:color="auto" w:fill="auto"/>
            <w:noWrap/>
            <w:vAlign w:val="center"/>
            <w:hideMark/>
          </w:tcPr>
          <w:p w14:paraId="2448FD8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55,3</w:t>
            </w:r>
          </w:p>
        </w:tc>
        <w:tc>
          <w:tcPr>
            <w:tcW w:w="697" w:type="dxa"/>
            <w:tcBorders>
              <w:top w:val="nil"/>
              <w:left w:val="nil"/>
              <w:bottom w:val="nil"/>
              <w:right w:val="nil"/>
            </w:tcBorders>
            <w:shd w:val="clear" w:color="auto" w:fill="auto"/>
            <w:noWrap/>
            <w:vAlign w:val="center"/>
            <w:hideMark/>
          </w:tcPr>
          <w:p w14:paraId="1F32B820"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61,8</w:t>
            </w:r>
          </w:p>
        </w:tc>
      </w:tr>
      <w:tr w:rsidR="00D31FC0" w:rsidRPr="00D31FC0" w14:paraId="2D3F88C6"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45D8A51D"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Zlínský kraj</w:t>
            </w:r>
          </w:p>
        </w:tc>
        <w:tc>
          <w:tcPr>
            <w:tcW w:w="697" w:type="dxa"/>
            <w:tcBorders>
              <w:top w:val="nil"/>
              <w:left w:val="nil"/>
              <w:bottom w:val="nil"/>
              <w:right w:val="nil"/>
            </w:tcBorders>
            <w:shd w:val="clear" w:color="auto" w:fill="auto"/>
            <w:noWrap/>
            <w:vAlign w:val="center"/>
            <w:hideMark/>
          </w:tcPr>
          <w:p w14:paraId="23431464"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28,9</w:t>
            </w:r>
          </w:p>
        </w:tc>
        <w:tc>
          <w:tcPr>
            <w:tcW w:w="697" w:type="dxa"/>
            <w:tcBorders>
              <w:top w:val="nil"/>
              <w:left w:val="nil"/>
              <w:bottom w:val="nil"/>
              <w:right w:val="nil"/>
            </w:tcBorders>
            <w:shd w:val="clear" w:color="auto" w:fill="auto"/>
            <w:noWrap/>
            <w:vAlign w:val="center"/>
            <w:hideMark/>
          </w:tcPr>
          <w:p w14:paraId="5F720569"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27,0</w:t>
            </w:r>
          </w:p>
        </w:tc>
        <w:tc>
          <w:tcPr>
            <w:tcW w:w="697" w:type="dxa"/>
            <w:tcBorders>
              <w:top w:val="nil"/>
              <w:left w:val="nil"/>
              <w:bottom w:val="nil"/>
              <w:right w:val="nil"/>
            </w:tcBorders>
            <w:shd w:val="clear" w:color="auto" w:fill="auto"/>
            <w:noWrap/>
            <w:vAlign w:val="center"/>
            <w:hideMark/>
          </w:tcPr>
          <w:p w14:paraId="3446791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29,9</w:t>
            </w:r>
          </w:p>
        </w:tc>
        <w:tc>
          <w:tcPr>
            <w:tcW w:w="697" w:type="dxa"/>
            <w:tcBorders>
              <w:top w:val="nil"/>
              <w:left w:val="nil"/>
              <w:bottom w:val="nil"/>
              <w:right w:val="nil"/>
            </w:tcBorders>
            <w:shd w:val="clear" w:color="auto" w:fill="auto"/>
            <w:noWrap/>
            <w:vAlign w:val="center"/>
            <w:hideMark/>
          </w:tcPr>
          <w:p w14:paraId="0EA143ED"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29,0</w:t>
            </w:r>
          </w:p>
        </w:tc>
        <w:tc>
          <w:tcPr>
            <w:tcW w:w="697" w:type="dxa"/>
            <w:tcBorders>
              <w:top w:val="nil"/>
              <w:left w:val="nil"/>
              <w:bottom w:val="nil"/>
              <w:right w:val="nil"/>
            </w:tcBorders>
            <w:shd w:val="clear" w:color="auto" w:fill="auto"/>
            <w:noWrap/>
            <w:vAlign w:val="center"/>
            <w:hideMark/>
          </w:tcPr>
          <w:p w14:paraId="5BB78E4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35,5</w:t>
            </w:r>
          </w:p>
        </w:tc>
        <w:tc>
          <w:tcPr>
            <w:tcW w:w="697" w:type="dxa"/>
            <w:tcBorders>
              <w:top w:val="nil"/>
              <w:left w:val="nil"/>
              <w:bottom w:val="nil"/>
              <w:right w:val="nil"/>
            </w:tcBorders>
            <w:shd w:val="clear" w:color="auto" w:fill="auto"/>
            <w:noWrap/>
            <w:vAlign w:val="center"/>
            <w:hideMark/>
          </w:tcPr>
          <w:p w14:paraId="2BD9EF9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36,0</w:t>
            </w:r>
          </w:p>
        </w:tc>
        <w:tc>
          <w:tcPr>
            <w:tcW w:w="697" w:type="dxa"/>
            <w:tcBorders>
              <w:top w:val="nil"/>
              <w:left w:val="nil"/>
              <w:bottom w:val="nil"/>
              <w:right w:val="nil"/>
            </w:tcBorders>
            <w:shd w:val="clear" w:color="auto" w:fill="auto"/>
            <w:noWrap/>
            <w:vAlign w:val="center"/>
            <w:hideMark/>
          </w:tcPr>
          <w:p w14:paraId="62C95DB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37,6</w:t>
            </w:r>
          </w:p>
        </w:tc>
        <w:tc>
          <w:tcPr>
            <w:tcW w:w="697" w:type="dxa"/>
            <w:tcBorders>
              <w:top w:val="nil"/>
              <w:left w:val="nil"/>
              <w:bottom w:val="nil"/>
              <w:right w:val="nil"/>
            </w:tcBorders>
            <w:shd w:val="clear" w:color="auto" w:fill="auto"/>
            <w:noWrap/>
            <w:vAlign w:val="center"/>
            <w:hideMark/>
          </w:tcPr>
          <w:p w14:paraId="621D9BA9"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39,1</w:t>
            </w:r>
          </w:p>
        </w:tc>
        <w:tc>
          <w:tcPr>
            <w:tcW w:w="697" w:type="dxa"/>
            <w:tcBorders>
              <w:top w:val="nil"/>
              <w:left w:val="nil"/>
              <w:bottom w:val="nil"/>
              <w:right w:val="nil"/>
            </w:tcBorders>
            <w:shd w:val="clear" w:color="auto" w:fill="auto"/>
            <w:noWrap/>
            <w:vAlign w:val="center"/>
            <w:hideMark/>
          </w:tcPr>
          <w:p w14:paraId="24E97C3C"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41,3</w:t>
            </w:r>
          </w:p>
        </w:tc>
        <w:tc>
          <w:tcPr>
            <w:tcW w:w="697" w:type="dxa"/>
            <w:tcBorders>
              <w:top w:val="nil"/>
              <w:left w:val="nil"/>
              <w:bottom w:val="nil"/>
              <w:right w:val="nil"/>
            </w:tcBorders>
            <w:shd w:val="clear" w:color="auto" w:fill="auto"/>
            <w:noWrap/>
            <w:vAlign w:val="center"/>
            <w:hideMark/>
          </w:tcPr>
          <w:p w14:paraId="2C4FDB7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59,2</w:t>
            </w:r>
          </w:p>
        </w:tc>
        <w:tc>
          <w:tcPr>
            <w:tcW w:w="697" w:type="dxa"/>
            <w:tcBorders>
              <w:top w:val="nil"/>
              <w:left w:val="nil"/>
              <w:bottom w:val="nil"/>
              <w:right w:val="nil"/>
            </w:tcBorders>
            <w:shd w:val="clear" w:color="auto" w:fill="auto"/>
            <w:noWrap/>
            <w:vAlign w:val="center"/>
            <w:hideMark/>
          </w:tcPr>
          <w:p w14:paraId="0EA363FD"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62,4</w:t>
            </w:r>
          </w:p>
        </w:tc>
      </w:tr>
      <w:tr w:rsidR="00D31FC0" w:rsidRPr="00D31FC0" w14:paraId="21FB96F4"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796EDFAE"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Moravskoslezský kraj</w:t>
            </w:r>
          </w:p>
        </w:tc>
        <w:tc>
          <w:tcPr>
            <w:tcW w:w="697" w:type="dxa"/>
            <w:tcBorders>
              <w:top w:val="nil"/>
              <w:left w:val="nil"/>
              <w:bottom w:val="nil"/>
              <w:right w:val="nil"/>
            </w:tcBorders>
            <w:shd w:val="clear" w:color="auto" w:fill="auto"/>
            <w:noWrap/>
            <w:vAlign w:val="center"/>
            <w:hideMark/>
          </w:tcPr>
          <w:p w14:paraId="2D88088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31,7</w:t>
            </w:r>
          </w:p>
        </w:tc>
        <w:tc>
          <w:tcPr>
            <w:tcW w:w="697" w:type="dxa"/>
            <w:tcBorders>
              <w:top w:val="nil"/>
              <w:left w:val="nil"/>
              <w:bottom w:val="nil"/>
              <w:right w:val="nil"/>
            </w:tcBorders>
            <w:shd w:val="clear" w:color="auto" w:fill="auto"/>
            <w:noWrap/>
            <w:vAlign w:val="center"/>
            <w:hideMark/>
          </w:tcPr>
          <w:p w14:paraId="56BCEA41"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28,3</w:t>
            </w:r>
          </w:p>
        </w:tc>
        <w:tc>
          <w:tcPr>
            <w:tcW w:w="697" w:type="dxa"/>
            <w:tcBorders>
              <w:top w:val="nil"/>
              <w:left w:val="nil"/>
              <w:bottom w:val="nil"/>
              <w:right w:val="nil"/>
            </w:tcBorders>
            <w:shd w:val="clear" w:color="auto" w:fill="auto"/>
            <w:noWrap/>
            <w:vAlign w:val="center"/>
            <w:hideMark/>
          </w:tcPr>
          <w:p w14:paraId="2873A21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31,5</w:t>
            </w:r>
          </w:p>
        </w:tc>
        <w:tc>
          <w:tcPr>
            <w:tcW w:w="697" w:type="dxa"/>
            <w:tcBorders>
              <w:top w:val="nil"/>
              <w:left w:val="nil"/>
              <w:bottom w:val="nil"/>
              <w:right w:val="nil"/>
            </w:tcBorders>
            <w:shd w:val="clear" w:color="auto" w:fill="auto"/>
            <w:noWrap/>
            <w:vAlign w:val="center"/>
            <w:hideMark/>
          </w:tcPr>
          <w:p w14:paraId="771D59F0"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30,4</w:t>
            </w:r>
          </w:p>
        </w:tc>
        <w:tc>
          <w:tcPr>
            <w:tcW w:w="697" w:type="dxa"/>
            <w:tcBorders>
              <w:top w:val="nil"/>
              <w:left w:val="nil"/>
              <w:bottom w:val="nil"/>
              <w:right w:val="nil"/>
            </w:tcBorders>
            <w:shd w:val="clear" w:color="auto" w:fill="auto"/>
            <w:noWrap/>
            <w:vAlign w:val="center"/>
            <w:hideMark/>
          </w:tcPr>
          <w:p w14:paraId="3C103E61"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36,0</w:t>
            </w:r>
          </w:p>
        </w:tc>
        <w:tc>
          <w:tcPr>
            <w:tcW w:w="697" w:type="dxa"/>
            <w:tcBorders>
              <w:top w:val="nil"/>
              <w:left w:val="nil"/>
              <w:bottom w:val="nil"/>
              <w:right w:val="nil"/>
            </w:tcBorders>
            <w:shd w:val="clear" w:color="auto" w:fill="auto"/>
            <w:noWrap/>
            <w:vAlign w:val="center"/>
            <w:hideMark/>
          </w:tcPr>
          <w:p w14:paraId="5635E22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37,5</w:t>
            </w:r>
          </w:p>
        </w:tc>
        <w:tc>
          <w:tcPr>
            <w:tcW w:w="697" w:type="dxa"/>
            <w:tcBorders>
              <w:top w:val="nil"/>
              <w:left w:val="nil"/>
              <w:bottom w:val="nil"/>
              <w:right w:val="nil"/>
            </w:tcBorders>
            <w:shd w:val="clear" w:color="auto" w:fill="auto"/>
            <w:noWrap/>
            <w:vAlign w:val="center"/>
            <w:hideMark/>
          </w:tcPr>
          <w:p w14:paraId="6C3301D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38,4</w:t>
            </w:r>
          </w:p>
        </w:tc>
        <w:tc>
          <w:tcPr>
            <w:tcW w:w="697" w:type="dxa"/>
            <w:tcBorders>
              <w:top w:val="nil"/>
              <w:left w:val="nil"/>
              <w:bottom w:val="nil"/>
              <w:right w:val="nil"/>
            </w:tcBorders>
            <w:shd w:val="clear" w:color="auto" w:fill="auto"/>
            <w:noWrap/>
            <w:vAlign w:val="center"/>
            <w:hideMark/>
          </w:tcPr>
          <w:p w14:paraId="7BDA43A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41,4</w:t>
            </w:r>
          </w:p>
        </w:tc>
        <w:tc>
          <w:tcPr>
            <w:tcW w:w="697" w:type="dxa"/>
            <w:tcBorders>
              <w:top w:val="nil"/>
              <w:left w:val="nil"/>
              <w:bottom w:val="nil"/>
              <w:right w:val="nil"/>
            </w:tcBorders>
            <w:shd w:val="clear" w:color="auto" w:fill="auto"/>
            <w:noWrap/>
            <w:vAlign w:val="center"/>
            <w:hideMark/>
          </w:tcPr>
          <w:p w14:paraId="7F61966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43,1</w:t>
            </w:r>
          </w:p>
        </w:tc>
        <w:tc>
          <w:tcPr>
            <w:tcW w:w="697" w:type="dxa"/>
            <w:tcBorders>
              <w:top w:val="nil"/>
              <w:left w:val="nil"/>
              <w:bottom w:val="nil"/>
              <w:right w:val="nil"/>
            </w:tcBorders>
            <w:shd w:val="clear" w:color="auto" w:fill="auto"/>
            <w:noWrap/>
            <w:vAlign w:val="center"/>
            <w:hideMark/>
          </w:tcPr>
          <w:p w14:paraId="5DD41E0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59,7</w:t>
            </w:r>
          </w:p>
        </w:tc>
        <w:tc>
          <w:tcPr>
            <w:tcW w:w="697" w:type="dxa"/>
            <w:tcBorders>
              <w:top w:val="nil"/>
              <w:left w:val="nil"/>
              <w:bottom w:val="nil"/>
              <w:right w:val="nil"/>
            </w:tcBorders>
            <w:shd w:val="clear" w:color="auto" w:fill="auto"/>
            <w:noWrap/>
            <w:vAlign w:val="center"/>
            <w:hideMark/>
          </w:tcPr>
          <w:p w14:paraId="2D90AAF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65,6</w:t>
            </w:r>
          </w:p>
        </w:tc>
      </w:tr>
    </w:tbl>
    <w:p w14:paraId="4BDAE495" w14:textId="77777777" w:rsidR="00D31FC0" w:rsidRPr="00D92E20" w:rsidRDefault="00D31FC0" w:rsidP="00D31FC0">
      <w:pPr>
        <w:spacing w:before="120" w:after="120" w:line="240" w:lineRule="auto"/>
        <w:jc w:val="both"/>
        <w:rPr>
          <w:rFonts w:cs="Arial"/>
          <w:color w:val="000000"/>
          <w:sz w:val="16"/>
          <w:szCs w:val="16"/>
        </w:rPr>
      </w:pPr>
      <w:r w:rsidRPr="00D92E20">
        <w:rPr>
          <w:rFonts w:cs="Arial"/>
          <w:color w:val="000000"/>
          <w:sz w:val="16"/>
          <w:szCs w:val="16"/>
        </w:rPr>
        <w:t>Zdroj: ČSÚ</w:t>
      </w:r>
    </w:p>
    <w:p w14:paraId="27800F15" w14:textId="77777777" w:rsidR="00D31FC0" w:rsidRPr="00D92E20" w:rsidRDefault="00D31FC0" w:rsidP="00D31FC0">
      <w:pPr>
        <w:spacing w:before="120" w:after="120"/>
        <w:jc w:val="both"/>
      </w:pPr>
      <w:r>
        <w:t>Rozdíly v pracovní neschopnosti lze zkoumat i podle</w:t>
      </w:r>
      <w:r w:rsidRPr="00D92E20">
        <w:t xml:space="preserve"> </w:t>
      </w:r>
      <w:r w:rsidRPr="00D92E20">
        <w:rPr>
          <w:b/>
        </w:rPr>
        <w:t>velikost</w:t>
      </w:r>
      <w:r>
        <w:rPr>
          <w:b/>
        </w:rPr>
        <w:t>i</w:t>
      </w:r>
      <w:r w:rsidRPr="00D92E20">
        <w:rPr>
          <w:b/>
        </w:rPr>
        <w:t xml:space="preserve"> podniku</w:t>
      </w:r>
      <w:r w:rsidRPr="00D92E20">
        <w:t>. V relativním pojetí při přepoč</w:t>
      </w:r>
      <w:r>
        <w:t xml:space="preserve">tu na 100 pojištěnců dominovaly </w:t>
      </w:r>
      <w:r w:rsidRPr="00D92E20">
        <w:t xml:space="preserve">velké podniky, které mají </w:t>
      </w:r>
      <w:r>
        <w:t>250–499</w:t>
      </w:r>
      <w:r w:rsidRPr="00D92E20">
        <w:t xml:space="preserve"> zaměstnanců</w:t>
      </w:r>
      <w:r w:rsidR="00BD25A9">
        <w:t>,</w:t>
      </w:r>
      <w:r w:rsidRPr="00D92E20">
        <w:t xml:space="preserve"> spolu s</w:t>
      </w:r>
      <w:r>
        <w:t>e středně</w:t>
      </w:r>
      <w:r w:rsidRPr="00D92E20">
        <w:t xml:space="preserve"> velkými firmami zaměstnávající</w:t>
      </w:r>
      <w:r w:rsidR="00BD25A9">
        <w:t>mi</w:t>
      </w:r>
      <w:r w:rsidRPr="00D92E20">
        <w:t xml:space="preserve"> </w:t>
      </w:r>
      <w:r>
        <w:t>100</w:t>
      </w:r>
      <w:r w:rsidRPr="00D92E20">
        <w:t>–</w:t>
      </w:r>
      <w:r>
        <w:t>2</w:t>
      </w:r>
      <w:r w:rsidRPr="00D92E20">
        <w:t xml:space="preserve">49 osob. </w:t>
      </w:r>
      <w:r>
        <w:t>Tyto</w:t>
      </w:r>
      <w:r w:rsidRPr="00D92E20">
        <w:t xml:space="preserve"> kategorie během roku 202</w:t>
      </w:r>
      <w:r>
        <w:t>1</w:t>
      </w:r>
      <w:r w:rsidRPr="00D92E20">
        <w:t xml:space="preserve"> zaznamenaly </w:t>
      </w:r>
      <w:r>
        <w:t>6</w:t>
      </w:r>
      <w:r w:rsidRPr="00D92E20">
        <w:t>8</w:t>
      </w:r>
      <w:r>
        <w:t>, resp. 67</w:t>
      </w:r>
      <w:r w:rsidRPr="00D92E20">
        <w:t xml:space="preserve"> případů pracovních neschopností v přepočtu na 100 pojištěnců. Daleko méně případů pracovní neschopnosti vykázaly firmy mající do 50 zaměstnanců, kde na 100 pojištěnců připadlo 4</w:t>
      </w:r>
      <w:r>
        <w:t>8</w:t>
      </w:r>
      <w:r w:rsidRPr="00D92E20">
        <w:t xml:space="preserve"> hlášení. A zcela nejméně případů bylo zaznamenáno u OSVČ, a sice </w:t>
      </w:r>
      <w:r>
        <w:t>20</w:t>
      </w:r>
      <w:r w:rsidRPr="00D92E20">
        <w:t xml:space="preserve"> na 100 nemocensky pojištěných OSVČ. Zde je nutné mít na paměti, že nemocenské dávky jsou vypláceny až od 15. dne pracovní neschopnosti (do té doby vyplácí náhradu mzdy zaměstnavatel), a proto se OSVČ nevyplatí při krátkodobější nemoci nastupovat do pracovní neschopnosti.</w:t>
      </w:r>
    </w:p>
    <w:p w14:paraId="76CF6221" w14:textId="0647DD71" w:rsidR="00D31FC0" w:rsidRPr="00D92E20" w:rsidRDefault="00D31FC0" w:rsidP="00D31FC0">
      <w:pPr>
        <w:spacing w:before="120" w:after="120"/>
        <w:jc w:val="both"/>
      </w:pPr>
      <w:r w:rsidRPr="00D92E20">
        <w:lastRenderedPageBreak/>
        <w:t xml:space="preserve">Dalším kritériem, podle kterého </w:t>
      </w:r>
      <w:r>
        <w:t>je možné</w:t>
      </w:r>
      <w:r w:rsidRPr="00D92E20">
        <w:t xml:space="preserve"> hodnotit pracovní neschopnost nemocensky pojištěných, je rozdělení na </w:t>
      </w:r>
      <w:r w:rsidRPr="00D92E20">
        <w:rPr>
          <w:b/>
        </w:rPr>
        <w:t xml:space="preserve">podniky domácí vs. </w:t>
      </w:r>
      <w:r w:rsidRPr="00D92E20">
        <w:t xml:space="preserve">podniky </w:t>
      </w:r>
      <w:r w:rsidRPr="00D92E20">
        <w:rPr>
          <w:b/>
        </w:rPr>
        <w:t>pod zahraniční kontrolou</w:t>
      </w:r>
      <w:r w:rsidRPr="00D92E20">
        <w:t>. Např. v nefinančních podnicích pod zahraniční kontrolou v roce 202</w:t>
      </w:r>
      <w:r>
        <w:t>1</w:t>
      </w:r>
      <w:r w:rsidRPr="00D92E20">
        <w:t xml:space="preserve"> připadlo na 100 nemocensky pojištěných </w:t>
      </w:r>
      <w:r>
        <w:t>72</w:t>
      </w:r>
      <w:r w:rsidRPr="00D92E20">
        <w:t xml:space="preserve"> nahlášených případů v porovnání s </w:t>
      </w:r>
      <w:r>
        <w:t>57</w:t>
      </w:r>
      <w:r w:rsidRPr="00D92E20">
        <w:t xml:space="preserve"> případy v domácích nefinančních podnicích. Pracovní neschopnost zaměstnanců v domácích podnicích však trvala v průměru o </w:t>
      </w:r>
      <w:r>
        <w:t>5</w:t>
      </w:r>
      <w:r w:rsidRPr="00D92E20">
        <w:t xml:space="preserve"> dní déle (3</w:t>
      </w:r>
      <w:r>
        <w:t>7</w:t>
      </w:r>
      <w:r w:rsidRPr="00D92E20">
        <w:t xml:space="preserve"> dnů) než u podniků pod zahraniční kontrolou (</w:t>
      </w:r>
      <w:r>
        <w:t>32</w:t>
      </w:r>
      <w:r w:rsidRPr="00D92E20">
        <w:t xml:space="preserve"> dnů).</w:t>
      </w:r>
      <w:r w:rsidR="004930CE">
        <w:t xml:space="preserve"> Podrobnější údaje za nefinanční podniky viz tabulková příloha – část 7.</w:t>
      </w:r>
    </w:p>
    <w:p w14:paraId="0CF49376" w14:textId="77777777" w:rsidR="00D31FC0" w:rsidRPr="00D31FC0" w:rsidRDefault="000477A6" w:rsidP="00841DC4">
      <w:pPr>
        <w:pStyle w:val="Nadpis4"/>
      </w:pPr>
      <w:bookmarkStart w:id="14" w:name="_Toc104792910"/>
      <w:r>
        <w:t>4.2.2 Délka trvání dočasné pracovní neschopnosti</w:t>
      </w:r>
      <w:bookmarkEnd w:id="14"/>
    </w:p>
    <w:p w14:paraId="1DC9D8EE" w14:textId="77777777" w:rsidR="00C42829" w:rsidRPr="00D92E20" w:rsidRDefault="00C42829" w:rsidP="00C42829">
      <w:pPr>
        <w:spacing w:before="120" w:after="120"/>
        <w:jc w:val="both"/>
      </w:pPr>
      <w:r w:rsidRPr="00D92E20">
        <w:t>Pro posouzení vývoje pracovní neschopnosti je důležité nejen zjištění, jak často zaměstnanci do pracovní neschopnosti nastupují, ale i to, jak dlouho v pracovní neschopnosti zůstávají.</w:t>
      </w:r>
    </w:p>
    <w:p w14:paraId="6393EBBD" w14:textId="77777777" w:rsidR="00C42829" w:rsidRPr="00D92E20" w:rsidRDefault="00C42829" w:rsidP="00C42829">
      <w:pPr>
        <w:pStyle w:val="Box1"/>
        <w:spacing w:before="120" w:after="120"/>
        <w:ind w:left="0"/>
        <w:contextualSpacing w:val="0"/>
        <w:jc w:val="both"/>
        <w:rPr>
          <w:b/>
          <w:i/>
        </w:rPr>
      </w:pPr>
      <w:r w:rsidRPr="00D92E20">
        <w:rPr>
          <w:b/>
          <w:i/>
        </w:rPr>
        <w:t>Počet kalendářních dnů pracovní neschopnosti</w:t>
      </w:r>
      <w:r w:rsidRPr="00D92E20">
        <w:rPr>
          <w:i/>
        </w:rPr>
        <w:t xml:space="preserve"> – ukazatel udává celkový počet kalendářních dnů, po které byli v daném období (</w:t>
      </w:r>
      <w:r>
        <w:rPr>
          <w:i/>
        </w:rPr>
        <w:t>roce</w:t>
      </w:r>
      <w:r w:rsidRPr="00D92E20">
        <w:rPr>
          <w:i/>
        </w:rPr>
        <w:t>) nemocensky pojištění práce neschopni</w:t>
      </w:r>
      <w:r>
        <w:rPr>
          <w:i/>
        </w:rPr>
        <w:t>.</w:t>
      </w:r>
      <w:r w:rsidRPr="00D92E20">
        <w:rPr>
          <w:i/>
        </w:rPr>
        <w:t xml:space="preserve"> Počet kalendářních dnů strávených v</w:t>
      </w:r>
      <w:r>
        <w:rPr>
          <w:i/>
        </w:rPr>
        <w:t> </w:t>
      </w:r>
      <w:r w:rsidRPr="00D92E20">
        <w:rPr>
          <w:i/>
        </w:rPr>
        <w:t xml:space="preserve">pracovní neschopnosti je zjišťován na základě hlášení o vzniku a ukončení pracovní neschopnosti. </w:t>
      </w:r>
      <w:r w:rsidRPr="00954E16">
        <w:rPr>
          <w:i/>
        </w:rPr>
        <w:t>Údaj zahrnuje dny pracovní neschopnosti vč. dnů u těch případů, které vznikly před sledovaným obdobím a v počtu nově hlášených případů dočasné pracovní neschopnosti za toto období zařazeny nejsou. Maximální doba zápočtu je délka sledovaného období (</w:t>
      </w:r>
      <w:r>
        <w:rPr>
          <w:i/>
        </w:rPr>
        <w:t>365 resp. 366 dnů</w:t>
      </w:r>
      <w:r w:rsidRPr="00954E16">
        <w:rPr>
          <w:i/>
        </w:rPr>
        <w:t xml:space="preserve">) bez ohledu na délku trvání pracovní neschopnosti daného případu. </w:t>
      </w:r>
      <w:r w:rsidRPr="00D92E20">
        <w:rPr>
          <w:i/>
        </w:rPr>
        <w:t>Do počtu kalendářních dnů pracovní neschopnosti patří i pracovní neschopnost vzniklá po zániku pojištění v tzv. ochranné lhůtě sedmi kalendářních dnů.</w:t>
      </w:r>
    </w:p>
    <w:p w14:paraId="3CC7A43A" w14:textId="77777777" w:rsidR="00C42829" w:rsidRPr="00D92E20" w:rsidRDefault="00C42829" w:rsidP="00C42829">
      <w:pPr>
        <w:pStyle w:val="Box1"/>
        <w:ind w:left="0"/>
        <w:jc w:val="both"/>
        <w:rPr>
          <w:i/>
        </w:rPr>
      </w:pPr>
      <w:r w:rsidRPr="00D92E20">
        <w:rPr>
          <w:b/>
          <w:i/>
        </w:rPr>
        <w:t>Průměrná délka trvání pracovní neschopnosti ve dnech</w:t>
      </w:r>
      <w:r w:rsidRPr="00D92E20">
        <w:rPr>
          <w:i/>
        </w:rPr>
        <w:t xml:space="preserve"> – ukazatel vyjadřuje, kolik kalendářních dnů pracovní neschopnosti v průměru připadá na jeden nově hlášený případ pracovní neschopnosti. </w:t>
      </w:r>
      <w:r w:rsidRPr="00954E16">
        <w:rPr>
          <w:i/>
        </w:rPr>
        <w:t xml:space="preserve">Nově hlášený případ musí být vzniklý ve sledovaném období, kdežto do dnů pracovní neschopnosti (maximálně v délce sledovaného období, tedy </w:t>
      </w:r>
      <w:r>
        <w:rPr>
          <w:i/>
        </w:rPr>
        <w:t>365</w:t>
      </w:r>
      <w:r w:rsidRPr="00954E16">
        <w:rPr>
          <w:i/>
        </w:rPr>
        <w:t xml:space="preserve"> resp. </w:t>
      </w:r>
      <w:r>
        <w:rPr>
          <w:i/>
        </w:rPr>
        <w:t>365 dnů</w:t>
      </w:r>
      <w:r w:rsidRPr="00954E16">
        <w:rPr>
          <w:i/>
        </w:rPr>
        <w:t>) se započítávají i dny z případů PN, které mohly vzniknout již v</w:t>
      </w:r>
      <w:r>
        <w:rPr>
          <w:i/>
        </w:rPr>
        <w:t> </w:t>
      </w:r>
      <w:r w:rsidRPr="00954E16">
        <w:rPr>
          <w:i/>
        </w:rPr>
        <w:t>předchozím období, ale byly ukončeny či nadále trvají v průběhu sledovaného období.</w:t>
      </w:r>
    </w:p>
    <w:p w14:paraId="51F4147E" w14:textId="77777777" w:rsidR="00C42829" w:rsidRPr="00D92E20" w:rsidRDefault="00C42829" w:rsidP="00C42829">
      <w:pPr>
        <w:pStyle w:val="Box1"/>
        <w:ind w:left="0"/>
        <w:jc w:val="both"/>
        <w:rPr>
          <w:i/>
          <w:u w:val="single"/>
        </w:rPr>
      </w:pPr>
      <w:r w:rsidRPr="00D92E20">
        <w:rPr>
          <w:i/>
          <w:u w:val="single"/>
        </w:rPr>
        <w:t>Způsob výpočtu:</w:t>
      </w:r>
    </w:p>
    <w:p w14:paraId="1BC3144C" w14:textId="77777777" w:rsidR="00C42829" w:rsidRPr="00D92E20" w:rsidRDefault="00C42829" w:rsidP="00C42829">
      <w:pPr>
        <w:pStyle w:val="Box1"/>
        <w:spacing w:before="120" w:after="120"/>
        <w:ind w:left="0"/>
        <w:contextualSpacing w:val="0"/>
        <w:jc w:val="both"/>
        <w:rPr>
          <w:i/>
        </w:rPr>
      </w:pPr>
      <w:r w:rsidRPr="00D92E20">
        <w:rPr>
          <w:i/>
        </w:rPr>
        <w:t>Průměrná délka trvání pracovní neschopnosti ve dnech = počet kalendářních dnů dočasné pracovní neschopnosti / počet nově hlášených případů dočasné pracovní neschopnosti.</w:t>
      </w:r>
    </w:p>
    <w:p w14:paraId="25EE5804" w14:textId="77777777" w:rsidR="00C42829" w:rsidRPr="00D92E20" w:rsidRDefault="00C42829" w:rsidP="00C42829">
      <w:pPr>
        <w:spacing w:after="0"/>
        <w:jc w:val="both"/>
        <w:rPr>
          <w:b/>
        </w:rPr>
      </w:pPr>
      <w:r w:rsidRPr="00D92E20">
        <w:rPr>
          <w:b/>
        </w:rPr>
        <w:t>Tab. 2.4: Kalendářní dny dočasné pracovní neschopnos</w:t>
      </w:r>
      <w:r>
        <w:rPr>
          <w:b/>
        </w:rPr>
        <w:t>ti podle příčiny a pohlaví, 2011</w:t>
      </w:r>
      <w:r w:rsidRPr="00D92E20">
        <w:rPr>
          <w:b/>
        </w:rPr>
        <w:t>–202</w:t>
      </w:r>
      <w:r>
        <w:rPr>
          <w:b/>
        </w:rPr>
        <w:t>1</w:t>
      </w:r>
      <w:r w:rsidRPr="00D92E20">
        <w:rPr>
          <w:b/>
        </w:rPr>
        <w:t xml:space="preserve"> (v tis.)</w:t>
      </w:r>
    </w:p>
    <w:tbl>
      <w:tblPr>
        <w:tblW w:w="9591" w:type="dxa"/>
        <w:tblCellMar>
          <w:left w:w="70" w:type="dxa"/>
          <w:right w:w="70" w:type="dxa"/>
        </w:tblCellMar>
        <w:tblLook w:val="04A0" w:firstRow="1" w:lastRow="0" w:firstColumn="1" w:lastColumn="0" w:noHBand="0" w:noVBand="1"/>
      </w:tblPr>
      <w:tblGrid>
        <w:gridCol w:w="735"/>
        <w:gridCol w:w="737"/>
        <w:gridCol w:w="736"/>
        <w:gridCol w:w="736"/>
        <w:gridCol w:w="736"/>
        <w:gridCol w:w="736"/>
        <w:gridCol w:w="736"/>
        <w:gridCol w:w="754"/>
        <w:gridCol w:w="737"/>
        <w:gridCol w:w="737"/>
        <w:gridCol w:w="737"/>
        <w:gridCol w:w="737"/>
        <w:gridCol w:w="737"/>
      </w:tblGrid>
      <w:tr w:rsidR="00C42829" w:rsidRPr="00D92E20" w14:paraId="3DA06F2E" w14:textId="77777777" w:rsidTr="00C42829">
        <w:trPr>
          <w:trHeight w:val="300"/>
        </w:trPr>
        <w:tc>
          <w:tcPr>
            <w:tcW w:w="735" w:type="dxa"/>
            <w:vMerge w:val="restart"/>
            <w:tcBorders>
              <w:top w:val="single" w:sz="4" w:space="0" w:color="auto"/>
              <w:left w:val="nil"/>
              <w:bottom w:val="single" w:sz="4" w:space="0" w:color="auto"/>
              <w:right w:val="single" w:sz="4" w:space="0" w:color="auto"/>
            </w:tcBorders>
            <w:shd w:val="clear" w:color="000000" w:fill="F5DADD"/>
            <w:vAlign w:val="center"/>
            <w:hideMark/>
          </w:tcPr>
          <w:p w14:paraId="43B351F7"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Rok</w:t>
            </w:r>
          </w:p>
        </w:tc>
        <w:tc>
          <w:tcPr>
            <w:tcW w:w="737" w:type="dxa"/>
            <w:vMerge w:val="restart"/>
            <w:tcBorders>
              <w:top w:val="single" w:sz="4" w:space="0" w:color="auto"/>
              <w:left w:val="single" w:sz="4" w:space="0" w:color="auto"/>
              <w:bottom w:val="single" w:sz="4" w:space="0" w:color="auto"/>
              <w:right w:val="single" w:sz="4" w:space="0" w:color="auto"/>
            </w:tcBorders>
            <w:shd w:val="clear" w:color="000000" w:fill="F2DBDB"/>
            <w:vAlign w:val="center"/>
            <w:hideMark/>
          </w:tcPr>
          <w:p w14:paraId="515C59A1" w14:textId="77777777" w:rsidR="00C42829" w:rsidRPr="00D92E20" w:rsidRDefault="00C42829" w:rsidP="00C42829">
            <w:pPr>
              <w:spacing w:after="0" w:line="240" w:lineRule="auto"/>
              <w:jc w:val="center"/>
              <w:rPr>
                <w:rFonts w:cs="Arial"/>
                <w:b/>
                <w:bCs/>
                <w:color w:val="000000"/>
                <w:sz w:val="16"/>
                <w:szCs w:val="16"/>
              </w:rPr>
            </w:pPr>
            <w:r w:rsidRPr="00D92E20">
              <w:rPr>
                <w:rFonts w:cs="Arial"/>
                <w:b/>
                <w:bCs/>
                <w:color w:val="000000"/>
                <w:sz w:val="16"/>
                <w:szCs w:val="16"/>
              </w:rPr>
              <w:t>Celkem</w:t>
            </w:r>
          </w:p>
        </w:tc>
        <w:tc>
          <w:tcPr>
            <w:tcW w:w="1472" w:type="dxa"/>
            <w:gridSpan w:val="2"/>
            <w:tcBorders>
              <w:top w:val="single" w:sz="4" w:space="0" w:color="auto"/>
              <w:left w:val="nil"/>
              <w:bottom w:val="single" w:sz="4" w:space="0" w:color="auto"/>
              <w:right w:val="single" w:sz="4" w:space="0" w:color="auto"/>
            </w:tcBorders>
            <w:shd w:val="clear" w:color="000000" w:fill="F2DBDB"/>
            <w:vAlign w:val="center"/>
            <w:hideMark/>
          </w:tcPr>
          <w:p w14:paraId="5EE75AB7"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podle pohlaví</w:t>
            </w:r>
          </w:p>
        </w:tc>
        <w:tc>
          <w:tcPr>
            <w:tcW w:w="736" w:type="dxa"/>
            <w:vMerge w:val="restart"/>
            <w:tcBorders>
              <w:top w:val="single" w:sz="4" w:space="0" w:color="auto"/>
              <w:left w:val="single" w:sz="4" w:space="0" w:color="auto"/>
              <w:right w:val="single" w:sz="4" w:space="0" w:color="auto"/>
            </w:tcBorders>
            <w:shd w:val="clear" w:color="000000" w:fill="F2DBDB"/>
            <w:vAlign w:val="center"/>
            <w:hideMark/>
          </w:tcPr>
          <w:p w14:paraId="6C900787"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Pro nemoc</w:t>
            </w:r>
          </w:p>
        </w:tc>
        <w:tc>
          <w:tcPr>
            <w:tcW w:w="1472" w:type="dxa"/>
            <w:gridSpan w:val="2"/>
            <w:tcBorders>
              <w:top w:val="single" w:sz="4" w:space="0" w:color="auto"/>
              <w:left w:val="nil"/>
              <w:bottom w:val="single" w:sz="4" w:space="0" w:color="auto"/>
              <w:right w:val="single" w:sz="4" w:space="0" w:color="auto"/>
            </w:tcBorders>
            <w:shd w:val="clear" w:color="000000" w:fill="F2DBDB"/>
            <w:vAlign w:val="center"/>
            <w:hideMark/>
          </w:tcPr>
          <w:p w14:paraId="6C7DB935"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podle pohlaví</w:t>
            </w:r>
          </w:p>
        </w:tc>
        <w:tc>
          <w:tcPr>
            <w:tcW w:w="754" w:type="dxa"/>
            <w:vMerge w:val="restart"/>
            <w:tcBorders>
              <w:top w:val="single" w:sz="4" w:space="0" w:color="auto"/>
              <w:left w:val="single" w:sz="4" w:space="0" w:color="auto"/>
              <w:right w:val="single" w:sz="4" w:space="0" w:color="auto"/>
            </w:tcBorders>
            <w:shd w:val="clear" w:color="000000" w:fill="F2DBDB"/>
            <w:vAlign w:val="center"/>
            <w:hideMark/>
          </w:tcPr>
          <w:p w14:paraId="2E370723"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Pro pracovní úrazy</w:t>
            </w:r>
          </w:p>
        </w:tc>
        <w:tc>
          <w:tcPr>
            <w:tcW w:w="1474" w:type="dxa"/>
            <w:gridSpan w:val="2"/>
            <w:tcBorders>
              <w:top w:val="single" w:sz="4" w:space="0" w:color="auto"/>
              <w:left w:val="nil"/>
              <w:bottom w:val="single" w:sz="4" w:space="0" w:color="auto"/>
              <w:right w:val="single" w:sz="4" w:space="0" w:color="auto"/>
            </w:tcBorders>
            <w:shd w:val="clear" w:color="000000" w:fill="F2DBDB"/>
            <w:vAlign w:val="center"/>
            <w:hideMark/>
          </w:tcPr>
          <w:p w14:paraId="10199E50"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podle pohlaví</w:t>
            </w:r>
          </w:p>
        </w:tc>
        <w:tc>
          <w:tcPr>
            <w:tcW w:w="737" w:type="dxa"/>
            <w:vMerge w:val="restart"/>
            <w:tcBorders>
              <w:top w:val="single" w:sz="4" w:space="0" w:color="auto"/>
              <w:left w:val="single" w:sz="4" w:space="0" w:color="auto"/>
              <w:right w:val="single" w:sz="4" w:space="0" w:color="auto"/>
            </w:tcBorders>
            <w:shd w:val="clear" w:color="000000" w:fill="F2DBDB"/>
            <w:vAlign w:val="center"/>
            <w:hideMark/>
          </w:tcPr>
          <w:p w14:paraId="41DB1950"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Pro ostatní úrazy</w:t>
            </w:r>
          </w:p>
        </w:tc>
        <w:tc>
          <w:tcPr>
            <w:tcW w:w="1474" w:type="dxa"/>
            <w:gridSpan w:val="2"/>
            <w:tcBorders>
              <w:top w:val="single" w:sz="4" w:space="0" w:color="auto"/>
              <w:left w:val="nil"/>
              <w:bottom w:val="single" w:sz="4" w:space="0" w:color="auto"/>
            </w:tcBorders>
            <w:shd w:val="clear" w:color="000000" w:fill="F2DBDB"/>
            <w:vAlign w:val="center"/>
            <w:hideMark/>
          </w:tcPr>
          <w:p w14:paraId="0D66D906"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podle pohlaví</w:t>
            </w:r>
          </w:p>
        </w:tc>
      </w:tr>
      <w:tr w:rsidR="00C42829" w:rsidRPr="00D92E20" w14:paraId="5612DC1E" w14:textId="77777777" w:rsidTr="00C42829">
        <w:trPr>
          <w:trHeight w:val="300"/>
        </w:trPr>
        <w:tc>
          <w:tcPr>
            <w:tcW w:w="735" w:type="dxa"/>
            <w:vMerge/>
            <w:tcBorders>
              <w:top w:val="single" w:sz="4" w:space="0" w:color="auto"/>
              <w:left w:val="nil"/>
              <w:bottom w:val="single" w:sz="4" w:space="0" w:color="auto"/>
              <w:right w:val="single" w:sz="4" w:space="0" w:color="auto"/>
            </w:tcBorders>
            <w:vAlign w:val="center"/>
            <w:hideMark/>
          </w:tcPr>
          <w:p w14:paraId="4ED613CC" w14:textId="77777777" w:rsidR="00C42829" w:rsidRPr="00D92E20" w:rsidRDefault="00C42829" w:rsidP="00C42829">
            <w:pPr>
              <w:spacing w:after="0" w:line="240" w:lineRule="auto"/>
              <w:rPr>
                <w:rFonts w:cs="Arial"/>
                <w:color w:val="000000"/>
                <w:sz w:val="16"/>
                <w:szCs w:val="16"/>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05C25C05" w14:textId="77777777" w:rsidR="00C42829" w:rsidRPr="00D92E20" w:rsidRDefault="00C42829" w:rsidP="00C42829">
            <w:pPr>
              <w:spacing w:after="0" w:line="240" w:lineRule="auto"/>
              <w:rPr>
                <w:rFonts w:cs="Arial"/>
                <w:b/>
                <w:bCs/>
                <w:color w:val="000000"/>
                <w:sz w:val="16"/>
                <w:szCs w:val="16"/>
              </w:rPr>
            </w:pPr>
          </w:p>
        </w:tc>
        <w:tc>
          <w:tcPr>
            <w:tcW w:w="736" w:type="dxa"/>
            <w:tcBorders>
              <w:top w:val="nil"/>
              <w:left w:val="nil"/>
              <w:bottom w:val="single" w:sz="4" w:space="0" w:color="auto"/>
              <w:right w:val="single" w:sz="4" w:space="0" w:color="auto"/>
            </w:tcBorders>
            <w:shd w:val="clear" w:color="000000" w:fill="F2DBDB"/>
            <w:vAlign w:val="center"/>
            <w:hideMark/>
          </w:tcPr>
          <w:p w14:paraId="0C50D64E"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muži</w:t>
            </w:r>
          </w:p>
        </w:tc>
        <w:tc>
          <w:tcPr>
            <w:tcW w:w="736" w:type="dxa"/>
            <w:tcBorders>
              <w:top w:val="nil"/>
              <w:left w:val="nil"/>
              <w:bottom w:val="single" w:sz="4" w:space="0" w:color="auto"/>
              <w:right w:val="single" w:sz="4" w:space="0" w:color="auto"/>
            </w:tcBorders>
            <w:shd w:val="clear" w:color="000000" w:fill="F2DBDB"/>
            <w:vAlign w:val="center"/>
            <w:hideMark/>
          </w:tcPr>
          <w:p w14:paraId="143A2171"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ženy</w:t>
            </w:r>
          </w:p>
        </w:tc>
        <w:tc>
          <w:tcPr>
            <w:tcW w:w="736" w:type="dxa"/>
            <w:vMerge/>
            <w:tcBorders>
              <w:left w:val="single" w:sz="4" w:space="0" w:color="auto"/>
              <w:bottom w:val="single" w:sz="4" w:space="0" w:color="000000"/>
              <w:right w:val="single" w:sz="4" w:space="0" w:color="auto"/>
            </w:tcBorders>
            <w:vAlign w:val="center"/>
            <w:hideMark/>
          </w:tcPr>
          <w:p w14:paraId="15219AE2" w14:textId="77777777" w:rsidR="00C42829" w:rsidRPr="00D92E20" w:rsidRDefault="00C42829" w:rsidP="00C42829">
            <w:pPr>
              <w:spacing w:after="0" w:line="240" w:lineRule="auto"/>
              <w:rPr>
                <w:rFonts w:cs="Arial"/>
                <w:color w:val="000000"/>
                <w:sz w:val="16"/>
                <w:szCs w:val="16"/>
              </w:rPr>
            </w:pPr>
          </w:p>
        </w:tc>
        <w:tc>
          <w:tcPr>
            <w:tcW w:w="736" w:type="dxa"/>
            <w:tcBorders>
              <w:top w:val="nil"/>
              <w:left w:val="nil"/>
              <w:bottom w:val="single" w:sz="4" w:space="0" w:color="auto"/>
              <w:right w:val="single" w:sz="4" w:space="0" w:color="auto"/>
            </w:tcBorders>
            <w:shd w:val="clear" w:color="000000" w:fill="F2DBDB"/>
            <w:vAlign w:val="center"/>
            <w:hideMark/>
          </w:tcPr>
          <w:p w14:paraId="453F97BC"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muži</w:t>
            </w:r>
          </w:p>
        </w:tc>
        <w:tc>
          <w:tcPr>
            <w:tcW w:w="736" w:type="dxa"/>
            <w:tcBorders>
              <w:top w:val="nil"/>
              <w:left w:val="nil"/>
              <w:bottom w:val="single" w:sz="4" w:space="0" w:color="auto"/>
              <w:right w:val="single" w:sz="4" w:space="0" w:color="auto"/>
            </w:tcBorders>
            <w:shd w:val="clear" w:color="000000" w:fill="F2DBDB"/>
            <w:vAlign w:val="center"/>
            <w:hideMark/>
          </w:tcPr>
          <w:p w14:paraId="33ACD3A6"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ženy</w:t>
            </w:r>
          </w:p>
        </w:tc>
        <w:tc>
          <w:tcPr>
            <w:tcW w:w="754" w:type="dxa"/>
            <w:vMerge/>
            <w:tcBorders>
              <w:left w:val="single" w:sz="4" w:space="0" w:color="auto"/>
              <w:bottom w:val="single" w:sz="4" w:space="0" w:color="000000"/>
              <w:right w:val="single" w:sz="4" w:space="0" w:color="auto"/>
            </w:tcBorders>
            <w:vAlign w:val="center"/>
            <w:hideMark/>
          </w:tcPr>
          <w:p w14:paraId="084064AB" w14:textId="77777777" w:rsidR="00C42829" w:rsidRPr="00D92E20" w:rsidRDefault="00C42829" w:rsidP="00C42829">
            <w:pPr>
              <w:spacing w:after="0" w:line="240" w:lineRule="auto"/>
              <w:rPr>
                <w:rFonts w:cs="Arial"/>
                <w:color w:val="000000"/>
                <w:sz w:val="16"/>
                <w:szCs w:val="16"/>
              </w:rPr>
            </w:pPr>
          </w:p>
        </w:tc>
        <w:tc>
          <w:tcPr>
            <w:tcW w:w="737" w:type="dxa"/>
            <w:tcBorders>
              <w:top w:val="nil"/>
              <w:left w:val="nil"/>
              <w:bottom w:val="single" w:sz="4" w:space="0" w:color="auto"/>
              <w:right w:val="single" w:sz="4" w:space="0" w:color="auto"/>
            </w:tcBorders>
            <w:shd w:val="clear" w:color="000000" w:fill="F2DBDB"/>
            <w:vAlign w:val="center"/>
            <w:hideMark/>
          </w:tcPr>
          <w:p w14:paraId="2962B409"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muži</w:t>
            </w:r>
          </w:p>
        </w:tc>
        <w:tc>
          <w:tcPr>
            <w:tcW w:w="737" w:type="dxa"/>
            <w:tcBorders>
              <w:top w:val="nil"/>
              <w:left w:val="nil"/>
              <w:bottom w:val="single" w:sz="4" w:space="0" w:color="auto"/>
              <w:right w:val="single" w:sz="4" w:space="0" w:color="auto"/>
            </w:tcBorders>
            <w:shd w:val="clear" w:color="000000" w:fill="F2DBDB"/>
            <w:vAlign w:val="center"/>
            <w:hideMark/>
          </w:tcPr>
          <w:p w14:paraId="4AA194C9"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ženy</w:t>
            </w:r>
          </w:p>
        </w:tc>
        <w:tc>
          <w:tcPr>
            <w:tcW w:w="737" w:type="dxa"/>
            <w:vMerge/>
            <w:tcBorders>
              <w:left w:val="single" w:sz="4" w:space="0" w:color="auto"/>
              <w:bottom w:val="single" w:sz="4" w:space="0" w:color="000000"/>
              <w:right w:val="single" w:sz="4" w:space="0" w:color="auto"/>
            </w:tcBorders>
            <w:vAlign w:val="center"/>
            <w:hideMark/>
          </w:tcPr>
          <w:p w14:paraId="33D5C2DB" w14:textId="77777777" w:rsidR="00C42829" w:rsidRPr="00D92E20" w:rsidRDefault="00C42829" w:rsidP="00C42829">
            <w:pPr>
              <w:spacing w:after="0" w:line="240" w:lineRule="auto"/>
              <w:rPr>
                <w:rFonts w:cs="Arial"/>
                <w:color w:val="000000"/>
                <w:sz w:val="16"/>
                <w:szCs w:val="16"/>
              </w:rPr>
            </w:pPr>
          </w:p>
        </w:tc>
        <w:tc>
          <w:tcPr>
            <w:tcW w:w="737" w:type="dxa"/>
            <w:tcBorders>
              <w:top w:val="nil"/>
              <w:left w:val="nil"/>
              <w:bottom w:val="single" w:sz="4" w:space="0" w:color="auto"/>
              <w:right w:val="single" w:sz="4" w:space="0" w:color="auto"/>
            </w:tcBorders>
            <w:shd w:val="clear" w:color="000000" w:fill="F2DBDB"/>
            <w:vAlign w:val="center"/>
            <w:hideMark/>
          </w:tcPr>
          <w:p w14:paraId="2AA10B40"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muži</w:t>
            </w:r>
          </w:p>
        </w:tc>
        <w:tc>
          <w:tcPr>
            <w:tcW w:w="737" w:type="dxa"/>
            <w:tcBorders>
              <w:top w:val="nil"/>
              <w:left w:val="nil"/>
              <w:bottom w:val="single" w:sz="4" w:space="0" w:color="auto"/>
              <w:right w:val="nil"/>
            </w:tcBorders>
            <w:shd w:val="clear" w:color="000000" w:fill="F2DBDB"/>
            <w:vAlign w:val="center"/>
            <w:hideMark/>
          </w:tcPr>
          <w:p w14:paraId="7F3958DC"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ženy</w:t>
            </w:r>
          </w:p>
        </w:tc>
      </w:tr>
      <w:tr w:rsidR="00C42829" w:rsidRPr="00D92E20" w14:paraId="5B065504" w14:textId="77777777" w:rsidTr="00C42829">
        <w:trPr>
          <w:trHeight w:val="300"/>
        </w:trPr>
        <w:tc>
          <w:tcPr>
            <w:tcW w:w="735" w:type="dxa"/>
            <w:tcBorders>
              <w:top w:val="single" w:sz="4" w:space="0" w:color="auto"/>
              <w:left w:val="nil"/>
              <w:bottom w:val="nil"/>
              <w:right w:val="single" w:sz="4" w:space="0" w:color="auto"/>
            </w:tcBorders>
            <w:shd w:val="clear" w:color="auto" w:fill="auto"/>
            <w:vAlign w:val="center"/>
            <w:hideMark/>
          </w:tcPr>
          <w:p w14:paraId="2C934FD4"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2011</w:t>
            </w:r>
          </w:p>
        </w:tc>
        <w:tc>
          <w:tcPr>
            <w:tcW w:w="737" w:type="dxa"/>
            <w:tcBorders>
              <w:top w:val="single" w:sz="4" w:space="0" w:color="auto"/>
              <w:left w:val="nil"/>
              <w:bottom w:val="nil"/>
              <w:right w:val="nil"/>
            </w:tcBorders>
            <w:shd w:val="clear" w:color="auto" w:fill="auto"/>
            <w:vAlign w:val="center"/>
            <w:hideMark/>
          </w:tcPr>
          <w:p w14:paraId="2A6A4532"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55 924</w:t>
            </w:r>
          </w:p>
        </w:tc>
        <w:tc>
          <w:tcPr>
            <w:tcW w:w="736" w:type="dxa"/>
            <w:tcBorders>
              <w:top w:val="nil"/>
              <w:left w:val="nil"/>
              <w:bottom w:val="nil"/>
              <w:right w:val="nil"/>
            </w:tcBorders>
            <w:shd w:val="clear" w:color="auto" w:fill="auto"/>
            <w:vAlign w:val="center"/>
            <w:hideMark/>
          </w:tcPr>
          <w:p w14:paraId="49ED4616"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25 996</w:t>
            </w:r>
          </w:p>
        </w:tc>
        <w:tc>
          <w:tcPr>
            <w:tcW w:w="736" w:type="dxa"/>
            <w:tcBorders>
              <w:top w:val="nil"/>
              <w:left w:val="nil"/>
              <w:bottom w:val="nil"/>
              <w:right w:val="nil"/>
            </w:tcBorders>
            <w:shd w:val="clear" w:color="auto" w:fill="auto"/>
            <w:vAlign w:val="center"/>
            <w:hideMark/>
          </w:tcPr>
          <w:p w14:paraId="2EA6994D"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29 928</w:t>
            </w:r>
          </w:p>
        </w:tc>
        <w:tc>
          <w:tcPr>
            <w:tcW w:w="736" w:type="dxa"/>
            <w:tcBorders>
              <w:top w:val="nil"/>
              <w:left w:val="single" w:sz="4" w:space="0" w:color="auto"/>
              <w:bottom w:val="nil"/>
              <w:right w:val="nil"/>
            </w:tcBorders>
            <w:shd w:val="clear" w:color="auto" w:fill="auto"/>
            <w:vAlign w:val="center"/>
            <w:hideMark/>
          </w:tcPr>
          <w:p w14:paraId="4853FA9C"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48 774</w:t>
            </w:r>
          </w:p>
        </w:tc>
        <w:tc>
          <w:tcPr>
            <w:tcW w:w="736" w:type="dxa"/>
            <w:tcBorders>
              <w:top w:val="nil"/>
              <w:left w:val="nil"/>
              <w:bottom w:val="nil"/>
              <w:right w:val="nil"/>
            </w:tcBorders>
            <w:shd w:val="clear" w:color="auto" w:fill="auto"/>
            <w:vAlign w:val="center"/>
            <w:hideMark/>
          </w:tcPr>
          <w:p w14:paraId="58C21221"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21 150</w:t>
            </w:r>
          </w:p>
        </w:tc>
        <w:tc>
          <w:tcPr>
            <w:tcW w:w="736" w:type="dxa"/>
            <w:tcBorders>
              <w:top w:val="nil"/>
              <w:left w:val="nil"/>
              <w:bottom w:val="nil"/>
              <w:right w:val="single" w:sz="4" w:space="0" w:color="auto"/>
            </w:tcBorders>
            <w:shd w:val="clear" w:color="auto" w:fill="auto"/>
            <w:vAlign w:val="center"/>
            <w:hideMark/>
          </w:tcPr>
          <w:p w14:paraId="283E659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27 624</w:t>
            </w:r>
          </w:p>
        </w:tc>
        <w:tc>
          <w:tcPr>
            <w:tcW w:w="754" w:type="dxa"/>
            <w:tcBorders>
              <w:top w:val="nil"/>
              <w:left w:val="nil"/>
              <w:bottom w:val="nil"/>
              <w:right w:val="nil"/>
            </w:tcBorders>
            <w:shd w:val="clear" w:color="auto" w:fill="auto"/>
            <w:vAlign w:val="center"/>
            <w:hideMark/>
          </w:tcPr>
          <w:p w14:paraId="7CCB1C8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2 593</w:t>
            </w:r>
          </w:p>
        </w:tc>
        <w:tc>
          <w:tcPr>
            <w:tcW w:w="737" w:type="dxa"/>
            <w:tcBorders>
              <w:top w:val="nil"/>
              <w:left w:val="nil"/>
              <w:bottom w:val="nil"/>
              <w:right w:val="nil"/>
            </w:tcBorders>
            <w:shd w:val="clear" w:color="auto" w:fill="auto"/>
            <w:vAlign w:val="center"/>
            <w:hideMark/>
          </w:tcPr>
          <w:p w14:paraId="1712515E"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1 851</w:t>
            </w:r>
          </w:p>
        </w:tc>
        <w:tc>
          <w:tcPr>
            <w:tcW w:w="737" w:type="dxa"/>
            <w:tcBorders>
              <w:top w:val="nil"/>
              <w:left w:val="nil"/>
              <w:bottom w:val="nil"/>
              <w:right w:val="single" w:sz="4" w:space="0" w:color="auto"/>
            </w:tcBorders>
            <w:shd w:val="clear" w:color="auto" w:fill="auto"/>
            <w:vAlign w:val="center"/>
            <w:hideMark/>
          </w:tcPr>
          <w:p w14:paraId="34C85366"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741</w:t>
            </w:r>
          </w:p>
        </w:tc>
        <w:tc>
          <w:tcPr>
            <w:tcW w:w="737" w:type="dxa"/>
            <w:tcBorders>
              <w:top w:val="nil"/>
              <w:left w:val="nil"/>
              <w:bottom w:val="nil"/>
              <w:right w:val="nil"/>
            </w:tcBorders>
            <w:shd w:val="clear" w:color="auto" w:fill="auto"/>
            <w:vAlign w:val="center"/>
            <w:hideMark/>
          </w:tcPr>
          <w:p w14:paraId="0434382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4 558</w:t>
            </w:r>
          </w:p>
        </w:tc>
        <w:tc>
          <w:tcPr>
            <w:tcW w:w="737" w:type="dxa"/>
            <w:tcBorders>
              <w:top w:val="nil"/>
              <w:left w:val="nil"/>
              <w:bottom w:val="nil"/>
              <w:right w:val="nil"/>
            </w:tcBorders>
            <w:shd w:val="clear" w:color="auto" w:fill="auto"/>
            <w:vAlign w:val="center"/>
            <w:hideMark/>
          </w:tcPr>
          <w:p w14:paraId="625A6683"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2 995</w:t>
            </w:r>
          </w:p>
        </w:tc>
        <w:tc>
          <w:tcPr>
            <w:tcW w:w="737" w:type="dxa"/>
            <w:tcBorders>
              <w:left w:val="nil"/>
              <w:bottom w:val="nil"/>
              <w:right w:val="nil"/>
            </w:tcBorders>
            <w:shd w:val="clear" w:color="auto" w:fill="auto"/>
            <w:vAlign w:val="center"/>
            <w:hideMark/>
          </w:tcPr>
          <w:p w14:paraId="411B9A96"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1 563</w:t>
            </w:r>
          </w:p>
        </w:tc>
      </w:tr>
      <w:tr w:rsidR="00C42829" w:rsidRPr="00D92E20" w14:paraId="55ACE3C9"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1CF86335"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2012</w:t>
            </w:r>
          </w:p>
        </w:tc>
        <w:tc>
          <w:tcPr>
            <w:tcW w:w="737" w:type="dxa"/>
            <w:tcBorders>
              <w:top w:val="nil"/>
              <w:left w:val="nil"/>
              <w:bottom w:val="nil"/>
              <w:right w:val="nil"/>
            </w:tcBorders>
            <w:shd w:val="clear" w:color="auto" w:fill="auto"/>
            <w:vAlign w:val="center"/>
            <w:hideMark/>
          </w:tcPr>
          <w:p w14:paraId="0002993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56 493</w:t>
            </w:r>
          </w:p>
        </w:tc>
        <w:tc>
          <w:tcPr>
            <w:tcW w:w="736" w:type="dxa"/>
            <w:tcBorders>
              <w:top w:val="nil"/>
              <w:left w:val="nil"/>
              <w:bottom w:val="nil"/>
              <w:right w:val="nil"/>
            </w:tcBorders>
            <w:shd w:val="clear" w:color="auto" w:fill="auto"/>
            <w:vAlign w:val="center"/>
            <w:hideMark/>
          </w:tcPr>
          <w:p w14:paraId="7EBB6B0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26 190</w:t>
            </w:r>
          </w:p>
        </w:tc>
        <w:tc>
          <w:tcPr>
            <w:tcW w:w="736" w:type="dxa"/>
            <w:tcBorders>
              <w:top w:val="nil"/>
              <w:left w:val="nil"/>
              <w:bottom w:val="nil"/>
              <w:right w:val="nil"/>
            </w:tcBorders>
            <w:shd w:val="clear" w:color="auto" w:fill="auto"/>
            <w:vAlign w:val="center"/>
            <w:hideMark/>
          </w:tcPr>
          <w:p w14:paraId="7704D16A"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30 303</w:t>
            </w:r>
          </w:p>
        </w:tc>
        <w:tc>
          <w:tcPr>
            <w:tcW w:w="736" w:type="dxa"/>
            <w:tcBorders>
              <w:top w:val="nil"/>
              <w:left w:val="single" w:sz="4" w:space="0" w:color="auto"/>
              <w:bottom w:val="nil"/>
              <w:right w:val="nil"/>
            </w:tcBorders>
            <w:shd w:val="clear" w:color="auto" w:fill="auto"/>
            <w:vAlign w:val="center"/>
            <w:hideMark/>
          </w:tcPr>
          <w:p w14:paraId="0EE2C539"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47 683</w:t>
            </w:r>
          </w:p>
        </w:tc>
        <w:tc>
          <w:tcPr>
            <w:tcW w:w="736" w:type="dxa"/>
            <w:tcBorders>
              <w:top w:val="nil"/>
              <w:left w:val="nil"/>
              <w:bottom w:val="nil"/>
              <w:right w:val="nil"/>
            </w:tcBorders>
            <w:shd w:val="clear" w:color="auto" w:fill="auto"/>
            <w:vAlign w:val="center"/>
            <w:hideMark/>
          </w:tcPr>
          <w:p w14:paraId="2CB4DCF9"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20 344</w:t>
            </w:r>
          </w:p>
        </w:tc>
        <w:tc>
          <w:tcPr>
            <w:tcW w:w="736" w:type="dxa"/>
            <w:tcBorders>
              <w:top w:val="nil"/>
              <w:left w:val="nil"/>
              <w:bottom w:val="nil"/>
              <w:right w:val="single" w:sz="4" w:space="0" w:color="auto"/>
            </w:tcBorders>
            <w:shd w:val="clear" w:color="auto" w:fill="auto"/>
            <w:vAlign w:val="center"/>
            <w:hideMark/>
          </w:tcPr>
          <w:p w14:paraId="318DF7F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27 340</w:t>
            </w:r>
          </w:p>
        </w:tc>
        <w:tc>
          <w:tcPr>
            <w:tcW w:w="754" w:type="dxa"/>
            <w:tcBorders>
              <w:top w:val="nil"/>
              <w:left w:val="nil"/>
              <w:bottom w:val="nil"/>
              <w:right w:val="nil"/>
            </w:tcBorders>
            <w:shd w:val="clear" w:color="auto" w:fill="auto"/>
            <w:vAlign w:val="center"/>
            <w:hideMark/>
          </w:tcPr>
          <w:p w14:paraId="2E6E07A9"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2 423</w:t>
            </w:r>
          </w:p>
        </w:tc>
        <w:tc>
          <w:tcPr>
            <w:tcW w:w="737" w:type="dxa"/>
            <w:tcBorders>
              <w:top w:val="nil"/>
              <w:left w:val="nil"/>
              <w:bottom w:val="nil"/>
              <w:right w:val="nil"/>
            </w:tcBorders>
            <w:shd w:val="clear" w:color="auto" w:fill="auto"/>
            <w:vAlign w:val="center"/>
            <w:hideMark/>
          </w:tcPr>
          <w:p w14:paraId="4E28A4D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1 738</w:t>
            </w:r>
          </w:p>
        </w:tc>
        <w:tc>
          <w:tcPr>
            <w:tcW w:w="737" w:type="dxa"/>
            <w:tcBorders>
              <w:top w:val="nil"/>
              <w:left w:val="nil"/>
              <w:bottom w:val="nil"/>
              <w:right w:val="single" w:sz="4" w:space="0" w:color="auto"/>
            </w:tcBorders>
            <w:shd w:val="clear" w:color="auto" w:fill="auto"/>
            <w:vAlign w:val="center"/>
            <w:hideMark/>
          </w:tcPr>
          <w:p w14:paraId="084828F8"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686</w:t>
            </w:r>
          </w:p>
        </w:tc>
        <w:tc>
          <w:tcPr>
            <w:tcW w:w="737" w:type="dxa"/>
            <w:tcBorders>
              <w:top w:val="nil"/>
              <w:left w:val="nil"/>
              <w:bottom w:val="nil"/>
              <w:right w:val="nil"/>
            </w:tcBorders>
            <w:shd w:val="clear" w:color="auto" w:fill="auto"/>
            <w:vAlign w:val="center"/>
            <w:hideMark/>
          </w:tcPr>
          <w:p w14:paraId="53585E4D"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6 386</w:t>
            </w:r>
          </w:p>
        </w:tc>
        <w:tc>
          <w:tcPr>
            <w:tcW w:w="737" w:type="dxa"/>
            <w:tcBorders>
              <w:top w:val="nil"/>
              <w:left w:val="nil"/>
              <w:bottom w:val="nil"/>
              <w:right w:val="nil"/>
            </w:tcBorders>
            <w:shd w:val="clear" w:color="auto" w:fill="auto"/>
            <w:vAlign w:val="center"/>
            <w:hideMark/>
          </w:tcPr>
          <w:p w14:paraId="00269042"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4 109</w:t>
            </w:r>
          </w:p>
        </w:tc>
        <w:tc>
          <w:tcPr>
            <w:tcW w:w="737" w:type="dxa"/>
            <w:tcBorders>
              <w:top w:val="nil"/>
              <w:left w:val="nil"/>
              <w:bottom w:val="nil"/>
              <w:right w:val="nil"/>
            </w:tcBorders>
            <w:shd w:val="clear" w:color="auto" w:fill="auto"/>
            <w:vAlign w:val="center"/>
            <w:hideMark/>
          </w:tcPr>
          <w:p w14:paraId="6278F71C"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2 278</w:t>
            </w:r>
          </w:p>
        </w:tc>
      </w:tr>
      <w:tr w:rsidR="00C42829" w:rsidRPr="00D92E20" w14:paraId="52E13860"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64AB6C7C"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2013</w:t>
            </w:r>
          </w:p>
        </w:tc>
        <w:tc>
          <w:tcPr>
            <w:tcW w:w="737" w:type="dxa"/>
            <w:tcBorders>
              <w:top w:val="nil"/>
              <w:left w:val="nil"/>
              <w:bottom w:val="nil"/>
              <w:right w:val="nil"/>
            </w:tcBorders>
            <w:shd w:val="clear" w:color="auto" w:fill="auto"/>
            <w:vAlign w:val="center"/>
            <w:hideMark/>
          </w:tcPr>
          <w:p w14:paraId="1F6DC26A"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58 587</w:t>
            </w:r>
          </w:p>
        </w:tc>
        <w:tc>
          <w:tcPr>
            <w:tcW w:w="736" w:type="dxa"/>
            <w:tcBorders>
              <w:top w:val="nil"/>
              <w:left w:val="nil"/>
              <w:bottom w:val="nil"/>
              <w:right w:val="nil"/>
            </w:tcBorders>
            <w:shd w:val="clear" w:color="auto" w:fill="auto"/>
            <w:vAlign w:val="center"/>
            <w:hideMark/>
          </w:tcPr>
          <w:p w14:paraId="50C82F8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27 024</w:t>
            </w:r>
          </w:p>
        </w:tc>
        <w:tc>
          <w:tcPr>
            <w:tcW w:w="736" w:type="dxa"/>
            <w:tcBorders>
              <w:top w:val="nil"/>
              <w:left w:val="nil"/>
              <w:bottom w:val="nil"/>
              <w:right w:val="nil"/>
            </w:tcBorders>
            <w:shd w:val="clear" w:color="auto" w:fill="auto"/>
            <w:vAlign w:val="center"/>
            <w:hideMark/>
          </w:tcPr>
          <w:p w14:paraId="2AD431C6"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31 563</w:t>
            </w:r>
          </w:p>
        </w:tc>
        <w:tc>
          <w:tcPr>
            <w:tcW w:w="736" w:type="dxa"/>
            <w:tcBorders>
              <w:top w:val="nil"/>
              <w:left w:val="single" w:sz="4" w:space="0" w:color="auto"/>
              <w:bottom w:val="nil"/>
              <w:right w:val="nil"/>
            </w:tcBorders>
            <w:shd w:val="clear" w:color="auto" w:fill="auto"/>
            <w:vAlign w:val="center"/>
            <w:hideMark/>
          </w:tcPr>
          <w:p w14:paraId="298649B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49 582</w:t>
            </w:r>
          </w:p>
        </w:tc>
        <w:tc>
          <w:tcPr>
            <w:tcW w:w="736" w:type="dxa"/>
            <w:tcBorders>
              <w:top w:val="nil"/>
              <w:left w:val="nil"/>
              <w:bottom w:val="nil"/>
              <w:right w:val="nil"/>
            </w:tcBorders>
            <w:shd w:val="clear" w:color="auto" w:fill="auto"/>
            <w:vAlign w:val="center"/>
            <w:hideMark/>
          </w:tcPr>
          <w:p w14:paraId="1FC650E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21 147</w:t>
            </w:r>
          </w:p>
        </w:tc>
        <w:tc>
          <w:tcPr>
            <w:tcW w:w="736" w:type="dxa"/>
            <w:tcBorders>
              <w:top w:val="nil"/>
              <w:left w:val="nil"/>
              <w:bottom w:val="nil"/>
              <w:right w:val="single" w:sz="4" w:space="0" w:color="auto"/>
            </w:tcBorders>
            <w:shd w:val="clear" w:color="auto" w:fill="auto"/>
            <w:vAlign w:val="center"/>
            <w:hideMark/>
          </w:tcPr>
          <w:p w14:paraId="1619EDC8"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28 435</w:t>
            </w:r>
          </w:p>
        </w:tc>
        <w:tc>
          <w:tcPr>
            <w:tcW w:w="754" w:type="dxa"/>
            <w:tcBorders>
              <w:top w:val="nil"/>
              <w:left w:val="nil"/>
              <w:bottom w:val="nil"/>
              <w:right w:val="nil"/>
            </w:tcBorders>
            <w:shd w:val="clear" w:color="auto" w:fill="auto"/>
            <w:vAlign w:val="center"/>
            <w:hideMark/>
          </w:tcPr>
          <w:p w14:paraId="7BC3D8E9"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2 392</w:t>
            </w:r>
          </w:p>
        </w:tc>
        <w:tc>
          <w:tcPr>
            <w:tcW w:w="737" w:type="dxa"/>
            <w:tcBorders>
              <w:top w:val="nil"/>
              <w:left w:val="nil"/>
              <w:bottom w:val="nil"/>
              <w:right w:val="nil"/>
            </w:tcBorders>
            <w:shd w:val="clear" w:color="auto" w:fill="auto"/>
            <w:vAlign w:val="center"/>
            <w:hideMark/>
          </w:tcPr>
          <w:p w14:paraId="236558E2"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1 689</w:t>
            </w:r>
          </w:p>
        </w:tc>
        <w:tc>
          <w:tcPr>
            <w:tcW w:w="737" w:type="dxa"/>
            <w:tcBorders>
              <w:top w:val="nil"/>
              <w:left w:val="nil"/>
              <w:bottom w:val="nil"/>
              <w:right w:val="single" w:sz="4" w:space="0" w:color="auto"/>
            </w:tcBorders>
            <w:shd w:val="clear" w:color="auto" w:fill="auto"/>
            <w:vAlign w:val="center"/>
            <w:hideMark/>
          </w:tcPr>
          <w:p w14:paraId="020FA1DC"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702</w:t>
            </w:r>
          </w:p>
        </w:tc>
        <w:tc>
          <w:tcPr>
            <w:tcW w:w="737" w:type="dxa"/>
            <w:tcBorders>
              <w:top w:val="nil"/>
              <w:left w:val="nil"/>
              <w:bottom w:val="nil"/>
              <w:right w:val="nil"/>
            </w:tcBorders>
            <w:shd w:val="clear" w:color="auto" w:fill="auto"/>
            <w:vAlign w:val="center"/>
            <w:hideMark/>
          </w:tcPr>
          <w:p w14:paraId="2CC11A8A"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6 613</w:t>
            </w:r>
          </w:p>
        </w:tc>
        <w:tc>
          <w:tcPr>
            <w:tcW w:w="737" w:type="dxa"/>
            <w:tcBorders>
              <w:top w:val="nil"/>
              <w:left w:val="nil"/>
              <w:bottom w:val="nil"/>
              <w:right w:val="nil"/>
            </w:tcBorders>
            <w:shd w:val="clear" w:color="auto" w:fill="auto"/>
            <w:vAlign w:val="center"/>
            <w:hideMark/>
          </w:tcPr>
          <w:p w14:paraId="0723DAA8"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4 188</w:t>
            </w:r>
          </w:p>
        </w:tc>
        <w:tc>
          <w:tcPr>
            <w:tcW w:w="737" w:type="dxa"/>
            <w:tcBorders>
              <w:top w:val="nil"/>
              <w:left w:val="nil"/>
              <w:bottom w:val="nil"/>
              <w:right w:val="nil"/>
            </w:tcBorders>
            <w:shd w:val="clear" w:color="auto" w:fill="auto"/>
            <w:vAlign w:val="center"/>
            <w:hideMark/>
          </w:tcPr>
          <w:p w14:paraId="05882432"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2 425</w:t>
            </w:r>
          </w:p>
        </w:tc>
      </w:tr>
      <w:tr w:rsidR="00C42829" w:rsidRPr="00D92E20" w14:paraId="6E191277"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253CAD25"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2014</w:t>
            </w:r>
          </w:p>
        </w:tc>
        <w:tc>
          <w:tcPr>
            <w:tcW w:w="737" w:type="dxa"/>
            <w:tcBorders>
              <w:top w:val="nil"/>
              <w:left w:val="nil"/>
              <w:bottom w:val="nil"/>
              <w:right w:val="nil"/>
            </w:tcBorders>
            <w:shd w:val="clear" w:color="auto" w:fill="auto"/>
            <w:vAlign w:val="center"/>
            <w:hideMark/>
          </w:tcPr>
          <w:p w14:paraId="23CB17FE"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60 235</w:t>
            </w:r>
          </w:p>
        </w:tc>
        <w:tc>
          <w:tcPr>
            <w:tcW w:w="736" w:type="dxa"/>
            <w:tcBorders>
              <w:top w:val="nil"/>
              <w:left w:val="nil"/>
              <w:bottom w:val="nil"/>
              <w:right w:val="nil"/>
            </w:tcBorders>
            <w:shd w:val="clear" w:color="auto" w:fill="auto"/>
            <w:vAlign w:val="center"/>
            <w:hideMark/>
          </w:tcPr>
          <w:p w14:paraId="416443EA"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27 429</w:t>
            </w:r>
          </w:p>
        </w:tc>
        <w:tc>
          <w:tcPr>
            <w:tcW w:w="736" w:type="dxa"/>
            <w:tcBorders>
              <w:top w:val="nil"/>
              <w:left w:val="nil"/>
              <w:bottom w:val="nil"/>
              <w:right w:val="nil"/>
            </w:tcBorders>
            <w:shd w:val="clear" w:color="auto" w:fill="auto"/>
            <w:vAlign w:val="center"/>
            <w:hideMark/>
          </w:tcPr>
          <w:p w14:paraId="3E8E3D4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32 806</w:t>
            </w:r>
          </w:p>
        </w:tc>
        <w:tc>
          <w:tcPr>
            <w:tcW w:w="736" w:type="dxa"/>
            <w:tcBorders>
              <w:top w:val="nil"/>
              <w:left w:val="single" w:sz="4" w:space="0" w:color="auto"/>
              <w:bottom w:val="nil"/>
              <w:right w:val="nil"/>
            </w:tcBorders>
            <w:shd w:val="clear" w:color="auto" w:fill="auto"/>
            <w:vAlign w:val="center"/>
            <w:hideMark/>
          </w:tcPr>
          <w:p w14:paraId="71D19B6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51 093</w:t>
            </w:r>
          </w:p>
        </w:tc>
        <w:tc>
          <w:tcPr>
            <w:tcW w:w="736" w:type="dxa"/>
            <w:tcBorders>
              <w:top w:val="nil"/>
              <w:left w:val="nil"/>
              <w:bottom w:val="nil"/>
              <w:right w:val="nil"/>
            </w:tcBorders>
            <w:shd w:val="clear" w:color="auto" w:fill="auto"/>
            <w:vAlign w:val="center"/>
            <w:hideMark/>
          </w:tcPr>
          <w:p w14:paraId="114339ED"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21 441</w:t>
            </w:r>
          </w:p>
        </w:tc>
        <w:tc>
          <w:tcPr>
            <w:tcW w:w="736" w:type="dxa"/>
            <w:tcBorders>
              <w:top w:val="nil"/>
              <w:left w:val="nil"/>
              <w:bottom w:val="nil"/>
              <w:right w:val="single" w:sz="4" w:space="0" w:color="auto"/>
            </w:tcBorders>
            <w:shd w:val="clear" w:color="auto" w:fill="auto"/>
            <w:vAlign w:val="center"/>
            <w:hideMark/>
          </w:tcPr>
          <w:p w14:paraId="5B11F078"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29 652</w:t>
            </w:r>
          </w:p>
        </w:tc>
        <w:tc>
          <w:tcPr>
            <w:tcW w:w="754" w:type="dxa"/>
            <w:tcBorders>
              <w:top w:val="nil"/>
              <w:left w:val="nil"/>
              <w:bottom w:val="nil"/>
              <w:right w:val="nil"/>
            </w:tcBorders>
            <w:shd w:val="clear" w:color="auto" w:fill="auto"/>
            <w:vAlign w:val="center"/>
            <w:hideMark/>
          </w:tcPr>
          <w:p w14:paraId="5A430E59"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2 447</w:t>
            </w:r>
          </w:p>
        </w:tc>
        <w:tc>
          <w:tcPr>
            <w:tcW w:w="737" w:type="dxa"/>
            <w:tcBorders>
              <w:top w:val="nil"/>
              <w:left w:val="nil"/>
              <w:bottom w:val="nil"/>
              <w:right w:val="nil"/>
            </w:tcBorders>
            <w:shd w:val="clear" w:color="auto" w:fill="auto"/>
            <w:vAlign w:val="center"/>
            <w:hideMark/>
          </w:tcPr>
          <w:p w14:paraId="598A559B"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1 723</w:t>
            </w:r>
          </w:p>
        </w:tc>
        <w:tc>
          <w:tcPr>
            <w:tcW w:w="737" w:type="dxa"/>
            <w:tcBorders>
              <w:top w:val="nil"/>
              <w:left w:val="nil"/>
              <w:bottom w:val="nil"/>
              <w:right w:val="single" w:sz="4" w:space="0" w:color="auto"/>
            </w:tcBorders>
            <w:shd w:val="clear" w:color="auto" w:fill="auto"/>
            <w:vAlign w:val="center"/>
            <w:hideMark/>
          </w:tcPr>
          <w:p w14:paraId="2B02FD0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724</w:t>
            </w:r>
          </w:p>
        </w:tc>
        <w:tc>
          <w:tcPr>
            <w:tcW w:w="737" w:type="dxa"/>
            <w:tcBorders>
              <w:top w:val="nil"/>
              <w:left w:val="nil"/>
              <w:bottom w:val="nil"/>
              <w:right w:val="nil"/>
            </w:tcBorders>
            <w:shd w:val="clear" w:color="auto" w:fill="auto"/>
            <w:vAlign w:val="center"/>
            <w:hideMark/>
          </w:tcPr>
          <w:p w14:paraId="2CB156E6"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6 695</w:t>
            </w:r>
          </w:p>
        </w:tc>
        <w:tc>
          <w:tcPr>
            <w:tcW w:w="737" w:type="dxa"/>
            <w:tcBorders>
              <w:top w:val="nil"/>
              <w:left w:val="nil"/>
              <w:bottom w:val="nil"/>
              <w:right w:val="nil"/>
            </w:tcBorders>
            <w:shd w:val="clear" w:color="auto" w:fill="auto"/>
            <w:vAlign w:val="center"/>
            <w:hideMark/>
          </w:tcPr>
          <w:p w14:paraId="2A5F843B"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4 265</w:t>
            </w:r>
          </w:p>
        </w:tc>
        <w:tc>
          <w:tcPr>
            <w:tcW w:w="737" w:type="dxa"/>
            <w:tcBorders>
              <w:top w:val="nil"/>
              <w:left w:val="nil"/>
              <w:bottom w:val="nil"/>
              <w:right w:val="nil"/>
            </w:tcBorders>
            <w:shd w:val="clear" w:color="auto" w:fill="auto"/>
            <w:vAlign w:val="center"/>
            <w:hideMark/>
          </w:tcPr>
          <w:p w14:paraId="2D609AA2"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2 431</w:t>
            </w:r>
          </w:p>
        </w:tc>
      </w:tr>
      <w:tr w:rsidR="00C42829" w:rsidRPr="00D92E20" w14:paraId="46BAA473"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52E6425C"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2015</w:t>
            </w:r>
          </w:p>
        </w:tc>
        <w:tc>
          <w:tcPr>
            <w:tcW w:w="737" w:type="dxa"/>
            <w:tcBorders>
              <w:top w:val="nil"/>
              <w:left w:val="nil"/>
              <w:bottom w:val="nil"/>
              <w:right w:val="nil"/>
            </w:tcBorders>
            <w:shd w:val="clear" w:color="auto" w:fill="auto"/>
            <w:vAlign w:val="center"/>
            <w:hideMark/>
          </w:tcPr>
          <w:p w14:paraId="668CA93F"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66 817</w:t>
            </w:r>
          </w:p>
        </w:tc>
        <w:tc>
          <w:tcPr>
            <w:tcW w:w="736" w:type="dxa"/>
            <w:tcBorders>
              <w:top w:val="nil"/>
              <w:left w:val="nil"/>
              <w:bottom w:val="nil"/>
              <w:right w:val="nil"/>
            </w:tcBorders>
            <w:shd w:val="clear" w:color="auto" w:fill="auto"/>
            <w:vAlign w:val="center"/>
            <w:hideMark/>
          </w:tcPr>
          <w:p w14:paraId="3D45D052"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30 473</w:t>
            </w:r>
          </w:p>
        </w:tc>
        <w:tc>
          <w:tcPr>
            <w:tcW w:w="736" w:type="dxa"/>
            <w:tcBorders>
              <w:top w:val="nil"/>
              <w:left w:val="nil"/>
              <w:bottom w:val="nil"/>
              <w:right w:val="nil"/>
            </w:tcBorders>
            <w:shd w:val="clear" w:color="auto" w:fill="auto"/>
            <w:vAlign w:val="center"/>
            <w:hideMark/>
          </w:tcPr>
          <w:p w14:paraId="3A55ABFC"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36 345</w:t>
            </w:r>
          </w:p>
        </w:tc>
        <w:tc>
          <w:tcPr>
            <w:tcW w:w="736" w:type="dxa"/>
            <w:tcBorders>
              <w:top w:val="nil"/>
              <w:left w:val="single" w:sz="4" w:space="0" w:color="auto"/>
              <w:bottom w:val="nil"/>
              <w:right w:val="nil"/>
            </w:tcBorders>
            <w:shd w:val="clear" w:color="auto" w:fill="auto"/>
            <w:vAlign w:val="center"/>
            <w:hideMark/>
          </w:tcPr>
          <w:p w14:paraId="03B3C65B"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57 013</w:t>
            </w:r>
          </w:p>
        </w:tc>
        <w:tc>
          <w:tcPr>
            <w:tcW w:w="736" w:type="dxa"/>
            <w:tcBorders>
              <w:top w:val="nil"/>
              <w:left w:val="nil"/>
              <w:bottom w:val="nil"/>
              <w:right w:val="nil"/>
            </w:tcBorders>
            <w:shd w:val="clear" w:color="auto" w:fill="auto"/>
            <w:vAlign w:val="center"/>
            <w:hideMark/>
          </w:tcPr>
          <w:p w14:paraId="22CD427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24 152</w:t>
            </w:r>
          </w:p>
        </w:tc>
        <w:tc>
          <w:tcPr>
            <w:tcW w:w="736" w:type="dxa"/>
            <w:tcBorders>
              <w:top w:val="nil"/>
              <w:left w:val="nil"/>
              <w:bottom w:val="nil"/>
              <w:right w:val="single" w:sz="4" w:space="0" w:color="auto"/>
            </w:tcBorders>
            <w:shd w:val="clear" w:color="auto" w:fill="auto"/>
            <w:vAlign w:val="center"/>
            <w:hideMark/>
          </w:tcPr>
          <w:p w14:paraId="377A911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32 861</w:t>
            </w:r>
          </w:p>
        </w:tc>
        <w:tc>
          <w:tcPr>
            <w:tcW w:w="754" w:type="dxa"/>
            <w:tcBorders>
              <w:top w:val="nil"/>
              <w:left w:val="nil"/>
              <w:bottom w:val="nil"/>
              <w:right w:val="nil"/>
            </w:tcBorders>
            <w:shd w:val="clear" w:color="auto" w:fill="auto"/>
            <w:vAlign w:val="center"/>
            <w:hideMark/>
          </w:tcPr>
          <w:p w14:paraId="741BEC8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2 569</w:t>
            </w:r>
          </w:p>
        </w:tc>
        <w:tc>
          <w:tcPr>
            <w:tcW w:w="737" w:type="dxa"/>
            <w:tcBorders>
              <w:top w:val="nil"/>
              <w:left w:val="nil"/>
              <w:bottom w:val="nil"/>
              <w:right w:val="nil"/>
            </w:tcBorders>
            <w:shd w:val="clear" w:color="auto" w:fill="auto"/>
            <w:vAlign w:val="center"/>
            <w:hideMark/>
          </w:tcPr>
          <w:p w14:paraId="6E4CD499"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1 775</w:t>
            </w:r>
          </w:p>
        </w:tc>
        <w:tc>
          <w:tcPr>
            <w:tcW w:w="737" w:type="dxa"/>
            <w:tcBorders>
              <w:top w:val="nil"/>
              <w:left w:val="nil"/>
              <w:bottom w:val="nil"/>
              <w:right w:val="single" w:sz="4" w:space="0" w:color="auto"/>
            </w:tcBorders>
            <w:shd w:val="clear" w:color="auto" w:fill="auto"/>
            <w:vAlign w:val="center"/>
            <w:hideMark/>
          </w:tcPr>
          <w:p w14:paraId="1484D33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794</w:t>
            </w:r>
          </w:p>
        </w:tc>
        <w:tc>
          <w:tcPr>
            <w:tcW w:w="737" w:type="dxa"/>
            <w:tcBorders>
              <w:top w:val="nil"/>
              <w:left w:val="nil"/>
              <w:bottom w:val="nil"/>
              <w:right w:val="nil"/>
            </w:tcBorders>
            <w:shd w:val="clear" w:color="auto" w:fill="auto"/>
            <w:vAlign w:val="center"/>
            <w:hideMark/>
          </w:tcPr>
          <w:p w14:paraId="46A7B288"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7 236</w:t>
            </w:r>
          </w:p>
        </w:tc>
        <w:tc>
          <w:tcPr>
            <w:tcW w:w="737" w:type="dxa"/>
            <w:tcBorders>
              <w:top w:val="nil"/>
              <w:left w:val="nil"/>
              <w:bottom w:val="nil"/>
              <w:right w:val="nil"/>
            </w:tcBorders>
            <w:shd w:val="clear" w:color="auto" w:fill="auto"/>
            <w:vAlign w:val="center"/>
            <w:hideMark/>
          </w:tcPr>
          <w:p w14:paraId="2A78E52C"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4 546</w:t>
            </w:r>
          </w:p>
        </w:tc>
        <w:tc>
          <w:tcPr>
            <w:tcW w:w="737" w:type="dxa"/>
            <w:tcBorders>
              <w:top w:val="nil"/>
              <w:left w:val="nil"/>
              <w:bottom w:val="nil"/>
              <w:right w:val="nil"/>
            </w:tcBorders>
            <w:shd w:val="clear" w:color="auto" w:fill="auto"/>
            <w:vAlign w:val="center"/>
            <w:hideMark/>
          </w:tcPr>
          <w:p w14:paraId="7AFC93AF"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2 689</w:t>
            </w:r>
          </w:p>
        </w:tc>
      </w:tr>
      <w:tr w:rsidR="00C42829" w:rsidRPr="00D92E20" w14:paraId="4DD211C5"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01439DA2"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2016</w:t>
            </w:r>
          </w:p>
        </w:tc>
        <w:tc>
          <w:tcPr>
            <w:tcW w:w="737" w:type="dxa"/>
            <w:tcBorders>
              <w:top w:val="nil"/>
              <w:left w:val="nil"/>
              <w:bottom w:val="nil"/>
              <w:right w:val="nil"/>
            </w:tcBorders>
            <w:shd w:val="clear" w:color="auto" w:fill="auto"/>
            <w:vAlign w:val="center"/>
            <w:hideMark/>
          </w:tcPr>
          <w:p w14:paraId="1A02F8C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70 252</w:t>
            </w:r>
          </w:p>
        </w:tc>
        <w:tc>
          <w:tcPr>
            <w:tcW w:w="736" w:type="dxa"/>
            <w:tcBorders>
              <w:top w:val="nil"/>
              <w:left w:val="nil"/>
              <w:bottom w:val="nil"/>
              <w:right w:val="nil"/>
            </w:tcBorders>
            <w:shd w:val="clear" w:color="auto" w:fill="auto"/>
            <w:vAlign w:val="center"/>
            <w:hideMark/>
          </w:tcPr>
          <w:p w14:paraId="7F0E316C"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31 874</w:t>
            </w:r>
          </w:p>
        </w:tc>
        <w:tc>
          <w:tcPr>
            <w:tcW w:w="736" w:type="dxa"/>
            <w:tcBorders>
              <w:top w:val="nil"/>
              <w:left w:val="nil"/>
              <w:bottom w:val="nil"/>
              <w:right w:val="nil"/>
            </w:tcBorders>
            <w:shd w:val="clear" w:color="auto" w:fill="auto"/>
            <w:vAlign w:val="center"/>
            <w:hideMark/>
          </w:tcPr>
          <w:p w14:paraId="5E8AE6BE"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38 378</w:t>
            </w:r>
          </w:p>
        </w:tc>
        <w:tc>
          <w:tcPr>
            <w:tcW w:w="736" w:type="dxa"/>
            <w:tcBorders>
              <w:top w:val="nil"/>
              <w:left w:val="single" w:sz="4" w:space="0" w:color="auto"/>
              <w:bottom w:val="nil"/>
              <w:right w:val="nil"/>
            </w:tcBorders>
            <w:shd w:val="clear" w:color="auto" w:fill="auto"/>
            <w:vAlign w:val="center"/>
            <w:hideMark/>
          </w:tcPr>
          <w:p w14:paraId="11C2FBD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60 094</w:t>
            </w:r>
          </w:p>
        </w:tc>
        <w:tc>
          <w:tcPr>
            <w:tcW w:w="736" w:type="dxa"/>
            <w:tcBorders>
              <w:top w:val="nil"/>
              <w:left w:val="nil"/>
              <w:bottom w:val="nil"/>
              <w:right w:val="nil"/>
            </w:tcBorders>
            <w:shd w:val="clear" w:color="auto" w:fill="auto"/>
            <w:vAlign w:val="center"/>
            <w:hideMark/>
          </w:tcPr>
          <w:p w14:paraId="0044216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25 396</w:t>
            </w:r>
          </w:p>
        </w:tc>
        <w:tc>
          <w:tcPr>
            <w:tcW w:w="736" w:type="dxa"/>
            <w:tcBorders>
              <w:top w:val="nil"/>
              <w:left w:val="nil"/>
              <w:bottom w:val="nil"/>
              <w:right w:val="single" w:sz="4" w:space="0" w:color="auto"/>
            </w:tcBorders>
            <w:shd w:val="clear" w:color="auto" w:fill="auto"/>
            <w:vAlign w:val="center"/>
            <w:hideMark/>
          </w:tcPr>
          <w:p w14:paraId="50C22C08"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34 697</w:t>
            </w:r>
          </w:p>
        </w:tc>
        <w:tc>
          <w:tcPr>
            <w:tcW w:w="754" w:type="dxa"/>
            <w:tcBorders>
              <w:top w:val="nil"/>
              <w:left w:val="nil"/>
              <w:bottom w:val="nil"/>
              <w:right w:val="nil"/>
            </w:tcBorders>
            <w:shd w:val="clear" w:color="auto" w:fill="auto"/>
            <w:vAlign w:val="center"/>
            <w:hideMark/>
          </w:tcPr>
          <w:p w14:paraId="442010EA"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2 575</w:t>
            </w:r>
          </w:p>
        </w:tc>
        <w:tc>
          <w:tcPr>
            <w:tcW w:w="737" w:type="dxa"/>
            <w:tcBorders>
              <w:top w:val="nil"/>
              <w:left w:val="nil"/>
              <w:bottom w:val="nil"/>
              <w:right w:val="nil"/>
            </w:tcBorders>
            <w:shd w:val="clear" w:color="auto" w:fill="auto"/>
            <w:vAlign w:val="center"/>
            <w:hideMark/>
          </w:tcPr>
          <w:p w14:paraId="1D35B95A"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1 761</w:t>
            </w:r>
          </w:p>
        </w:tc>
        <w:tc>
          <w:tcPr>
            <w:tcW w:w="737" w:type="dxa"/>
            <w:tcBorders>
              <w:top w:val="nil"/>
              <w:left w:val="nil"/>
              <w:bottom w:val="nil"/>
              <w:right w:val="single" w:sz="4" w:space="0" w:color="auto"/>
            </w:tcBorders>
            <w:shd w:val="clear" w:color="auto" w:fill="auto"/>
            <w:vAlign w:val="center"/>
            <w:hideMark/>
          </w:tcPr>
          <w:p w14:paraId="31146B1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814</w:t>
            </w:r>
          </w:p>
        </w:tc>
        <w:tc>
          <w:tcPr>
            <w:tcW w:w="737" w:type="dxa"/>
            <w:tcBorders>
              <w:top w:val="nil"/>
              <w:left w:val="nil"/>
              <w:bottom w:val="nil"/>
              <w:right w:val="nil"/>
            </w:tcBorders>
            <w:shd w:val="clear" w:color="auto" w:fill="auto"/>
            <w:vAlign w:val="center"/>
            <w:hideMark/>
          </w:tcPr>
          <w:p w14:paraId="775D307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7 583</w:t>
            </w:r>
          </w:p>
        </w:tc>
        <w:tc>
          <w:tcPr>
            <w:tcW w:w="737" w:type="dxa"/>
            <w:tcBorders>
              <w:top w:val="nil"/>
              <w:left w:val="nil"/>
              <w:bottom w:val="nil"/>
              <w:right w:val="nil"/>
            </w:tcBorders>
            <w:shd w:val="clear" w:color="auto" w:fill="auto"/>
            <w:vAlign w:val="center"/>
            <w:hideMark/>
          </w:tcPr>
          <w:p w14:paraId="4D1825C8"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4 717</w:t>
            </w:r>
          </w:p>
        </w:tc>
        <w:tc>
          <w:tcPr>
            <w:tcW w:w="737" w:type="dxa"/>
            <w:tcBorders>
              <w:top w:val="nil"/>
              <w:left w:val="nil"/>
              <w:bottom w:val="nil"/>
              <w:right w:val="nil"/>
            </w:tcBorders>
            <w:shd w:val="clear" w:color="auto" w:fill="auto"/>
            <w:vAlign w:val="center"/>
            <w:hideMark/>
          </w:tcPr>
          <w:p w14:paraId="326E557B"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2 866</w:t>
            </w:r>
          </w:p>
        </w:tc>
      </w:tr>
      <w:tr w:rsidR="00C42829" w:rsidRPr="00D92E20" w14:paraId="284597FD"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0F00945A"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2017</w:t>
            </w:r>
          </w:p>
        </w:tc>
        <w:tc>
          <w:tcPr>
            <w:tcW w:w="737" w:type="dxa"/>
            <w:tcBorders>
              <w:top w:val="nil"/>
              <w:left w:val="nil"/>
              <w:bottom w:val="nil"/>
              <w:right w:val="nil"/>
            </w:tcBorders>
            <w:shd w:val="clear" w:color="auto" w:fill="auto"/>
            <w:vAlign w:val="center"/>
            <w:hideMark/>
          </w:tcPr>
          <w:p w14:paraId="2447F5BF"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72 678</w:t>
            </w:r>
          </w:p>
        </w:tc>
        <w:tc>
          <w:tcPr>
            <w:tcW w:w="736" w:type="dxa"/>
            <w:tcBorders>
              <w:top w:val="nil"/>
              <w:left w:val="nil"/>
              <w:bottom w:val="nil"/>
              <w:right w:val="nil"/>
            </w:tcBorders>
            <w:shd w:val="clear" w:color="auto" w:fill="auto"/>
            <w:vAlign w:val="center"/>
            <w:hideMark/>
          </w:tcPr>
          <w:p w14:paraId="77AB6AF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33 089</w:t>
            </w:r>
          </w:p>
        </w:tc>
        <w:tc>
          <w:tcPr>
            <w:tcW w:w="736" w:type="dxa"/>
            <w:tcBorders>
              <w:top w:val="nil"/>
              <w:left w:val="nil"/>
              <w:bottom w:val="nil"/>
              <w:right w:val="nil"/>
            </w:tcBorders>
            <w:shd w:val="clear" w:color="auto" w:fill="auto"/>
            <w:vAlign w:val="center"/>
            <w:hideMark/>
          </w:tcPr>
          <w:p w14:paraId="06326F21"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39 588</w:t>
            </w:r>
          </w:p>
        </w:tc>
        <w:tc>
          <w:tcPr>
            <w:tcW w:w="736" w:type="dxa"/>
            <w:tcBorders>
              <w:top w:val="nil"/>
              <w:left w:val="single" w:sz="4" w:space="0" w:color="auto"/>
              <w:bottom w:val="nil"/>
              <w:right w:val="nil"/>
            </w:tcBorders>
            <w:shd w:val="clear" w:color="auto" w:fill="auto"/>
            <w:vAlign w:val="center"/>
            <w:hideMark/>
          </w:tcPr>
          <w:p w14:paraId="57DDF4DE"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62 113</w:t>
            </w:r>
          </w:p>
        </w:tc>
        <w:tc>
          <w:tcPr>
            <w:tcW w:w="736" w:type="dxa"/>
            <w:tcBorders>
              <w:top w:val="nil"/>
              <w:left w:val="nil"/>
              <w:bottom w:val="nil"/>
              <w:right w:val="nil"/>
            </w:tcBorders>
            <w:shd w:val="clear" w:color="auto" w:fill="auto"/>
            <w:vAlign w:val="center"/>
            <w:hideMark/>
          </w:tcPr>
          <w:p w14:paraId="7907C51B"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26 463</w:t>
            </w:r>
          </w:p>
        </w:tc>
        <w:tc>
          <w:tcPr>
            <w:tcW w:w="736" w:type="dxa"/>
            <w:tcBorders>
              <w:top w:val="nil"/>
              <w:left w:val="nil"/>
              <w:bottom w:val="nil"/>
              <w:right w:val="single" w:sz="4" w:space="0" w:color="auto"/>
            </w:tcBorders>
            <w:shd w:val="clear" w:color="auto" w:fill="auto"/>
            <w:vAlign w:val="center"/>
            <w:hideMark/>
          </w:tcPr>
          <w:p w14:paraId="3A21A28E"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35 650</w:t>
            </w:r>
          </w:p>
        </w:tc>
        <w:tc>
          <w:tcPr>
            <w:tcW w:w="754" w:type="dxa"/>
            <w:tcBorders>
              <w:top w:val="nil"/>
              <w:left w:val="nil"/>
              <w:bottom w:val="nil"/>
              <w:right w:val="nil"/>
            </w:tcBorders>
            <w:shd w:val="clear" w:color="auto" w:fill="auto"/>
            <w:vAlign w:val="center"/>
            <w:hideMark/>
          </w:tcPr>
          <w:p w14:paraId="3766044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2 583</w:t>
            </w:r>
          </w:p>
        </w:tc>
        <w:tc>
          <w:tcPr>
            <w:tcW w:w="737" w:type="dxa"/>
            <w:tcBorders>
              <w:top w:val="nil"/>
              <w:left w:val="nil"/>
              <w:bottom w:val="nil"/>
              <w:right w:val="nil"/>
            </w:tcBorders>
            <w:shd w:val="clear" w:color="auto" w:fill="auto"/>
            <w:vAlign w:val="center"/>
            <w:hideMark/>
          </w:tcPr>
          <w:p w14:paraId="5FBE8702"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1 765</w:t>
            </w:r>
          </w:p>
        </w:tc>
        <w:tc>
          <w:tcPr>
            <w:tcW w:w="737" w:type="dxa"/>
            <w:tcBorders>
              <w:top w:val="nil"/>
              <w:left w:val="nil"/>
              <w:bottom w:val="nil"/>
              <w:right w:val="single" w:sz="4" w:space="0" w:color="auto"/>
            </w:tcBorders>
            <w:shd w:val="clear" w:color="auto" w:fill="auto"/>
            <w:vAlign w:val="center"/>
            <w:hideMark/>
          </w:tcPr>
          <w:p w14:paraId="2B4E3D8E"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818</w:t>
            </w:r>
          </w:p>
        </w:tc>
        <w:tc>
          <w:tcPr>
            <w:tcW w:w="737" w:type="dxa"/>
            <w:tcBorders>
              <w:top w:val="nil"/>
              <w:left w:val="nil"/>
              <w:bottom w:val="nil"/>
              <w:right w:val="nil"/>
            </w:tcBorders>
            <w:shd w:val="clear" w:color="auto" w:fill="auto"/>
            <w:vAlign w:val="center"/>
            <w:hideMark/>
          </w:tcPr>
          <w:p w14:paraId="739C44A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7 982</w:t>
            </w:r>
          </w:p>
        </w:tc>
        <w:tc>
          <w:tcPr>
            <w:tcW w:w="737" w:type="dxa"/>
            <w:tcBorders>
              <w:top w:val="nil"/>
              <w:left w:val="nil"/>
              <w:bottom w:val="nil"/>
              <w:right w:val="nil"/>
            </w:tcBorders>
            <w:shd w:val="clear" w:color="auto" w:fill="auto"/>
            <w:vAlign w:val="center"/>
            <w:hideMark/>
          </w:tcPr>
          <w:p w14:paraId="4D02B33A"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4 862</w:t>
            </w:r>
          </w:p>
        </w:tc>
        <w:tc>
          <w:tcPr>
            <w:tcW w:w="737" w:type="dxa"/>
            <w:tcBorders>
              <w:top w:val="nil"/>
              <w:left w:val="nil"/>
              <w:bottom w:val="nil"/>
              <w:right w:val="nil"/>
            </w:tcBorders>
            <w:shd w:val="clear" w:color="auto" w:fill="auto"/>
            <w:vAlign w:val="center"/>
            <w:hideMark/>
          </w:tcPr>
          <w:p w14:paraId="7BA29BF2"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3 120</w:t>
            </w:r>
          </w:p>
        </w:tc>
      </w:tr>
      <w:tr w:rsidR="00C42829" w:rsidRPr="00D92E20" w14:paraId="0EB8DA5B"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10E48F2B"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2018</w:t>
            </w:r>
          </w:p>
        </w:tc>
        <w:tc>
          <w:tcPr>
            <w:tcW w:w="737" w:type="dxa"/>
            <w:tcBorders>
              <w:top w:val="nil"/>
              <w:left w:val="nil"/>
              <w:bottom w:val="nil"/>
              <w:right w:val="nil"/>
            </w:tcBorders>
            <w:shd w:val="clear" w:color="auto" w:fill="auto"/>
            <w:vAlign w:val="center"/>
            <w:hideMark/>
          </w:tcPr>
          <w:p w14:paraId="2B551853"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77 158</w:t>
            </w:r>
          </w:p>
        </w:tc>
        <w:tc>
          <w:tcPr>
            <w:tcW w:w="736" w:type="dxa"/>
            <w:tcBorders>
              <w:top w:val="nil"/>
              <w:left w:val="nil"/>
              <w:bottom w:val="nil"/>
              <w:right w:val="nil"/>
            </w:tcBorders>
            <w:shd w:val="clear" w:color="auto" w:fill="auto"/>
            <w:vAlign w:val="center"/>
            <w:hideMark/>
          </w:tcPr>
          <w:p w14:paraId="7A92E85D"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35 223</w:t>
            </w:r>
          </w:p>
        </w:tc>
        <w:tc>
          <w:tcPr>
            <w:tcW w:w="736" w:type="dxa"/>
            <w:tcBorders>
              <w:top w:val="nil"/>
              <w:left w:val="nil"/>
              <w:bottom w:val="nil"/>
              <w:right w:val="nil"/>
            </w:tcBorders>
            <w:shd w:val="clear" w:color="auto" w:fill="auto"/>
            <w:vAlign w:val="center"/>
            <w:hideMark/>
          </w:tcPr>
          <w:p w14:paraId="70E92B2C"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41 934</w:t>
            </w:r>
          </w:p>
        </w:tc>
        <w:tc>
          <w:tcPr>
            <w:tcW w:w="736" w:type="dxa"/>
            <w:tcBorders>
              <w:top w:val="nil"/>
              <w:left w:val="single" w:sz="4" w:space="0" w:color="auto"/>
              <w:bottom w:val="nil"/>
              <w:right w:val="nil"/>
            </w:tcBorders>
            <w:shd w:val="clear" w:color="auto" w:fill="auto"/>
            <w:vAlign w:val="center"/>
            <w:hideMark/>
          </w:tcPr>
          <w:p w14:paraId="3C2A2CB3"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66 223</w:t>
            </w:r>
          </w:p>
        </w:tc>
        <w:tc>
          <w:tcPr>
            <w:tcW w:w="736" w:type="dxa"/>
            <w:tcBorders>
              <w:top w:val="nil"/>
              <w:left w:val="nil"/>
              <w:bottom w:val="nil"/>
              <w:right w:val="nil"/>
            </w:tcBorders>
            <w:shd w:val="clear" w:color="auto" w:fill="auto"/>
            <w:vAlign w:val="center"/>
            <w:hideMark/>
          </w:tcPr>
          <w:p w14:paraId="3901904A"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28 379</w:t>
            </w:r>
          </w:p>
        </w:tc>
        <w:tc>
          <w:tcPr>
            <w:tcW w:w="736" w:type="dxa"/>
            <w:tcBorders>
              <w:top w:val="nil"/>
              <w:left w:val="nil"/>
              <w:bottom w:val="nil"/>
              <w:right w:val="single" w:sz="4" w:space="0" w:color="auto"/>
            </w:tcBorders>
            <w:shd w:val="clear" w:color="auto" w:fill="auto"/>
            <w:vAlign w:val="center"/>
            <w:hideMark/>
          </w:tcPr>
          <w:p w14:paraId="0C0948BE"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37 845</w:t>
            </w:r>
          </w:p>
        </w:tc>
        <w:tc>
          <w:tcPr>
            <w:tcW w:w="754" w:type="dxa"/>
            <w:tcBorders>
              <w:top w:val="nil"/>
              <w:left w:val="nil"/>
              <w:bottom w:val="nil"/>
              <w:right w:val="nil"/>
            </w:tcBorders>
            <w:shd w:val="clear" w:color="auto" w:fill="auto"/>
            <w:vAlign w:val="center"/>
            <w:hideMark/>
          </w:tcPr>
          <w:p w14:paraId="5B385D0A"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2 571</w:t>
            </w:r>
          </w:p>
        </w:tc>
        <w:tc>
          <w:tcPr>
            <w:tcW w:w="737" w:type="dxa"/>
            <w:tcBorders>
              <w:top w:val="nil"/>
              <w:left w:val="nil"/>
              <w:bottom w:val="nil"/>
              <w:right w:val="nil"/>
            </w:tcBorders>
            <w:shd w:val="clear" w:color="auto" w:fill="auto"/>
            <w:vAlign w:val="center"/>
            <w:hideMark/>
          </w:tcPr>
          <w:p w14:paraId="1C56356E"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1 741</w:t>
            </w:r>
          </w:p>
        </w:tc>
        <w:tc>
          <w:tcPr>
            <w:tcW w:w="737" w:type="dxa"/>
            <w:tcBorders>
              <w:top w:val="nil"/>
              <w:left w:val="nil"/>
              <w:bottom w:val="nil"/>
              <w:right w:val="single" w:sz="4" w:space="0" w:color="auto"/>
            </w:tcBorders>
            <w:shd w:val="clear" w:color="auto" w:fill="auto"/>
            <w:vAlign w:val="center"/>
            <w:hideMark/>
          </w:tcPr>
          <w:p w14:paraId="324C8CE9"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830</w:t>
            </w:r>
          </w:p>
        </w:tc>
        <w:tc>
          <w:tcPr>
            <w:tcW w:w="737" w:type="dxa"/>
            <w:tcBorders>
              <w:top w:val="nil"/>
              <w:left w:val="nil"/>
              <w:bottom w:val="nil"/>
              <w:right w:val="nil"/>
            </w:tcBorders>
            <w:shd w:val="clear" w:color="auto" w:fill="auto"/>
            <w:vAlign w:val="center"/>
            <w:hideMark/>
          </w:tcPr>
          <w:p w14:paraId="3DC6993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8 363</w:t>
            </w:r>
          </w:p>
        </w:tc>
        <w:tc>
          <w:tcPr>
            <w:tcW w:w="737" w:type="dxa"/>
            <w:tcBorders>
              <w:top w:val="nil"/>
              <w:left w:val="nil"/>
              <w:bottom w:val="nil"/>
              <w:right w:val="nil"/>
            </w:tcBorders>
            <w:shd w:val="clear" w:color="auto" w:fill="auto"/>
            <w:vAlign w:val="center"/>
            <w:hideMark/>
          </w:tcPr>
          <w:p w14:paraId="06F0B34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5 104</w:t>
            </w:r>
          </w:p>
        </w:tc>
        <w:tc>
          <w:tcPr>
            <w:tcW w:w="737" w:type="dxa"/>
            <w:tcBorders>
              <w:top w:val="nil"/>
              <w:left w:val="nil"/>
              <w:bottom w:val="nil"/>
              <w:right w:val="nil"/>
            </w:tcBorders>
            <w:shd w:val="clear" w:color="auto" w:fill="auto"/>
            <w:vAlign w:val="center"/>
            <w:hideMark/>
          </w:tcPr>
          <w:p w14:paraId="5B19FAD6"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3 260</w:t>
            </w:r>
          </w:p>
        </w:tc>
      </w:tr>
      <w:tr w:rsidR="00C42829" w:rsidRPr="00D92E20" w14:paraId="15298EF5"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649D9D23"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2019</w:t>
            </w:r>
          </w:p>
        </w:tc>
        <w:tc>
          <w:tcPr>
            <w:tcW w:w="737" w:type="dxa"/>
            <w:tcBorders>
              <w:top w:val="nil"/>
              <w:left w:val="nil"/>
              <w:bottom w:val="nil"/>
              <w:right w:val="nil"/>
            </w:tcBorders>
            <w:shd w:val="clear" w:color="auto" w:fill="auto"/>
            <w:vAlign w:val="center"/>
            <w:hideMark/>
          </w:tcPr>
          <w:p w14:paraId="0DA23DE1"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81 205</w:t>
            </w:r>
          </w:p>
        </w:tc>
        <w:tc>
          <w:tcPr>
            <w:tcW w:w="736" w:type="dxa"/>
            <w:tcBorders>
              <w:top w:val="nil"/>
              <w:left w:val="nil"/>
              <w:bottom w:val="nil"/>
              <w:right w:val="nil"/>
            </w:tcBorders>
            <w:shd w:val="clear" w:color="auto" w:fill="auto"/>
            <w:vAlign w:val="center"/>
            <w:hideMark/>
          </w:tcPr>
          <w:p w14:paraId="242CA56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37 043</w:t>
            </w:r>
          </w:p>
        </w:tc>
        <w:tc>
          <w:tcPr>
            <w:tcW w:w="736" w:type="dxa"/>
            <w:tcBorders>
              <w:top w:val="nil"/>
              <w:left w:val="nil"/>
              <w:bottom w:val="nil"/>
              <w:right w:val="nil"/>
            </w:tcBorders>
            <w:shd w:val="clear" w:color="auto" w:fill="auto"/>
            <w:vAlign w:val="center"/>
            <w:hideMark/>
          </w:tcPr>
          <w:p w14:paraId="5FD11609"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44 162</w:t>
            </w:r>
          </w:p>
        </w:tc>
        <w:tc>
          <w:tcPr>
            <w:tcW w:w="736" w:type="dxa"/>
            <w:tcBorders>
              <w:top w:val="nil"/>
              <w:left w:val="single" w:sz="4" w:space="0" w:color="auto"/>
              <w:bottom w:val="nil"/>
              <w:right w:val="nil"/>
            </w:tcBorders>
            <w:shd w:val="clear" w:color="auto" w:fill="auto"/>
            <w:vAlign w:val="center"/>
            <w:hideMark/>
          </w:tcPr>
          <w:p w14:paraId="7347400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69 903</w:t>
            </w:r>
          </w:p>
        </w:tc>
        <w:tc>
          <w:tcPr>
            <w:tcW w:w="736" w:type="dxa"/>
            <w:tcBorders>
              <w:top w:val="nil"/>
              <w:left w:val="nil"/>
              <w:bottom w:val="nil"/>
              <w:right w:val="nil"/>
            </w:tcBorders>
            <w:shd w:val="clear" w:color="auto" w:fill="auto"/>
            <w:vAlign w:val="center"/>
            <w:hideMark/>
          </w:tcPr>
          <w:p w14:paraId="0F6FD71C"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30 002</w:t>
            </w:r>
          </w:p>
        </w:tc>
        <w:tc>
          <w:tcPr>
            <w:tcW w:w="736" w:type="dxa"/>
            <w:tcBorders>
              <w:top w:val="nil"/>
              <w:left w:val="nil"/>
              <w:bottom w:val="nil"/>
              <w:right w:val="single" w:sz="4" w:space="0" w:color="auto"/>
            </w:tcBorders>
            <w:shd w:val="clear" w:color="auto" w:fill="auto"/>
            <w:vAlign w:val="center"/>
            <w:hideMark/>
          </w:tcPr>
          <w:p w14:paraId="509C182D"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39 900</w:t>
            </w:r>
          </w:p>
        </w:tc>
        <w:tc>
          <w:tcPr>
            <w:tcW w:w="754" w:type="dxa"/>
            <w:tcBorders>
              <w:top w:val="nil"/>
              <w:left w:val="nil"/>
              <w:bottom w:val="nil"/>
              <w:right w:val="nil"/>
            </w:tcBorders>
            <w:shd w:val="clear" w:color="auto" w:fill="auto"/>
            <w:vAlign w:val="center"/>
            <w:hideMark/>
          </w:tcPr>
          <w:p w14:paraId="0F58495F"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2 533</w:t>
            </w:r>
          </w:p>
        </w:tc>
        <w:tc>
          <w:tcPr>
            <w:tcW w:w="737" w:type="dxa"/>
            <w:tcBorders>
              <w:top w:val="nil"/>
              <w:left w:val="nil"/>
              <w:bottom w:val="nil"/>
              <w:right w:val="nil"/>
            </w:tcBorders>
            <w:shd w:val="clear" w:color="auto" w:fill="auto"/>
            <w:vAlign w:val="center"/>
            <w:hideMark/>
          </w:tcPr>
          <w:p w14:paraId="49037EE1"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1 709</w:t>
            </w:r>
          </w:p>
        </w:tc>
        <w:tc>
          <w:tcPr>
            <w:tcW w:w="737" w:type="dxa"/>
            <w:tcBorders>
              <w:top w:val="nil"/>
              <w:left w:val="nil"/>
              <w:bottom w:val="nil"/>
              <w:right w:val="single" w:sz="4" w:space="0" w:color="auto"/>
            </w:tcBorders>
            <w:shd w:val="clear" w:color="auto" w:fill="auto"/>
            <w:vAlign w:val="center"/>
            <w:hideMark/>
          </w:tcPr>
          <w:p w14:paraId="26274E83"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823</w:t>
            </w:r>
          </w:p>
        </w:tc>
        <w:tc>
          <w:tcPr>
            <w:tcW w:w="737" w:type="dxa"/>
            <w:tcBorders>
              <w:top w:val="nil"/>
              <w:left w:val="nil"/>
              <w:bottom w:val="nil"/>
              <w:right w:val="nil"/>
            </w:tcBorders>
            <w:shd w:val="clear" w:color="auto" w:fill="auto"/>
            <w:vAlign w:val="center"/>
            <w:hideMark/>
          </w:tcPr>
          <w:p w14:paraId="4CFBCA16"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8 770</w:t>
            </w:r>
          </w:p>
        </w:tc>
        <w:tc>
          <w:tcPr>
            <w:tcW w:w="737" w:type="dxa"/>
            <w:tcBorders>
              <w:top w:val="nil"/>
              <w:left w:val="nil"/>
              <w:bottom w:val="nil"/>
              <w:right w:val="nil"/>
            </w:tcBorders>
            <w:shd w:val="clear" w:color="auto" w:fill="auto"/>
            <w:vAlign w:val="center"/>
            <w:hideMark/>
          </w:tcPr>
          <w:p w14:paraId="7284874E"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5 331</w:t>
            </w:r>
          </w:p>
        </w:tc>
        <w:tc>
          <w:tcPr>
            <w:tcW w:w="737" w:type="dxa"/>
            <w:tcBorders>
              <w:top w:val="nil"/>
              <w:left w:val="nil"/>
              <w:bottom w:val="nil"/>
              <w:right w:val="nil"/>
            </w:tcBorders>
            <w:shd w:val="clear" w:color="auto" w:fill="auto"/>
            <w:vAlign w:val="center"/>
            <w:hideMark/>
          </w:tcPr>
          <w:p w14:paraId="6147A8F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3 438</w:t>
            </w:r>
          </w:p>
        </w:tc>
      </w:tr>
      <w:tr w:rsidR="00C42829" w:rsidRPr="00D92E20" w14:paraId="50E488E1"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765DF935"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2020</w:t>
            </w:r>
          </w:p>
        </w:tc>
        <w:tc>
          <w:tcPr>
            <w:tcW w:w="737" w:type="dxa"/>
            <w:tcBorders>
              <w:top w:val="nil"/>
              <w:left w:val="nil"/>
              <w:bottom w:val="nil"/>
              <w:right w:val="nil"/>
            </w:tcBorders>
            <w:shd w:val="clear" w:color="auto" w:fill="auto"/>
            <w:vAlign w:val="center"/>
            <w:hideMark/>
          </w:tcPr>
          <w:p w14:paraId="0E2E6CE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94 246</w:t>
            </w:r>
          </w:p>
        </w:tc>
        <w:tc>
          <w:tcPr>
            <w:tcW w:w="736" w:type="dxa"/>
            <w:tcBorders>
              <w:top w:val="nil"/>
              <w:left w:val="nil"/>
              <w:bottom w:val="nil"/>
              <w:right w:val="nil"/>
            </w:tcBorders>
            <w:shd w:val="clear" w:color="auto" w:fill="auto"/>
            <w:vAlign w:val="center"/>
            <w:hideMark/>
          </w:tcPr>
          <w:p w14:paraId="26149D21"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43 214</w:t>
            </w:r>
          </w:p>
        </w:tc>
        <w:tc>
          <w:tcPr>
            <w:tcW w:w="736" w:type="dxa"/>
            <w:tcBorders>
              <w:top w:val="nil"/>
              <w:left w:val="nil"/>
              <w:bottom w:val="nil"/>
              <w:right w:val="nil"/>
            </w:tcBorders>
            <w:shd w:val="clear" w:color="auto" w:fill="auto"/>
            <w:vAlign w:val="center"/>
            <w:hideMark/>
          </w:tcPr>
          <w:p w14:paraId="7FDCD23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51 032</w:t>
            </w:r>
          </w:p>
        </w:tc>
        <w:tc>
          <w:tcPr>
            <w:tcW w:w="736" w:type="dxa"/>
            <w:tcBorders>
              <w:top w:val="nil"/>
              <w:left w:val="single" w:sz="4" w:space="0" w:color="auto"/>
              <w:bottom w:val="nil"/>
              <w:right w:val="nil"/>
            </w:tcBorders>
            <w:shd w:val="clear" w:color="auto" w:fill="auto"/>
            <w:vAlign w:val="center"/>
            <w:hideMark/>
          </w:tcPr>
          <w:p w14:paraId="5578FF3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82 287</w:t>
            </w:r>
          </w:p>
        </w:tc>
        <w:tc>
          <w:tcPr>
            <w:tcW w:w="736" w:type="dxa"/>
            <w:tcBorders>
              <w:top w:val="nil"/>
              <w:left w:val="nil"/>
              <w:bottom w:val="nil"/>
              <w:right w:val="nil"/>
            </w:tcBorders>
            <w:shd w:val="clear" w:color="auto" w:fill="auto"/>
            <w:vAlign w:val="center"/>
            <w:hideMark/>
          </w:tcPr>
          <w:p w14:paraId="1DE3B13B"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35 854</w:t>
            </w:r>
          </w:p>
        </w:tc>
        <w:tc>
          <w:tcPr>
            <w:tcW w:w="736" w:type="dxa"/>
            <w:tcBorders>
              <w:top w:val="nil"/>
              <w:left w:val="nil"/>
              <w:bottom w:val="nil"/>
              <w:right w:val="single" w:sz="4" w:space="0" w:color="auto"/>
            </w:tcBorders>
            <w:shd w:val="clear" w:color="auto" w:fill="auto"/>
            <w:vAlign w:val="center"/>
            <w:hideMark/>
          </w:tcPr>
          <w:p w14:paraId="4312EC8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46 434</w:t>
            </w:r>
          </w:p>
        </w:tc>
        <w:tc>
          <w:tcPr>
            <w:tcW w:w="754" w:type="dxa"/>
            <w:tcBorders>
              <w:top w:val="nil"/>
              <w:left w:val="nil"/>
              <w:bottom w:val="nil"/>
              <w:right w:val="nil"/>
            </w:tcBorders>
            <w:shd w:val="clear" w:color="auto" w:fill="auto"/>
            <w:vAlign w:val="center"/>
            <w:hideMark/>
          </w:tcPr>
          <w:p w14:paraId="480853C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2 585</w:t>
            </w:r>
          </w:p>
        </w:tc>
        <w:tc>
          <w:tcPr>
            <w:tcW w:w="737" w:type="dxa"/>
            <w:tcBorders>
              <w:top w:val="nil"/>
              <w:left w:val="nil"/>
              <w:bottom w:val="nil"/>
              <w:right w:val="nil"/>
            </w:tcBorders>
            <w:shd w:val="clear" w:color="auto" w:fill="auto"/>
            <w:vAlign w:val="center"/>
            <w:hideMark/>
          </w:tcPr>
          <w:p w14:paraId="0281D7C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1 766</w:t>
            </w:r>
          </w:p>
        </w:tc>
        <w:tc>
          <w:tcPr>
            <w:tcW w:w="737" w:type="dxa"/>
            <w:tcBorders>
              <w:top w:val="nil"/>
              <w:left w:val="nil"/>
              <w:bottom w:val="nil"/>
              <w:right w:val="single" w:sz="4" w:space="0" w:color="auto"/>
            </w:tcBorders>
            <w:shd w:val="clear" w:color="auto" w:fill="auto"/>
            <w:vAlign w:val="center"/>
            <w:hideMark/>
          </w:tcPr>
          <w:p w14:paraId="4A3EA2E9"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819</w:t>
            </w:r>
          </w:p>
        </w:tc>
        <w:tc>
          <w:tcPr>
            <w:tcW w:w="737" w:type="dxa"/>
            <w:tcBorders>
              <w:top w:val="nil"/>
              <w:left w:val="nil"/>
              <w:bottom w:val="nil"/>
              <w:right w:val="nil"/>
            </w:tcBorders>
            <w:shd w:val="clear" w:color="auto" w:fill="auto"/>
            <w:vAlign w:val="center"/>
            <w:hideMark/>
          </w:tcPr>
          <w:p w14:paraId="5FFCAD65"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9 373</w:t>
            </w:r>
          </w:p>
        </w:tc>
        <w:tc>
          <w:tcPr>
            <w:tcW w:w="737" w:type="dxa"/>
            <w:tcBorders>
              <w:top w:val="nil"/>
              <w:left w:val="nil"/>
              <w:bottom w:val="nil"/>
              <w:right w:val="nil"/>
            </w:tcBorders>
            <w:shd w:val="clear" w:color="auto" w:fill="auto"/>
            <w:vAlign w:val="center"/>
            <w:hideMark/>
          </w:tcPr>
          <w:p w14:paraId="7B94E9FC"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5 594</w:t>
            </w:r>
          </w:p>
        </w:tc>
        <w:tc>
          <w:tcPr>
            <w:tcW w:w="737" w:type="dxa"/>
            <w:tcBorders>
              <w:top w:val="nil"/>
              <w:left w:val="nil"/>
              <w:bottom w:val="nil"/>
              <w:right w:val="nil"/>
            </w:tcBorders>
            <w:shd w:val="clear" w:color="auto" w:fill="auto"/>
            <w:vAlign w:val="center"/>
            <w:hideMark/>
          </w:tcPr>
          <w:p w14:paraId="1AE150C6"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3 779</w:t>
            </w:r>
          </w:p>
        </w:tc>
      </w:tr>
      <w:tr w:rsidR="00C42829" w:rsidRPr="00C42829" w14:paraId="0BCD8B55" w14:textId="77777777" w:rsidTr="00C42829">
        <w:trPr>
          <w:trHeight w:val="300"/>
        </w:trPr>
        <w:tc>
          <w:tcPr>
            <w:tcW w:w="735" w:type="dxa"/>
            <w:tcBorders>
              <w:top w:val="nil"/>
              <w:left w:val="nil"/>
              <w:bottom w:val="nil"/>
              <w:right w:val="single" w:sz="4" w:space="0" w:color="auto"/>
            </w:tcBorders>
            <w:shd w:val="clear" w:color="auto" w:fill="auto"/>
            <w:vAlign w:val="center"/>
          </w:tcPr>
          <w:p w14:paraId="6A640E7B" w14:textId="77777777" w:rsidR="00C42829" w:rsidRPr="00C42829" w:rsidRDefault="00C42829" w:rsidP="00C42829">
            <w:pPr>
              <w:spacing w:after="0" w:line="240" w:lineRule="auto"/>
              <w:jc w:val="center"/>
              <w:rPr>
                <w:rFonts w:cs="Arial"/>
                <w:color w:val="000000"/>
                <w:sz w:val="16"/>
                <w:szCs w:val="16"/>
              </w:rPr>
            </w:pPr>
            <w:r w:rsidRPr="00C42829">
              <w:rPr>
                <w:rFonts w:cs="Arial"/>
                <w:color w:val="000000"/>
                <w:sz w:val="16"/>
                <w:szCs w:val="16"/>
              </w:rPr>
              <w:t>2021</w:t>
            </w:r>
          </w:p>
        </w:tc>
        <w:tc>
          <w:tcPr>
            <w:tcW w:w="737" w:type="dxa"/>
            <w:tcBorders>
              <w:top w:val="nil"/>
              <w:left w:val="nil"/>
              <w:bottom w:val="nil"/>
              <w:right w:val="nil"/>
            </w:tcBorders>
            <w:shd w:val="clear" w:color="auto" w:fill="auto"/>
            <w:vAlign w:val="center"/>
          </w:tcPr>
          <w:p w14:paraId="1B8C705C"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94 950</w:t>
            </w:r>
          </w:p>
        </w:tc>
        <w:tc>
          <w:tcPr>
            <w:tcW w:w="736" w:type="dxa"/>
            <w:tcBorders>
              <w:top w:val="nil"/>
              <w:left w:val="nil"/>
              <w:bottom w:val="nil"/>
              <w:right w:val="nil"/>
            </w:tcBorders>
            <w:shd w:val="clear" w:color="auto" w:fill="auto"/>
            <w:vAlign w:val="center"/>
          </w:tcPr>
          <w:p w14:paraId="75BF2D92"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44 255</w:t>
            </w:r>
          </w:p>
        </w:tc>
        <w:tc>
          <w:tcPr>
            <w:tcW w:w="736" w:type="dxa"/>
            <w:tcBorders>
              <w:top w:val="nil"/>
              <w:left w:val="nil"/>
              <w:bottom w:val="nil"/>
              <w:right w:val="nil"/>
            </w:tcBorders>
            <w:shd w:val="clear" w:color="auto" w:fill="auto"/>
            <w:vAlign w:val="center"/>
          </w:tcPr>
          <w:p w14:paraId="42442410"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50 695</w:t>
            </w:r>
          </w:p>
        </w:tc>
        <w:tc>
          <w:tcPr>
            <w:tcW w:w="736" w:type="dxa"/>
            <w:tcBorders>
              <w:top w:val="nil"/>
              <w:left w:val="single" w:sz="4" w:space="0" w:color="auto"/>
              <w:bottom w:val="nil"/>
              <w:right w:val="nil"/>
            </w:tcBorders>
            <w:shd w:val="clear" w:color="auto" w:fill="auto"/>
            <w:vAlign w:val="center"/>
          </w:tcPr>
          <w:p w14:paraId="4B28548D"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83 363</w:t>
            </w:r>
          </w:p>
        </w:tc>
        <w:tc>
          <w:tcPr>
            <w:tcW w:w="736" w:type="dxa"/>
            <w:tcBorders>
              <w:top w:val="nil"/>
              <w:left w:val="nil"/>
              <w:bottom w:val="nil"/>
              <w:right w:val="nil"/>
            </w:tcBorders>
            <w:shd w:val="clear" w:color="auto" w:fill="auto"/>
            <w:vAlign w:val="center"/>
          </w:tcPr>
          <w:p w14:paraId="65407DC9"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37 211</w:t>
            </w:r>
          </w:p>
        </w:tc>
        <w:tc>
          <w:tcPr>
            <w:tcW w:w="736" w:type="dxa"/>
            <w:tcBorders>
              <w:top w:val="nil"/>
              <w:left w:val="nil"/>
              <w:bottom w:val="nil"/>
              <w:right w:val="single" w:sz="4" w:space="0" w:color="auto"/>
            </w:tcBorders>
            <w:shd w:val="clear" w:color="auto" w:fill="auto"/>
            <w:vAlign w:val="center"/>
          </w:tcPr>
          <w:p w14:paraId="76267CAE"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46 152</w:t>
            </w:r>
          </w:p>
        </w:tc>
        <w:tc>
          <w:tcPr>
            <w:tcW w:w="754" w:type="dxa"/>
            <w:tcBorders>
              <w:top w:val="nil"/>
              <w:left w:val="nil"/>
              <w:bottom w:val="nil"/>
              <w:right w:val="nil"/>
            </w:tcBorders>
            <w:shd w:val="clear" w:color="auto" w:fill="auto"/>
            <w:vAlign w:val="center"/>
          </w:tcPr>
          <w:p w14:paraId="3D8A184C"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2 607</w:t>
            </w:r>
          </w:p>
        </w:tc>
        <w:tc>
          <w:tcPr>
            <w:tcW w:w="737" w:type="dxa"/>
            <w:tcBorders>
              <w:top w:val="nil"/>
              <w:left w:val="nil"/>
              <w:bottom w:val="nil"/>
              <w:right w:val="nil"/>
            </w:tcBorders>
            <w:shd w:val="clear" w:color="auto" w:fill="auto"/>
            <w:vAlign w:val="center"/>
          </w:tcPr>
          <w:p w14:paraId="75D2E376"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1 791</w:t>
            </w:r>
          </w:p>
        </w:tc>
        <w:tc>
          <w:tcPr>
            <w:tcW w:w="737" w:type="dxa"/>
            <w:tcBorders>
              <w:top w:val="nil"/>
              <w:left w:val="nil"/>
              <w:bottom w:val="nil"/>
              <w:right w:val="single" w:sz="4" w:space="0" w:color="auto"/>
            </w:tcBorders>
            <w:shd w:val="clear" w:color="auto" w:fill="auto"/>
            <w:vAlign w:val="center"/>
          </w:tcPr>
          <w:p w14:paraId="366D2D7D"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816</w:t>
            </w:r>
          </w:p>
        </w:tc>
        <w:tc>
          <w:tcPr>
            <w:tcW w:w="737" w:type="dxa"/>
            <w:tcBorders>
              <w:top w:val="nil"/>
              <w:left w:val="nil"/>
              <w:bottom w:val="nil"/>
              <w:right w:val="nil"/>
            </w:tcBorders>
            <w:shd w:val="clear" w:color="auto" w:fill="auto"/>
            <w:vAlign w:val="center"/>
          </w:tcPr>
          <w:p w14:paraId="1576E58F"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8 979</w:t>
            </w:r>
          </w:p>
        </w:tc>
        <w:tc>
          <w:tcPr>
            <w:tcW w:w="737" w:type="dxa"/>
            <w:tcBorders>
              <w:top w:val="nil"/>
              <w:left w:val="nil"/>
              <w:bottom w:val="nil"/>
              <w:right w:val="nil"/>
            </w:tcBorders>
            <w:shd w:val="clear" w:color="auto" w:fill="auto"/>
            <w:vAlign w:val="center"/>
          </w:tcPr>
          <w:p w14:paraId="0D516DED"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5 253</w:t>
            </w:r>
          </w:p>
        </w:tc>
        <w:tc>
          <w:tcPr>
            <w:tcW w:w="737" w:type="dxa"/>
            <w:tcBorders>
              <w:top w:val="nil"/>
              <w:left w:val="nil"/>
              <w:bottom w:val="nil"/>
              <w:right w:val="nil"/>
            </w:tcBorders>
            <w:shd w:val="clear" w:color="auto" w:fill="auto"/>
            <w:vAlign w:val="center"/>
          </w:tcPr>
          <w:p w14:paraId="07F2E1D0"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3 726</w:t>
            </w:r>
          </w:p>
        </w:tc>
      </w:tr>
    </w:tbl>
    <w:p w14:paraId="6766FA24" w14:textId="77777777" w:rsidR="00C42829" w:rsidRPr="00D92E20" w:rsidRDefault="00C42829" w:rsidP="00C42829">
      <w:pPr>
        <w:spacing w:before="120" w:after="120"/>
        <w:rPr>
          <w:sz w:val="16"/>
        </w:rPr>
      </w:pPr>
      <w:r w:rsidRPr="00D92E20">
        <w:rPr>
          <w:sz w:val="16"/>
        </w:rPr>
        <w:t>Zdroj: ČSÚ</w:t>
      </w:r>
    </w:p>
    <w:p w14:paraId="67DD3A94" w14:textId="4E3B2860" w:rsidR="00C42829" w:rsidRDefault="001E4182" w:rsidP="00C42829">
      <w:pPr>
        <w:spacing w:before="120" w:after="120"/>
        <w:jc w:val="both"/>
      </w:pPr>
      <w:r>
        <w:t>Jak ukazuje tabulka 2.4, p</w:t>
      </w:r>
      <w:r w:rsidR="00C42829" w:rsidRPr="00D92E20">
        <w:t>očet kalendářních dnů dočasné pracovní neschopnosti</w:t>
      </w:r>
      <w:r w:rsidR="00C42829" w:rsidRPr="00D92E20">
        <w:rPr>
          <w:b/>
        </w:rPr>
        <w:t xml:space="preserve"> </w:t>
      </w:r>
      <w:r w:rsidR="00C42829" w:rsidRPr="008D4DE1">
        <w:rPr>
          <w:bCs/>
        </w:rPr>
        <w:t>se</w:t>
      </w:r>
      <w:r w:rsidR="00C42829">
        <w:rPr>
          <w:b/>
        </w:rPr>
        <w:t xml:space="preserve"> </w:t>
      </w:r>
      <w:r w:rsidR="00C42829" w:rsidRPr="00D92E20">
        <w:t xml:space="preserve">meziročně </w:t>
      </w:r>
      <w:r w:rsidR="00C42829">
        <w:t xml:space="preserve">příliš </w:t>
      </w:r>
      <w:r>
        <w:t>nelišil. V roce 2021 činil 94 950 tis. dnů. Mezi rokem 2019 a 2020 počet vzrostl</w:t>
      </w:r>
      <w:r w:rsidR="00C42829" w:rsidRPr="00D92E20">
        <w:t xml:space="preserve"> z 81 205 tis. prostonaných dnů na 94</w:t>
      </w:r>
      <w:r w:rsidR="00ED6587">
        <w:t> </w:t>
      </w:r>
      <w:r w:rsidR="00C42829" w:rsidRPr="00D92E20">
        <w:t>246 tis. dnů (tj. o 16 %).</w:t>
      </w:r>
      <w:r>
        <w:t xml:space="preserve"> Lze vidět, že vyšší hodnoty způsobené zejména koronavirem a karanténami přetrvávaly v podobné výši jako v předchozím roce. Nejvíce vzrostl počet </w:t>
      </w:r>
      <w:r w:rsidR="00C42829" w:rsidRPr="00D92E20">
        <w:t xml:space="preserve">kalendářních dnů </w:t>
      </w:r>
      <w:r>
        <w:t>pracovní neschopnosti pro nemoc</w:t>
      </w:r>
      <w:r w:rsidR="00C42829" w:rsidRPr="00D92E20">
        <w:t xml:space="preserve"> (+1</w:t>
      </w:r>
      <w:r>
        <w:t>,1</w:t>
      </w:r>
      <w:r w:rsidR="00C42829" w:rsidRPr="00D92E20">
        <w:t xml:space="preserve"> mil.). Počty dnů pracovní neschopnosti pro </w:t>
      </w:r>
      <w:r>
        <w:t xml:space="preserve">pracovní úrazy vzrostly o 22 tis., naopak počty dnů pracovní neschopnosti pro </w:t>
      </w:r>
      <w:r w:rsidR="00C42829" w:rsidRPr="00D92E20">
        <w:t xml:space="preserve">mimopracovní úrazy </w:t>
      </w:r>
      <w:r>
        <w:t>poklesly</w:t>
      </w:r>
      <w:r w:rsidR="00C42829" w:rsidRPr="00D92E20">
        <w:t xml:space="preserve"> o </w:t>
      </w:r>
      <w:r>
        <w:t>394 tis.</w:t>
      </w:r>
    </w:p>
    <w:p w14:paraId="2D1D1DA7" w14:textId="77777777" w:rsidR="007C679E" w:rsidRPr="00D92E20" w:rsidRDefault="001E4182" w:rsidP="001E4182">
      <w:pPr>
        <w:spacing w:before="120" w:after="120"/>
        <w:jc w:val="both"/>
      </w:pPr>
      <w:r w:rsidRPr="00D92E20">
        <w:lastRenderedPageBreak/>
        <w:t>Většina dnů pracovní neschopnosti (8</w:t>
      </w:r>
      <w:r>
        <w:t>8</w:t>
      </w:r>
      <w:r w:rsidRPr="00D92E20">
        <w:t xml:space="preserve"> %) je způsobena nemocí, v absolutním počtu 8</w:t>
      </w:r>
      <w:r>
        <w:t>3 363</w:t>
      </w:r>
      <w:r w:rsidRPr="00D92E20">
        <w:t xml:space="preserve"> tis. za rok 202</w:t>
      </w:r>
      <w:r>
        <w:t>1</w:t>
      </w:r>
      <w:r w:rsidRPr="00D92E20">
        <w:t>. Ženy strávily v dočasné pracovní neschopnosti celkem 5</w:t>
      </w:r>
      <w:r>
        <w:t>0 698</w:t>
      </w:r>
      <w:r w:rsidRPr="00D92E20">
        <w:t xml:space="preserve"> tis. dnů, což je o </w:t>
      </w:r>
      <w:r>
        <w:t>6 440</w:t>
      </w:r>
      <w:r w:rsidRPr="00D92E20">
        <w:t xml:space="preserve"> tis. dnů více než muži. To, že ženy stráví na neschopence delší dobu, potvrzuje i dlouhodobější vývoj průměrné délky trvání dočasné pracovní neschopnosti znázorněný v tab. 2.5 či grafu 2.9.</w:t>
      </w:r>
    </w:p>
    <w:p w14:paraId="510759FF" w14:textId="77777777" w:rsidR="001E4182" w:rsidRPr="007C679E" w:rsidRDefault="007C679E" w:rsidP="004930CE">
      <w:pPr>
        <w:spacing w:before="120" w:after="0"/>
        <w:jc w:val="both"/>
        <w:rPr>
          <w:b/>
        </w:rPr>
      </w:pPr>
      <w:r w:rsidRPr="007C679E">
        <w:rPr>
          <w:b/>
        </w:rPr>
        <w:t>Graf 2.7: Kalendářní dny dočasné pracovní neschopnosti pro nemoc, 2015–2021</w:t>
      </w:r>
    </w:p>
    <w:p w14:paraId="22146CAC" w14:textId="051CDF06" w:rsidR="001E4182" w:rsidRPr="00D92E20" w:rsidRDefault="005B348D" w:rsidP="00C42829">
      <w:pPr>
        <w:spacing w:before="120" w:after="120"/>
        <w:jc w:val="both"/>
      </w:pPr>
      <w:r>
        <w:rPr>
          <w:noProof/>
        </w:rPr>
        <w:drawing>
          <wp:inline distT="0" distB="0" distL="0" distR="0" wp14:anchorId="3FA4A067" wp14:editId="2CA762F6">
            <wp:extent cx="6115050" cy="2886075"/>
            <wp:effectExtent l="0" t="0" r="0" b="9525"/>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499BE95" w14:textId="77777777" w:rsidR="007C679E" w:rsidRPr="00D92E20" w:rsidRDefault="007C679E" w:rsidP="007C679E">
      <w:pPr>
        <w:spacing w:before="120" w:after="120"/>
        <w:rPr>
          <w:sz w:val="16"/>
        </w:rPr>
      </w:pPr>
      <w:r w:rsidRPr="00D92E20">
        <w:rPr>
          <w:sz w:val="16"/>
        </w:rPr>
        <w:t>Zdroj: ČSÚ</w:t>
      </w:r>
    </w:p>
    <w:p w14:paraId="1931012B" w14:textId="77777777" w:rsidR="007C679E" w:rsidRDefault="007C679E" w:rsidP="007C679E">
      <w:pPr>
        <w:spacing w:before="120" w:after="120"/>
        <w:jc w:val="both"/>
      </w:pPr>
      <w:r w:rsidRPr="00D92E20">
        <w:t xml:space="preserve">Počet prostonaných dnů v jednotlivých pololetích dokresluje tvrzení o značně vyšším počtu nahlášených případů pro nemoc během první poloviny roku. Největší rozdíl mezi 1. a 2. pololetím byl </w:t>
      </w:r>
      <w:r>
        <w:t xml:space="preserve">do roku 2021 </w:t>
      </w:r>
      <w:r w:rsidRPr="00D92E20">
        <w:t xml:space="preserve">zaznamenán v roce 2017 a činil 4,4 mil. dnů. Postupně se však snižoval. Ve druhém pololetí roku 2019 se počet dnů v pracovní neschopnosti zvýšil z důvodu zrušení karenční doby. V roce 2020 se počet dnů v pracovní neschopnosti pro nemoc v 1. a 2. pololetí lišil pouze o 800 tis. Graf 2.7 dále </w:t>
      </w:r>
      <w:r w:rsidR="008011B2">
        <w:t>ilustruje</w:t>
      </w:r>
      <w:r w:rsidR="008011B2" w:rsidRPr="00D92E20">
        <w:t xml:space="preserve"> </w:t>
      </w:r>
      <w:r w:rsidRPr="00D92E20">
        <w:t>skokový nárůst počtu kalendářních dnů pracovní neschopnosti pro nemoc mezi rokem 2019 a 2020.</w:t>
      </w:r>
    </w:p>
    <w:p w14:paraId="08069A74" w14:textId="6273FEB6" w:rsidR="007C679E" w:rsidRDefault="007C679E" w:rsidP="007C679E">
      <w:pPr>
        <w:spacing w:before="120" w:after="120"/>
        <w:jc w:val="both"/>
      </w:pPr>
      <w:r>
        <w:t xml:space="preserve">V roce 2021 byl rozdíl v počtu dnů pracovní neschopnosti </w:t>
      </w:r>
      <w:r w:rsidR="005B348D">
        <w:t xml:space="preserve">pro nemoc </w:t>
      </w:r>
      <w:r>
        <w:t xml:space="preserve">mezi první a druhou polovinou roku více než 7 mil. dnů. V prvním pololetí bylo vykázáno </w:t>
      </w:r>
      <w:r w:rsidR="005B348D">
        <w:t>45</w:t>
      </w:r>
      <w:r>
        <w:t xml:space="preserve"> mil. dnů pracovní neschopnosti, v druhém pololetí </w:t>
      </w:r>
      <w:r w:rsidR="005B348D">
        <w:t>38</w:t>
      </w:r>
      <w:r>
        <w:t xml:space="preserve"> mil. Dá se usuzovat, že za nárůstem v </w:t>
      </w:r>
      <w:r w:rsidR="008011B2">
        <w:t>1.</w:t>
      </w:r>
      <w:r>
        <w:t xml:space="preserve"> pol. 2021 stojí případy </w:t>
      </w:r>
      <w:r w:rsidR="001D17A2">
        <w:t>související s onemocněním covid</w:t>
      </w:r>
      <w:r w:rsidR="000D255B">
        <w:t>-19</w:t>
      </w:r>
      <w:r w:rsidR="001D17A2">
        <w:t>, konkrétně i</w:t>
      </w:r>
      <w:r w:rsidR="009043BF">
        <w:t> </w:t>
      </w:r>
      <w:r w:rsidR="001D17A2">
        <w:t>opatření proti šíření nákazy, změny v nárocích na testy, doba trvání karantény, odlišné podmínky pro očkované a neočkované apod.</w:t>
      </w:r>
      <w:r>
        <w:t xml:space="preserve"> </w:t>
      </w:r>
    </w:p>
    <w:p w14:paraId="006000BA" w14:textId="7C3A5DA6" w:rsidR="007C679E" w:rsidRDefault="007C679E" w:rsidP="007C679E">
      <w:pPr>
        <w:spacing w:before="120" w:after="120"/>
        <w:jc w:val="both"/>
      </w:pPr>
      <w:r w:rsidRPr="00D92E20">
        <w:t xml:space="preserve">Při pohledu na relativní ukazatel, který </w:t>
      </w:r>
      <w:r w:rsidR="003522A6">
        <w:t>představuje</w:t>
      </w:r>
      <w:r w:rsidRPr="00D92E20">
        <w:t xml:space="preserve">, jak dlouho v průměru </w:t>
      </w:r>
      <w:r w:rsidRPr="00D92E20">
        <w:rPr>
          <w:b/>
        </w:rPr>
        <w:t>trval 1 případ pracovní neschopnosti pro nemoc</w:t>
      </w:r>
      <w:r w:rsidRPr="00D92E20">
        <w:t>, zjistíme, že v</w:t>
      </w:r>
      <w:r>
        <w:t> roce 2021</w:t>
      </w:r>
      <w:r w:rsidRPr="00D92E20">
        <w:t xml:space="preserve"> se ta</w:t>
      </w:r>
      <w:r>
        <w:t>to doba oproti předchozímu</w:t>
      </w:r>
      <w:r w:rsidRPr="00D92E20">
        <w:t xml:space="preserve"> roku z</w:t>
      </w:r>
      <w:r>
        <w:t>krátila</w:t>
      </w:r>
      <w:r w:rsidR="003E7652">
        <w:t xml:space="preserve"> z</w:t>
      </w:r>
      <w:r w:rsidRPr="00D92E20">
        <w:t>e </w:t>
      </w:r>
      <w:r w:rsidR="00857610">
        <w:t>37</w:t>
      </w:r>
      <w:r>
        <w:t>,4</w:t>
      </w:r>
      <w:r w:rsidRPr="00D92E20">
        <w:t xml:space="preserve"> dne na </w:t>
      </w:r>
      <w:r w:rsidR="00B1354B">
        <w:t>32,7</w:t>
      </w:r>
      <w:r w:rsidRPr="00D92E20">
        <w:t xml:space="preserve"> dne. </w:t>
      </w:r>
      <w:r w:rsidR="00857610">
        <w:t>Mezi prvními pololetími let 2020 a 2021 došlo k významnému poklesu, z 42,5 dn</w:t>
      </w:r>
      <w:r w:rsidR="00B1354B">
        <w:t>e, na 34,8</w:t>
      </w:r>
      <w:r w:rsidR="00857610">
        <w:t xml:space="preserve"> dne.</w:t>
      </w:r>
      <w:r w:rsidRPr="00D92E20">
        <w:t xml:space="preserve"> Dá se říci, že </w:t>
      </w:r>
      <w:r w:rsidR="00C1447E">
        <w:t>bezprecedentně narostlo zastoupení</w:t>
      </w:r>
      <w:r w:rsidRPr="00D92E20">
        <w:t xml:space="preserve"> krátkodobých pracovních neschopností </w:t>
      </w:r>
      <w:r w:rsidR="00857610">
        <w:t>kvůli</w:t>
      </w:r>
      <w:r w:rsidRPr="00D92E20">
        <w:t xml:space="preserve"> nemoci</w:t>
      </w:r>
      <w:r>
        <w:t>, tedy vč. neschopenek z důvodu karantén</w:t>
      </w:r>
      <w:r w:rsidRPr="00D92E20">
        <w:t>.</w:t>
      </w:r>
      <w:r w:rsidR="00B1354B">
        <w:t xml:space="preserve"> </w:t>
      </w:r>
      <w:r w:rsidR="001D17A2">
        <w:t xml:space="preserve">Během podzimu zasáhla republiku vlna epidemie, přičemž vrchol v počtu pozitivních případů nákazy za den </w:t>
      </w:r>
      <w:r w:rsidR="00BB7752">
        <w:t xml:space="preserve">překonal 27 tis. </w:t>
      </w:r>
      <w:r w:rsidR="00EB1DED">
        <w:t xml:space="preserve">Zkrácení průměrné délky trvání pracovní neschopnosti mezi druhými pololetími 2020 a 2021 již nebylo tak dramatické, protože </w:t>
      </w:r>
      <w:r w:rsidR="00BB7752">
        <w:t xml:space="preserve">průměrná doba na </w:t>
      </w:r>
      <w:r w:rsidR="00CB68DD">
        <w:t>neschopence</w:t>
      </w:r>
      <w:r w:rsidR="00BB7752">
        <w:t xml:space="preserve"> pro nemoc byla</w:t>
      </w:r>
      <w:r w:rsidR="00D50EF1">
        <w:t xml:space="preserve"> pandemií značně ovlivněná už </w:t>
      </w:r>
      <w:r w:rsidR="00BB7752">
        <w:t>v 2. pol. 2020. N</w:t>
      </w:r>
      <w:r w:rsidR="00EB1DED">
        <w:t xml:space="preserve">a podzim 2020 </w:t>
      </w:r>
      <w:r w:rsidR="00BB7752">
        <w:t xml:space="preserve">přibývalo více než 10 tis. nových případů nákazy covidem denně. </w:t>
      </w:r>
    </w:p>
    <w:p w14:paraId="1B5AACC0" w14:textId="77777777" w:rsidR="004930CE" w:rsidRDefault="004930CE">
      <w:pPr>
        <w:spacing w:after="0" w:line="240" w:lineRule="auto"/>
        <w:rPr>
          <w:b/>
        </w:rPr>
      </w:pPr>
      <w:r>
        <w:rPr>
          <w:b/>
        </w:rPr>
        <w:br w:type="page"/>
      </w:r>
    </w:p>
    <w:p w14:paraId="2A6E1FFE" w14:textId="6DA62EB4" w:rsidR="007C679E" w:rsidRPr="00B1354B" w:rsidRDefault="00B1354B" w:rsidP="004930CE">
      <w:pPr>
        <w:spacing w:before="120" w:after="0"/>
        <w:jc w:val="both"/>
        <w:rPr>
          <w:b/>
        </w:rPr>
      </w:pPr>
      <w:r w:rsidRPr="00B1354B">
        <w:rPr>
          <w:b/>
        </w:rPr>
        <w:lastRenderedPageBreak/>
        <w:t>Graf 2.8: Průměrná délka trvání dočasné pracovní neschopnosti pro nemoc, 2015–2021</w:t>
      </w:r>
    </w:p>
    <w:p w14:paraId="5DCE0D7E" w14:textId="77777777" w:rsidR="00896E98" w:rsidRPr="00D92E20" w:rsidRDefault="00B1354B" w:rsidP="008F77F4">
      <w:pPr>
        <w:spacing w:before="120" w:after="120"/>
        <w:jc w:val="both"/>
        <w:rPr>
          <w:rFonts w:cs="Arial"/>
          <w:color w:val="000000"/>
          <w:szCs w:val="16"/>
        </w:rPr>
      </w:pPr>
      <w:r>
        <w:rPr>
          <w:noProof/>
        </w:rPr>
        <w:drawing>
          <wp:inline distT="0" distB="0" distL="0" distR="0" wp14:anchorId="51E7F3B2" wp14:editId="28BE6797">
            <wp:extent cx="6134100" cy="2838450"/>
            <wp:effectExtent l="0" t="0" r="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4E879C8" w14:textId="77777777" w:rsidR="00B1354B" w:rsidRPr="00D92E20" w:rsidRDefault="00B1354B" w:rsidP="00B1354B">
      <w:pPr>
        <w:spacing w:before="120" w:after="120"/>
        <w:rPr>
          <w:sz w:val="16"/>
        </w:rPr>
      </w:pPr>
      <w:r w:rsidRPr="00D92E20">
        <w:rPr>
          <w:sz w:val="16"/>
        </w:rPr>
        <w:t>Zdroj: ČSÚ</w:t>
      </w:r>
    </w:p>
    <w:p w14:paraId="2594D3C9" w14:textId="08E928F0" w:rsidR="00B1354B" w:rsidRPr="00D92E20" w:rsidRDefault="00B1354B" w:rsidP="00B1354B">
      <w:pPr>
        <w:jc w:val="both"/>
      </w:pPr>
      <w:r w:rsidRPr="00D92E20">
        <w:t>Průměrná délka trvání jednoho případu pracovní neschopnosti ať už pro nemoc či úraz meziročně klesla o </w:t>
      </w:r>
      <w:r>
        <w:t>5</w:t>
      </w:r>
      <w:r w:rsidRPr="00D92E20">
        <w:t> dn</w:t>
      </w:r>
      <w:r>
        <w:t>ů</w:t>
      </w:r>
      <w:r w:rsidRPr="00D92E20">
        <w:t xml:space="preserve">. Ze </w:t>
      </w:r>
      <w:r>
        <w:t>39</w:t>
      </w:r>
      <w:r w:rsidRPr="00D92E20">
        <w:t>,4 dne v roce 20</w:t>
      </w:r>
      <w:r>
        <w:t>20</w:t>
      </w:r>
      <w:r w:rsidRPr="00D92E20">
        <w:t xml:space="preserve"> na </w:t>
      </w:r>
      <w:r>
        <w:t>34,5</w:t>
      </w:r>
      <w:r w:rsidRPr="00D92E20">
        <w:t xml:space="preserve"> dne v roce 202</w:t>
      </w:r>
      <w:r>
        <w:t>1</w:t>
      </w:r>
      <w:r w:rsidRPr="00D92E20">
        <w:t>.</w:t>
      </w:r>
      <w:r>
        <w:t xml:space="preserve"> Jedná se o </w:t>
      </w:r>
      <w:r w:rsidR="00495305">
        <w:t xml:space="preserve">největší </w:t>
      </w:r>
      <w:r>
        <w:t>pokles za posledních 10 let a současně je to nejnižší hodnota za uplynulou dekádu.</w:t>
      </w:r>
      <w:r w:rsidRPr="00D92E20">
        <w:t xml:space="preserve"> </w:t>
      </w:r>
      <w:r w:rsidRPr="00D92E20">
        <w:rPr>
          <w:b/>
        </w:rPr>
        <w:t>Nemoc</w:t>
      </w:r>
      <w:r w:rsidRPr="00D92E20">
        <w:t xml:space="preserve"> v roce 202</w:t>
      </w:r>
      <w:r>
        <w:t>1</w:t>
      </w:r>
      <w:r w:rsidRPr="00D92E20">
        <w:t xml:space="preserve"> způsobila pracovní neschopnost o </w:t>
      </w:r>
      <w:r>
        <w:t xml:space="preserve">již zmíněné </w:t>
      </w:r>
      <w:r w:rsidRPr="00D92E20">
        <w:t>průměrné délce 3</w:t>
      </w:r>
      <w:r>
        <w:t>3</w:t>
      </w:r>
      <w:r w:rsidRPr="00D92E20">
        <w:t xml:space="preserve"> dnů, neschopnost pro </w:t>
      </w:r>
      <w:r w:rsidRPr="00D92E20">
        <w:rPr>
          <w:b/>
        </w:rPr>
        <w:t>pracovní i mimopracovní úraz</w:t>
      </w:r>
      <w:r>
        <w:t xml:space="preserve"> trvala </w:t>
      </w:r>
      <w:r w:rsidR="004B4ABA">
        <w:t>zhruba</w:t>
      </w:r>
      <w:r>
        <w:t xml:space="preserve"> o 24</w:t>
      </w:r>
      <w:r w:rsidR="00ED6587">
        <w:t> </w:t>
      </w:r>
      <w:r w:rsidRPr="00D92E20">
        <w:t>dnů déle.</w:t>
      </w:r>
    </w:p>
    <w:p w14:paraId="598D8F99" w14:textId="77777777" w:rsidR="00361897" w:rsidRPr="00B1354B" w:rsidRDefault="00B1354B" w:rsidP="00F77360">
      <w:pPr>
        <w:spacing w:before="120" w:after="0"/>
        <w:jc w:val="both"/>
        <w:rPr>
          <w:b/>
          <w:bCs/>
        </w:rPr>
      </w:pPr>
      <w:r w:rsidRPr="00B1354B">
        <w:rPr>
          <w:b/>
          <w:bCs/>
        </w:rPr>
        <w:t>Tab. 2.5: Průměrná délka trvání dočasné pracovní neschopnosti podle pohlaví, 2011–2021</w:t>
      </w:r>
    </w:p>
    <w:tbl>
      <w:tblPr>
        <w:tblW w:w="9638" w:type="dxa"/>
        <w:tblCellMar>
          <w:left w:w="70" w:type="dxa"/>
          <w:right w:w="70" w:type="dxa"/>
        </w:tblCellMar>
        <w:tblLook w:val="04A0" w:firstRow="1" w:lastRow="0" w:firstColumn="1" w:lastColumn="0" w:noHBand="0" w:noVBand="1"/>
      </w:tblPr>
      <w:tblGrid>
        <w:gridCol w:w="907"/>
        <w:gridCol w:w="794"/>
        <w:gridCol w:w="794"/>
        <w:gridCol w:w="794"/>
        <w:gridCol w:w="794"/>
        <w:gridCol w:w="794"/>
        <w:gridCol w:w="794"/>
        <w:gridCol w:w="794"/>
        <w:gridCol w:w="794"/>
        <w:gridCol w:w="794"/>
        <w:gridCol w:w="794"/>
        <w:gridCol w:w="791"/>
      </w:tblGrid>
      <w:tr w:rsidR="00B1354B" w:rsidRPr="00D92E20" w14:paraId="11991EEA" w14:textId="77777777" w:rsidTr="00B1354B">
        <w:trPr>
          <w:trHeight w:val="300"/>
        </w:trPr>
        <w:tc>
          <w:tcPr>
            <w:tcW w:w="907" w:type="dxa"/>
            <w:tcBorders>
              <w:top w:val="single" w:sz="4" w:space="0" w:color="auto"/>
              <w:left w:val="nil"/>
              <w:bottom w:val="single" w:sz="4" w:space="0" w:color="auto"/>
              <w:right w:val="single" w:sz="4" w:space="0" w:color="auto"/>
            </w:tcBorders>
            <w:shd w:val="clear" w:color="000000" w:fill="F5DADD"/>
            <w:vAlign w:val="center"/>
            <w:hideMark/>
          </w:tcPr>
          <w:p w14:paraId="26CAC8A9" w14:textId="77777777" w:rsidR="00B1354B" w:rsidRPr="00D92E20" w:rsidRDefault="00B1354B" w:rsidP="00B1354B">
            <w:pPr>
              <w:spacing w:after="0" w:line="240" w:lineRule="auto"/>
              <w:jc w:val="center"/>
              <w:rPr>
                <w:rFonts w:cs="Arial"/>
                <w:sz w:val="16"/>
                <w:szCs w:val="16"/>
              </w:rPr>
            </w:pPr>
            <w:r w:rsidRPr="00D92E20">
              <w:rPr>
                <w:rFonts w:cs="Arial"/>
                <w:sz w:val="16"/>
                <w:szCs w:val="16"/>
              </w:rPr>
              <w:t>Rok</w:t>
            </w:r>
          </w:p>
        </w:tc>
        <w:tc>
          <w:tcPr>
            <w:tcW w:w="794" w:type="dxa"/>
            <w:tcBorders>
              <w:top w:val="single" w:sz="4" w:space="0" w:color="auto"/>
              <w:left w:val="nil"/>
              <w:bottom w:val="single" w:sz="4" w:space="0" w:color="auto"/>
              <w:right w:val="nil"/>
            </w:tcBorders>
            <w:shd w:val="clear" w:color="000000" w:fill="F5DADD"/>
            <w:vAlign w:val="center"/>
            <w:hideMark/>
          </w:tcPr>
          <w:p w14:paraId="4C80BA55" w14:textId="77777777" w:rsidR="00B1354B" w:rsidRPr="00D92E20" w:rsidRDefault="00B1354B" w:rsidP="00B1354B">
            <w:pPr>
              <w:spacing w:after="0" w:line="240" w:lineRule="auto"/>
              <w:jc w:val="center"/>
              <w:rPr>
                <w:rFonts w:cs="Arial"/>
                <w:sz w:val="16"/>
                <w:szCs w:val="16"/>
              </w:rPr>
            </w:pPr>
            <w:r w:rsidRPr="00D92E20">
              <w:rPr>
                <w:rFonts w:cs="Arial"/>
                <w:sz w:val="16"/>
                <w:szCs w:val="16"/>
              </w:rPr>
              <w:t>2011</w:t>
            </w:r>
          </w:p>
        </w:tc>
        <w:tc>
          <w:tcPr>
            <w:tcW w:w="794" w:type="dxa"/>
            <w:tcBorders>
              <w:top w:val="single" w:sz="4" w:space="0" w:color="auto"/>
              <w:left w:val="nil"/>
              <w:bottom w:val="single" w:sz="4" w:space="0" w:color="auto"/>
              <w:right w:val="nil"/>
            </w:tcBorders>
            <w:shd w:val="clear" w:color="000000" w:fill="F5DADD"/>
            <w:vAlign w:val="center"/>
            <w:hideMark/>
          </w:tcPr>
          <w:p w14:paraId="01793EE7" w14:textId="77777777" w:rsidR="00B1354B" w:rsidRPr="00D92E20" w:rsidRDefault="00B1354B" w:rsidP="00B1354B">
            <w:pPr>
              <w:spacing w:after="0" w:line="240" w:lineRule="auto"/>
              <w:jc w:val="center"/>
              <w:rPr>
                <w:rFonts w:cs="Arial"/>
                <w:sz w:val="16"/>
                <w:szCs w:val="16"/>
              </w:rPr>
            </w:pPr>
            <w:r w:rsidRPr="00D92E20">
              <w:rPr>
                <w:rFonts w:cs="Arial"/>
                <w:sz w:val="16"/>
                <w:szCs w:val="16"/>
              </w:rPr>
              <w:t>2012</w:t>
            </w:r>
          </w:p>
        </w:tc>
        <w:tc>
          <w:tcPr>
            <w:tcW w:w="794" w:type="dxa"/>
            <w:tcBorders>
              <w:top w:val="single" w:sz="4" w:space="0" w:color="auto"/>
              <w:left w:val="nil"/>
              <w:bottom w:val="single" w:sz="4" w:space="0" w:color="auto"/>
              <w:right w:val="nil"/>
            </w:tcBorders>
            <w:shd w:val="clear" w:color="000000" w:fill="F5DADD"/>
            <w:vAlign w:val="center"/>
            <w:hideMark/>
          </w:tcPr>
          <w:p w14:paraId="236EC63D" w14:textId="77777777" w:rsidR="00B1354B" w:rsidRPr="00D92E20" w:rsidRDefault="00B1354B" w:rsidP="00B1354B">
            <w:pPr>
              <w:spacing w:after="0" w:line="240" w:lineRule="auto"/>
              <w:jc w:val="center"/>
              <w:rPr>
                <w:rFonts w:cs="Arial"/>
                <w:sz w:val="16"/>
                <w:szCs w:val="16"/>
              </w:rPr>
            </w:pPr>
            <w:r w:rsidRPr="00D92E20">
              <w:rPr>
                <w:rFonts w:cs="Arial"/>
                <w:sz w:val="16"/>
                <w:szCs w:val="16"/>
              </w:rPr>
              <w:t>2013</w:t>
            </w:r>
          </w:p>
        </w:tc>
        <w:tc>
          <w:tcPr>
            <w:tcW w:w="794" w:type="dxa"/>
            <w:tcBorders>
              <w:top w:val="single" w:sz="4" w:space="0" w:color="auto"/>
              <w:left w:val="nil"/>
              <w:bottom w:val="single" w:sz="4" w:space="0" w:color="auto"/>
              <w:right w:val="nil"/>
            </w:tcBorders>
            <w:shd w:val="clear" w:color="000000" w:fill="F5DADD"/>
            <w:vAlign w:val="center"/>
            <w:hideMark/>
          </w:tcPr>
          <w:p w14:paraId="6BB7CCFA" w14:textId="77777777" w:rsidR="00B1354B" w:rsidRPr="00D92E20" w:rsidRDefault="00B1354B" w:rsidP="00B1354B">
            <w:pPr>
              <w:spacing w:after="0" w:line="240" w:lineRule="auto"/>
              <w:jc w:val="center"/>
              <w:rPr>
                <w:rFonts w:cs="Arial"/>
                <w:sz w:val="16"/>
                <w:szCs w:val="16"/>
              </w:rPr>
            </w:pPr>
            <w:r w:rsidRPr="00D92E20">
              <w:rPr>
                <w:rFonts w:cs="Arial"/>
                <w:sz w:val="16"/>
                <w:szCs w:val="16"/>
              </w:rPr>
              <w:t>2014</w:t>
            </w:r>
          </w:p>
        </w:tc>
        <w:tc>
          <w:tcPr>
            <w:tcW w:w="794" w:type="dxa"/>
            <w:tcBorders>
              <w:top w:val="single" w:sz="4" w:space="0" w:color="auto"/>
              <w:left w:val="nil"/>
              <w:bottom w:val="single" w:sz="4" w:space="0" w:color="auto"/>
              <w:right w:val="nil"/>
            </w:tcBorders>
            <w:shd w:val="clear" w:color="000000" w:fill="F5DADD"/>
            <w:vAlign w:val="center"/>
            <w:hideMark/>
          </w:tcPr>
          <w:p w14:paraId="053F8EB8" w14:textId="77777777" w:rsidR="00B1354B" w:rsidRPr="00D92E20" w:rsidRDefault="00B1354B" w:rsidP="00B1354B">
            <w:pPr>
              <w:spacing w:after="0" w:line="240" w:lineRule="auto"/>
              <w:jc w:val="center"/>
              <w:rPr>
                <w:rFonts w:cs="Arial"/>
                <w:sz w:val="16"/>
                <w:szCs w:val="16"/>
              </w:rPr>
            </w:pPr>
            <w:r w:rsidRPr="00D92E20">
              <w:rPr>
                <w:rFonts w:cs="Arial"/>
                <w:sz w:val="16"/>
                <w:szCs w:val="16"/>
              </w:rPr>
              <w:t>2015</w:t>
            </w:r>
          </w:p>
        </w:tc>
        <w:tc>
          <w:tcPr>
            <w:tcW w:w="794" w:type="dxa"/>
            <w:tcBorders>
              <w:top w:val="single" w:sz="4" w:space="0" w:color="auto"/>
              <w:left w:val="nil"/>
              <w:bottom w:val="single" w:sz="4" w:space="0" w:color="auto"/>
              <w:right w:val="nil"/>
            </w:tcBorders>
            <w:shd w:val="clear" w:color="000000" w:fill="F5DADD"/>
            <w:vAlign w:val="center"/>
            <w:hideMark/>
          </w:tcPr>
          <w:p w14:paraId="7252D653" w14:textId="77777777" w:rsidR="00B1354B" w:rsidRPr="00D92E20" w:rsidRDefault="00B1354B" w:rsidP="00B1354B">
            <w:pPr>
              <w:spacing w:after="0" w:line="240" w:lineRule="auto"/>
              <w:jc w:val="center"/>
              <w:rPr>
                <w:rFonts w:cs="Arial"/>
                <w:sz w:val="16"/>
                <w:szCs w:val="16"/>
              </w:rPr>
            </w:pPr>
            <w:r w:rsidRPr="00D92E20">
              <w:rPr>
                <w:rFonts w:cs="Arial"/>
                <w:sz w:val="16"/>
                <w:szCs w:val="16"/>
              </w:rPr>
              <w:t>2016</w:t>
            </w:r>
          </w:p>
        </w:tc>
        <w:tc>
          <w:tcPr>
            <w:tcW w:w="794" w:type="dxa"/>
            <w:tcBorders>
              <w:top w:val="single" w:sz="4" w:space="0" w:color="auto"/>
              <w:left w:val="nil"/>
              <w:bottom w:val="single" w:sz="4" w:space="0" w:color="auto"/>
              <w:right w:val="nil"/>
            </w:tcBorders>
            <w:shd w:val="clear" w:color="000000" w:fill="F5DADD"/>
            <w:vAlign w:val="center"/>
            <w:hideMark/>
          </w:tcPr>
          <w:p w14:paraId="6EF511CE" w14:textId="77777777" w:rsidR="00B1354B" w:rsidRPr="00D92E20" w:rsidRDefault="00B1354B" w:rsidP="00B1354B">
            <w:pPr>
              <w:spacing w:after="0" w:line="240" w:lineRule="auto"/>
              <w:jc w:val="center"/>
              <w:rPr>
                <w:rFonts w:cs="Arial"/>
                <w:sz w:val="16"/>
                <w:szCs w:val="16"/>
              </w:rPr>
            </w:pPr>
            <w:r w:rsidRPr="00D92E20">
              <w:rPr>
                <w:rFonts w:cs="Arial"/>
                <w:sz w:val="16"/>
                <w:szCs w:val="16"/>
              </w:rPr>
              <w:t>2017</w:t>
            </w:r>
          </w:p>
        </w:tc>
        <w:tc>
          <w:tcPr>
            <w:tcW w:w="794" w:type="dxa"/>
            <w:tcBorders>
              <w:top w:val="single" w:sz="4" w:space="0" w:color="auto"/>
              <w:left w:val="nil"/>
              <w:bottom w:val="single" w:sz="4" w:space="0" w:color="auto"/>
              <w:right w:val="nil"/>
            </w:tcBorders>
            <w:shd w:val="clear" w:color="000000" w:fill="F5DADD"/>
            <w:vAlign w:val="center"/>
            <w:hideMark/>
          </w:tcPr>
          <w:p w14:paraId="4AB8FC27" w14:textId="77777777" w:rsidR="00B1354B" w:rsidRPr="00D92E20" w:rsidRDefault="00B1354B" w:rsidP="00B1354B">
            <w:pPr>
              <w:spacing w:after="0" w:line="240" w:lineRule="auto"/>
              <w:jc w:val="center"/>
              <w:rPr>
                <w:rFonts w:cs="Arial"/>
                <w:sz w:val="16"/>
                <w:szCs w:val="16"/>
              </w:rPr>
            </w:pPr>
            <w:r w:rsidRPr="00D92E20">
              <w:rPr>
                <w:rFonts w:cs="Arial"/>
                <w:sz w:val="16"/>
                <w:szCs w:val="16"/>
              </w:rPr>
              <w:t>2018</w:t>
            </w:r>
          </w:p>
        </w:tc>
        <w:tc>
          <w:tcPr>
            <w:tcW w:w="794" w:type="dxa"/>
            <w:tcBorders>
              <w:top w:val="single" w:sz="4" w:space="0" w:color="auto"/>
              <w:left w:val="nil"/>
              <w:bottom w:val="single" w:sz="4" w:space="0" w:color="auto"/>
              <w:right w:val="nil"/>
            </w:tcBorders>
            <w:shd w:val="clear" w:color="000000" w:fill="F5DADD"/>
            <w:vAlign w:val="center"/>
            <w:hideMark/>
          </w:tcPr>
          <w:p w14:paraId="35AE48CC" w14:textId="77777777" w:rsidR="00B1354B" w:rsidRPr="00D92E20" w:rsidRDefault="00B1354B" w:rsidP="00B1354B">
            <w:pPr>
              <w:spacing w:after="0" w:line="240" w:lineRule="auto"/>
              <w:jc w:val="center"/>
              <w:rPr>
                <w:rFonts w:cs="Arial"/>
                <w:sz w:val="16"/>
                <w:szCs w:val="16"/>
              </w:rPr>
            </w:pPr>
            <w:r w:rsidRPr="00D92E20">
              <w:rPr>
                <w:rFonts w:cs="Arial"/>
                <w:sz w:val="16"/>
                <w:szCs w:val="16"/>
              </w:rPr>
              <w:t>2019</w:t>
            </w:r>
          </w:p>
        </w:tc>
        <w:tc>
          <w:tcPr>
            <w:tcW w:w="794" w:type="dxa"/>
            <w:tcBorders>
              <w:top w:val="single" w:sz="4" w:space="0" w:color="auto"/>
              <w:left w:val="nil"/>
              <w:bottom w:val="single" w:sz="4" w:space="0" w:color="auto"/>
              <w:right w:val="nil"/>
            </w:tcBorders>
            <w:shd w:val="clear" w:color="000000" w:fill="F5DADD"/>
            <w:vAlign w:val="center"/>
            <w:hideMark/>
          </w:tcPr>
          <w:p w14:paraId="7A2B91C6" w14:textId="77777777" w:rsidR="00B1354B" w:rsidRPr="00D92E20" w:rsidRDefault="00B1354B" w:rsidP="00B1354B">
            <w:pPr>
              <w:spacing w:after="0" w:line="240" w:lineRule="auto"/>
              <w:jc w:val="center"/>
              <w:rPr>
                <w:rFonts w:cs="Arial"/>
                <w:sz w:val="16"/>
                <w:szCs w:val="16"/>
              </w:rPr>
            </w:pPr>
            <w:r w:rsidRPr="00D92E20">
              <w:rPr>
                <w:rFonts w:cs="Arial"/>
                <w:sz w:val="16"/>
                <w:szCs w:val="16"/>
              </w:rPr>
              <w:t>2020</w:t>
            </w:r>
          </w:p>
        </w:tc>
        <w:tc>
          <w:tcPr>
            <w:tcW w:w="791" w:type="dxa"/>
            <w:tcBorders>
              <w:top w:val="single" w:sz="4" w:space="0" w:color="auto"/>
              <w:left w:val="nil"/>
              <w:bottom w:val="single" w:sz="4" w:space="0" w:color="auto"/>
              <w:right w:val="nil"/>
            </w:tcBorders>
            <w:shd w:val="clear" w:color="000000" w:fill="F5DADD"/>
            <w:vAlign w:val="center"/>
          </w:tcPr>
          <w:p w14:paraId="748446B2" w14:textId="77777777" w:rsidR="00B1354B" w:rsidRPr="00D92E20" w:rsidRDefault="00B1354B" w:rsidP="00B1354B">
            <w:pPr>
              <w:spacing w:after="0" w:line="240" w:lineRule="auto"/>
              <w:jc w:val="center"/>
              <w:rPr>
                <w:rFonts w:cs="Arial"/>
                <w:sz w:val="16"/>
                <w:szCs w:val="16"/>
              </w:rPr>
            </w:pPr>
            <w:r>
              <w:rPr>
                <w:rFonts w:cs="Arial"/>
                <w:sz w:val="16"/>
                <w:szCs w:val="16"/>
              </w:rPr>
              <w:t>2021</w:t>
            </w:r>
          </w:p>
        </w:tc>
      </w:tr>
      <w:tr w:rsidR="00B1354B" w:rsidRPr="00D92E20" w14:paraId="6BEEBA54" w14:textId="77777777" w:rsidTr="00B1354B">
        <w:trPr>
          <w:trHeight w:val="300"/>
        </w:trPr>
        <w:tc>
          <w:tcPr>
            <w:tcW w:w="907" w:type="dxa"/>
            <w:tcBorders>
              <w:top w:val="nil"/>
              <w:left w:val="nil"/>
              <w:bottom w:val="nil"/>
              <w:right w:val="single" w:sz="4" w:space="0" w:color="auto"/>
            </w:tcBorders>
            <w:shd w:val="clear" w:color="auto" w:fill="auto"/>
            <w:noWrap/>
            <w:vAlign w:val="center"/>
            <w:hideMark/>
          </w:tcPr>
          <w:p w14:paraId="3A43C16A" w14:textId="77777777" w:rsidR="00B1354B" w:rsidRPr="00D92E20" w:rsidRDefault="00B1354B" w:rsidP="00B1354B">
            <w:pPr>
              <w:spacing w:after="0" w:line="240" w:lineRule="auto"/>
              <w:rPr>
                <w:rFonts w:cs="Arial"/>
                <w:b/>
                <w:bCs/>
                <w:color w:val="000000"/>
                <w:sz w:val="16"/>
                <w:szCs w:val="16"/>
              </w:rPr>
            </w:pPr>
            <w:r w:rsidRPr="00D92E20">
              <w:rPr>
                <w:rFonts w:cs="Arial"/>
                <w:b/>
                <w:bCs/>
                <w:color w:val="000000"/>
                <w:sz w:val="16"/>
                <w:szCs w:val="16"/>
              </w:rPr>
              <w:t>Celkem</w:t>
            </w:r>
          </w:p>
        </w:tc>
        <w:tc>
          <w:tcPr>
            <w:tcW w:w="794" w:type="dxa"/>
            <w:tcBorders>
              <w:top w:val="nil"/>
              <w:left w:val="nil"/>
              <w:bottom w:val="nil"/>
              <w:right w:val="nil"/>
            </w:tcBorders>
            <w:shd w:val="clear" w:color="auto" w:fill="auto"/>
            <w:noWrap/>
            <w:vAlign w:val="center"/>
            <w:hideMark/>
          </w:tcPr>
          <w:p w14:paraId="545FC125" w14:textId="77777777" w:rsidR="00B1354B" w:rsidRPr="00D92E20" w:rsidRDefault="00B1354B" w:rsidP="00B1354B">
            <w:pPr>
              <w:spacing w:after="0" w:line="240" w:lineRule="auto"/>
              <w:jc w:val="center"/>
              <w:rPr>
                <w:rFonts w:cs="Arial"/>
                <w:b/>
                <w:bCs/>
                <w:color w:val="000000"/>
                <w:sz w:val="16"/>
                <w:szCs w:val="16"/>
              </w:rPr>
            </w:pPr>
            <w:r w:rsidRPr="00D92E20">
              <w:rPr>
                <w:rFonts w:cs="Arial"/>
                <w:b/>
                <w:bCs/>
                <w:color w:val="000000"/>
                <w:sz w:val="16"/>
                <w:szCs w:val="16"/>
              </w:rPr>
              <w:t>44,1</w:t>
            </w:r>
          </w:p>
        </w:tc>
        <w:tc>
          <w:tcPr>
            <w:tcW w:w="794" w:type="dxa"/>
            <w:tcBorders>
              <w:top w:val="nil"/>
              <w:left w:val="nil"/>
              <w:bottom w:val="nil"/>
              <w:right w:val="nil"/>
            </w:tcBorders>
            <w:shd w:val="clear" w:color="auto" w:fill="auto"/>
            <w:noWrap/>
            <w:vAlign w:val="center"/>
            <w:hideMark/>
          </w:tcPr>
          <w:p w14:paraId="788186C6" w14:textId="77777777" w:rsidR="00B1354B" w:rsidRPr="00D92E20" w:rsidRDefault="00B1354B" w:rsidP="00B1354B">
            <w:pPr>
              <w:spacing w:after="0" w:line="240" w:lineRule="auto"/>
              <w:jc w:val="center"/>
              <w:rPr>
                <w:rFonts w:cs="Arial"/>
                <w:b/>
                <w:bCs/>
                <w:color w:val="000000"/>
                <w:sz w:val="16"/>
                <w:szCs w:val="16"/>
              </w:rPr>
            </w:pPr>
            <w:r w:rsidRPr="00D92E20">
              <w:rPr>
                <w:rFonts w:cs="Arial"/>
                <w:b/>
                <w:bCs/>
                <w:color w:val="000000"/>
                <w:sz w:val="16"/>
                <w:szCs w:val="16"/>
              </w:rPr>
              <w:t>46,1</w:t>
            </w:r>
          </w:p>
        </w:tc>
        <w:tc>
          <w:tcPr>
            <w:tcW w:w="794" w:type="dxa"/>
            <w:tcBorders>
              <w:top w:val="nil"/>
              <w:left w:val="nil"/>
              <w:bottom w:val="nil"/>
              <w:right w:val="nil"/>
            </w:tcBorders>
            <w:shd w:val="clear" w:color="auto" w:fill="auto"/>
            <w:noWrap/>
            <w:vAlign w:val="center"/>
            <w:hideMark/>
          </w:tcPr>
          <w:p w14:paraId="1C1C4E12" w14:textId="77777777" w:rsidR="00B1354B" w:rsidRPr="00D92E20" w:rsidRDefault="00B1354B" w:rsidP="00B1354B">
            <w:pPr>
              <w:spacing w:after="0" w:line="240" w:lineRule="auto"/>
              <w:jc w:val="center"/>
              <w:rPr>
                <w:rFonts w:cs="Arial"/>
                <w:b/>
                <w:bCs/>
                <w:color w:val="000000"/>
                <w:sz w:val="16"/>
                <w:szCs w:val="16"/>
              </w:rPr>
            </w:pPr>
            <w:r w:rsidRPr="00D92E20">
              <w:rPr>
                <w:rFonts w:cs="Arial"/>
                <w:b/>
                <w:bCs/>
                <w:color w:val="000000"/>
                <w:sz w:val="16"/>
                <w:szCs w:val="16"/>
              </w:rPr>
              <w:t>44,0</w:t>
            </w:r>
          </w:p>
        </w:tc>
        <w:tc>
          <w:tcPr>
            <w:tcW w:w="794" w:type="dxa"/>
            <w:tcBorders>
              <w:top w:val="nil"/>
              <w:left w:val="nil"/>
              <w:bottom w:val="nil"/>
              <w:right w:val="nil"/>
            </w:tcBorders>
            <w:shd w:val="clear" w:color="auto" w:fill="auto"/>
            <w:noWrap/>
            <w:vAlign w:val="center"/>
            <w:hideMark/>
          </w:tcPr>
          <w:p w14:paraId="04EBD100" w14:textId="77777777" w:rsidR="00B1354B" w:rsidRPr="00D92E20" w:rsidRDefault="00B1354B" w:rsidP="00B1354B">
            <w:pPr>
              <w:spacing w:after="0" w:line="240" w:lineRule="auto"/>
              <w:jc w:val="center"/>
              <w:rPr>
                <w:rFonts w:cs="Arial"/>
                <w:b/>
                <w:bCs/>
                <w:color w:val="000000"/>
                <w:sz w:val="16"/>
                <w:szCs w:val="16"/>
              </w:rPr>
            </w:pPr>
            <w:r w:rsidRPr="00D92E20">
              <w:rPr>
                <w:rFonts w:cs="Arial"/>
                <w:b/>
                <w:bCs/>
                <w:color w:val="000000"/>
                <w:sz w:val="16"/>
                <w:szCs w:val="16"/>
              </w:rPr>
              <w:t>45,8</w:t>
            </w:r>
          </w:p>
        </w:tc>
        <w:tc>
          <w:tcPr>
            <w:tcW w:w="794" w:type="dxa"/>
            <w:tcBorders>
              <w:top w:val="nil"/>
              <w:left w:val="nil"/>
              <w:bottom w:val="nil"/>
              <w:right w:val="nil"/>
            </w:tcBorders>
            <w:shd w:val="clear" w:color="auto" w:fill="auto"/>
            <w:noWrap/>
            <w:vAlign w:val="center"/>
            <w:hideMark/>
          </w:tcPr>
          <w:p w14:paraId="65BD92E9" w14:textId="77777777" w:rsidR="00B1354B" w:rsidRPr="00D92E20" w:rsidRDefault="00B1354B" w:rsidP="00B1354B">
            <w:pPr>
              <w:spacing w:after="0" w:line="240" w:lineRule="auto"/>
              <w:jc w:val="center"/>
              <w:rPr>
                <w:rFonts w:cs="Arial"/>
                <w:b/>
                <w:bCs/>
                <w:color w:val="000000"/>
                <w:sz w:val="16"/>
                <w:szCs w:val="16"/>
              </w:rPr>
            </w:pPr>
            <w:r w:rsidRPr="00D92E20">
              <w:rPr>
                <w:rFonts w:cs="Arial"/>
                <w:b/>
                <w:bCs/>
                <w:color w:val="000000"/>
                <w:sz w:val="16"/>
                <w:szCs w:val="16"/>
              </w:rPr>
              <w:t>42,7</w:t>
            </w:r>
          </w:p>
        </w:tc>
        <w:tc>
          <w:tcPr>
            <w:tcW w:w="794" w:type="dxa"/>
            <w:tcBorders>
              <w:top w:val="nil"/>
              <w:left w:val="nil"/>
              <w:bottom w:val="nil"/>
              <w:right w:val="nil"/>
            </w:tcBorders>
            <w:shd w:val="clear" w:color="auto" w:fill="auto"/>
            <w:noWrap/>
            <w:vAlign w:val="center"/>
            <w:hideMark/>
          </w:tcPr>
          <w:p w14:paraId="34B9F167" w14:textId="77777777" w:rsidR="00B1354B" w:rsidRPr="00D92E20" w:rsidRDefault="00B1354B" w:rsidP="00B1354B">
            <w:pPr>
              <w:spacing w:after="0" w:line="240" w:lineRule="auto"/>
              <w:jc w:val="center"/>
              <w:rPr>
                <w:rFonts w:cs="Arial"/>
                <w:b/>
                <w:bCs/>
                <w:color w:val="000000"/>
                <w:sz w:val="16"/>
                <w:szCs w:val="16"/>
              </w:rPr>
            </w:pPr>
            <w:r w:rsidRPr="00D92E20">
              <w:rPr>
                <w:rFonts w:cs="Arial"/>
                <w:b/>
                <w:bCs/>
                <w:color w:val="000000"/>
                <w:sz w:val="16"/>
                <w:szCs w:val="16"/>
              </w:rPr>
              <w:t>43,0</w:t>
            </w:r>
          </w:p>
        </w:tc>
        <w:tc>
          <w:tcPr>
            <w:tcW w:w="794" w:type="dxa"/>
            <w:tcBorders>
              <w:top w:val="nil"/>
              <w:left w:val="nil"/>
              <w:bottom w:val="nil"/>
              <w:right w:val="nil"/>
            </w:tcBorders>
            <w:shd w:val="clear" w:color="auto" w:fill="auto"/>
            <w:noWrap/>
            <w:vAlign w:val="center"/>
            <w:hideMark/>
          </w:tcPr>
          <w:p w14:paraId="5C6EC074" w14:textId="77777777" w:rsidR="00B1354B" w:rsidRPr="00D92E20" w:rsidRDefault="00B1354B" w:rsidP="00B1354B">
            <w:pPr>
              <w:spacing w:after="0" w:line="240" w:lineRule="auto"/>
              <w:jc w:val="center"/>
              <w:rPr>
                <w:rFonts w:cs="Arial"/>
                <w:b/>
                <w:bCs/>
                <w:color w:val="000000"/>
                <w:sz w:val="16"/>
                <w:szCs w:val="16"/>
              </w:rPr>
            </w:pPr>
            <w:r w:rsidRPr="00D92E20">
              <w:rPr>
                <w:rFonts w:cs="Arial"/>
                <w:b/>
                <w:bCs/>
                <w:color w:val="000000"/>
                <w:sz w:val="16"/>
                <w:szCs w:val="16"/>
              </w:rPr>
              <w:t>42,6</w:t>
            </w:r>
          </w:p>
        </w:tc>
        <w:tc>
          <w:tcPr>
            <w:tcW w:w="794" w:type="dxa"/>
            <w:tcBorders>
              <w:top w:val="nil"/>
              <w:left w:val="nil"/>
              <w:bottom w:val="nil"/>
              <w:right w:val="nil"/>
            </w:tcBorders>
            <w:shd w:val="clear" w:color="auto" w:fill="auto"/>
            <w:noWrap/>
            <w:vAlign w:val="center"/>
            <w:hideMark/>
          </w:tcPr>
          <w:p w14:paraId="1FD9F949" w14:textId="77777777" w:rsidR="00B1354B" w:rsidRPr="00D92E20" w:rsidRDefault="00B1354B" w:rsidP="00B1354B">
            <w:pPr>
              <w:spacing w:after="0" w:line="240" w:lineRule="auto"/>
              <w:jc w:val="center"/>
              <w:rPr>
                <w:rFonts w:cs="Arial"/>
                <w:b/>
                <w:bCs/>
                <w:color w:val="000000"/>
                <w:sz w:val="16"/>
                <w:szCs w:val="16"/>
              </w:rPr>
            </w:pPr>
            <w:r w:rsidRPr="00D92E20">
              <w:rPr>
                <w:rFonts w:cs="Arial"/>
                <w:b/>
                <w:bCs/>
                <w:color w:val="000000"/>
                <w:sz w:val="16"/>
                <w:szCs w:val="16"/>
              </w:rPr>
              <w:t>41,7</w:t>
            </w:r>
          </w:p>
        </w:tc>
        <w:tc>
          <w:tcPr>
            <w:tcW w:w="794" w:type="dxa"/>
            <w:tcBorders>
              <w:top w:val="nil"/>
              <w:left w:val="nil"/>
              <w:bottom w:val="nil"/>
              <w:right w:val="nil"/>
            </w:tcBorders>
            <w:shd w:val="clear" w:color="auto" w:fill="auto"/>
            <w:noWrap/>
            <w:vAlign w:val="center"/>
            <w:hideMark/>
          </w:tcPr>
          <w:p w14:paraId="083D2284" w14:textId="77777777" w:rsidR="00B1354B" w:rsidRPr="00D92E20" w:rsidRDefault="00B1354B" w:rsidP="00B1354B">
            <w:pPr>
              <w:spacing w:after="0" w:line="240" w:lineRule="auto"/>
              <w:jc w:val="center"/>
              <w:rPr>
                <w:rFonts w:cs="Arial"/>
                <w:b/>
                <w:bCs/>
                <w:color w:val="000000"/>
                <w:sz w:val="16"/>
                <w:szCs w:val="16"/>
              </w:rPr>
            </w:pPr>
            <w:r w:rsidRPr="00D92E20">
              <w:rPr>
                <w:rFonts w:cs="Arial"/>
                <w:b/>
                <w:bCs/>
                <w:color w:val="000000"/>
                <w:sz w:val="16"/>
                <w:szCs w:val="16"/>
              </w:rPr>
              <w:t>42,4</w:t>
            </w:r>
          </w:p>
        </w:tc>
        <w:tc>
          <w:tcPr>
            <w:tcW w:w="794" w:type="dxa"/>
            <w:tcBorders>
              <w:top w:val="nil"/>
              <w:left w:val="nil"/>
              <w:bottom w:val="nil"/>
              <w:right w:val="nil"/>
            </w:tcBorders>
            <w:shd w:val="clear" w:color="auto" w:fill="auto"/>
            <w:noWrap/>
            <w:vAlign w:val="center"/>
            <w:hideMark/>
          </w:tcPr>
          <w:p w14:paraId="2C61CFE3" w14:textId="77777777" w:rsidR="00B1354B" w:rsidRPr="00D92E20" w:rsidRDefault="00B1354B" w:rsidP="00B1354B">
            <w:pPr>
              <w:spacing w:after="0" w:line="240" w:lineRule="auto"/>
              <w:jc w:val="center"/>
              <w:rPr>
                <w:rFonts w:cs="Arial"/>
                <w:b/>
                <w:bCs/>
                <w:color w:val="000000"/>
                <w:sz w:val="16"/>
                <w:szCs w:val="16"/>
              </w:rPr>
            </w:pPr>
            <w:r w:rsidRPr="00D92E20">
              <w:rPr>
                <w:rFonts w:cs="Arial"/>
                <w:b/>
                <w:bCs/>
                <w:color w:val="000000"/>
                <w:sz w:val="16"/>
                <w:szCs w:val="16"/>
              </w:rPr>
              <w:t>39,4</w:t>
            </w:r>
          </w:p>
        </w:tc>
        <w:tc>
          <w:tcPr>
            <w:tcW w:w="791" w:type="dxa"/>
            <w:tcBorders>
              <w:top w:val="nil"/>
              <w:left w:val="nil"/>
              <w:bottom w:val="nil"/>
              <w:right w:val="nil"/>
            </w:tcBorders>
            <w:shd w:val="clear" w:color="auto" w:fill="auto"/>
            <w:vAlign w:val="center"/>
          </w:tcPr>
          <w:p w14:paraId="3F70F834" w14:textId="77777777" w:rsidR="00B1354B" w:rsidRPr="00D92E20" w:rsidRDefault="00B1354B" w:rsidP="00B1354B">
            <w:pPr>
              <w:spacing w:after="0" w:line="240" w:lineRule="auto"/>
              <w:jc w:val="center"/>
              <w:rPr>
                <w:rFonts w:cs="Arial"/>
                <w:b/>
                <w:bCs/>
                <w:color w:val="000000"/>
                <w:sz w:val="16"/>
                <w:szCs w:val="16"/>
              </w:rPr>
            </w:pPr>
            <w:r>
              <w:rPr>
                <w:rFonts w:cs="Arial"/>
                <w:b/>
                <w:bCs/>
                <w:color w:val="000000"/>
                <w:sz w:val="16"/>
                <w:szCs w:val="16"/>
              </w:rPr>
              <w:t>34,5</w:t>
            </w:r>
          </w:p>
        </w:tc>
      </w:tr>
      <w:tr w:rsidR="00B1354B" w:rsidRPr="00D92E20" w14:paraId="4651BDD2" w14:textId="77777777" w:rsidTr="00B1354B">
        <w:trPr>
          <w:trHeight w:val="300"/>
        </w:trPr>
        <w:tc>
          <w:tcPr>
            <w:tcW w:w="907" w:type="dxa"/>
            <w:tcBorders>
              <w:top w:val="nil"/>
              <w:left w:val="nil"/>
              <w:bottom w:val="nil"/>
              <w:right w:val="single" w:sz="4" w:space="0" w:color="auto"/>
            </w:tcBorders>
            <w:shd w:val="clear" w:color="auto" w:fill="auto"/>
            <w:noWrap/>
            <w:vAlign w:val="center"/>
            <w:hideMark/>
          </w:tcPr>
          <w:p w14:paraId="406F27BF" w14:textId="77777777" w:rsidR="00B1354B" w:rsidRPr="00D92E20" w:rsidRDefault="00B1354B" w:rsidP="00B1354B">
            <w:pPr>
              <w:spacing w:after="0" w:line="240" w:lineRule="auto"/>
              <w:ind w:firstLineChars="100" w:firstLine="160"/>
              <w:rPr>
                <w:rFonts w:cs="Arial"/>
                <w:color w:val="000000"/>
                <w:sz w:val="16"/>
                <w:szCs w:val="16"/>
              </w:rPr>
            </w:pPr>
            <w:r w:rsidRPr="00D92E20">
              <w:rPr>
                <w:rFonts w:cs="Arial"/>
                <w:color w:val="000000"/>
                <w:sz w:val="16"/>
                <w:szCs w:val="16"/>
              </w:rPr>
              <w:t>muži</w:t>
            </w:r>
          </w:p>
        </w:tc>
        <w:tc>
          <w:tcPr>
            <w:tcW w:w="794" w:type="dxa"/>
            <w:tcBorders>
              <w:top w:val="nil"/>
              <w:left w:val="nil"/>
              <w:bottom w:val="nil"/>
              <w:right w:val="nil"/>
            </w:tcBorders>
            <w:shd w:val="clear" w:color="auto" w:fill="auto"/>
            <w:noWrap/>
            <w:vAlign w:val="center"/>
            <w:hideMark/>
          </w:tcPr>
          <w:p w14:paraId="03548E5A"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43,0</w:t>
            </w:r>
          </w:p>
        </w:tc>
        <w:tc>
          <w:tcPr>
            <w:tcW w:w="794" w:type="dxa"/>
            <w:tcBorders>
              <w:top w:val="nil"/>
              <w:left w:val="nil"/>
              <w:bottom w:val="nil"/>
              <w:right w:val="nil"/>
            </w:tcBorders>
            <w:shd w:val="clear" w:color="auto" w:fill="auto"/>
            <w:noWrap/>
            <w:vAlign w:val="center"/>
            <w:hideMark/>
          </w:tcPr>
          <w:p w14:paraId="5DE5BC81"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44,1</w:t>
            </w:r>
          </w:p>
        </w:tc>
        <w:tc>
          <w:tcPr>
            <w:tcW w:w="794" w:type="dxa"/>
            <w:tcBorders>
              <w:top w:val="nil"/>
              <w:left w:val="nil"/>
              <w:bottom w:val="nil"/>
              <w:right w:val="nil"/>
            </w:tcBorders>
            <w:shd w:val="clear" w:color="auto" w:fill="auto"/>
            <w:noWrap/>
            <w:vAlign w:val="center"/>
            <w:hideMark/>
          </w:tcPr>
          <w:p w14:paraId="517D8857"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42,3</w:t>
            </w:r>
          </w:p>
        </w:tc>
        <w:tc>
          <w:tcPr>
            <w:tcW w:w="794" w:type="dxa"/>
            <w:tcBorders>
              <w:top w:val="nil"/>
              <w:left w:val="nil"/>
              <w:bottom w:val="nil"/>
              <w:right w:val="nil"/>
            </w:tcBorders>
            <w:shd w:val="clear" w:color="auto" w:fill="auto"/>
            <w:noWrap/>
            <w:vAlign w:val="center"/>
            <w:hideMark/>
          </w:tcPr>
          <w:p w14:paraId="57E45C87"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43,4</w:t>
            </w:r>
          </w:p>
        </w:tc>
        <w:tc>
          <w:tcPr>
            <w:tcW w:w="794" w:type="dxa"/>
            <w:tcBorders>
              <w:top w:val="nil"/>
              <w:left w:val="nil"/>
              <w:bottom w:val="nil"/>
              <w:right w:val="nil"/>
            </w:tcBorders>
            <w:shd w:val="clear" w:color="auto" w:fill="auto"/>
            <w:noWrap/>
            <w:vAlign w:val="center"/>
            <w:hideMark/>
          </w:tcPr>
          <w:p w14:paraId="6EBE8899"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40,5</w:t>
            </w:r>
          </w:p>
        </w:tc>
        <w:tc>
          <w:tcPr>
            <w:tcW w:w="794" w:type="dxa"/>
            <w:tcBorders>
              <w:top w:val="nil"/>
              <w:left w:val="nil"/>
              <w:bottom w:val="nil"/>
              <w:right w:val="nil"/>
            </w:tcBorders>
            <w:shd w:val="clear" w:color="auto" w:fill="auto"/>
            <w:noWrap/>
            <w:vAlign w:val="center"/>
            <w:hideMark/>
          </w:tcPr>
          <w:p w14:paraId="1E8B4275"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40,7</w:t>
            </w:r>
          </w:p>
        </w:tc>
        <w:tc>
          <w:tcPr>
            <w:tcW w:w="794" w:type="dxa"/>
            <w:tcBorders>
              <w:top w:val="nil"/>
              <w:left w:val="nil"/>
              <w:bottom w:val="nil"/>
              <w:right w:val="nil"/>
            </w:tcBorders>
            <w:shd w:val="clear" w:color="auto" w:fill="auto"/>
            <w:noWrap/>
            <w:vAlign w:val="center"/>
            <w:hideMark/>
          </w:tcPr>
          <w:p w14:paraId="5F813321"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40,6</w:t>
            </w:r>
          </w:p>
        </w:tc>
        <w:tc>
          <w:tcPr>
            <w:tcW w:w="794" w:type="dxa"/>
            <w:tcBorders>
              <w:top w:val="nil"/>
              <w:left w:val="nil"/>
              <w:bottom w:val="nil"/>
              <w:right w:val="nil"/>
            </w:tcBorders>
            <w:shd w:val="clear" w:color="auto" w:fill="auto"/>
            <w:noWrap/>
            <w:vAlign w:val="center"/>
            <w:hideMark/>
          </w:tcPr>
          <w:p w14:paraId="7A9374C4"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40,3</w:t>
            </w:r>
          </w:p>
        </w:tc>
        <w:tc>
          <w:tcPr>
            <w:tcW w:w="794" w:type="dxa"/>
            <w:tcBorders>
              <w:top w:val="nil"/>
              <w:left w:val="nil"/>
              <w:bottom w:val="nil"/>
              <w:right w:val="nil"/>
            </w:tcBorders>
            <w:shd w:val="clear" w:color="auto" w:fill="auto"/>
            <w:noWrap/>
            <w:vAlign w:val="center"/>
            <w:hideMark/>
          </w:tcPr>
          <w:p w14:paraId="05F3861B"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41,1</w:t>
            </w:r>
          </w:p>
        </w:tc>
        <w:tc>
          <w:tcPr>
            <w:tcW w:w="794" w:type="dxa"/>
            <w:tcBorders>
              <w:top w:val="nil"/>
              <w:left w:val="nil"/>
              <w:bottom w:val="nil"/>
              <w:right w:val="nil"/>
            </w:tcBorders>
            <w:shd w:val="clear" w:color="auto" w:fill="auto"/>
            <w:noWrap/>
            <w:vAlign w:val="center"/>
            <w:hideMark/>
          </w:tcPr>
          <w:p w14:paraId="6A6C79DF"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37,8</w:t>
            </w:r>
          </w:p>
        </w:tc>
        <w:tc>
          <w:tcPr>
            <w:tcW w:w="791" w:type="dxa"/>
            <w:tcBorders>
              <w:top w:val="nil"/>
              <w:left w:val="nil"/>
              <w:bottom w:val="nil"/>
              <w:right w:val="nil"/>
            </w:tcBorders>
            <w:shd w:val="clear" w:color="auto" w:fill="auto"/>
            <w:vAlign w:val="center"/>
          </w:tcPr>
          <w:p w14:paraId="5E8C4577" w14:textId="77777777" w:rsidR="00B1354B" w:rsidRPr="00D92E20" w:rsidRDefault="00B1354B" w:rsidP="00B1354B">
            <w:pPr>
              <w:spacing w:after="0" w:line="240" w:lineRule="auto"/>
              <w:jc w:val="center"/>
              <w:rPr>
                <w:rFonts w:cs="Arial"/>
                <w:color w:val="000000"/>
                <w:sz w:val="16"/>
                <w:szCs w:val="16"/>
              </w:rPr>
            </w:pPr>
            <w:r>
              <w:rPr>
                <w:rFonts w:cs="Arial"/>
                <w:color w:val="000000"/>
                <w:sz w:val="16"/>
                <w:szCs w:val="16"/>
              </w:rPr>
              <w:t>33,0</w:t>
            </w:r>
          </w:p>
        </w:tc>
      </w:tr>
      <w:tr w:rsidR="00B1354B" w:rsidRPr="00D92E20" w14:paraId="51D81A36" w14:textId="77777777" w:rsidTr="00B1354B">
        <w:trPr>
          <w:trHeight w:val="300"/>
        </w:trPr>
        <w:tc>
          <w:tcPr>
            <w:tcW w:w="907" w:type="dxa"/>
            <w:tcBorders>
              <w:top w:val="nil"/>
              <w:left w:val="nil"/>
              <w:bottom w:val="nil"/>
              <w:right w:val="single" w:sz="4" w:space="0" w:color="auto"/>
            </w:tcBorders>
            <w:shd w:val="clear" w:color="auto" w:fill="auto"/>
            <w:noWrap/>
            <w:vAlign w:val="center"/>
            <w:hideMark/>
          </w:tcPr>
          <w:p w14:paraId="48EC0817" w14:textId="77777777" w:rsidR="00B1354B" w:rsidRPr="00D92E20" w:rsidRDefault="00B1354B" w:rsidP="00B1354B">
            <w:pPr>
              <w:spacing w:after="0" w:line="240" w:lineRule="auto"/>
              <w:ind w:firstLineChars="100" w:firstLine="160"/>
              <w:rPr>
                <w:rFonts w:cs="Arial"/>
                <w:color w:val="000000"/>
                <w:sz w:val="16"/>
                <w:szCs w:val="16"/>
              </w:rPr>
            </w:pPr>
            <w:r w:rsidRPr="00D92E20">
              <w:rPr>
                <w:rFonts w:cs="Arial"/>
                <w:color w:val="000000"/>
                <w:sz w:val="16"/>
                <w:szCs w:val="16"/>
              </w:rPr>
              <w:t>ženy</w:t>
            </w:r>
          </w:p>
        </w:tc>
        <w:tc>
          <w:tcPr>
            <w:tcW w:w="794" w:type="dxa"/>
            <w:tcBorders>
              <w:top w:val="nil"/>
              <w:left w:val="nil"/>
              <w:bottom w:val="nil"/>
              <w:right w:val="nil"/>
            </w:tcBorders>
            <w:shd w:val="clear" w:color="auto" w:fill="auto"/>
            <w:noWrap/>
            <w:vAlign w:val="center"/>
            <w:hideMark/>
          </w:tcPr>
          <w:p w14:paraId="21FF3C4A"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45,1</w:t>
            </w:r>
          </w:p>
        </w:tc>
        <w:tc>
          <w:tcPr>
            <w:tcW w:w="794" w:type="dxa"/>
            <w:tcBorders>
              <w:top w:val="nil"/>
              <w:left w:val="nil"/>
              <w:bottom w:val="nil"/>
              <w:right w:val="nil"/>
            </w:tcBorders>
            <w:shd w:val="clear" w:color="auto" w:fill="auto"/>
            <w:noWrap/>
            <w:vAlign w:val="center"/>
            <w:hideMark/>
          </w:tcPr>
          <w:p w14:paraId="57B8A5DE"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47,9</w:t>
            </w:r>
          </w:p>
        </w:tc>
        <w:tc>
          <w:tcPr>
            <w:tcW w:w="794" w:type="dxa"/>
            <w:tcBorders>
              <w:top w:val="nil"/>
              <w:left w:val="nil"/>
              <w:bottom w:val="nil"/>
              <w:right w:val="nil"/>
            </w:tcBorders>
            <w:shd w:val="clear" w:color="auto" w:fill="auto"/>
            <w:noWrap/>
            <w:vAlign w:val="center"/>
            <w:hideMark/>
          </w:tcPr>
          <w:p w14:paraId="61C01E52"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45,5</w:t>
            </w:r>
          </w:p>
        </w:tc>
        <w:tc>
          <w:tcPr>
            <w:tcW w:w="794" w:type="dxa"/>
            <w:tcBorders>
              <w:top w:val="nil"/>
              <w:left w:val="nil"/>
              <w:bottom w:val="nil"/>
              <w:right w:val="nil"/>
            </w:tcBorders>
            <w:shd w:val="clear" w:color="auto" w:fill="auto"/>
            <w:noWrap/>
            <w:vAlign w:val="center"/>
            <w:hideMark/>
          </w:tcPr>
          <w:p w14:paraId="2258267A"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48,0</w:t>
            </w:r>
          </w:p>
        </w:tc>
        <w:tc>
          <w:tcPr>
            <w:tcW w:w="794" w:type="dxa"/>
            <w:tcBorders>
              <w:top w:val="nil"/>
              <w:left w:val="nil"/>
              <w:bottom w:val="nil"/>
              <w:right w:val="nil"/>
            </w:tcBorders>
            <w:shd w:val="clear" w:color="auto" w:fill="auto"/>
            <w:noWrap/>
            <w:vAlign w:val="center"/>
            <w:hideMark/>
          </w:tcPr>
          <w:p w14:paraId="2AC8E55F"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44,8</w:t>
            </w:r>
          </w:p>
        </w:tc>
        <w:tc>
          <w:tcPr>
            <w:tcW w:w="794" w:type="dxa"/>
            <w:tcBorders>
              <w:top w:val="nil"/>
              <w:left w:val="nil"/>
              <w:bottom w:val="nil"/>
              <w:right w:val="nil"/>
            </w:tcBorders>
            <w:shd w:val="clear" w:color="auto" w:fill="auto"/>
            <w:noWrap/>
            <w:vAlign w:val="center"/>
            <w:hideMark/>
          </w:tcPr>
          <w:p w14:paraId="78143930"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45,2</w:t>
            </w:r>
          </w:p>
        </w:tc>
        <w:tc>
          <w:tcPr>
            <w:tcW w:w="794" w:type="dxa"/>
            <w:tcBorders>
              <w:top w:val="nil"/>
              <w:left w:val="nil"/>
              <w:bottom w:val="nil"/>
              <w:right w:val="nil"/>
            </w:tcBorders>
            <w:shd w:val="clear" w:color="auto" w:fill="auto"/>
            <w:noWrap/>
            <w:vAlign w:val="center"/>
            <w:hideMark/>
          </w:tcPr>
          <w:p w14:paraId="3AE2D1CF"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44,3</w:t>
            </w:r>
          </w:p>
        </w:tc>
        <w:tc>
          <w:tcPr>
            <w:tcW w:w="794" w:type="dxa"/>
            <w:tcBorders>
              <w:top w:val="nil"/>
              <w:left w:val="nil"/>
              <w:bottom w:val="nil"/>
              <w:right w:val="nil"/>
            </w:tcBorders>
            <w:shd w:val="clear" w:color="auto" w:fill="auto"/>
            <w:noWrap/>
            <w:vAlign w:val="center"/>
            <w:hideMark/>
          </w:tcPr>
          <w:p w14:paraId="2A97D747"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43,0</w:t>
            </w:r>
          </w:p>
        </w:tc>
        <w:tc>
          <w:tcPr>
            <w:tcW w:w="794" w:type="dxa"/>
            <w:tcBorders>
              <w:top w:val="nil"/>
              <w:left w:val="nil"/>
              <w:bottom w:val="nil"/>
              <w:right w:val="nil"/>
            </w:tcBorders>
            <w:shd w:val="clear" w:color="auto" w:fill="auto"/>
            <w:noWrap/>
            <w:vAlign w:val="center"/>
            <w:hideMark/>
          </w:tcPr>
          <w:p w14:paraId="1E2A99E8"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43,6</w:t>
            </w:r>
          </w:p>
        </w:tc>
        <w:tc>
          <w:tcPr>
            <w:tcW w:w="794" w:type="dxa"/>
            <w:tcBorders>
              <w:top w:val="nil"/>
              <w:left w:val="nil"/>
              <w:bottom w:val="nil"/>
              <w:right w:val="nil"/>
            </w:tcBorders>
            <w:shd w:val="clear" w:color="auto" w:fill="auto"/>
            <w:noWrap/>
            <w:vAlign w:val="center"/>
            <w:hideMark/>
          </w:tcPr>
          <w:p w14:paraId="635F2E53"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40,9</w:t>
            </w:r>
          </w:p>
        </w:tc>
        <w:tc>
          <w:tcPr>
            <w:tcW w:w="791" w:type="dxa"/>
            <w:tcBorders>
              <w:top w:val="nil"/>
              <w:left w:val="nil"/>
              <w:bottom w:val="nil"/>
              <w:right w:val="nil"/>
            </w:tcBorders>
            <w:shd w:val="clear" w:color="auto" w:fill="auto"/>
            <w:vAlign w:val="center"/>
          </w:tcPr>
          <w:p w14:paraId="55810636" w14:textId="77777777" w:rsidR="00B1354B" w:rsidRPr="00D92E20" w:rsidRDefault="00B1354B" w:rsidP="00B1354B">
            <w:pPr>
              <w:spacing w:after="0" w:line="240" w:lineRule="auto"/>
              <w:jc w:val="center"/>
              <w:rPr>
                <w:rFonts w:cs="Arial"/>
                <w:color w:val="000000"/>
                <w:sz w:val="16"/>
                <w:szCs w:val="16"/>
              </w:rPr>
            </w:pPr>
            <w:r>
              <w:rPr>
                <w:rFonts w:cs="Arial"/>
                <w:color w:val="000000"/>
                <w:sz w:val="16"/>
                <w:szCs w:val="16"/>
              </w:rPr>
              <w:t>35,9</w:t>
            </w:r>
          </w:p>
        </w:tc>
      </w:tr>
    </w:tbl>
    <w:p w14:paraId="6A72663A" w14:textId="77777777" w:rsidR="00B1354B" w:rsidRDefault="00B1354B" w:rsidP="00B1354B">
      <w:pPr>
        <w:spacing w:before="120" w:after="120"/>
        <w:rPr>
          <w:sz w:val="16"/>
        </w:rPr>
      </w:pPr>
      <w:r w:rsidRPr="00D92E20">
        <w:rPr>
          <w:sz w:val="16"/>
        </w:rPr>
        <w:t>Zdroj: ČSÚ</w:t>
      </w:r>
    </w:p>
    <w:p w14:paraId="41C8AC64" w14:textId="77777777" w:rsidR="00B1354B" w:rsidRDefault="00B1354B" w:rsidP="00B1354B">
      <w:pPr>
        <w:spacing w:after="120"/>
        <w:jc w:val="both"/>
      </w:pPr>
      <w:r w:rsidRPr="00AE4AEB">
        <w:t xml:space="preserve">Průměrný počet dnů pracovní neschopnosti </w:t>
      </w:r>
      <w:r w:rsidRPr="00AE4AEB">
        <w:rPr>
          <w:b/>
        </w:rPr>
        <w:t>u žen</w:t>
      </w:r>
      <w:r>
        <w:t xml:space="preserve"> meziročně klesl ze 40,9 dne v roce</w:t>
      </w:r>
      <w:r w:rsidRPr="00AE4AEB">
        <w:t xml:space="preserve"> 2020 na 3</w:t>
      </w:r>
      <w:r>
        <w:t>5</w:t>
      </w:r>
      <w:r w:rsidRPr="00AE4AEB">
        <w:t>,</w:t>
      </w:r>
      <w:r>
        <w:t>9</w:t>
      </w:r>
      <w:r w:rsidRPr="00AE4AEB">
        <w:t xml:space="preserve"> dne. </w:t>
      </w:r>
      <w:r w:rsidRPr="00AE4AEB">
        <w:rPr>
          <w:b/>
        </w:rPr>
        <w:t>V případě mužů</w:t>
      </w:r>
      <w:r w:rsidRPr="00AE4AEB">
        <w:t xml:space="preserve"> se snížil ze </w:t>
      </w:r>
      <w:r>
        <w:t>37,8</w:t>
      </w:r>
      <w:r w:rsidRPr="00AE4AEB">
        <w:t xml:space="preserve"> dne na </w:t>
      </w:r>
      <w:r>
        <w:t>33</w:t>
      </w:r>
      <w:r w:rsidRPr="00AE4AEB">
        <w:t xml:space="preserve"> dn</w:t>
      </w:r>
      <w:r>
        <w:t>í</w:t>
      </w:r>
      <w:r w:rsidRPr="00AE4AEB">
        <w:t xml:space="preserve">. Ženy tak byly v pracovní neschopnosti v průměru o </w:t>
      </w:r>
      <w:r>
        <w:t>3 </w:t>
      </w:r>
      <w:r w:rsidRPr="00AE4AEB">
        <w:t>dn</w:t>
      </w:r>
      <w:r>
        <w:t>y déle než muži.</w:t>
      </w:r>
    </w:p>
    <w:p w14:paraId="4A8A52B1" w14:textId="77777777" w:rsidR="004B4ABA" w:rsidRPr="00D92E20" w:rsidRDefault="004B4ABA" w:rsidP="004B4ABA">
      <w:pPr>
        <w:spacing w:before="120" w:after="120"/>
        <w:jc w:val="both"/>
      </w:pPr>
      <w:r w:rsidRPr="00D92E20">
        <w:t>Nejvíce dnů dočasné pracovní neschopnosti bylo v roce 202</w:t>
      </w:r>
      <w:r>
        <w:t>1</w:t>
      </w:r>
      <w:r w:rsidRPr="00D92E20">
        <w:t xml:space="preserve"> zaznamenáno ve zpracovatelském průmyslu (32 </w:t>
      </w:r>
      <w:r>
        <w:t>436</w:t>
      </w:r>
      <w:r w:rsidRPr="00D92E20">
        <w:t xml:space="preserve"> tis.), kde je nejvíce pojištěnců, a tím pádem také nejvyšší počet případů pracovní neschopnosti. Naopak nejnižší počet dnů pracovní neschopnosti byl hlášen v oblasti Výroba a rozvod elektřiny, plynu, tepla a klimatizovaného vzduchu (</w:t>
      </w:r>
      <w:r>
        <w:t>510</w:t>
      </w:r>
      <w:r w:rsidRPr="00D92E20">
        <w:t xml:space="preserve"> tis.). Nejméně dnů pracovní neschopnosti z důvodu pracovních úrazů vykazovaly odvětvové sekce Peněžnictví a pojišťovnictví (</w:t>
      </w:r>
      <w:r>
        <w:t>2,8</w:t>
      </w:r>
      <w:r w:rsidRPr="00D92E20">
        <w:t xml:space="preserve"> tis.) a Informační a komunikační činnosti (</w:t>
      </w:r>
      <w:r>
        <w:t>6,7</w:t>
      </w:r>
      <w:r w:rsidRPr="00D92E20">
        <w:t> tis.).</w:t>
      </w:r>
    </w:p>
    <w:p w14:paraId="37932C63" w14:textId="77777777" w:rsidR="004B4ABA" w:rsidRDefault="004B4ABA" w:rsidP="004B4ABA">
      <w:pPr>
        <w:spacing w:before="120" w:after="120"/>
        <w:jc w:val="both"/>
      </w:pPr>
      <w:r w:rsidRPr="00D92E20">
        <w:t>Jak již bylo zmíněno výše, dočasná pracovní neschopnost v roce 202</w:t>
      </w:r>
      <w:r>
        <w:t>1</w:t>
      </w:r>
      <w:r w:rsidRPr="00D92E20">
        <w:t xml:space="preserve"> trvala v průměru 3</w:t>
      </w:r>
      <w:r>
        <w:t>5</w:t>
      </w:r>
      <w:r w:rsidRPr="00D92E20">
        <w:t xml:space="preserve"> dnů. </w:t>
      </w:r>
      <w:r w:rsidRPr="00D92E20">
        <w:rPr>
          <w:b/>
        </w:rPr>
        <w:t xml:space="preserve">Odvětvím </w:t>
      </w:r>
      <w:r w:rsidRPr="00D92E20">
        <w:t>s</w:t>
      </w:r>
      <w:r w:rsidR="00A14B0F">
        <w:t> </w:t>
      </w:r>
      <w:r>
        <w:t>nejvyšší</w:t>
      </w:r>
      <w:r w:rsidRPr="00D92E20">
        <w:t xml:space="preserve"> průměrnou délkou trvání případu </w:t>
      </w:r>
      <w:r>
        <w:t>bylo</w:t>
      </w:r>
      <w:r w:rsidRPr="00D92E20">
        <w:t xml:space="preserve"> Ubytování, stravování a pohostinství (</w:t>
      </w:r>
      <w:r>
        <w:t>48 dnů) Dle zjištění Státního úřadu inspekce práce se mnohdy během pandemie stávalo, že zaměstnavatelé v době nuceného omezení či uzavření svých provozoven posílali zaměstnance na nemocenskou. Jedná se sice o protizákonný postup, kdy zaměstnanec nemůže být k odchodu na nemocenskou nucen, je však pochopitelné, že v zájmu zachování zaměstnání a pod tíhou celkové nejistoty zaměstnanci na takové řešení přistoupili. Na druhou stranu mohlo docházet i k případům, kdy na nemocenskou nastupovali zaměstnanci (resp. brigádníci) v době, kdy teprve hrozilo uzavření provozoven.</w:t>
      </w:r>
    </w:p>
    <w:p w14:paraId="185D568E" w14:textId="77777777" w:rsidR="004930CE" w:rsidRDefault="004930CE">
      <w:pPr>
        <w:spacing w:after="0" w:line="240" w:lineRule="auto"/>
        <w:rPr>
          <w:b/>
        </w:rPr>
      </w:pPr>
      <w:r>
        <w:rPr>
          <w:b/>
        </w:rPr>
        <w:br w:type="page"/>
      </w:r>
    </w:p>
    <w:p w14:paraId="241AB4DF" w14:textId="7394390B" w:rsidR="00B1354B" w:rsidRPr="004B4ABA" w:rsidRDefault="004B4ABA" w:rsidP="004930CE">
      <w:pPr>
        <w:spacing w:before="120" w:after="0"/>
        <w:rPr>
          <w:b/>
        </w:rPr>
      </w:pPr>
      <w:r w:rsidRPr="004B4ABA">
        <w:rPr>
          <w:b/>
        </w:rPr>
        <w:lastRenderedPageBreak/>
        <w:t>Graf 2.9: Průměrná délka trvání dočasné pracovní neschopnosti podle pohlaví, 2011–2021</w:t>
      </w:r>
    </w:p>
    <w:p w14:paraId="2F999FDC" w14:textId="77777777" w:rsidR="00361897" w:rsidRPr="00D92E20" w:rsidRDefault="004B4ABA" w:rsidP="00361897">
      <w:pPr>
        <w:spacing w:before="120" w:after="120"/>
        <w:jc w:val="both"/>
        <w:rPr>
          <w:bCs/>
        </w:rPr>
      </w:pPr>
      <w:r>
        <w:rPr>
          <w:noProof/>
        </w:rPr>
        <w:drawing>
          <wp:inline distT="0" distB="0" distL="0" distR="0" wp14:anchorId="333D6482" wp14:editId="368DCF95">
            <wp:extent cx="6248400" cy="3124200"/>
            <wp:effectExtent l="0" t="0" r="0" b="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3969463" w14:textId="77777777" w:rsidR="004B4ABA" w:rsidRDefault="004B4ABA" w:rsidP="004B4ABA">
      <w:pPr>
        <w:spacing w:before="120" w:after="120"/>
        <w:rPr>
          <w:sz w:val="16"/>
        </w:rPr>
      </w:pPr>
      <w:r w:rsidRPr="00D92E20">
        <w:rPr>
          <w:sz w:val="16"/>
        </w:rPr>
        <w:t>Zdroj: ČSÚ</w:t>
      </w:r>
    </w:p>
    <w:p w14:paraId="32C76F29" w14:textId="77777777" w:rsidR="00224FFD" w:rsidRPr="00071637" w:rsidRDefault="00071637" w:rsidP="004930CE">
      <w:pPr>
        <w:spacing w:before="120" w:after="0"/>
        <w:jc w:val="both"/>
        <w:rPr>
          <w:b/>
        </w:rPr>
      </w:pPr>
      <w:r w:rsidRPr="00071637">
        <w:rPr>
          <w:b/>
        </w:rPr>
        <w:t>Graf 2.10: Průměrná délka trvání dočasné pracovní neschopnosti podle odvětví (sekce CZ-NACE), 2021</w:t>
      </w:r>
    </w:p>
    <w:p w14:paraId="28003F87" w14:textId="77777777" w:rsidR="00EE0976" w:rsidRPr="00D92E20" w:rsidRDefault="00071637" w:rsidP="00EE0976">
      <w:pPr>
        <w:spacing w:before="120" w:after="120"/>
        <w:jc w:val="both"/>
        <w:rPr>
          <w:bCs/>
        </w:rPr>
      </w:pPr>
      <w:r>
        <w:rPr>
          <w:noProof/>
        </w:rPr>
        <w:drawing>
          <wp:inline distT="0" distB="0" distL="0" distR="0" wp14:anchorId="69CA817F" wp14:editId="188672E5">
            <wp:extent cx="6296025" cy="4362450"/>
            <wp:effectExtent l="0" t="0" r="9525"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C91EA65" w14:textId="77777777" w:rsidR="00071637" w:rsidRDefault="00071637" w:rsidP="00071637">
      <w:pPr>
        <w:spacing w:before="120" w:after="120"/>
        <w:rPr>
          <w:sz w:val="16"/>
        </w:rPr>
      </w:pPr>
      <w:r w:rsidRPr="00D92E20">
        <w:rPr>
          <w:sz w:val="16"/>
        </w:rPr>
        <w:t>Zdroj: ČSÚ</w:t>
      </w:r>
    </w:p>
    <w:p w14:paraId="0493B38B" w14:textId="77777777" w:rsidR="004930CE" w:rsidRDefault="004930CE">
      <w:pPr>
        <w:spacing w:after="0" w:line="240" w:lineRule="auto"/>
      </w:pPr>
      <w:r>
        <w:br w:type="page"/>
      </w:r>
    </w:p>
    <w:p w14:paraId="74DA020D" w14:textId="4328856E" w:rsidR="007F666B" w:rsidRPr="00D92E20" w:rsidRDefault="007F666B" w:rsidP="007F666B">
      <w:pPr>
        <w:spacing w:before="120" w:after="120"/>
        <w:jc w:val="both"/>
      </w:pPr>
      <w:r>
        <w:lastRenderedPageBreak/>
        <w:t>V průměrné délce trvání dočasné pracovní neschopnosti pak s odstupem následovaly sekce</w:t>
      </w:r>
      <w:r w:rsidRPr="0064296A">
        <w:t xml:space="preserve"> Zemědělství, lesnictví, rybářství (</w:t>
      </w:r>
      <w:r>
        <w:t>43 dnů) a Těžba a dobývání (41 dnů). Nejkratší doba (23</w:t>
      </w:r>
      <w:r w:rsidRPr="0064296A">
        <w:t xml:space="preserve"> dnů) </w:t>
      </w:r>
      <w:r w:rsidRPr="00D92E20">
        <w:t>připadala na pracovní neschopnost v odvětví Informační a komunikační činnosti</w:t>
      </w:r>
      <w:r>
        <w:t xml:space="preserve"> a na Vzdělávání (24 dnů). </w:t>
      </w:r>
      <w:r w:rsidRPr="0064296A">
        <w:t>Podrobněji viz graf 2.10 a tab. 2.6.</w:t>
      </w:r>
    </w:p>
    <w:p w14:paraId="6A8D92FF" w14:textId="77777777" w:rsidR="007F666B" w:rsidRPr="00DC0DB3" w:rsidRDefault="007F666B" w:rsidP="007F666B">
      <w:pPr>
        <w:spacing w:after="120"/>
        <w:jc w:val="both"/>
      </w:pPr>
      <w:r w:rsidRPr="00DC0DB3">
        <w:t xml:space="preserve">V drtivé většině odvětví došlo meziročně ke zkrácení </w:t>
      </w:r>
      <w:r>
        <w:t xml:space="preserve">průměrné délky </w:t>
      </w:r>
      <w:r w:rsidRPr="00DC0DB3">
        <w:t>pracov</w:t>
      </w:r>
      <w:r>
        <w:t>ní neschopnosti. Výjimku tvořila Zdravotní a sociální péče</w:t>
      </w:r>
      <w:r w:rsidRPr="00DC0DB3">
        <w:t xml:space="preserve">, kde se průměrná doba trvání neschopenky prodloužila o </w:t>
      </w:r>
      <w:r>
        <w:t>1</w:t>
      </w:r>
      <w:r w:rsidRPr="00DC0DB3">
        <w:t>,5 dne a</w:t>
      </w:r>
      <w:r>
        <w:t> Těžba a dobývání</w:t>
      </w:r>
      <w:r w:rsidRPr="00DC0DB3">
        <w:t>, kde došlo k nárůstu průměrné doby trvání pracovní neschopnosti o 0,</w:t>
      </w:r>
      <w:r>
        <w:t>8</w:t>
      </w:r>
      <w:r w:rsidRPr="00DC0DB3">
        <w:t xml:space="preserve"> dne.</w:t>
      </w:r>
    </w:p>
    <w:p w14:paraId="544D3E97" w14:textId="77777777" w:rsidR="007F666B" w:rsidRPr="00DC0DB3" w:rsidRDefault="007F666B" w:rsidP="007F666B">
      <w:pPr>
        <w:spacing w:after="120"/>
        <w:jc w:val="both"/>
      </w:pPr>
      <w:r>
        <w:t>K</w:t>
      </w:r>
      <w:r w:rsidRPr="00DC0DB3">
        <w:t xml:space="preserve"> největšímu meziročnímu poklesu – o </w:t>
      </w:r>
      <w:r>
        <w:t>9</w:t>
      </w:r>
      <w:r w:rsidRPr="00DC0DB3">
        <w:t xml:space="preserve"> dnů, tedy o </w:t>
      </w:r>
      <w:r>
        <w:t>16 %</w:t>
      </w:r>
      <w:r w:rsidRPr="00DC0DB3">
        <w:t xml:space="preserve"> – došlo v odvětví </w:t>
      </w:r>
      <w:r w:rsidRPr="00071637">
        <w:rPr>
          <w:b/>
        </w:rPr>
        <w:t>Ubytování, stravování a</w:t>
      </w:r>
      <w:r>
        <w:rPr>
          <w:b/>
        </w:rPr>
        <w:t> </w:t>
      </w:r>
      <w:r w:rsidRPr="00071637">
        <w:rPr>
          <w:b/>
        </w:rPr>
        <w:t>pohostinství</w:t>
      </w:r>
      <w:r w:rsidRPr="00DC0DB3">
        <w:t xml:space="preserve">. Průměrná délka trvání pracovní neschopnosti </w:t>
      </w:r>
      <w:r>
        <w:t xml:space="preserve">zde </w:t>
      </w:r>
      <w:r w:rsidR="002C2CF4">
        <w:t xml:space="preserve">byla nejdelší a </w:t>
      </w:r>
      <w:r w:rsidRPr="00DC0DB3">
        <w:t>činila 4</w:t>
      </w:r>
      <w:r>
        <w:t>8</w:t>
      </w:r>
      <w:r w:rsidRPr="00DC0DB3">
        <w:t xml:space="preserve"> dnů, tedy o </w:t>
      </w:r>
      <w:r>
        <w:t>14 dnů</w:t>
      </w:r>
      <w:r w:rsidRPr="00DC0DB3">
        <w:t xml:space="preserve"> více než byl průměr za všechna odvětví.</w:t>
      </w:r>
    </w:p>
    <w:p w14:paraId="32670DA9" w14:textId="77777777" w:rsidR="00071637" w:rsidRPr="00071637" w:rsidRDefault="00071637" w:rsidP="00F77360">
      <w:pPr>
        <w:spacing w:before="120" w:after="0"/>
        <w:jc w:val="both"/>
        <w:rPr>
          <w:rFonts w:cs="Arial"/>
          <w:color w:val="000000"/>
          <w:spacing w:val="-5"/>
          <w:sz w:val="16"/>
          <w:szCs w:val="16"/>
        </w:rPr>
      </w:pPr>
      <w:r w:rsidRPr="00071637">
        <w:rPr>
          <w:b/>
          <w:bCs/>
          <w:spacing w:val="-5"/>
        </w:rPr>
        <w:t>Tab. 2.6: Průměrná délka trvání dočasné pracovní neschopnosti podle odvětví (sekce CZ-NACE), 2011–2021</w:t>
      </w:r>
      <w:r w:rsidR="004A6E11" w:rsidRPr="00071637">
        <w:rPr>
          <w:rFonts w:cs="Arial"/>
          <w:color w:val="000000"/>
          <w:spacing w:val="-5"/>
          <w:sz w:val="16"/>
          <w:szCs w:val="16"/>
        </w:rPr>
        <w:t xml:space="preserve"> </w:t>
      </w:r>
    </w:p>
    <w:tbl>
      <w:tblPr>
        <w:tblW w:w="9639" w:type="dxa"/>
        <w:tblCellMar>
          <w:left w:w="70" w:type="dxa"/>
          <w:right w:w="70" w:type="dxa"/>
        </w:tblCellMar>
        <w:tblLook w:val="04A0" w:firstRow="1" w:lastRow="0" w:firstColumn="1" w:lastColumn="0" w:noHBand="0" w:noVBand="1"/>
      </w:tblPr>
      <w:tblGrid>
        <w:gridCol w:w="3402"/>
        <w:gridCol w:w="567"/>
        <w:gridCol w:w="567"/>
        <w:gridCol w:w="567"/>
        <w:gridCol w:w="567"/>
        <w:gridCol w:w="567"/>
        <w:gridCol w:w="567"/>
        <w:gridCol w:w="567"/>
        <w:gridCol w:w="567"/>
        <w:gridCol w:w="567"/>
        <w:gridCol w:w="567"/>
        <w:gridCol w:w="567"/>
      </w:tblGrid>
      <w:tr w:rsidR="00071637" w:rsidRPr="00D92E20" w14:paraId="3923F71C" w14:textId="77777777" w:rsidTr="00071637">
        <w:trPr>
          <w:trHeight w:val="300"/>
        </w:trPr>
        <w:tc>
          <w:tcPr>
            <w:tcW w:w="3402" w:type="dxa"/>
            <w:tcBorders>
              <w:top w:val="single" w:sz="4" w:space="0" w:color="auto"/>
              <w:left w:val="nil"/>
              <w:bottom w:val="single" w:sz="4" w:space="0" w:color="auto"/>
              <w:right w:val="single" w:sz="4" w:space="0" w:color="auto"/>
            </w:tcBorders>
            <w:shd w:val="clear" w:color="000000" w:fill="F5DADD"/>
            <w:vAlign w:val="center"/>
            <w:hideMark/>
          </w:tcPr>
          <w:p w14:paraId="3683C7F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Sekce CZ-NACE</w:t>
            </w:r>
          </w:p>
        </w:tc>
        <w:tc>
          <w:tcPr>
            <w:tcW w:w="567" w:type="dxa"/>
            <w:tcBorders>
              <w:top w:val="single" w:sz="4" w:space="0" w:color="auto"/>
              <w:left w:val="nil"/>
              <w:bottom w:val="single" w:sz="4" w:space="0" w:color="auto"/>
              <w:right w:val="nil"/>
            </w:tcBorders>
            <w:shd w:val="clear" w:color="000000" w:fill="F5DADD"/>
            <w:noWrap/>
            <w:vAlign w:val="center"/>
            <w:hideMark/>
          </w:tcPr>
          <w:p w14:paraId="789B11B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2011</w:t>
            </w:r>
          </w:p>
        </w:tc>
        <w:tc>
          <w:tcPr>
            <w:tcW w:w="567" w:type="dxa"/>
            <w:tcBorders>
              <w:top w:val="single" w:sz="4" w:space="0" w:color="auto"/>
              <w:left w:val="nil"/>
              <w:bottom w:val="single" w:sz="4" w:space="0" w:color="auto"/>
              <w:right w:val="nil"/>
            </w:tcBorders>
            <w:shd w:val="clear" w:color="000000" w:fill="F5DADD"/>
            <w:noWrap/>
            <w:vAlign w:val="center"/>
            <w:hideMark/>
          </w:tcPr>
          <w:p w14:paraId="7003822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2012</w:t>
            </w:r>
          </w:p>
        </w:tc>
        <w:tc>
          <w:tcPr>
            <w:tcW w:w="567" w:type="dxa"/>
            <w:tcBorders>
              <w:top w:val="single" w:sz="4" w:space="0" w:color="auto"/>
              <w:left w:val="nil"/>
              <w:bottom w:val="single" w:sz="4" w:space="0" w:color="auto"/>
              <w:right w:val="nil"/>
            </w:tcBorders>
            <w:shd w:val="clear" w:color="000000" w:fill="F5DADD"/>
            <w:noWrap/>
            <w:vAlign w:val="center"/>
            <w:hideMark/>
          </w:tcPr>
          <w:p w14:paraId="51A508E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2013</w:t>
            </w:r>
          </w:p>
        </w:tc>
        <w:tc>
          <w:tcPr>
            <w:tcW w:w="567" w:type="dxa"/>
            <w:tcBorders>
              <w:top w:val="single" w:sz="4" w:space="0" w:color="auto"/>
              <w:left w:val="nil"/>
              <w:bottom w:val="single" w:sz="4" w:space="0" w:color="auto"/>
              <w:right w:val="nil"/>
            </w:tcBorders>
            <w:shd w:val="clear" w:color="000000" w:fill="F5DADD"/>
            <w:noWrap/>
            <w:vAlign w:val="center"/>
            <w:hideMark/>
          </w:tcPr>
          <w:p w14:paraId="4354688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2014</w:t>
            </w:r>
          </w:p>
        </w:tc>
        <w:tc>
          <w:tcPr>
            <w:tcW w:w="567" w:type="dxa"/>
            <w:tcBorders>
              <w:top w:val="single" w:sz="4" w:space="0" w:color="auto"/>
              <w:left w:val="nil"/>
              <w:bottom w:val="single" w:sz="4" w:space="0" w:color="auto"/>
              <w:right w:val="nil"/>
            </w:tcBorders>
            <w:shd w:val="clear" w:color="000000" w:fill="F5DADD"/>
            <w:noWrap/>
            <w:vAlign w:val="center"/>
            <w:hideMark/>
          </w:tcPr>
          <w:p w14:paraId="183BDE1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2015</w:t>
            </w:r>
          </w:p>
        </w:tc>
        <w:tc>
          <w:tcPr>
            <w:tcW w:w="567" w:type="dxa"/>
            <w:tcBorders>
              <w:top w:val="single" w:sz="4" w:space="0" w:color="auto"/>
              <w:left w:val="nil"/>
              <w:bottom w:val="single" w:sz="4" w:space="0" w:color="auto"/>
              <w:right w:val="nil"/>
            </w:tcBorders>
            <w:shd w:val="clear" w:color="000000" w:fill="F5DADD"/>
            <w:noWrap/>
            <w:vAlign w:val="center"/>
            <w:hideMark/>
          </w:tcPr>
          <w:p w14:paraId="4BC4BFC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2016</w:t>
            </w:r>
          </w:p>
        </w:tc>
        <w:tc>
          <w:tcPr>
            <w:tcW w:w="567" w:type="dxa"/>
            <w:tcBorders>
              <w:top w:val="single" w:sz="4" w:space="0" w:color="auto"/>
              <w:left w:val="nil"/>
              <w:bottom w:val="single" w:sz="4" w:space="0" w:color="auto"/>
              <w:right w:val="nil"/>
            </w:tcBorders>
            <w:shd w:val="clear" w:color="000000" w:fill="F5DADD"/>
            <w:noWrap/>
            <w:vAlign w:val="center"/>
            <w:hideMark/>
          </w:tcPr>
          <w:p w14:paraId="55FED6F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2017</w:t>
            </w:r>
          </w:p>
        </w:tc>
        <w:tc>
          <w:tcPr>
            <w:tcW w:w="567" w:type="dxa"/>
            <w:tcBorders>
              <w:top w:val="single" w:sz="4" w:space="0" w:color="auto"/>
              <w:left w:val="nil"/>
              <w:bottom w:val="single" w:sz="4" w:space="0" w:color="auto"/>
              <w:right w:val="nil"/>
            </w:tcBorders>
            <w:shd w:val="clear" w:color="000000" w:fill="F5DADD"/>
            <w:noWrap/>
            <w:vAlign w:val="center"/>
            <w:hideMark/>
          </w:tcPr>
          <w:p w14:paraId="2C89A41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2018</w:t>
            </w:r>
          </w:p>
        </w:tc>
        <w:tc>
          <w:tcPr>
            <w:tcW w:w="567" w:type="dxa"/>
            <w:tcBorders>
              <w:top w:val="single" w:sz="4" w:space="0" w:color="auto"/>
              <w:left w:val="nil"/>
              <w:bottom w:val="single" w:sz="4" w:space="0" w:color="auto"/>
              <w:right w:val="nil"/>
            </w:tcBorders>
            <w:shd w:val="clear" w:color="000000" w:fill="F5DADD"/>
            <w:noWrap/>
            <w:vAlign w:val="center"/>
            <w:hideMark/>
          </w:tcPr>
          <w:p w14:paraId="3769B2F8"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2019</w:t>
            </w:r>
          </w:p>
        </w:tc>
        <w:tc>
          <w:tcPr>
            <w:tcW w:w="567" w:type="dxa"/>
            <w:tcBorders>
              <w:top w:val="single" w:sz="4" w:space="0" w:color="auto"/>
              <w:left w:val="nil"/>
              <w:bottom w:val="single" w:sz="4" w:space="0" w:color="auto"/>
              <w:right w:val="nil"/>
            </w:tcBorders>
            <w:shd w:val="clear" w:color="000000" w:fill="F5DADD"/>
            <w:noWrap/>
            <w:vAlign w:val="center"/>
            <w:hideMark/>
          </w:tcPr>
          <w:p w14:paraId="6D03A40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2020</w:t>
            </w:r>
          </w:p>
        </w:tc>
        <w:tc>
          <w:tcPr>
            <w:tcW w:w="567" w:type="dxa"/>
            <w:tcBorders>
              <w:top w:val="single" w:sz="4" w:space="0" w:color="auto"/>
              <w:bottom w:val="single" w:sz="4" w:space="0" w:color="auto"/>
            </w:tcBorders>
            <w:shd w:val="clear" w:color="auto" w:fill="F5DADD"/>
            <w:vAlign w:val="center"/>
          </w:tcPr>
          <w:p w14:paraId="3FB90C91" w14:textId="77777777" w:rsidR="00071637" w:rsidRPr="00D92E20" w:rsidRDefault="00071637" w:rsidP="00071637">
            <w:pPr>
              <w:spacing w:after="0" w:line="240" w:lineRule="auto"/>
              <w:jc w:val="center"/>
            </w:pPr>
            <w:r>
              <w:rPr>
                <w:rFonts w:cs="Arial"/>
                <w:color w:val="000000"/>
                <w:sz w:val="16"/>
                <w:szCs w:val="16"/>
              </w:rPr>
              <w:t>2021</w:t>
            </w:r>
          </w:p>
        </w:tc>
      </w:tr>
      <w:tr w:rsidR="00071637" w:rsidRPr="00D92E20" w14:paraId="6F1592CC"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33CBBE3F" w14:textId="77777777" w:rsidR="00071637" w:rsidRPr="00D92E20" w:rsidRDefault="00071637" w:rsidP="00071637">
            <w:pPr>
              <w:spacing w:after="0" w:line="240" w:lineRule="auto"/>
              <w:rPr>
                <w:rFonts w:cs="Arial"/>
                <w:b/>
                <w:bCs/>
                <w:color w:val="000000"/>
                <w:sz w:val="16"/>
                <w:szCs w:val="16"/>
              </w:rPr>
            </w:pPr>
            <w:r w:rsidRPr="00D92E20">
              <w:rPr>
                <w:rFonts w:cs="Arial"/>
                <w:b/>
                <w:bCs/>
                <w:color w:val="000000"/>
                <w:sz w:val="16"/>
                <w:szCs w:val="16"/>
              </w:rPr>
              <w:t>Celkem</w:t>
            </w:r>
          </w:p>
        </w:tc>
        <w:tc>
          <w:tcPr>
            <w:tcW w:w="567" w:type="dxa"/>
            <w:tcBorders>
              <w:top w:val="nil"/>
              <w:left w:val="nil"/>
              <w:bottom w:val="nil"/>
              <w:right w:val="nil"/>
            </w:tcBorders>
            <w:shd w:val="clear" w:color="auto" w:fill="auto"/>
            <w:noWrap/>
            <w:vAlign w:val="center"/>
            <w:hideMark/>
          </w:tcPr>
          <w:p w14:paraId="2A4E3EE5" w14:textId="77777777" w:rsidR="00071637" w:rsidRPr="00D92E20" w:rsidRDefault="00071637" w:rsidP="00071637">
            <w:pPr>
              <w:spacing w:after="0" w:line="240" w:lineRule="auto"/>
              <w:jc w:val="center"/>
              <w:rPr>
                <w:rFonts w:cs="Arial"/>
                <w:b/>
                <w:bCs/>
                <w:color w:val="000000"/>
                <w:sz w:val="16"/>
                <w:szCs w:val="16"/>
              </w:rPr>
            </w:pPr>
            <w:r w:rsidRPr="00D92E20">
              <w:rPr>
                <w:rFonts w:cs="Arial"/>
                <w:b/>
                <w:bCs/>
                <w:color w:val="000000"/>
                <w:sz w:val="16"/>
                <w:szCs w:val="16"/>
              </w:rPr>
              <w:t>44,1</w:t>
            </w:r>
          </w:p>
        </w:tc>
        <w:tc>
          <w:tcPr>
            <w:tcW w:w="567" w:type="dxa"/>
            <w:tcBorders>
              <w:top w:val="nil"/>
              <w:left w:val="nil"/>
              <w:bottom w:val="nil"/>
              <w:right w:val="nil"/>
            </w:tcBorders>
            <w:shd w:val="clear" w:color="auto" w:fill="auto"/>
            <w:noWrap/>
            <w:vAlign w:val="center"/>
            <w:hideMark/>
          </w:tcPr>
          <w:p w14:paraId="16CFA006" w14:textId="77777777" w:rsidR="00071637" w:rsidRPr="00D92E20" w:rsidRDefault="00071637" w:rsidP="00071637">
            <w:pPr>
              <w:spacing w:after="0" w:line="240" w:lineRule="auto"/>
              <w:jc w:val="center"/>
              <w:rPr>
                <w:rFonts w:cs="Arial"/>
                <w:b/>
                <w:bCs/>
                <w:color w:val="000000"/>
                <w:sz w:val="16"/>
                <w:szCs w:val="16"/>
              </w:rPr>
            </w:pPr>
            <w:r w:rsidRPr="00D92E20">
              <w:rPr>
                <w:rFonts w:cs="Arial"/>
                <w:b/>
                <w:bCs/>
                <w:color w:val="000000"/>
                <w:sz w:val="16"/>
                <w:szCs w:val="16"/>
              </w:rPr>
              <w:t>46,1</w:t>
            </w:r>
          </w:p>
        </w:tc>
        <w:tc>
          <w:tcPr>
            <w:tcW w:w="567" w:type="dxa"/>
            <w:tcBorders>
              <w:top w:val="nil"/>
              <w:left w:val="nil"/>
              <w:bottom w:val="nil"/>
              <w:right w:val="nil"/>
            </w:tcBorders>
            <w:shd w:val="clear" w:color="auto" w:fill="auto"/>
            <w:noWrap/>
            <w:vAlign w:val="center"/>
            <w:hideMark/>
          </w:tcPr>
          <w:p w14:paraId="363ACEF0" w14:textId="77777777" w:rsidR="00071637" w:rsidRPr="00D92E20" w:rsidRDefault="00071637" w:rsidP="00071637">
            <w:pPr>
              <w:spacing w:after="0" w:line="240" w:lineRule="auto"/>
              <w:jc w:val="center"/>
              <w:rPr>
                <w:rFonts w:cs="Arial"/>
                <w:b/>
                <w:bCs/>
                <w:color w:val="000000"/>
                <w:sz w:val="16"/>
                <w:szCs w:val="16"/>
              </w:rPr>
            </w:pPr>
            <w:r w:rsidRPr="00D92E20">
              <w:rPr>
                <w:rFonts w:cs="Arial"/>
                <w:b/>
                <w:bCs/>
                <w:color w:val="000000"/>
                <w:sz w:val="16"/>
                <w:szCs w:val="16"/>
              </w:rPr>
              <w:t>44,0</w:t>
            </w:r>
          </w:p>
        </w:tc>
        <w:tc>
          <w:tcPr>
            <w:tcW w:w="567" w:type="dxa"/>
            <w:tcBorders>
              <w:top w:val="nil"/>
              <w:left w:val="nil"/>
              <w:bottom w:val="nil"/>
              <w:right w:val="nil"/>
            </w:tcBorders>
            <w:shd w:val="clear" w:color="auto" w:fill="auto"/>
            <w:noWrap/>
            <w:vAlign w:val="center"/>
            <w:hideMark/>
          </w:tcPr>
          <w:p w14:paraId="09218EFA" w14:textId="77777777" w:rsidR="00071637" w:rsidRPr="00D92E20" w:rsidRDefault="00071637" w:rsidP="00071637">
            <w:pPr>
              <w:spacing w:after="0" w:line="240" w:lineRule="auto"/>
              <w:jc w:val="center"/>
              <w:rPr>
                <w:rFonts w:cs="Arial"/>
                <w:b/>
                <w:bCs/>
                <w:color w:val="000000"/>
                <w:sz w:val="16"/>
                <w:szCs w:val="16"/>
              </w:rPr>
            </w:pPr>
            <w:r w:rsidRPr="00D92E20">
              <w:rPr>
                <w:rFonts w:cs="Arial"/>
                <w:b/>
                <w:bCs/>
                <w:color w:val="000000"/>
                <w:sz w:val="16"/>
                <w:szCs w:val="16"/>
              </w:rPr>
              <w:t>45,8</w:t>
            </w:r>
          </w:p>
        </w:tc>
        <w:tc>
          <w:tcPr>
            <w:tcW w:w="567" w:type="dxa"/>
            <w:tcBorders>
              <w:top w:val="nil"/>
              <w:left w:val="nil"/>
              <w:bottom w:val="nil"/>
              <w:right w:val="nil"/>
            </w:tcBorders>
            <w:shd w:val="clear" w:color="auto" w:fill="auto"/>
            <w:noWrap/>
            <w:vAlign w:val="center"/>
            <w:hideMark/>
          </w:tcPr>
          <w:p w14:paraId="6776D2BA" w14:textId="77777777" w:rsidR="00071637" w:rsidRPr="00D92E20" w:rsidRDefault="00071637" w:rsidP="00071637">
            <w:pPr>
              <w:spacing w:after="0" w:line="240" w:lineRule="auto"/>
              <w:jc w:val="center"/>
              <w:rPr>
                <w:rFonts w:cs="Arial"/>
                <w:b/>
                <w:bCs/>
                <w:color w:val="000000"/>
                <w:sz w:val="16"/>
                <w:szCs w:val="16"/>
              </w:rPr>
            </w:pPr>
            <w:r w:rsidRPr="00D92E20">
              <w:rPr>
                <w:rFonts w:cs="Arial"/>
                <w:b/>
                <w:bCs/>
                <w:color w:val="000000"/>
                <w:sz w:val="16"/>
                <w:szCs w:val="16"/>
              </w:rPr>
              <w:t>42,7</w:t>
            </w:r>
          </w:p>
        </w:tc>
        <w:tc>
          <w:tcPr>
            <w:tcW w:w="567" w:type="dxa"/>
            <w:tcBorders>
              <w:top w:val="nil"/>
              <w:left w:val="nil"/>
              <w:bottom w:val="nil"/>
              <w:right w:val="nil"/>
            </w:tcBorders>
            <w:shd w:val="clear" w:color="auto" w:fill="auto"/>
            <w:noWrap/>
            <w:vAlign w:val="center"/>
            <w:hideMark/>
          </w:tcPr>
          <w:p w14:paraId="547F1577" w14:textId="77777777" w:rsidR="00071637" w:rsidRPr="00D92E20" w:rsidRDefault="00071637" w:rsidP="00071637">
            <w:pPr>
              <w:spacing w:after="0" w:line="240" w:lineRule="auto"/>
              <w:jc w:val="center"/>
              <w:rPr>
                <w:rFonts w:cs="Arial"/>
                <w:b/>
                <w:bCs/>
                <w:color w:val="000000"/>
                <w:sz w:val="16"/>
                <w:szCs w:val="16"/>
              </w:rPr>
            </w:pPr>
            <w:r w:rsidRPr="00D92E20">
              <w:rPr>
                <w:rFonts w:cs="Arial"/>
                <w:b/>
                <w:bCs/>
                <w:color w:val="000000"/>
                <w:sz w:val="16"/>
                <w:szCs w:val="16"/>
              </w:rPr>
              <w:t>43,0</w:t>
            </w:r>
          </w:p>
        </w:tc>
        <w:tc>
          <w:tcPr>
            <w:tcW w:w="567" w:type="dxa"/>
            <w:tcBorders>
              <w:top w:val="nil"/>
              <w:left w:val="nil"/>
              <w:bottom w:val="nil"/>
              <w:right w:val="nil"/>
            </w:tcBorders>
            <w:shd w:val="clear" w:color="auto" w:fill="auto"/>
            <w:noWrap/>
            <w:vAlign w:val="center"/>
            <w:hideMark/>
          </w:tcPr>
          <w:p w14:paraId="2A6765A7" w14:textId="77777777" w:rsidR="00071637" w:rsidRPr="00D92E20" w:rsidRDefault="00071637" w:rsidP="00071637">
            <w:pPr>
              <w:spacing w:after="0" w:line="240" w:lineRule="auto"/>
              <w:jc w:val="center"/>
              <w:rPr>
                <w:rFonts w:cs="Arial"/>
                <w:b/>
                <w:bCs/>
                <w:color w:val="000000"/>
                <w:sz w:val="16"/>
                <w:szCs w:val="16"/>
              </w:rPr>
            </w:pPr>
            <w:r w:rsidRPr="00D92E20">
              <w:rPr>
                <w:rFonts w:cs="Arial"/>
                <w:b/>
                <w:bCs/>
                <w:color w:val="000000"/>
                <w:sz w:val="16"/>
                <w:szCs w:val="16"/>
              </w:rPr>
              <w:t>42,6</w:t>
            </w:r>
          </w:p>
        </w:tc>
        <w:tc>
          <w:tcPr>
            <w:tcW w:w="567" w:type="dxa"/>
            <w:tcBorders>
              <w:top w:val="nil"/>
              <w:left w:val="nil"/>
              <w:bottom w:val="nil"/>
              <w:right w:val="nil"/>
            </w:tcBorders>
            <w:shd w:val="clear" w:color="auto" w:fill="auto"/>
            <w:noWrap/>
            <w:vAlign w:val="center"/>
            <w:hideMark/>
          </w:tcPr>
          <w:p w14:paraId="5BB36EF7" w14:textId="77777777" w:rsidR="00071637" w:rsidRPr="00D92E20" w:rsidRDefault="00071637" w:rsidP="00071637">
            <w:pPr>
              <w:spacing w:after="0" w:line="240" w:lineRule="auto"/>
              <w:jc w:val="center"/>
              <w:rPr>
                <w:rFonts w:cs="Arial"/>
                <w:b/>
                <w:bCs/>
                <w:color w:val="000000"/>
                <w:sz w:val="16"/>
                <w:szCs w:val="16"/>
              </w:rPr>
            </w:pPr>
            <w:r w:rsidRPr="00D92E20">
              <w:rPr>
                <w:rFonts w:cs="Arial"/>
                <w:b/>
                <w:bCs/>
                <w:color w:val="000000"/>
                <w:sz w:val="16"/>
                <w:szCs w:val="16"/>
              </w:rPr>
              <w:t>41,7</w:t>
            </w:r>
          </w:p>
        </w:tc>
        <w:tc>
          <w:tcPr>
            <w:tcW w:w="567" w:type="dxa"/>
            <w:tcBorders>
              <w:top w:val="nil"/>
              <w:left w:val="nil"/>
              <w:bottom w:val="nil"/>
              <w:right w:val="nil"/>
            </w:tcBorders>
            <w:shd w:val="clear" w:color="auto" w:fill="auto"/>
            <w:noWrap/>
            <w:vAlign w:val="center"/>
            <w:hideMark/>
          </w:tcPr>
          <w:p w14:paraId="0DB4D585" w14:textId="77777777" w:rsidR="00071637" w:rsidRPr="00D92E20" w:rsidRDefault="00071637" w:rsidP="00071637">
            <w:pPr>
              <w:spacing w:after="0" w:line="240" w:lineRule="auto"/>
              <w:jc w:val="center"/>
              <w:rPr>
                <w:rFonts w:cs="Arial"/>
                <w:b/>
                <w:bCs/>
                <w:color w:val="000000"/>
                <w:sz w:val="16"/>
                <w:szCs w:val="16"/>
              </w:rPr>
            </w:pPr>
            <w:r w:rsidRPr="00D92E20">
              <w:rPr>
                <w:rFonts w:cs="Arial"/>
                <w:b/>
                <w:bCs/>
                <w:color w:val="000000"/>
                <w:sz w:val="16"/>
                <w:szCs w:val="16"/>
              </w:rPr>
              <w:t>42,4</w:t>
            </w:r>
          </w:p>
        </w:tc>
        <w:tc>
          <w:tcPr>
            <w:tcW w:w="567" w:type="dxa"/>
            <w:tcBorders>
              <w:top w:val="nil"/>
              <w:left w:val="nil"/>
              <w:bottom w:val="nil"/>
              <w:right w:val="nil"/>
            </w:tcBorders>
            <w:shd w:val="clear" w:color="auto" w:fill="auto"/>
            <w:noWrap/>
            <w:vAlign w:val="center"/>
            <w:hideMark/>
          </w:tcPr>
          <w:p w14:paraId="6D701659" w14:textId="77777777" w:rsidR="00071637" w:rsidRPr="00D92E20" w:rsidRDefault="00071637" w:rsidP="00071637">
            <w:pPr>
              <w:spacing w:after="0" w:line="240" w:lineRule="auto"/>
              <w:jc w:val="center"/>
              <w:rPr>
                <w:rFonts w:cs="Arial"/>
                <w:b/>
                <w:bCs/>
                <w:color w:val="000000"/>
                <w:sz w:val="16"/>
                <w:szCs w:val="16"/>
              </w:rPr>
            </w:pPr>
            <w:r w:rsidRPr="00D92E20">
              <w:rPr>
                <w:rFonts w:cs="Arial"/>
                <w:b/>
                <w:bCs/>
                <w:color w:val="000000"/>
                <w:sz w:val="16"/>
                <w:szCs w:val="16"/>
              </w:rPr>
              <w:t>39,4</w:t>
            </w:r>
          </w:p>
        </w:tc>
        <w:tc>
          <w:tcPr>
            <w:tcW w:w="567" w:type="dxa"/>
            <w:tcBorders>
              <w:top w:val="single" w:sz="4" w:space="0" w:color="auto"/>
            </w:tcBorders>
            <w:vAlign w:val="center"/>
          </w:tcPr>
          <w:p w14:paraId="001635AB" w14:textId="77777777" w:rsidR="00071637" w:rsidRPr="00D92E20" w:rsidRDefault="00071637" w:rsidP="00071637">
            <w:pPr>
              <w:spacing w:after="0" w:line="240" w:lineRule="auto"/>
              <w:jc w:val="center"/>
            </w:pPr>
            <w:r>
              <w:rPr>
                <w:rFonts w:cs="Arial"/>
                <w:b/>
                <w:bCs/>
                <w:color w:val="000000"/>
                <w:sz w:val="16"/>
                <w:szCs w:val="16"/>
              </w:rPr>
              <w:t>34,5</w:t>
            </w:r>
          </w:p>
        </w:tc>
      </w:tr>
      <w:tr w:rsidR="00071637" w:rsidRPr="00D92E20" w14:paraId="2E03A05B"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29AD865C"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A – Zemědělství, lesnictví a rybářství</w:t>
            </w:r>
          </w:p>
        </w:tc>
        <w:tc>
          <w:tcPr>
            <w:tcW w:w="567" w:type="dxa"/>
            <w:tcBorders>
              <w:top w:val="nil"/>
              <w:left w:val="nil"/>
              <w:bottom w:val="nil"/>
              <w:right w:val="nil"/>
            </w:tcBorders>
            <w:shd w:val="clear" w:color="auto" w:fill="auto"/>
            <w:noWrap/>
            <w:vAlign w:val="center"/>
            <w:hideMark/>
          </w:tcPr>
          <w:p w14:paraId="01084E6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60,8</w:t>
            </w:r>
          </w:p>
        </w:tc>
        <w:tc>
          <w:tcPr>
            <w:tcW w:w="567" w:type="dxa"/>
            <w:tcBorders>
              <w:top w:val="nil"/>
              <w:left w:val="nil"/>
              <w:bottom w:val="nil"/>
              <w:right w:val="nil"/>
            </w:tcBorders>
            <w:shd w:val="clear" w:color="auto" w:fill="auto"/>
            <w:noWrap/>
            <w:vAlign w:val="center"/>
            <w:hideMark/>
          </w:tcPr>
          <w:p w14:paraId="36B50DE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61,8</w:t>
            </w:r>
          </w:p>
        </w:tc>
        <w:tc>
          <w:tcPr>
            <w:tcW w:w="567" w:type="dxa"/>
            <w:tcBorders>
              <w:top w:val="nil"/>
              <w:left w:val="nil"/>
              <w:bottom w:val="nil"/>
              <w:right w:val="nil"/>
            </w:tcBorders>
            <w:shd w:val="clear" w:color="auto" w:fill="auto"/>
            <w:noWrap/>
            <w:vAlign w:val="center"/>
            <w:hideMark/>
          </w:tcPr>
          <w:p w14:paraId="5AE419A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58,9</w:t>
            </w:r>
          </w:p>
        </w:tc>
        <w:tc>
          <w:tcPr>
            <w:tcW w:w="567" w:type="dxa"/>
            <w:tcBorders>
              <w:top w:val="nil"/>
              <w:left w:val="nil"/>
              <w:bottom w:val="nil"/>
              <w:right w:val="nil"/>
            </w:tcBorders>
            <w:shd w:val="clear" w:color="auto" w:fill="auto"/>
            <w:noWrap/>
            <w:vAlign w:val="center"/>
            <w:hideMark/>
          </w:tcPr>
          <w:p w14:paraId="7BB84DA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60,6</w:t>
            </w:r>
          </w:p>
        </w:tc>
        <w:tc>
          <w:tcPr>
            <w:tcW w:w="567" w:type="dxa"/>
            <w:tcBorders>
              <w:top w:val="nil"/>
              <w:left w:val="nil"/>
              <w:bottom w:val="nil"/>
              <w:right w:val="nil"/>
            </w:tcBorders>
            <w:shd w:val="clear" w:color="auto" w:fill="auto"/>
            <w:noWrap/>
            <w:vAlign w:val="center"/>
            <w:hideMark/>
          </w:tcPr>
          <w:p w14:paraId="68886F9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57,4</w:t>
            </w:r>
          </w:p>
        </w:tc>
        <w:tc>
          <w:tcPr>
            <w:tcW w:w="567" w:type="dxa"/>
            <w:tcBorders>
              <w:top w:val="nil"/>
              <w:left w:val="nil"/>
              <w:bottom w:val="nil"/>
              <w:right w:val="nil"/>
            </w:tcBorders>
            <w:shd w:val="clear" w:color="auto" w:fill="auto"/>
            <w:noWrap/>
            <w:vAlign w:val="center"/>
            <w:hideMark/>
          </w:tcPr>
          <w:p w14:paraId="552DBF0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59,0</w:t>
            </w:r>
          </w:p>
        </w:tc>
        <w:tc>
          <w:tcPr>
            <w:tcW w:w="567" w:type="dxa"/>
            <w:tcBorders>
              <w:top w:val="nil"/>
              <w:left w:val="nil"/>
              <w:bottom w:val="nil"/>
              <w:right w:val="nil"/>
            </w:tcBorders>
            <w:shd w:val="clear" w:color="auto" w:fill="auto"/>
            <w:noWrap/>
            <w:vAlign w:val="center"/>
            <w:hideMark/>
          </w:tcPr>
          <w:p w14:paraId="570590A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57,6</w:t>
            </w:r>
          </w:p>
        </w:tc>
        <w:tc>
          <w:tcPr>
            <w:tcW w:w="567" w:type="dxa"/>
            <w:tcBorders>
              <w:top w:val="nil"/>
              <w:left w:val="nil"/>
              <w:bottom w:val="nil"/>
              <w:right w:val="nil"/>
            </w:tcBorders>
            <w:shd w:val="clear" w:color="auto" w:fill="auto"/>
            <w:noWrap/>
            <w:vAlign w:val="center"/>
            <w:hideMark/>
          </w:tcPr>
          <w:p w14:paraId="0B8C651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55,9</w:t>
            </w:r>
          </w:p>
        </w:tc>
        <w:tc>
          <w:tcPr>
            <w:tcW w:w="567" w:type="dxa"/>
            <w:tcBorders>
              <w:top w:val="nil"/>
              <w:left w:val="nil"/>
              <w:bottom w:val="nil"/>
              <w:right w:val="nil"/>
            </w:tcBorders>
            <w:shd w:val="clear" w:color="auto" w:fill="auto"/>
            <w:noWrap/>
            <w:vAlign w:val="center"/>
            <w:hideMark/>
          </w:tcPr>
          <w:p w14:paraId="240DE85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56,8</w:t>
            </w:r>
          </w:p>
        </w:tc>
        <w:tc>
          <w:tcPr>
            <w:tcW w:w="567" w:type="dxa"/>
            <w:tcBorders>
              <w:top w:val="nil"/>
              <w:left w:val="nil"/>
              <w:bottom w:val="nil"/>
              <w:right w:val="nil"/>
            </w:tcBorders>
            <w:shd w:val="clear" w:color="auto" w:fill="auto"/>
            <w:noWrap/>
            <w:vAlign w:val="center"/>
            <w:hideMark/>
          </w:tcPr>
          <w:p w14:paraId="4496F6B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49,7</w:t>
            </w:r>
          </w:p>
        </w:tc>
        <w:tc>
          <w:tcPr>
            <w:tcW w:w="567" w:type="dxa"/>
            <w:vAlign w:val="center"/>
          </w:tcPr>
          <w:p w14:paraId="6E82E121" w14:textId="77777777" w:rsidR="00071637" w:rsidRPr="00D92E20" w:rsidRDefault="00071637" w:rsidP="00071637">
            <w:pPr>
              <w:spacing w:after="0" w:line="240" w:lineRule="auto"/>
              <w:jc w:val="center"/>
            </w:pPr>
            <w:r>
              <w:rPr>
                <w:rFonts w:cs="Arial"/>
                <w:color w:val="000000"/>
                <w:sz w:val="16"/>
                <w:szCs w:val="16"/>
              </w:rPr>
              <w:t>43,4</w:t>
            </w:r>
          </w:p>
        </w:tc>
      </w:tr>
      <w:tr w:rsidR="00071637" w:rsidRPr="00D92E20" w14:paraId="018E8207"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5C2B9627"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B – Těžba a dobývání</w:t>
            </w:r>
          </w:p>
        </w:tc>
        <w:tc>
          <w:tcPr>
            <w:tcW w:w="567" w:type="dxa"/>
            <w:tcBorders>
              <w:top w:val="nil"/>
              <w:left w:val="nil"/>
              <w:bottom w:val="nil"/>
              <w:right w:val="nil"/>
            </w:tcBorders>
            <w:shd w:val="clear" w:color="auto" w:fill="auto"/>
            <w:noWrap/>
            <w:vAlign w:val="center"/>
            <w:hideMark/>
          </w:tcPr>
          <w:p w14:paraId="0F2C40D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40,6</w:t>
            </w:r>
          </w:p>
        </w:tc>
        <w:tc>
          <w:tcPr>
            <w:tcW w:w="567" w:type="dxa"/>
            <w:tcBorders>
              <w:top w:val="nil"/>
              <w:left w:val="nil"/>
              <w:bottom w:val="nil"/>
              <w:right w:val="nil"/>
            </w:tcBorders>
            <w:shd w:val="clear" w:color="auto" w:fill="auto"/>
            <w:noWrap/>
            <w:vAlign w:val="center"/>
            <w:hideMark/>
          </w:tcPr>
          <w:p w14:paraId="2FC1514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41,7</w:t>
            </w:r>
          </w:p>
        </w:tc>
        <w:tc>
          <w:tcPr>
            <w:tcW w:w="567" w:type="dxa"/>
            <w:tcBorders>
              <w:top w:val="nil"/>
              <w:left w:val="nil"/>
              <w:bottom w:val="nil"/>
              <w:right w:val="nil"/>
            </w:tcBorders>
            <w:shd w:val="clear" w:color="auto" w:fill="auto"/>
            <w:noWrap/>
            <w:vAlign w:val="center"/>
            <w:hideMark/>
          </w:tcPr>
          <w:p w14:paraId="2658C9D8"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44,8</w:t>
            </w:r>
          </w:p>
        </w:tc>
        <w:tc>
          <w:tcPr>
            <w:tcW w:w="567" w:type="dxa"/>
            <w:tcBorders>
              <w:top w:val="nil"/>
              <w:left w:val="nil"/>
              <w:bottom w:val="nil"/>
              <w:right w:val="nil"/>
            </w:tcBorders>
            <w:shd w:val="clear" w:color="auto" w:fill="auto"/>
            <w:noWrap/>
            <w:vAlign w:val="center"/>
            <w:hideMark/>
          </w:tcPr>
          <w:p w14:paraId="37443943"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48,0</w:t>
            </w:r>
          </w:p>
        </w:tc>
        <w:tc>
          <w:tcPr>
            <w:tcW w:w="567" w:type="dxa"/>
            <w:tcBorders>
              <w:top w:val="nil"/>
              <w:left w:val="nil"/>
              <w:bottom w:val="nil"/>
              <w:right w:val="nil"/>
            </w:tcBorders>
            <w:shd w:val="clear" w:color="auto" w:fill="auto"/>
            <w:noWrap/>
            <w:vAlign w:val="center"/>
            <w:hideMark/>
          </w:tcPr>
          <w:p w14:paraId="4F55985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45,4</w:t>
            </w:r>
          </w:p>
        </w:tc>
        <w:tc>
          <w:tcPr>
            <w:tcW w:w="567" w:type="dxa"/>
            <w:tcBorders>
              <w:top w:val="nil"/>
              <w:left w:val="nil"/>
              <w:bottom w:val="nil"/>
              <w:right w:val="nil"/>
            </w:tcBorders>
            <w:shd w:val="clear" w:color="auto" w:fill="auto"/>
            <w:noWrap/>
            <w:vAlign w:val="center"/>
            <w:hideMark/>
          </w:tcPr>
          <w:p w14:paraId="21C2ACC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53,8</w:t>
            </w:r>
          </w:p>
        </w:tc>
        <w:tc>
          <w:tcPr>
            <w:tcW w:w="567" w:type="dxa"/>
            <w:tcBorders>
              <w:top w:val="nil"/>
              <w:left w:val="nil"/>
              <w:bottom w:val="nil"/>
              <w:right w:val="nil"/>
            </w:tcBorders>
            <w:shd w:val="clear" w:color="auto" w:fill="auto"/>
            <w:noWrap/>
            <w:vAlign w:val="center"/>
            <w:hideMark/>
          </w:tcPr>
          <w:p w14:paraId="446C3B3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55,6</w:t>
            </w:r>
          </w:p>
        </w:tc>
        <w:tc>
          <w:tcPr>
            <w:tcW w:w="567" w:type="dxa"/>
            <w:tcBorders>
              <w:top w:val="nil"/>
              <w:left w:val="nil"/>
              <w:bottom w:val="nil"/>
              <w:right w:val="nil"/>
            </w:tcBorders>
            <w:shd w:val="clear" w:color="auto" w:fill="auto"/>
            <w:noWrap/>
            <w:vAlign w:val="center"/>
            <w:hideMark/>
          </w:tcPr>
          <w:p w14:paraId="0727B74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47,9</w:t>
            </w:r>
          </w:p>
        </w:tc>
        <w:tc>
          <w:tcPr>
            <w:tcW w:w="567" w:type="dxa"/>
            <w:tcBorders>
              <w:top w:val="nil"/>
              <w:left w:val="nil"/>
              <w:bottom w:val="nil"/>
              <w:right w:val="nil"/>
            </w:tcBorders>
            <w:shd w:val="clear" w:color="auto" w:fill="auto"/>
            <w:noWrap/>
            <w:vAlign w:val="center"/>
            <w:hideMark/>
          </w:tcPr>
          <w:p w14:paraId="19AE9E3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49,4</w:t>
            </w:r>
          </w:p>
        </w:tc>
        <w:tc>
          <w:tcPr>
            <w:tcW w:w="567" w:type="dxa"/>
            <w:tcBorders>
              <w:top w:val="nil"/>
              <w:left w:val="nil"/>
              <w:bottom w:val="nil"/>
              <w:right w:val="nil"/>
            </w:tcBorders>
            <w:shd w:val="clear" w:color="auto" w:fill="auto"/>
            <w:noWrap/>
            <w:vAlign w:val="center"/>
            <w:hideMark/>
          </w:tcPr>
          <w:p w14:paraId="5AF7AC9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40,5</w:t>
            </w:r>
          </w:p>
        </w:tc>
        <w:tc>
          <w:tcPr>
            <w:tcW w:w="567" w:type="dxa"/>
            <w:vAlign w:val="center"/>
          </w:tcPr>
          <w:p w14:paraId="6AA61C09" w14:textId="77777777" w:rsidR="00071637" w:rsidRPr="00D92E20" w:rsidRDefault="00071637" w:rsidP="00071637">
            <w:pPr>
              <w:spacing w:after="0" w:line="240" w:lineRule="auto"/>
              <w:jc w:val="center"/>
            </w:pPr>
            <w:r>
              <w:rPr>
                <w:rFonts w:cs="Arial"/>
                <w:color w:val="000000"/>
                <w:sz w:val="16"/>
                <w:szCs w:val="16"/>
              </w:rPr>
              <w:t>41,3</w:t>
            </w:r>
          </w:p>
        </w:tc>
      </w:tr>
      <w:tr w:rsidR="00071637" w:rsidRPr="00D92E20" w14:paraId="67F6EA45"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531F0A94"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C – Zpracovatelský průmysl</w:t>
            </w:r>
          </w:p>
        </w:tc>
        <w:tc>
          <w:tcPr>
            <w:tcW w:w="567" w:type="dxa"/>
            <w:tcBorders>
              <w:top w:val="nil"/>
              <w:left w:val="nil"/>
              <w:bottom w:val="nil"/>
              <w:right w:val="nil"/>
            </w:tcBorders>
            <w:shd w:val="clear" w:color="auto" w:fill="auto"/>
            <w:noWrap/>
            <w:vAlign w:val="center"/>
            <w:hideMark/>
          </w:tcPr>
          <w:p w14:paraId="68E5A6E8"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41,3</w:t>
            </w:r>
          </w:p>
        </w:tc>
        <w:tc>
          <w:tcPr>
            <w:tcW w:w="567" w:type="dxa"/>
            <w:tcBorders>
              <w:top w:val="nil"/>
              <w:left w:val="nil"/>
              <w:bottom w:val="nil"/>
              <w:right w:val="nil"/>
            </w:tcBorders>
            <w:shd w:val="clear" w:color="auto" w:fill="auto"/>
            <w:noWrap/>
            <w:vAlign w:val="center"/>
            <w:hideMark/>
          </w:tcPr>
          <w:p w14:paraId="4D41011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45,5</w:t>
            </w:r>
          </w:p>
        </w:tc>
        <w:tc>
          <w:tcPr>
            <w:tcW w:w="567" w:type="dxa"/>
            <w:tcBorders>
              <w:top w:val="nil"/>
              <w:left w:val="nil"/>
              <w:bottom w:val="nil"/>
              <w:right w:val="nil"/>
            </w:tcBorders>
            <w:shd w:val="clear" w:color="auto" w:fill="auto"/>
            <w:noWrap/>
            <w:vAlign w:val="center"/>
            <w:hideMark/>
          </w:tcPr>
          <w:p w14:paraId="51D40EB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43,7</w:t>
            </w:r>
          </w:p>
        </w:tc>
        <w:tc>
          <w:tcPr>
            <w:tcW w:w="567" w:type="dxa"/>
            <w:tcBorders>
              <w:top w:val="nil"/>
              <w:left w:val="nil"/>
              <w:bottom w:val="nil"/>
              <w:right w:val="nil"/>
            </w:tcBorders>
            <w:shd w:val="clear" w:color="auto" w:fill="auto"/>
            <w:noWrap/>
            <w:vAlign w:val="center"/>
            <w:hideMark/>
          </w:tcPr>
          <w:p w14:paraId="4F45A59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44,8</w:t>
            </w:r>
          </w:p>
        </w:tc>
        <w:tc>
          <w:tcPr>
            <w:tcW w:w="567" w:type="dxa"/>
            <w:tcBorders>
              <w:top w:val="nil"/>
              <w:left w:val="nil"/>
              <w:bottom w:val="nil"/>
              <w:right w:val="nil"/>
            </w:tcBorders>
            <w:shd w:val="clear" w:color="auto" w:fill="auto"/>
            <w:noWrap/>
            <w:vAlign w:val="center"/>
            <w:hideMark/>
          </w:tcPr>
          <w:p w14:paraId="3DEEC8F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41,6</w:t>
            </w:r>
          </w:p>
        </w:tc>
        <w:tc>
          <w:tcPr>
            <w:tcW w:w="567" w:type="dxa"/>
            <w:tcBorders>
              <w:top w:val="nil"/>
              <w:left w:val="nil"/>
              <w:bottom w:val="nil"/>
              <w:right w:val="nil"/>
            </w:tcBorders>
            <w:shd w:val="clear" w:color="auto" w:fill="auto"/>
            <w:noWrap/>
            <w:vAlign w:val="center"/>
            <w:hideMark/>
          </w:tcPr>
          <w:p w14:paraId="0CA11C5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42,4</w:t>
            </w:r>
          </w:p>
        </w:tc>
        <w:tc>
          <w:tcPr>
            <w:tcW w:w="567" w:type="dxa"/>
            <w:tcBorders>
              <w:top w:val="nil"/>
              <w:left w:val="nil"/>
              <w:bottom w:val="nil"/>
              <w:right w:val="nil"/>
            </w:tcBorders>
            <w:shd w:val="clear" w:color="auto" w:fill="auto"/>
            <w:noWrap/>
            <w:vAlign w:val="center"/>
            <w:hideMark/>
          </w:tcPr>
          <w:p w14:paraId="1BC87F83"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41,9</w:t>
            </w:r>
          </w:p>
        </w:tc>
        <w:tc>
          <w:tcPr>
            <w:tcW w:w="567" w:type="dxa"/>
            <w:tcBorders>
              <w:top w:val="nil"/>
              <w:left w:val="nil"/>
              <w:bottom w:val="nil"/>
              <w:right w:val="nil"/>
            </w:tcBorders>
            <w:shd w:val="clear" w:color="auto" w:fill="auto"/>
            <w:noWrap/>
            <w:vAlign w:val="center"/>
            <w:hideMark/>
          </w:tcPr>
          <w:p w14:paraId="75D07285"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41,2</w:t>
            </w:r>
          </w:p>
        </w:tc>
        <w:tc>
          <w:tcPr>
            <w:tcW w:w="567" w:type="dxa"/>
            <w:tcBorders>
              <w:top w:val="nil"/>
              <w:left w:val="nil"/>
              <w:bottom w:val="nil"/>
              <w:right w:val="nil"/>
            </w:tcBorders>
            <w:shd w:val="clear" w:color="auto" w:fill="auto"/>
            <w:noWrap/>
            <w:vAlign w:val="center"/>
            <w:hideMark/>
          </w:tcPr>
          <w:p w14:paraId="58C63F6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42,2</w:t>
            </w:r>
          </w:p>
        </w:tc>
        <w:tc>
          <w:tcPr>
            <w:tcW w:w="567" w:type="dxa"/>
            <w:tcBorders>
              <w:top w:val="nil"/>
              <w:left w:val="nil"/>
              <w:bottom w:val="nil"/>
              <w:right w:val="nil"/>
            </w:tcBorders>
            <w:shd w:val="clear" w:color="auto" w:fill="auto"/>
            <w:noWrap/>
            <w:vAlign w:val="center"/>
            <w:hideMark/>
          </w:tcPr>
          <w:p w14:paraId="487BC350"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39,8</w:t>
            </w:r>
          </w:p>
        </w:tc>
        <w:tc>
          <w:tcPr>
            <w:tcW w:w="567" w:type="dxa"/>
            <w:vAlign w:val="center"/>
          </w:tcPr>
          <w:p w14:paraId="4F00ACED" w14:textId="77777777" w:rsidR="00071637" w:rsidRPr="00D92E20" w:rsidRDefault="00071637" w:rsidP="00071637">
            <w:pPr>
              <w:spacing w:after="0" w:line="240" w:lineRule="auto"/>
              <w:jc w:val="center"/>
            </w:pPr>
            <w:r>
              <w:rPr>
                <w:rFonts w:cs="Arial"/>
                <w:color w:val="000000"/>
                <w:sz w:val="16"/>
                <w:szCs w:val="16"/>
              </w:rPr>
              <w:t>33,8</w:t>
            </w:r>
          </w:p>
        </w:tc>
      </w:tr>
      <w:tr w:rsidR="00071637" w:rsidRPr="00D92E20" w14:paraId="5A80251B" w14:textId="77777777" w:rsidTr="00071637">
        <w:trPr>
          <w:trHeight w:val="480"/>
        </w:trPr>
        <w:tc>
          <w:tcPr>
            <w:tcW w:w="3402" w:type="dxa"/>
            <w:tcBorders>
              <w:top w:val="nil"/>
              <w:left w:val="nil"/>
              <w:bottom w:val="nil"/>
              <w:right w:val="single" w:sz="4" w:space="0" w:color="auto"/>
            </w:tcBorders>
            <w:shd w:val="clear" w:color="auto" w:fill="auto"/>
            <w:vAlign w:val="center"/>
            <w:hideMark/>
          </w:tcPr>
          <w:p w14:paraId="068641AC"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 xml:space="preserve">D – Výroba a rozvod elektřiny, plynu, </w:t>
            </w:r>
            <w:r w:rsidRPr="00D92E20">
              <w:rPr>
                <w:rFonts w:cs="Arial"/>
                <w:color w:val="000000"/>
                <w:sz w:val="16"/>
                <w:szCs w:val="16"/>
              </w:rPr>
              <w:br/>
              <w:t xml:space="preserve">          tepla a klimatizovaného vzduchu</w:t>
            </w:r>
          </w:p>
        </w:tc>
        <w:tc>
          <w:tcPr>
            <w:tcW w:w="567" w:type="dxa"/>
            <w:tcBorders>
              <w:top w:val="nil"/>
              <w:left w:val="nil"/>
              <w:bottom w:val="nil"/>
              <w:right w:val="nil"/>
            </w:tcBorders>
            <w:shd w:val="clear" w:color="auto" w:fill="auto"/>
            <w:noWrap/>
            <w:vAlign w:val="center"/>
            <w:hideMark/>
          </w:tcPr>
          <w:p w14:paraId="6792067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39,6</w:t>
            </w:r>
          </w:p>
        </w:tc>
        <w:tc>
          <w:tcPr>
            <w:tcW w:w="567" w:type="dxa"/>
            <w:tcBorders>
              <w:top w:val="nil"/>
              <w:left w:val="nil"/>
              <w:bottom w:val="nil"/>
              <w:right w:val="nil"/>
            </w:tcBorders>
            <w:shd w:val="clear" w:color="auto" w:fill="auto"/>
            <w:noWrap/>
            <w:vAlign w:val="center"/>
            <w:hideMark/>
          </w:tcPr>
          <w:p w14:paraId="680F497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43,1</w:t>
            </w:r>
          </w:p>
        </w:tc>
        <w:tc>
          <w:tcPr>
            <w:tcW w:w="567" w:type="dxa"/>
            <w:tcBorders>
              <w:top w:val="nil"/>
              <w:left w:val="nil"/>
              <w:bottom w:val="nil"/>
              <w:right w:val="nil"/>
            </w:tcBorders>
            <w:shd w:val="clear" w:color="auto" w:fill="auto"/>
            <w:noWrap/>
            <w:vAlign w:val="center"/>
            <w:hideMark/>
          </w:tcPr>
          <w:p w14:paraId="2D83321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38,5</w:t>
            </w:r>
          </w:p>
        </w:tc>
        <w:tc>
          <w:tcPr>
            <w:tcW w:w="567" w:type="dxa"/>
            <w:tcBorders>
              <w:top w:val="nil"/>
              <w:left w:val="nil"/>
              <w:bottom w:val="nil"/>
              <w:right w:val="nil"/>
            </w:tcBorders>
            <w:shd w:val="clear" w:color="auto" w:fill="auto"/>
            <w:noWrap/>
            <w:vAlign w:val="center"/>
            <w:hideMark/>
          </w:tcPr>
          <w:p w14:paraId="1D24F1C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40,8</w:t>
            </w:r>
          </w:p>
        </w:tc>
        <w:tc>
          <w:tcPr>
            <w:tcW w:w="567" w:type="dxa"/>
            <w:tcBorders>
              <w:top w:val="nil"/>
              <w:left w:val="nil"/>
              <w:bottom w:val="nil"/>
              <w:right w:val="nil"/>
            </w:tcBorders>
            <w:shd w:val="clear" w:color="auto" w:fill="auto"/>
            <w:noWrap/>
            <w:vAlign w:val="center"/>
            <w:hideMark/>
          </w:tcPr>
          <w:p w14:paraId="2D5CF25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61CA5F5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41,4</w:t>
            </w:r>
          </w:p>
        </w:tc>
        <w:tc>
          <w:tcPr>
            <w:tcW w:w="567" w:type="dxa"/>
            <w:tcBorders>
              <w:top w:val="nil"/>
              <w:left w:val="nil"/>
              <w:bottom w:val="nil"/>
              <w:right w:val="nil"/>
            </w:tcBorders>
            <w:shd w:val="clear" w:color="auto" w:fill="auto"/>
            <w:noWrap/>
            <w:vAlign w:val="center"/>
            <w:hideMark/>
          </w:tcPr>
          <w:p w14:paraId="2BB8044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4D895E8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36,9</w:t>
            </w:r>
          </w:p>
        </w:tc>
        <w:tc>
          <w:tcPr>
            <w:tcW w:w="567" w:type="dxa"/>
            <w:tcBorders>
              <w:top w:val="nil"/>
              <w:left w:val="nil"/>
              <w:bottom w:val="nil"/>
              <w:right w:val="nil"/>
            </w:tcBorders>
            <w:shd w:val="clear" w:color="auto" w:fill="auto"/>
            <w:noWrap/>
            <w:vAlign w:val="center"/>
            <w:hideMark/>
          </w:tcPr>
          <w:p w14:paraId="29FB499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38,1</w:t>
            </w:r>
          </w:p>
        </w:tc>
        <w:tc>
          <w:tcPr>
            <w:tcW w:w="567" w:type="dxa"/>
            <w:tcBorders>
              <w:top w:val="nil"/>
              <w:left w:val="nil"/>
              <w:bottom w:val="nil"/>
              <w:right w:val="nil"/>
            </w:tcBorders>
            <w:shd w:val="clear" w:color="auto" w:fill="auto"/>
            <w:noWrap/>
            <w:vAlign w:val="center"/>
            <w:hideMark/>
          </w:tcPr>
          <w:p w14:paraId="2843E23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33,2</w:t>
            </w:r>
          </w:p>
        </w:tc>
        <w:tc>
          <w:tcPr>
            <w:tcW w:w="567" w:type="dxa"/>
            <w:vAlign w:val="center"/>
          </w:tcPr>
          <w:p w14:paraId="4F49BA62" w14:textId="77777777" w:rsidR="00071637" w:rsidRPr="00D92E20" w:rsidRDefault="00071637" w:rsidP="00071637">
            <w:pPr>
              <w:spacing w:after="0" w:line="240" w:lineRule="auto"/>
              <w:jc w:val="center"/>
            </w:pPr>
            <w:r>
              <w:rPr>
                <w:rFonts w:cs="Arial"/>
                <w:color w:val="000000"/>
                <w:sz w:val="16"/>
                <w:szCs w:val="16"/>
              </w:rPr>
              <w:t>31,6</w:t>
            </w:r>
          </w:p>
        </w:tc>
      </w:tr>
      <w:tr w:rsidR="00071637" w:rsidRPr="00D92E20" w14:paraId="525E1013" w14:textId="77777777" w:rsidTr="00071637">
        <w:trPr>
          <w:trHeight w:val="480"/>
        </w:trPr>
        <w:tc>
          <w:tcPr>
            <w:tcW w:w="3402" w:type="dxa"/>
            <w:tcBorders>
              <w:top w:val="nil"/>
              <w:left w:val="nil"/>
              <w:bottom w:val="nil"/>
              <w:right w:val="single" w:sz="4" w:space="0" w:color="auto"/>
            </w:tcBorders>
            <w:shd w:val="clear" w:color="auto" w:fill="auto"/>
            <w:vAlign w:val="center"/>
            <w:hideMark/>
          </w:tcPr>
          <w:p w14:paraId="011C5F0B"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 xml:space="preserve">E – Zásobování vodou; činnosti </w:t>
            </w:r>
            <w:r w:rsidRPr="00D92E20">
              <w:rPr>
                <w:rFonts w:cs="Arial"/>
                <w:color w:val="000000"/>
                <w:sz w:val="16"/>
                <w:szCs w:val="16"/>
              </w:rPr>
              <w:br/>
              <w:t xml:space="preserve">          související s odpady a sanacemi</w:t>
            </w:r>
          </w:p>
        </w:tc>
        <w:tc>
          <w:tcPr>
            <w:tcW w:w="567" w:type="dxa"/>
            <w:tcBorders>
              <w:top w:val="nil"/>
              <w:left w:val="nil"/>
              <w:bottom w:val="nil"/>
              <w:right w:val="nil"/>
            </w:tcBorders>
            <w:shd w:val="clear" w:color="auto" w:fill="auto"/>
            <w:noWrap/>
            <w:vAlign w:val="center"/>
            <w:hideMark/>
          </w:tcPr>
          <w:p w14:paraId="3876E17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44,7</w:t>
            </w:r>
          </w:p>
        </w:tc>
        <w:tc>
          <w:tcPr>
            <w:tcW w:w="567" w:type="dxa"/>
            <w:tcBorders>
              <w:top w:val="nil"/>
              <w:left w:val="nil"/>
              <w:bottom w:val="nil"/>
              <w:right w:val="nil"/>
            </w:tcBorders>
            <w:shd w:val="clear" w:color="auto" w:fill="auto"/>
            <w:noWrap/>
            <w:vAlign w:val="center"/>
            <w:hideMark/>
          </w:tcPr>
          <w:p w14:paraId="43B576F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48,0</w:t>
            </w:r>
          </w:p>
        </w:tc>
        <w:tc>
          <w:tcPr>
            <w:tcW w:w="567" w:type="dxa"/>
            <w:tcBorders>
              <w:top w:val="nil"/>
              <w:left w:val="nil"/>
              <w:bottom w:val="nil"/>
              <w:right w:val="nil"/>
            </w:tcBorders>
            <w:shd w:val="clear" w:color="auto" w:fill="auto"/>
            <w:noWrap/>
            <w:vAlign w:val="center"/>
            <w:hideMark/>
          </w:tcPr>
          <w:p w14:paraId="23A1BF05"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45,2</w:t>
            </w:r>
          </w:p>
        </w:tc>
        <w:tc>
          <w:tcPr>
            <w:tcW w:w="567" w:type="dxa"/>
            <w:tcBorders>
              <w:top w:val="nil"/>
              <w:left w:val="nil"/>
              <w:bottom w:val="nil"/>
              <w:right w:val="nil"/>
            </w:tcBorders>
            <w:shd w:val="clear" w:color="auto" w:fill="auto"/>
            <w:noWrap/>
            <w:vAlign w:val="center"/>
            <w:hideMark/>
          </w:tcPr>
          <w:p w14:paraId="0F29DBC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48,1</w:t>
            </w:r>
          </w:p>
        </w:tc>
        <w:tc>
          <w:tcPr>
            <w:tcW w:w="567" w:type="dxa"/>
            <w:tcBorders>
              <w:top w:val="nil"/>
              <w:left w:val="nil"/>
              <w:bottom w:val="nil"/>
              <w:right w:val="nil"/>
            </w:tcBorders>
            <w:shd w:val="clear" w:color="auto" w:fill="auto"/>
            <w:noWrap/>
            <w:vAlign w:val="center"/>
            <w:hideMark/>
          </w:tcPr>
          <w:p w14:paraId="53E0A37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45,0</w:t>
            </w:r>
          </w:p>
        </w:tc>
        <w:tc>
          <w:tcPr>
            <w:tcW w:w="567" w:type="dxa"/>
            <w:tcBorders>
              <w:top w:val="nil"/>
              <w:left w:val="nil"/>
              <w:bottom w:val="nil"/>
              <w:right w:val="nil"/>
            </w:tcBorders>
            <w:shd w:val="clear" w:color="auto" w:fill="auto"/>
            <w:noWrap/>
            <w:vAlign w:val="center"/>
            <w:hideMark/>
          </w:tcPr>
          <w:p w14:paraId="6BEC5EC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45,0</w:t>
            </w:r>
          </w:p>
        </w:tc>
        <w:tc>
          <w:tcPr>
            <w:tcW w:w="567" w:type="dxa"/>
            <w:tcBorders>
              <w:top w:val="nil"/>
              <w:left w:val="nil"/>
              <w:bottom w:val="nil"/>
              <w:right w:val="nil"/>
            </w:tcBorders>
            <w:shd w:val="clear" w:color="auto" w:fill="auto"/>
            <w:noWrap/>
            <w:vAlign w:val="center"/>
            <w:hideMark/>
          </w:tcPr>
          <w:p w14:paraId="65FCE1D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44,6</w:t>
            </w:r>
          </w:p>
        </w:tc>
        <w:tc>
          <w:tcPr>
            <w:tcW w:w="567" w:type="dxa"/>
            <w:tcBorders>
              <w:top w:val="nil"/>
              <w:left w:val="nil"/>
              <w:bottom w:val="nil"/>
              <w:right w:val="nil"/>
            </w:tcBorders>
            <w:shd w:val="clear" w:color="auto" w:fill="auto"/>
            <w:noWrap/>
            <w:vAlign w:val="center"/>
            <w:hideMark/>
          </w:tcPr>
          <w:p w14:paraId="3171D8F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44,0</w:t>
            </w:r>
          </w:p>
        </w:tc>
        <w:tc>
          <w:tcPr>
            <w:tcW w:w="567" w:type="dxa"/>
            <w:tcBorders>
              <w:top w:val="nil"/>
              <w:left w:val="nil"/>
              <w:bottom w:val="nil"/>
              <w:right w:val="nil"/>
            </w:tcBorders>
            <w:shd w:val="clear" w:color="auto" w:fill="auto"/>
            <w:noWrap/>
            <w:vAlign w:val="center"/>
            <w:hideMark/>
          </w:tcPr>
          <w:p w14:paraId="779C607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44,9</w:t>
            </w:r>
          </w:p>
        </w:tc>
        <w:tc>
          <w:tcPr>
            <w:tcW w:w="567" w:type="dxa"/>
            <w:tcBorders>
              <w:top w:val="nil"/>
              <w:left w:val="nil"/>
              <w:bottom w:val="nil"/>
              <w:right w:val="nil"/>
            </w:tcBorders>
            <w:shd w:val="clear" w:color="auto" w:fill="auto"/>
            <w:noWrap/>
            <w:vAlign w:val="center"/>
            <w:hideMark/>
          </w:tcPr>
          <w:p w14:paraId="452E1AB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41,4</w:t>
            </w:r>
          </w:p>
        </w:tc>
        <w:tc>
          <w:tcPr>
            <w:tcW w:w="567" w:type="dxa"/>
            <w:vAlign w:val="center"/>
          </w:tcPr>
          <w:p w14:paraId="14C4863A" w14:textId="77777777" w:rsidR="00071637" w:rsidRPr="00D92E20" w:rsidRDefault="00071637" w:rsidP="00071637">
            <w:pPr>
              <w:spacing w:after="0" w:line="240" w:lineRule="auto"/>
              <w:jc w:val="center"/>
            </w:pPr>
            <w:r>
              <w:rPr>
                <w:rFonts w:cs="Arial"/>
                <w:color w:val="000000"/>
                <w:sz w:val="16"/>
                <w:szCs w:val="16"/>
              </w:rPr>
              <w:t>36,0</w:t>
            </w:r>
          </w:p>
        </w:tc>
      </w:tr>
      <w:tr w:rsidR="00071637" w:rsidRPr="00D92E20" w14:paraId="2CF0D34A"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7D9B7ACC"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F – Stavebnictví</w:t>
            </w:r>
          </w:p>
        </w:tc>
        <w:tc>
          <w:tcPr>
            <w:tcW w:w="567" w:type="dxa"/>
            <w:tcBorders>
              <w:top w:val="nil"/>
              <w:left w:val="nil"/>
              <w:bottom w:val="nil"/>
              <w:right w:val="nil"/>
            </w:tcBorders>
            <w:shd w:val="clear" w:color="auto" w:fill="auto"/>
            <w:noWrap/>
            <w:vAlign w:val="center"/>
            <w:hideMark/>
          </w:tcPr>
          <w:p w14:paraId="50C2D26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59,6</w:t>
            </w:r>
          </w:p>
        </w:tc>
        <w:tc>
          <w:tcPr>
            <w:tcW w:w="567" w:type="dxa"/>
            <w:tcBorders>
              <w:top w:val="nil"/>
              <w:left w:val="nil"/>
              <w:bottom w:val="nil"/>
              <w:right w:val="nil"/>
            </w:tcBorders>
            <w:shd w:val="clear" w:color="auto" w:fill="auto"/>
            <w:noWrap/>
            <w:vAlign w:val="center"/>
            <w:hideMark/>
          </w:tcPr>
          <w:p w14:paraId="5D0EA1A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58,2</w:t>
            </w:r>
          </w:p>
        </w:tc>
        <w:tc>
          <w:tcPr>
            <w:tcW w:w="567" w:type="dxa"/>
            <w:tcBorders>
              <w:top w:val="nil"/>
              <w:left w:val="nil"/>
              <w:bottom w:val="nil"/>
              <w:right w:val="nil"/>
            </w:tcBorders>
            <w:shd w:val="clear" w:color="auto" w:fill="auto"/>
            <w:noWrap/>
            <w:vAlign w:val="center"/>
            <w:hideMark/>
          </w:tcPr>
          <w:p w14:paraId="155C03D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57,1</w:t>
            </w:r>
          </w:p>
        </w:tc>
        <w:tc>
          <w:tcPr>
            <w:tcW w:w="567" w:type="dxa"/>
            <w:tcBorders>
              <w:top w:val="nil"/>
              <w:left w:val="nil"/>
              <w:bottom w:val="nil"/>
              <w:right w:val="nil"/>
            </w:tcBorders>
            <w:shd w:val="clear" w:color="auto" w:fill="auto"/>
            <w:noWrap/>
            <w:vAlign w:val="center"/>
            <w:hideMark/>
          </w:tcPr>
          <w:p w14:paraId="060B50B5"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59,3</w:t>
            </w:r>
          </w:p>
        </w:tc>
        <w:tc>
          <w:tcPr>
            <w:tcW w:w="567" w:type="dxa"/>
            <w:tcBorders>
              <w:top w:val="nil"/>
              <w:left w:val="nil"/>
              <w:bottom w:val="nil"/>
              <w:right w:val="nil"/>
            </w:tcBorders>
            <w:shd w:val="clear" w:color="auto" w:fill="auto"/>
            <w:noWrap/>
            <w:vAlign w:val="center"/>
            <w:hideMark/>
          </w:tcPr>
          <w:p w14:paraId="7B23D2D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53,8</w:t>
            </w:r>
          </w:p>
        </w:tc>
        <w:tc>
          <w:tcPr>
            <w:tcW w:w="567" w:type="dxa"/>
            <w:tcBorders>
              <w:top w:val="nil"/>
              <w:left w:val="nil"/>
              <w:bottom w:val="nil"/>
              <w:right w:val="nil"/>
            </w:tcBorders>
            <w:shd w:val="clear" w:color="auto" w:fill="auto"/>
            <w:noWrap/>
            <w:vAlign w:val="center"/>
            <w:hideMark/>
          </w:tcPr>
          <w:p w14:paraId="285B9C6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54,6</w:t>
            </w:r>
          </w:p>
        </w:tc>
        <w:tc>
          <w:tcPr>
            <w:tcW w:w="567" w:type="dxa"/>
            <w:tcBorders>
              <w:top w:val="nil"/>
              <w:left w:val="nil"/>
              <w:bottom w:val="nil"/>
              <w:right w:val="nil"/>
            </w:tcBorders>
            <w:shd w:val="clear" w:color="auto" w:fill="auto"/>
            <w:noWrap/>
            <w:vAlign w:val="center"/>
            <w:hideMark/>
          </w:tcPr>
          <w:p w14:paraId="5D8CEF3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53,9</w:t>
            </w:r>
          </w:p>
        </w:tc>
        <w:tc>
          <w:tcPr>
            <w:tcW w:w="567" w:type="dxa"/>
            <w:tcBorders>
              <w:top w:val="nil"/>
              <w:left w:val="nil"/>
              <w:bottom w:val="nil"/>
              <w:right w:val="nil"/>
            </w:tcBorders>
            <w:shd w:val="clear" w:color="auto" w:fill="auto"/>
            <w:noWrap/>
            <w:vAlign w:val="center"/>
            <w:hideMark/>
          </w:tcPr>
          <w:p w14:paraId="02C2073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52,1</w:t>
            </w:r>
          </w:p>
        </w:tc>
        <w:tc>
          <w:tcPr>
            <w:tcW w:w="567" w:type="dxa"/>
            <w:tcBorders>
              <w:top w:val="nil"/>
              <w:left w:val="nil"/>
              <w:bottom w:val="nil"/>
              <w:right w:val="nil"/>
            </w:tcBorders>
            <w:shd w:val="clear" w:color="auto" w:fill="auto"/>
            <w:noWrap/>
            <w:vAlign w:val="center"/>
            <w:hideMark/>
          </w:tcPr>
          <w:p w14:paraId="689BBAF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52,0</w:t>
            </w:r>
          </w:p>
        </w:tc>
        <w:tc>
          <w:tcPr>
            <w:tcW w:w="567" w:type="dxa"/>
            <w:tcBorders>
              <w:top w:val="nil"/>
              <w:left w:val="nil"/>
              <w:bottom w:val="nil"/>
              <w:right w:val="nil"/>
            </w:tcBorders>
            <w:shd w:val="clear" w:color="auto" w:fill="auto"/>
            <w:noWrap/>
            <w:vAlign w:val="center"/>
            <w:hideMark/>
          </w:tcPr>
          <w:p w14:paraId="395FBA5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45,9</w:t>
            </w:r>
          </w:p>
        </w:tc>
        <w:tc>
          <w:tcPr>
            <w:tcW w:w="567" w:type="dxa"/>
            <w:vAlign w:val="center"/>
          </w:tcPr>
          <w:p w14:paraId="287BB58E" w14:textId="77777777" w:rsidR="00071637" w:rsidRPr="00D92E20" w:rsidRDefault="00071637" w:rsidP="00071637">
            <w:pPr>
              <w:spacing w:after="0" w:line="240" w:lineRule="auto"/>
              <w:jc w:val="center"/>
            </w:pPr>
            <w:r>
              <w:rPr>
                <w:rFonts w:cs="Arial"/>
                <w:color w:val="000000"/>
                <w:sz w:val="16"/>
                <w:szCs w:val="16"/>
              </w:rPr>
              <w:t>39,7</w:t>
            </w:r>
          </w:p>
        </w:tc>
      </w:tr>
      <w:tr w:rsidR="00071637" w:rsidRPr="00D92E20" w14:paraId="6CC67BC9" w14:textId="77777777" w:rsidTr="00071637">
        <w:trPr>
          <w:trHeight w:val="480"/>
        </w:trPr>
        <w:tc>
          <w:tcPr>
            <w:tcW w:w="3402" w:type="dxa"/>
            <w:tcBorders>
              <w:top w:val="nil"/>
              <w:left w:val="nil"/>
              <w:bottom w:val="nil"/>
              <w:right w:val="single" w:sz="4" w:space="0" w:color="auto"/>
            </w:tcBorders>
            <w:shd w:val="clear" w:color="auto" w:fill="auto"/>
            <w:vAlign w:val="center"/>
            <w:hideMark/>
          </w:tcPr>
          <w:p w14:paraId="2DE69B65"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 xml:space="preserve">G – Velkoobchod a maloobchod; </w:t>
            </w:r>
            <w:r w:rsidRPr="00D92E20">
              <w:rPr>
                <w:rFonts w:cs="Arial"/>
                <w:color w:val="000000"/>
                <w:sz w:val="16"/>
                <w:szCs w:val="16"/>
              </w:rPr>
              <w:br/>
              <w:t xml:space="preserve">          opravy a údržba motorových vozidel</w:t>
            </w:r>
          </w:p>
        </w:tc>
        <w:tc>
          <w:tcPr>
            <w:tcW w:w="567" w:type="dxa"/>
            <w:tcBorders>
              <w:top w:val="nil"/>
              <w:left w:val="nil"/>
              <w:bottom w:val="nil"/>
              <w:right w:val="nil"/>
            </w:tcBorders>
            <w:shd w:val="clear" w:color="auto" w:fill="auto"/>
            <w:noWrap/>
            <w:vAlign w:val="center"/>
            <w:hideMark/>
          </w:tcPr>
          <w:p w14:paraId="02E43F8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48,5</w:t>
            </w:r>
          </w:p>
        </w:tc>
        <w:tc>
          <w:tcPr>
            <w:tcW w:w="567" w:type="dxa"/>
            <w:tcBorders>
              <w:top w:val="nil"/>
              <w:left w:val="nil"/>
              <w:bottom w:val="nil"/>
              <w:right w:val="nil"/>
            </w:tcBorders>
            <w:shd w:val="clear" w:color="auto" w:fill="auto"/>
            <w:noWrap/>
            <w:vAlign w:val="center"/>
            <w:hideMark/>
          </w:tcPr>
          <w:p w14:paraId="096686C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51,0</w:t>
            </w:r>
          </w:p>
        </w:tc>
        <w:tc>
          <w:tcPr>
            <w:tcW w:w="567" w:type="dxa"/>
            <w:tcBorders>
              <w:top w:val="nil"/>
              <w:left w:val="nil"/>
              <w:bottom w:val="nil"/>
              <w:right w:val="nil"/>
            </w:tcBorders>
            <w:shd w:val="clear" w:color="auto" w:fill="auto"/>
            <w:noWrap/>
            <w:vAlign w:val="center"/>
            <w:hideMark/>
          </w:tcPr>
          <w:p w14:paraId="3D4D142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48,7</w:t>
            </w:r>
          </w:p>
        </w:tc>
        <w:tc>
          <w:tcPr>
            <w:tcW w:w="567" w:type="dxa"/>
            <w:tcBorders>
              <w:top w:val="nil"/>
              <w:left w:val="nil"/>
              <w:bottom w:val="nil"/>
              <w:right w:val="nil"/>
            </w:tcBorders>
            <w:shd w:val="clear" w:color="auto" w:fill="auto"/>
            <w:noWrap/>
            <w:vAlign w:val="center"/>
            <w:hideMark/>
          </w:tcPr>
          <w:p w14:paraId="510AEBC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50,3</w:t>
            </w:r>
          </w:p>
        </w:tc>
        <w:tc>
          <w:tcPr>
            <w:tcW w:w="567" w:type="dxa"/>
            <w:tcBorders>
              <w:top w:val="nil"/>
              <w:left w:val="nil"/>
              <w:bottom w:val="nil"/>
              <w:right w:val="nil"/>
            </w:tcBorders>
            <w:shd w:val="clear" w:color="auto" w:fill="auto"/>
            <w:noWrap/>
            <w:vAlign w:val="center"/>
            <w:hideMark/>
          </w:tcPr>
          <w:p w14:paraId="2B0531F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46,7</w:t>
            </w:r>
          </w:p>
        </w:tc>
        <w:tc>
          <w:tcPr>
            <w:tcW w:w="567" w:type="dxa"/>
            <w:tcBorders>
              <w:top w:val="nil"/>
              <w:left w:val="nil"/>
              <w:bottom w:val="nil"/>
              <w:right w:val="nil"/>
            </w:tcBorders>
            <w:shd w:val="clear" w:color="auto" w:fill="auto"/>
            <w:noWrap/>
            <w:vAlign w:val="center"/>
            <w:hideMark/>
          </w:tcPr>
          <w:p w14:paraId="015B0C2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44,9</w:t>
            </w:r>
          </w:p>
        </w:tc>
        <w:tc>
          <w:tcPr>
            <w:tcW w:w="567" w:type="dxa"/>
            <w:tcBorders>
              <w:top w:val="nil"/>
              <w:left w:val="nil"/>
              <w:bottom w:val="nil"/>
              <w:right w:val="nil"/>
            </w:tcBorders>
            <w:shd w:val="clear" w:color="auto" w:fill="auto"/>
            <w:noWrap/>
            <w:vAlign w:val="center"/>
            <w:hideMark/>
          </w:tcPr>
          <w:p w14:paraId="1CED0C55"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44,8</w:t>
            </w:r>
          </w:p>
        </w:tc>
        <w:tc>
          <w:tcPr>
            <w:tcW w:w="567" w:type="dxa"/>
            <w:tcBorders>
              <w:top w:val="nil"/>
              <w:left w:val="nil"/>
              <w:bottom w:val="nil"/>
              <w:right w:val="nil"/>
            </w:tcBorders>
            <w:shd w:val="clear" w:color="auto" w:fill="auto"/>
            <w:noWrap/>
            <w:vAlign w:val="center"/>
            <w:hideMark/>
          </w:tcPr>
          <w:p w14:paraId="4CFED12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66AA93F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44,6</w:t>
            </w:r>
          </w:p>
        </w:tc>
        <w:tc>
          <w:tcPr>
            <w:tcW w:w="567" w:type="dxa"/>
            <w:tcBorders>
              <w:top w:val="nil"/>
              <w:left w:val="nil"/>
              <w:bottom w:val="nil"/>
              <w:right w:val="nil"/>
            </w:tcBorders>
            <w:shd w:val="clear" w:color="auto" w:fill="auto"/>
            <w:noWrap/>
            <w:vAlign w:val="center"/>
            <w:hideMark/>
          </w:tcPr>
          <w:p w14:paraId="38FAE470"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41,8</w:t>
            </w:r>
          </w:p>
        </w:tc>
        <w:tc>
          <w:tcPr>
            <w:tcW w:w="567" w:type="dxa"/>
            <w:vAlign w:val="center"/>
          </w:tcPr>
          <w:p w14:paraId="0C1A6CA4" w14:textId="77777777" w:rsidR="00071637" w:rsidRPr="00D92E20" w:rsidRDefault="00071637" w:rsidP="00071637">
            <w:pPr>
              <w:spacing w:after="0" w:line="240" w:lineRule="auto"/>
              <w:jc w:val="center"/>
            </w:pPr>
            <w:r>
              <w:rPr>
                <w:rFonts w:cs="Arial"/>
                <w:color w:val="000000"/>
                <w:sz w:val="16"/>
                <w:szCs w:val="16"/>
              </w:rPr>
              <w:t>36,5</w:t>
            </w:r>
          </w:p>
        </w:tc>
      </w:tr>
      <w:tr w:rsidR="00071637" w:rsidRPr="00D92E20" w14:paraId="7240AFCC"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1587AE4E"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H – Doprava a skladování</w:t>
            </w:r>
          </w:p>
        </w:tc>
        <w:tc>
          <w:tcPr>
            <w:tcW w:w="567" w:type="dxa"/>
            <w:tcBorders>
              <w:top w:val="nil"/>
              <w:left w:val="nil"/>
              <w:bottom w:val="nil"/>
              <w:right w:val="nil"/>
            </w:tcBorders>
            <w:shd w:val="clear" w:color="auto" w:fill="auto"/>
            <w:noWrap/>
            <w:vAlign w:val="center"/>
            <w:hideMark/>
          </w:tcPr>
          <w:p w14:paraId="1136A98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46,9</w:t>
            </w:r>
          </w:p>
        </w:tc>
        <w:tc>
          <w:tcPr>
            <w:tcW w:w="567" w:type="dxa"/>
            <w:tcBorders>
              <w:top w:val="nil"/>
              <w:left w:val="nil"/>
              <w:bottom w:val="nil"/>
              <w:right w:val="nil"/>
            </w:tcBorders>
            <w:shd w:val="clear" w:color="auto" w:fill="auto"/>
            <w:noWrap/>
            <w:vAlign w:val="center"/>
            <w:hideMark/>
          </w:tcPr>
          <w:p w14:paraId="79133713"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51,0</w:t>
            </w:r>
          </w:p>
        </w:tc>
        <w:tc>
          <w:tcPr>
            <w:tcW w:w="567" w:type="dxa"/>
            <w:tcBorders>
              <w:top w:val="nil"/>
              <w:left w:val="nil"/>
              <w:bottom w:val="nil"/>
              <w:right w:val="nil"/>
            </w:tcBorders>
            <w:shd w:val="clear" w:color="auto" w:fill="auto"/>
            <w:noWrap/>
            <w:vAlign w:val="center"/>
            <w:hideMark/>
          </w:tcPr>
          <w:p w14:paraId="7134BE3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50,0</w:t>
            </w:r>
          </w:p>
        </w:tc>
        <w:tc>
          <w:tcPr>
            <w:tcW w:w="567" w:type="dxa"/>
            <w:tcBorders>
              <w:top w:val="nil"/>
              <w:left w:val="nil"/>
              <w:bottom w:val="nil"/>
              <w:right w:val="nil"/>
            </w:tcBorders>
            <w:shd w:val="clear" w:color="auto" w:fill="auto"/>
            <w:noWrap/>
            <w:vAlign w:val="center"/>
            <w:hideMark/>
          </w:tcPr>
          <w:p w14:paraId="0F72875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50,9</w:t>
            </w:r>
          </w:p>
        </w:tc>
        <w:tc>
          <w:tcPr>
            <w:tcW w:w="567" w:type="dxa"/>
            <w:tcBorders>
              <w:top w:val="nil"/>
              <w:left w:val="nil"/>
              <w:bottom w:val="nil"/>
              <w:right w:val="nil"/>
            </w:tcBorders>
            <w:shd w:val="clear" w:color="auto" w:fill="auto"/>
            <w:noWrap/>
            <w:vAlign w:val="center"/>
            <w:hideMark/>
          </w:tcPr>
          <w:p w14:paraId="37BE1CF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45,8</w:t>
            </w:r>
          </w:p>
        </w:tc>
        <w:tc>
          <w:tcPr>
            <w:tcW w:w="567" w:type="dxa"/>
            <w:tcBorders>
              <w:top w:val="nil"/>
              <w:left w:val="nil"/>
              <w:bottom w:val="nil"/>
              <w:right w:val="nil"/>
            </w:tcBorders>
            <w:shd w:val="clear" w:color="auto" w:fill="auto"/>
            <w:noWrap/>
            <w:vAlign w:val="center"/>
            <w:hideMark/>
          </w:tcPr>
          <w:p w14:paraId="136946A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45,9</w:t>
            </w:r>
          </w:p>
        </w:tc>
        <w:tc>
          <w:tcPr>
            <w:tcW w:w="567" w:type="dxa"/>
            <w:tcBorders>
              <w:top w:val="nil"/>
              <w:left w:val="nil"/>
              <w:bottom w:val="nil"/>
              <w:right w:val="nil"/>
            </w:tcBorders>
            <w:shd w:val="clear" w:color="auto" w:fill="auto"/>
            <w:noWrap/>
            <w:vAlign w:val="center"/>
            <w:hideMark/>
          </w:tcPr>
          <w:p w14:paraId="48C9681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71AAFCE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47B49C0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44,7</w:t>
            </w:r>
          </w:p>
        </w:tc>
        <w:tc>
          <w:tcPr>
            <w:tcW w:w="567" w:type="dxa"/>
            <w:tcBorders>
              <w:top w:val="nil"/>
              <w:left w:val="nil"/>
              <w:bottom w:val="nil"/>
              <w:right w:val="nil"/>
            </w:tcBorders>
            <w:shd w:val="clear" w:color="auto" w:fill="auto"/>
            <w:noWrap/>
            <w:vAlign w:val="center"/>
            <w:hideMark/>
          </w:tcPr>
          <w:p w14:paraId="76D3AE35"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42,6</w:t>
            </w:r>
          </w:p>
        </w:tc>
        <w:tc>
          <w:tcPr>
            <w:tcW w:w="567" w:type="dxa"/>
            <w:vAlign w:val="center"/>
          </w:tcPr>
          <w:p w14:paraId="31CF2163" w14:textId="77777777" w:rsidR="00071637" w:rsidRPr="00D92E20" w:rsidRDefault="00071637" w:rsidP="00071637">
            <w:pPr>
              <w:spacing w:after="0" w:line="240" w:lineRule="auto"/>
              <w:jc w:val="center"/>
            </w:pPr>
            <w:r>
              <w:rPr>
                <w:rFonts w:cs="Arial"/>
                <w:color w:val="000000"/>
                <w:sz w:val="16"/>
                <w:szCs w:val="16"/>
              </w:rPr>
              <w:t>36,7</w:t>
            </w:r>
          </w:p>
        </w:tc>
      </w:tr>
      <w:tr w:rsidR="00071637" w:rsidRPr="00D92E20" w14:paraId="0E4BA8D9"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36A52756"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I – Ubytování, stravování a pohostinství</w:t>
            </w:r>
          </w:p>
        </w:tc>
        <w:tc>
          <w:tcPr>
            <w:tcW w:w="567" w:type="dxa"/>
            <w:tcBorders>
              <w:top w:val="nil"/>
              <w:left w:val="nil"/>
              <w:bottom w:val="nil"/>
              <w:right w:val="nil"/>
            </w:tcBorders>
            <w:shd w:val="clear" w:color="auto" w:fill="auto"/>
            <w:noWrap/>
            <w:vAlign w:val="center"/>
            <w:hideMark/>
          </w:tcPr>
          <w:p w14:paraId="78E2DC6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60,2</w:t>
            </w:r>
          </w:p>
        </w:tc>
        <w:tc>
          <w:tcPr>
            <w:tcW w:w="567" w:type="dxa"/>
            <w:tcBorders>
              <w:top w:val="nil"/>
              <w:left w:val="nil"/>
              <w:bottom w:val="nil"/>
              <w:right w:val="nil"/>
            </w:tcBorders>
            <w:shd w:val="clear" w:color="auto" w:fill="auto"/>
            <w:noWrap/>
            <w:vAlign w:val="center"/>
            <w:hideMark/>
          </w:tcPr>
          <w:p w14:paraId="322DD37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57,9</w:t>
            </w:r>
          </w:p>
        </w:tc>
        <w:tc>
          <w:tcPr>
            <w:tcW w:w="567" w:type="dxa"/>
            <w:tcBorders>
              <w:top w:val="nil"/>
              <w:left w:val="nil"/>
              <w:bottom w:val="nil"/>
              <w:right w:val="nil"/>
            </w:tcBorders>
            <w:shd w:val="clear" w:color="auto" w:fill="auto"/>
            <w:noWrap/>
            <w:vAlign w:val="center"/>
            <w:hideMark/>
          </w:tcPr>
          <w:p w14:paraId="2316BF9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57,5</w:t>
            </w:r>
          </w:p>
        </w:tc>
        <w:tc>
          <w:tcPr>
            <w:tcW w:w="567" w:type="dxa"/>
            <w:tcBorders>
              <w:top w:val="nil"/>
              <w:left w:val="nil"/>
              <w:bottom w:val="nil"/>
              <w:right w:val="nil"/>
            </w:tcBorders>
            <w:shd w:val="clear" w:color="auto" w:fill="auto"/>
            <w:noWrap/>
            <w:vAlign w:val="center"/>
            <w:hideMark/>
          </w:tcPr>
          <w:p w14:paraId="3AC00C1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58,7</w:t>
            </w:r>
          </w:p>
        </w:tc>
        <w:tc>
          <w:tcPr>
            <w:tcW w:w="567" w:type="dxa"/>
            <w:tcBorders>
              <w:top w:val="nil"/>
              <w:left w:val="nil"/>
              <w:bottom w:val="nil"/>
              <w:right w:val="nil"/>
            </w:tcBorders>
            <w:shd w:val="clear" w:color="auto" w:fill="auto"/>
            <w:noWrap/>
            <w:vAlign w:val="center"/>
            <w:hideMark/>
          </w:tcPr>
          <w:p w14:paraId="749DD10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55,0</w:t>
            </w:r>
          </w:p>
        </w:tc>
        <w:tc>
          <w:tcPr>
            <w:tcW w:w="567" w:type="dxa"/>
            <w:tcBorders>
              <w:top w:val="nil"/>
              <w:left w:val="nil"/>
              <w:bottom w:val="nil"/>
              <w:right w:val="nil"/>
            </w:tcBorders>
            <w:shd w:val="clear" w:color="auto" w:fill="auto"/>
            <w:noWrap/>
            <w:vAlign w:val="center"/>
            <w:hideMark/>
          </w:tcPr>
          <w:p w14:paraId="656A177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54,5</w:t>
            </w:r>
          </w:p>
        </w:tc>
        <w:tc>
          <w:tcPr>
            <w:tcW w:w="567" w:type="dxa"/>
            <w:tcBorders>
              <w:top w:val="nil"/>
              <w:left w:val="nil"/>
              <w:bottom w:val="nil"/>
              <w:right w:val="nil"/>
            </w:tcBorders>
            <w:shd w:val="clear" w:color="auto" w:fill="auto"/>
            <w:noWrap/>
            <w:vAlign w:val="center"/>
            <w:hideMark/>
          </w:tcPr>
          <w:p w14:paraId="321258F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54,7</w:t>
            </w:r>
          </w:p>
        </w:tc>
        <w:tc>
          <w:tcPr>
            <w:tcW w:w="567" w:type="dxa"/>
            <w:tcBorders>
              <w:top w:val="nil"/>
              <w:left w:val="nil"/>
              <w:bottom w:val="nil"/>
              <w:right w:val="nil"/>
            </w:tcBorders>
            <w:shd w:val="clear" w:color="auto" w:fill="auto"/>
            <w:noWrap/>
            <w:vAlign w:val="center"/>
            <w:hideMark/>
          </w:tcPr>
          <w:p w14:paraId="04EAD7F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53,8</w:t>
            </w:r>
          </w:p>
        </w:tc>
        <w:tc>
          <w:tcPr>
            <w:tcW w:w="567" w:type="dxa"/>
            <w:tcBorders>
              <w:top w:val="nil"/>
              <w:left w:val="nil"/>
              <w:bottom w:val="nil"/>
              <w:right w:val="nil"/>
            </w:tcBorders>
            <w:shd w:val="clear" w:color="auto" w:fill="auto"/>
            <w:noWrap/>
            <w:vAlign w:val="center"/>
            <w:hideMark/>
          </w:tcPr>
          <w:p w14:paraId="406AE97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54,4</w:t>
            </w:r>
          </w:p>
        </w:tc>
        <w:tc>
          <w:tcPr>
            <w:tcW w:w="567" w:type="dxa"/>
            <w:tcBorders>
              <w:top w:val="nil"/>
              <w:left w:val="nil"/>
              <w:bottom w:val="nil"/>
              <w:right w:val="nil"/>
            </w:tcBorders>
            <w:shd w:val="clear" w:color="auto" w:fill="auto"/>
            <w:noWrap/>
            <w:vAlign w:val="center"/>
            <w:hideMark/>
          </w:tcPr>
          <w:p w14:paraId="608BDE9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57,1</w:t>
            </w:r>
          </w:p>
        </w:tc>
        <w:tc>
          <w:tcPr>
            <w:tcW w:w="567" w:type="dxa"/>
            <w:vAlign w:val="center"/>
          </w:tcPr>
          <w:p w14:paraId="70E7F916" w14:textId="77777777" w:rsidR="00071637" w:rsidRPr="00D92E20" w:rsidRDefault="00071637" w:rsidP="00071637">
            <w:pPr>
              <w:spacing w:after="0" w:line="240" w:lineRule="auto"/>
              <w:jc w:val="center"/>
            </w:pPr>
            <w:r>
              <w:rPr>
                <w:rFonts w:cs="Arial"/>
                <w:color w:val="000000"/>
                <w:sz w:val="16"/>
                <w:szCs w:val="16"/>
              </w:rPr>
              <w:t>48,1</w:t>
            </w:r>
          </w:p>
        </w:tc>
      </w:tr>
      <w:tr w:rsidR="00071637" w:rsidRPr="00D92E20" w14:paraId="33334706"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07993705"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J – Informační a komunikační činnosti</w:t>
            </w:r>
          </w:p>
        </w:tc>
        <w:tc>
          <w:tcPr>
            <w:tcW w:w="567" w:type="dxa"/>
            <w:tcBorders>
              <w:top w:val="nil"/>
              <w:left w:val="nil"/>
              <w:bottom w:val="nil"/>
              <w:right w:val="nil"/>
            </w:tcBorders>
            <w:shd w:val="clear" w:color="auto" w:fill="auto"/>
            <w:noWrap/>
            <w:vAlign w:val="center"/>
            <w:hideMark/>
          </w:tcPr>
          <w:p w14:paraId="1BE0786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26,9</w:t>
            </w:r>
          </w:p>
        </w:tc>
        <w:tc>
          <w:tcPr>
            <w:tcW w:w="567" w:type="dxa"/>
            <w:tcBorders>
              <w:top w:val="nil"/>
              <w:left w:val="nil"/>
              <w:bottom w:val="nil"/>
              <w:right w:val="nil"/>
            </w:tcBorders>
            <w:shd w:val="clear" w:color="auto" w:fill="auto"/>
            <w:noWrap/>
            <w:vAlign w:val="center"/>
            <w:hideMark/>
          </w:tcPr>
          <w:p w14:paraId="0D78137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28,2</w:t>
            </w:r>
          </w:p>
        </w:tc>
        <w:tc>
          <w:tcPr>
            <w:tcW w:w="567" w:type="dxa"/>
            <w:tcBorders>
              <w:top w:val="nil"/>
              <w:left w:val="nil"/>
              <w:bottom w:val="nil"/>
              <w:right w:val="nil"/>
            </w:tcBorders>
            <w:shd w:val="clear" w:color="auto" w:fill="auto"/>
            <w:noWrap/>
            <w:vAlign w:val="center"/>
            <w:hideMark/>
          </w:tcPr>
          <w:p w14:paraId="528F5C00"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25,7</w:t>
            </w:r>
          </w:p>
        </w:tc>
        <w:tc>
          <w:tcPr>
            <w:tcW w:w="567" w:type="dxa"/>
            <w:tcBorders>
              <w:top w:val="nil"/>
              <w:left w:val="nil"/>
              <w:bottom w:val="nil"/>
              <w:right w:val="nil"/>
            </w:tcBorders>
            <w:shd w:val="clear" w:color="auto" w:fill="auto"/>
            <w:noWrap/>
            <w:vAlign w:val="center"/>
            <w:hideMark/>
          </w:tcPr>
          <w:p w14:paraId="60C94670"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27,8</w:t>
            </w:r>
          </w:p>
        </w:tc>
        <w:tc>
          <w:tcPr>
            <w:tcW w:w="567" w:type="dxa"/>
            <w:tcBorders>
              <w:top w:val="nil"/>
              <w:left w:val="nil"/>
              <w:bottom w:val="nil"/>
              <w:right w:val="nil"/>
            </w:tcBorders>
            <w:shd w:val="clear" w:color="auto" w:fill="auto"/>
            <w:noWrap/>
            <w:vAlign w:val="center"/>
            <w:hideMark/>
          </w:tcPr>
          <w:p w14:paraId="24A019B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27,5</w:t>
            </w:r>
          </w:p>
        </w:tc>
        <w:tc>
          <w:tcPr>
            <w:tcW w:w="567" w:type="dxa"/>
            <w:tcBorders>
              <w:top w:val="nil"/>
              <w:left w:val="nil"/>
              <w:bottom w:val="nil"/>
              <w:right w:val="nil"/>
            </w:tcBorders>
            <w:shd w:val="clear" w:color="auto" w:fill="auto"/>
            <w:noWrap/>
            <w:vAlign w:val="center"/>
            <w:hideMark/>
          </w:tcPr>
          <w:p w14:paraId="2D086CC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26,0</w:t>
            </w:r>
          </w:p>
        </w:tc>
        <w:tc>
          <w:tcPr>
            <w:tcW w:w="567" w:type="dxa"/>
            <w:tcBorders>
              <w:top w:val="nil"/>
              <w:left w:val="nil"/>
              <w:bottom w:val="nil"/>
              <w:right w:val="nil"/>
            </w:tcBorders>
            <w:shd w:val="clear" w:color="auto" w:fill="auto"/>
            <w:noWrap/>
            <w:vAlign w:val="center"/>
            <w:hideMark/>
          </w:tcPr>
          <w:p w14:paraId="3743126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26,2</w:t>
            </w:r>
          </w:p>
        </w:tc>
        <w:tc>
          <w:tcPr>
            <w:tcW w:w="567" w:type="dxa"/>
            <w:tcBorders>
              <w:top w:val="nil"/>
              <w:left w:val="nil"/>
              <w:bottom w:val="nil"/>
              <w:right w:val="nil"/>
            </w:tcBorders>
            <w:shd w:val="clear" w:color="auto" w:fill="auto"/>
            <w:noWrap/>
            <w:vAlign w:val="center"/>
            <w:hideMark/>
          </w:tcPr>
          <w:p w14:paraId="23268F2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26,4</w:t>
            </w:r>
          </w:p>
        </w:tc>
        <w:tc>
          <w:tcPr>
            <w:tcW w:w="567" w:type="dxa"/>
            <w:tcBorders>
              <w:top w:val="nil"/>
              <w:left w:val="nil"/>
              <w:bottom w:val="nil"/>
              <w:right w:val="nil"/>
            </w:tcBorders>
            <w:shd w:val="clear" w:color="auto" w:fill="auto"/>
            <w:noWrap/>
            <w:vAlign w:val="center"/>
            <w:hideMark/>
          </w:tcPr>
          <w:p w14:paraId="194F984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25,4</w:t>
            </w:r>
          </w:p>
        </w:tc>
        <w:tc>
          <w:tcPr>
            <w:tcW w:w="567" w:type="dxa"/>
            <w:tcBorders>
              <w:top w:val="nil"/>
              <w:left w:val="nil"/>
              <w:bottom w:val="nil"/>
              <w:right w:val="nil"/>
            </w:tcBorders>
            <w:shd w:val="clear" w:color="auto" w:fill="auto"/>
            <w:noWrap/>
            <w:vAlign w:val="center"/>
            <w:hideMark/>
          </w:tcPr>
          <w:p w14:paraId="1D928B7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26,3</w:t>
            </w:r>
          </w:p>
        </w:tc>
        <w:tc>
          <w:tcPr>
            <w:tcW w:w="567" w:type="dxa"/>
            <w:vAlign w:val="center"/>
          </w:tcPr>
          <w:p w14:paraId="19FDA86E" w14:textId="77777777" w:rsidR="00071637" w:rsidRPr="00D92E20" w:rsidRDefault="00071637" w:rsidP="00071637">
            <w:pPr>
              <w:spacing w:after="0" w:line="240" w:lineRule="auto"/>
              <w:jc w:val="center"/>
            </w:pPr>
            <w:r>
              <w:rPr>
                <w:rFonts w:cs="Arial"/>
                <w:color w:val="000000"/>
                <w:sz w:val="16"/>
                <w:szCs w:val="16"/>
              </w:rPr>
              <w:t>23,3</w:t>
            </w:r>
          </w:p>
        </w:tc>
      </w:tr>
      <w:tr w:rsidR="00071637" w:rsidRPr="00D92E20" w14:paraId="539E74C5"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51387A75"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K – Peněžnictví a pojišťovnictví</w:t>
            </w:r>
          </w:p>
        </w:tc>
        <w:tc>
          <w:tcPr>
            <w:tcW w:w="567" w:type="dxa"/>
            <w:tcBorders>
              <w:top w:val="nil"/>
              <w:left w:val="nil"/>
              <w:bottom w:val="nil"/>
              <w:right w:val="nil"/>
            </w:tcBorders>
            <w:shd w:val="clear" w:color="auto" w:fill="auto"/>
            <w:noWrap/>
            <w:vAlign w:val="center"/>
            <w:hideMark/>
          </w:tcPr>
          <w:p w14:paraId="7EBECD1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31,2</w:t>
            </w:r>
          </w:p>
        </w:tc>
        <w:tc>
          <w:tcPr>
            <w:tcW w:w="567" w:type="dxa"/>
            <w:tcBorders>
              <w:top w:val="nil"/>
              <w:left w:val="nil"/>
              <w:bottom w:val="nil"/>
              <w:right w:val="nil"/>
            </w:tcBorders>
            <w:shd w:val="clear" w:color="auto" w:fill="auto"/>
            <w:noWrap/>
            <w:vAlign w:val="center"/>
            <w:hideMark/>
          </w:tcPr>
          <w:p w14:paraId="78CDFAF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33,9</w:t>
            </w:r>
          </w:p>
        </w:tc>
        <w:tc>
          <w:tcPr>
            <w:tcW w:w="567" w:type="dxa"/>
            <w:tcBorders>
              <w:top w:val="nil"/>
              <w:left w:val="nil"/>
              <w:bottom w:val="nil"/>
              <w:right w:val="nil"/>
            </w:tcBorders>
            <w:shd w:val="clear" w:color="auto" w:fill="auto"/>
            <w:noWrap/>
            <w:vAlign w:val="center"/>
            <w:hideMark/>
          </w:tcPr>
          <w:p w14:paraId="11219DE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31,2</w:t>
            </w:r>
          </w:p>
        </w:tc>
        <w:tc>
          <w:tcPr>
            <w:tcW w:w="567" w:type="dxa"/>
            <w:tcBorders>
              <w:top w:val="nil"/>
              <w:left w:val="nil"/>
              <w:bottom w:val="nil"/>
              <w:right w:val="nil"/>
            </w:tcBorders>
            <w:shd w:val="clear" w:color="auto" w:fill="auto"/>
            <w:noWrap/>
            <w:vAlign w:val="center"/>
            <w:hideMark/>
          </w:tcPr>
          <w:p w14:paraId="51B2E44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34,3</w:t>
            </w:r>
          </w:p>
        </w:tc>
        <w:tc>
          <w:tcPr>
            <w:tcW w:w="567" w:type="dxa"/>
            <w:tcBorders>
              <w:top w:val="nil"/>
              <w:left w:val="nil"/>
              <w:bottom w:val="nil"/>
              <w:right w:val="nil"/>
            </w:tcBorders>
            <w:shd w:val="clear" w:color="auto" w:fill="auto"/>
            <w:noWrap/>
            <w:vAlign w:val="center"/>
            <w:hideMark/>
          </w:tcPr>
          <w:p w14:paraId="56ED722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33,1</w:t>
            </w:r>
          </w:p>
        </w:tc>
        <w:tc>
          <w:tcPr>
            <w:tcW w:w="567" w:type="dxa"/>
            <w:tcBorders>
              <w:top w:val="nil"/>
              <w:left w:val="nil"/>
              <w:bottom w:val="nil"/>
              <w:right w:val="nil"/>
            </w:tcBorders>
            <w:shd w:val="clear" w:color="auto" w:fill="auto"/>
            <w:noWrap/>
            <w:vAlign w:val="center"/>
            <w:hideMark/>
          </w:tcPr>
          <w:p w14:paraId="6E42337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32,4</w:t>
            </w:r>
          </w:p>
        </w:tc>
        <w:tc>
          <w:tcPr>
            <w:tcW w:w="567" w:type="dxa"/>
            <w:tcBorders>
              <w:top w:val="nil"/>
              <w:left w:val="nil"/>
              <w:bottom w:val="nil"/>
              <w:right w:val="nil"/>
            </w:tcBorders>
            <w:shd w:val="clear" w:color="auto" w:fill="auto"/>
            <w:noWrap/>
            <w:vAlign w:val="center"/>
            <w:hideMark/>
          </w:tcPr>
          <w:p w14:paraId="7CBE280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33,8</w:t>
            </w:r>
          </w:p>
        </w:tc>
        <w:tc>
          <w:tcPr>
            <w:tcW w:w="567" w:type="dxa"/>
            <w:tcBorders>
              <w:top w:val="nil"/>
              <w:left w:val="nil"/>
              <w:bottom w:val="nil"/>
              <w:right w:val="nil"/>
            </w:tcBorders>
            <w:shd w:val="clear" w:color="auto" w:fill="auto"/>
            <w:noWrap/>
            <w:vAlign w:val="center"/>
            <w:hideMark/>
          </w:tcPr>
          <w:p w14:paraId="2611E09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31,8</w:t>
            </w:r>
          </w:p>
        </w:tc>
        <w:tc>
          <w:tcPr>
            <w:tcW w:w="567" w:type="dxa"/>
            <w:tcBorders>
              <w:top w:val="nil"/>
              <w:left w:val="nil"/>
              <w:bottom w:val="nil"/>
              <w:right w:val="nil"/>
            </w:tcBorders>
            <w:shd w:val="clear" w:color="auto" w:fill="auto"/>
            <w:noWrap/>
            <w:vAlign w:val="center"/>
            <w:hideMark/>
          </w:tcPr>
          <w:p w14:paraId="16E2EC0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31,7</w:t>
            </w:r>
          </w:p>
        </w:tc>
        <w:tc>
          <w:tcPr>
            <w:tcW w:w="567" w:type="dxa"/>
            <w:tcBorders>
              <w:top w:val="nil"/>
              <w:left w:val="nil"/>
              <w:bottom w:val="nil"/>
              <w:right w:val="nil"/>
            </w:tcBorders>
            <w:shd w:val="clear" w:color="auto" w:fill="auto"/>
            <w:noWrap/>
            <w:vAlign w:val="center"/>
            <w:hideMark/>
          </w:tcPr>
          <w:p w14:paraId="1A85D88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33,0</w:t>
            </w:r>
          </w:p>
        </w:tc>
        <w:tc>
          <w:tcPr>
            <w:tcW w:w="567" w:type="dxa"/>
            <w:vAlign w:val="center"/>
          </w:tcPr>
          <w:p w14:paraId="1BD19DC6" w14:textId="77777777" w:rsidR="00071637" w:rsidRPr="00D92E20" w:rsidRDefault="00071637" w:rsidP="00071637">
            <w:pPr>
              <w:spacing w:after="0" w:line="240" w:lineRule="auto"/>
              <w:jc w:val="center"/>
            </w:pPr>
            <w:r>
              <w:rPr>
                <w:rFonts w:cs="Arial"/>
                <w:color w:val="000000"/>
                <w:sz w:val="16"/>
                <w:szCs w:val="16"/>
              </w:rPr>
              <w:t>30,3</w:t>
            </w:r>
          </w:p>
        </w:tc>
      </w:tr>
      <w:tr w:rsidR="00071637" w:rsidRPr="00D92E20" w14:paraId="10BCEEA4"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00F27A1E"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L – Činnosti v oblasti nemovitostí</w:t>
            </w:r>
          </w:p>
        </w:tc>
        <w:tc>
          <w:tcPr>
            <w:tcW w:w="567" w:type="dxa"/>
            <w:tcBorders>
              <w:top w:val="nil"/>
              <w:left w:val="nil"/>
              <w:bottom w:val="nil"/>
              <w:right w:val="nil"/>
            </w:tcBorders>
            <w:shd w:val="clear" w:color="auto" w:fill="auto"/>
            <w:noWrap/>
            <w:vAlign w:val="center"/>
            <w:hideMark/>
          </w:tcPr>
          <w:p w14:paraId="71438E7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53,7</w:t>
            </w:r>
          </w:p>
        </w:tc>
        <w:tc>
          <w:tcPr>
            <w:tcW w:w="567" w:type="dxa"/>
            <w:tcBorders>
              <w:top w:val="nil"/>
              <w:left w:val="nil"/>
              <w:bottom w:val="nil"/>
              <w:right w:val="nil"/>
            </w:tcBorders>
            <w:shd w:val="clear" w:color="auto" w:fill="auto"/>
            <w:noWrap/>
            <w:vAlign w:val="center"/>
            <w:hideMark/>
          </w:tcPr>
          <w:p w14:paraId="47BE371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56,1</w:t>
            </w:r>
          </w:p>
        </w:tc>
        <w:tc>
          <w:tcPr>
            <w:tcW w:w="567" w:type="dxa"/>
            <w:tcBorders>
              <w:top w:val="nil"/>
              <w:left w:val="nil"/>
              <w:bottom w:val="nil"/>
              <w:right w:val="nil"/>
            </w:tcBorders>
            <w:shd w:val="clear" w:color="auto" w:fill="auto"/>
            <w:noWrap/>
            <w:vAlign w:val="center"/>
            <w:hideMark/>
          </w:tcPr>
          <w:p w14:paraId="67543F1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54,4</w:t>
            </w:r>
          </w:p>
        </w:tc>
        <w:tc>
          <w:tcPr>
            <w:tcW w:w="567" w:type="dxa"/>
            <w:tcBorders>
              <w:top w:val="nil"/>
              <w:left w:val="nil"/>
              <w:bottom w:val="nil"/>
              <w:right w:val="nil"/>
            </w:tcBorders>
            <w:shd w:val="clear" w:color="auto" w:fill="auto"/>
            <w:noWrap/>
            <w:vAlign w:val="center"/>
            <w:hideMark/>
          </w:tcPr>
          <w:p w14:paraId="2605A8C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56,3</w:t>
            </w:r>
          </w:p>
        </w:tc>
        <w:tc>
          <w:tcPr>
            <w:tcW w:w="567" w:type="dxa"/>
            <w:tcBorders>
              <w:top w:val="nil"/>
              <w:left w:val="nil"/>
              <w:bottom w:val="nil"/>
              <w:right w:val="nil"/>
            </w:tcBorders>
            <w:shd w:val="clear" w:color="auto" w:fill="auto"/>
            <w:noWrap/>
            <w:vAlign w:val="center"/>
            <w:hideMark/>
          </w:tcPr>
          <w:p w14:paraId="4229B0F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52,0</w:t>
            </w:r>
          </w:p>
        </w:tc>
        <w:tc>
          <w:tcPr>
            <w:tcW w:w="567" w:type="dxa"/>
            <w:tcBorders>
              <w:top w:val="nil"/>
              <w:left w:val="nil"/>
              <w:bottom w:val="nil"/>
              <w:right w:val="nil"/>
            </w:tcBorders>
            <w:shd w:val="clear" w:color="auto" w:fill="auto"/>
            <w:noWrap/>
            <w:vAlign w:val="center"/>
            <w:hideMark/>
          </w:tcPr>
          <w:p w14:paraId="5475D9A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52,5</w:t>
            </w:r>
          </w:p>
        </w:tc>
        <w:tc>
          <w:tcPr>
            <w:tcW w:w="567" w:type="dxa"/>
            <w:tcBorders>
              <w:top w:val="nil"/>
              <w:left w:val="nil"/>
              <w:bottom w:val="nil"/>
              <w:right w:val="nil"/>
            </w:tcBorders>
            <w:shd w:val="clear" w:color="auto" w:fill="auto"/>
            <w:noWrap/>
            <w:vAlign w:val="center"/>
            <w:hideMark/>
          </w:tcPr>
          <w:p w14:paraId="482CB0A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53,6</w:t>
            </w:r>
          </w:p>
        </w:tc>
        <w:tc>
          <w:tcPr>
            <w:tcW w:w="567" w:type="dxa"/>
            <w:tcBorders>
              <w:top w:val="nil"/>
              <w:left w:val="nil"/>
              <w:bottom w:val="nil"/>
              <w:right w:val="nil"/>
            </w:tcBorders>
            <w:shd w:val="clear" w:color="auto" w:fill="auto"/>
            <w:noWrap/>
            <w:vAlign w:val="center"/>
            <w:hideMark/>
          </w:tcPr>
          <w:p w14:paraId="75825C65"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51,1</w:t>
            </w:r>
          </w:p>
        </w:tc>
        <w:tc>
          <w:tcPr>
            <w:tcW w:w="567" w:type="dxa"/>
            <w:tcBorders>
              <w:top w:val="nil"/>
              <w:left w:val="nil"/>
              <w:bottom w:val="nil"/>
              <w:right w:val="nil"/>
            </w:tcBorders>
            <w:shd w:val="clear" w:color="auto" w:fill="auto"/>
            <w:noWrap/>
            <w:vAlign w:val="center"/>
            <w:hideMark/>
          </w:tcPr>
          <w:p w14:paraId="251F8B73"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50,8</w:t>
            </w:r>
          </w:p>
        </w:tc>
        <w:tc>
          <w:tcPr>
            <w:tcW w:w="567" w:type="dxa"/>
            <w:tcBorders>
              <w:top w:val="nil"/>
              <w:left w:val="nil"/>
              <w:bottom w:val="nil"/>
              <w:right w:val="nil"/>
            </w:tcBorders>
            <w:shd w:val="clear" w:color="auto" w:fill="auto"/>
            <w:noWrap/>
            <w:vAlign w:val="center"/>
            <w:hideMark/>
          </w:tcPr>
          <w:p w14:paraId="46357EE3"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46,7</w:t>
            </w:r>
          </w:p>
        </w:tc>
        <w:tc>
          <w:tcPr>
            <w:tcW w:w="567" w:type="dxa"/>
            <w:vAlign w:val="center"/>
          </w:tcPr>
          <w:p w14:paraId="0D51A894" w14:textId="77777777" w:rsidR="00071637" w:rsidRPr="00D92E20" w:rsidRDefault="00071637" w:rsidP="00071637">
            <w:pPr>
              <w:spacing w:after="0" w:line="240" w:lineRule="auto"/>
              <w:jc w:val="center"/>
            </w:pPr>
            <w:r>
              <w:rPr>
                <w:rFonts w:cs="Arial"/>
                <w:color w:val="000000"/>
                <w:sz w:val="16"/>
                <w:szCs w:val="16"/>
              </w:rPr>
              <w:t>39,4</w:t>
            </w:r>
          </w:p>
        </w:tc>
      </w:tr>
      <w:tr w:rsidR="00071637" w:rsidRPr="00D92E20" w14:paraId="7C82CE6D"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3B1BB7E2"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M – Profesní, vědecké a technické činnosti</w:t>
            </w:r>
          </w:p>
        </w:tc>
        <w:tc>
          <w:tcPr>
            <w:tcW w:w="567" w:type="dxa"/>
            <w:tcBorders>
              <w:top w:val="nil"/>
              <w:left w:val="nil"/>
              <w:bottom w:val="nil"/>
              <w:right w:val="nil"/>
            </w:tcBorders>
            <w:shd w:val="clear" w:color="auto" w:fill="auto"/>
            <w:noWrap/>
            <w:vAlign w:val="center"/>
            <w:hideMark/>
          </w:tcPr>
          <w:p w14:paraId="316A3CA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46,0</w:t>
            </w:r>
          </w:p>
        </w:tc>
        <w:tc>
          <w:tcPr>
            <w:tcW w:w="567" w:type="dxa"/>
            <w:tcBorders>
              <w:top w:val="nil"/>
              <w:left w:val="nil"/>
              <w:bottom w:val="nil"/>
              <w:right w:val="nil"/>
            </w:tcBorders>
            <w:shd w:val="clear" w:color="auto" w:fill="auto"/>
            <w:noWrap/>
            <w:vAlign w:val="center"/>
            <w:hideMark/>
          </w:tcPr>
          <w:p w14:paraId="53A6C86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43,1</w:t>
            </w:r>
          </w:p>
        </w:tc>
        <w:tc>
          <w:tcPr>
            <w:tcW w:w="567" w:type="dxa"/>
            <w:tcBorders>
              <w:top w:val="nil"/>
              <w:left w:val="nil"/>
              <w:bottom w:val="nil"/>
              <w:right w:val="nil"/>
            </w:tcBorders>
            <w:shd w:val="clear" w:color="auto" w:fill="auto"/>
            <w:noWrap/>
            <w:vAlign w:val="center"/>
            <w:hideMark/>
          </w:tcPr>
          <w:p w14:paraId="40633EE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38,9</w:t>
            </w:r>
          </w:p>
        </w:tc>
        <w:tc>
          <w:tcPr>
            <w:tcW w:w="567" w:type="dxa"/>
            <w:tcBorders>
              <w:top w:val="nil"/>
              <w:left w:val="nil"/>
              <w:bottom w:val="nil"/>
              <w:right w:val="nil"/>
            </w:tcBorders>
            <w:shd w:val="clear" w:color="auto" w:fill="auto"/>
            <w:noWrap/>
            <w:vAlign w:val="center"/>
            <w:hideMark/>
          </w:tcPr>
          <w:p w14:paraId="3A703CA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40,9</w:t>
            </w:r>
          </w:p>
        </w:tc>
        <w:tc>
          <w:tcPr>
            <w:tcW w:w="567" w:type="dxa"/>
            <w:tcBorders>
              <w:top w:val="nil"/>
              <w:left w:val="nil"/>
              <w:bottom w:val="nil"/>
              <w:right w:val="nil"/>
            </w:tcBorders>
            <w:shd w:val="clear" w:color="auto" w:fill="auto"/>
            <w:noWrap/>
            <w:vAlign w:val="center"/>
            <w:hideMark/>
          </w:tcPr>
          <w:p w14:paraId="7ED43A6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38,8</w:t>
            </w:r>
          </w:p>
        </w:tc>
        <w:tc>
          <w:tcPr>
            <w:tcW w:w="567" w:type="dxa"/>
            <w:tcBorders>
              <w:top w:val="nil"/>
              <w:left w:val="nil"/>
              <w:bottom w:val="nil"/>
              <w:right w:val="nil"/>
            </w:tcBorders>
            <w:shd w:val="clear" w:color="auto" w:fill="auto"/>
            <w:noWrap/>
            <w:vAlign w:val="center"/>
            <w:hideMark/>
          </w:tcPr>
          <w:p w14:paraId="2ED213F5"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38,7</w:t>
            </w:r>
          </w:p>
        </w:tc>
        <w:tc>
          <w:tcPr>
            <w:tcW w:w="567" w:type="dxa"/>
            <w:tcBorders>
              <w:top w:val="nil"/>
              <w:left w:val="nil"/>
              <w:bottom w:val="nil"/>
              <w:right w:val="nil"/>
            </w:tcBorders>
            <w:shd w:val="clear" w:color="auto" w:fill="auto"/>
            <w:noWrap/>
            <w:vAlign w:val="center"/>
            <w:hideMark/>
          </w:tcPr>
          <w:p w14:paraId="4C5465D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39,2</w:t>
            </w:r>
          </w:p>
        </w:tc>
        <w:tc>
          <w:tcPr>
            <w:tcW w:w="567" w:type="dxa"/>
            <w:tcBorders>
              <w:top w:val="nil"/>
              <w:left w:val="nil"/>
              <w:bottom w:val="nil"/>
              <w:right w:val="nil"/>
            </w:tcBorders>
            <w:shd w:val="clear" w:color="auto" w:fill="auto"/>
            <w:noWrap/>
            <w:vAlign w:val="center"/>
            <w:hideMark/>
          </w:tcPr>
          <w:p w14:paraId="5CD48A2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39,6</w:t>
            </w:r>
          </w:p>
        </w:tc>
        <w:tc>
          <w:tcPr>
            <w:tcW w:w="567" w:type="dxa"/>
            <w:tcBorders>
              <w:top w:val="nil"/>
              <w:left w:val="nil"/>
              <w:bottom w:val="nil"/>
              <w:right w:val="nil"/>
            </w:tcBorders>
            <w:shd w:val="clear" w:color="auto" w:fill="auto"/>
            <w:noWrap/>
            <w:vAlign w:val="center"/>
            <w:hideMark/>
          </w:tcPr>
          <w:p w14:paraId="60C5D7B5"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39,2</w:t>
            </w:r>
          </w:p>
        </w:tc>
        <w:tc>
          <w:tcPr>
            <w:tcW w:w="567" w:type="dxa"/>
            <w:tcBorders>
              <w:top w:val="nil"/>
              <w:left w:val="nil"/>
              <w:bottom w:val="nil"/>
              <w:right w:val="nil"/>
            </w:tcBorders>
            <w:shd w:val="clear" w:color="auto" w:fill="auto"/>
            <w:noWrap/>
            <w:vAlign w:val="center"/>
            <w:hideMark/>
          </w:tcPr>
          <w:p w14:paraId="20F12228"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36,9</w:t>
            </w:r>
          </w:p>
        </w:tc>
        <w:tc>
          <w:tcPr>
            <w:tcW w:w="567" w:type="dxa"/>
            <w:vAlign w:val="center"/>
          </w:tcPr>
          <w:p w14:paraId="5DB8257B" w14:textId="77777777" w:rsidR="00071637" w:rsidRPr="00D92E20" w:rsidRDefault="00071637" w:rsidP="00071637">
            <w:pPr>
              <w:spacing w:after="0" w:line="240" w:lineRule="auto"/>
              <w:jc w:val="center"/>
            </w:pPr>
            <w:r>
              <w:rPr>
                <w:rFonts w:cs="Arial"/>
                <w:color w:val="000000"/>
                <w:sz w:val="16"/>
                <w:szCs w:val="16"/>
              </w:rPr>
              <w:t>32,1</w:t>
            </w:r>
          </w:p>
        </w:tc>
      </w:tr>
      <w:tr w:rsidR="00071637" w:rsidRPr="00D92E20" w14:paraId="4113DAF2"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41361745"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N – Administrativní a podpůrné činnosti</w:t>
            </w:r>
          </w:p>
        </w:tc>
        <w:tc>
          <w:tcPr>
            <w:tcW w:w="567" w:type="dxa"/>
            <w:tcBorders>
              <w:top w:val="nil"/>
              <w:left w:val="nil"/>
              <w:bottom w:val="nil"/>
              <w:right w:val="nil"/>
            </w:tcBorders>
            <w:shd w:val="clear" w:color="auto" w:fill="auto"/>
            <w:noWrap/>
            <w:vAlign w:val="center"/>
            <w:hideMark/>
          </w:tcPr>
          <w:p w14:paraId="53278CA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38,2</w:t>
            </w:r>
          </w:p>
        </w:tc>
        <w:tc>
          <w:tcPr>
            <w:tcW w:w="567" w:type="dxa"/>
            <w:tcBorders>
              <w:top w:val="nil"/>
              <w:left w:val="nil"/>
              <w:bottom w:val="nil"/>
              <w:right w:val="nil"/>
            </w:tcBorders>
            <w:shd w:val="clear" w:color="auto" w:fill="auto"/>
            <w:noWrap/>
            <w:vAlign w:val="center"/>
            <w:hideMark/>
          </w:tcPr>
          <w:p w14:paraId="2F4BD3A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45,6</w:t>
            </w:r>
          </w:p>
        </w:tc>
        <w:tc>
          <w:tcPr>
            <w:tcW w:w="567" w:type="dxa"/>
            <w:tcBorders>
              <w:top w:val="nil"/>
              <w:left w:val="nil"/>
              <w:bottom w:val="nil"/>
              <w:right w:val="nil"/>
            </w:tcBorders>
            <w:shd w:val="clear" w:color="auto" w:fill="auto"/>
            <w:noWrap/>
            <w:vAlign w:val="center"/>
            <w:hideMark/>
          </w:tcPr>
          <w:p w14:paraId="0B03D0F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41,7</w:t>
            </w:r>
          </w:p>
        </w:tc>
        <w:tc>
          <w:tcPr>
            <w:tcW w:w="567" w:type="dxa"/>
            <w:tcBorders>
              <w:top w:val="nil"/>
              <w:left w:val="nil"/>
              <w:bottom w:val="nil"/>
              <w:right w:val="nil"/>
            </w:tcBorders>
            <w:shd w:val="clear" w:color="auto" w:fill="auto"/>
            <w:noWrap/>
            <w:vAlign w:val="center"/>
            <w:hideMark/>
          </w:tcPr>
          <w:p w14:paraId="2C73592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41,3</w:t>
            </w:r>
          </w:p>
        </w:tc>
        <w:tc>
          <w:tcPr>
            <w:tcW w:w="567" w:type="dxa"/>
            <w:tcBorders>
              <w:top w:val="nil"/>
              <w:left w:val="nil"/>
              <w:bottom w:val="nil"/>
              <w:right w:val="nil"/>
            </w:tcBorders>
            <w:shd w:val="clear" w:color="auto" w:fill="auto"/>
            <w:noWrap/>
            <w:vAlign w:val="center"/>
            <w:hideMark/>
          </w:tcPr>
          <w:p w14:paraId="603048C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38,5</w:t>
            </w:r>
          </w:p>
        </w:tc>
        <w:tc>
          <w:tcPr>
            <w:tcW w:w="567" w:type="dxa"/>
            <w:tcBorders>
              <w:top w:val="nil"/>
              <w:left w:val="nil"/>
              <w:bottom w:val="nil"/>
              <w:right w:val="nil"/>
            </w:tcBorders>
            <w:shd w:val="clear" w:color="auto" w:fill="auto"/>
            <w:noWrap/>
            <w:vAlign w:val="center"/>
            <w:hideMark/>
          </w:tcPr>
          <w:p w14:paraId="376577D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38,2</w:t>
            </w:r>
          </w:p>
        </w:tc>
        <w:tc>
          <w:tcPr>
            <w:tcW w:w="567" w:type="dxa"/>
            <w:tcBorders>
              <w:top w:val="nil"/>
              <w:left w:val="nil"/>
              <w:bottom w:val="nil"/>
              <w:right w:val="nil"/>
            </w:tcBorders>
            <w:shd w:val="clear" w:color="auto" w:fill="auto"/>
            <w:noWrap/>
            <w:vAlign w:val="center"/>
            <w:hideMark/>
          </w:tcPr>
          <w:p w14:paraId="4AB3B37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39,2</w:t>
            </w:r>
          </w:p>
        </w:tc>
        <w:tc>
          <w:tcPr>
            <w:tcW w:w="567" w:type="dxa"/>
            <w:tcBorders>
              <w:top w:val="nil"/>
              <w:left w:val="nil"/>
              <w:bottom w:val="nil"/>
              <w:right w:val="nil"/>
            </w:tcBorders>
            <w:shd w:val="clear" w:color="auto" w:fill="auto"/>
            <w:noWrap/>
            <w:vAlign w:val="center"/>
            <w:hideMark/>
          </w:tcPr>
          <w:p w14:paraId="6AF800A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40,5</w:t>
            </w:r>
          </w:p>
        </w:tc>
        <w:tc>
          <w:tcPr>
            <w:tcW w:w="567" w:type="dxa"/>
            <w:tcBorders>
              <w:top w:val="nil"/>
              <w:left w:val="nil"/>
              <w:bottom w:val="nil"/>
              <w:right w:val="nil"/>
            </w:tcBorders>
            <w:shd w:val="clear" w:color="auto" w:fill="auto"/>
            <w:noWrap/>
            <w:vAlign w:val="center"/>
            <w:hideMark/>
          </w:tcPr>
          <w:p w14:paraId="473E7B4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42,8</w:t>
            </w:r>
          </w:p>
        </w:tc>
        <w:tc>
          <w:tcPr>
            <w:tcW w:w="567" w:type="dxa"/>
            <w:tcBorders>
              <w:top w:val="nil"/>
              <w:left w:val="nil"/>
              <w:bottom w:val="nil"/>
              <w:right w:val="nil"/>
            </w:tcBorders>
            <w:shd w:val="clear" w:color="auto" w:fill="auto"/>
            <w:noWrap/>
            <w:vAlign w:val="center"/>
            <w:hideMark/>
          </w:tcPr>
          <w:p w14:paraId="430D61C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43,6</w:t>
            </w:r>
          </w:p>
        </w:tc>
        <w:tc>
          <w:tcPr>
            <w:tcW w:w="567" w:type="dxa"/>
            <w:vAlign w:val="center"/>
          </w:tcPr>
          <w:p w14:paraId="736D3EEC" w14:textId="77777777" w:rsidR="00071637" w:rsidRPr="00D92E20" w:rsidRDefault="00071637" w:rsidP="00071637">
            <w:pPr>
              <w:spacing w:after="0" w:line="240" w:lineRule="auto"/>
              <w:jc w:val="center"/>
            </w:pPr>
            <w:r>
              <w:rPr>
                <w:rFonts w:cs="Arial"/>
                <w:color w:val="000000"/>
                <w:sz w:val="16"/>
                <w:szCs w:val="16"/>
              </w:rPr>
              <w:t>38,0</w:t>
            </w:r>
          </w:p>
        </w:tc>
      </w:tr>
      <w:tr w:rsidR="00071637" w:rsidRPr="00D92E20" w14:paraId="10822A5F" w14:textId="77777777" w:rsidTr="00071637">
        <w:trPr>
          <w:trHeight w:val="480"/>
        </w:trPr>
        <w:tc>
          <w:tcPr>
            <w:tcW w:w="3402" w:type="dxa"/>
            <w:tcBorders>
              <w:top w:val="nil"/>
              <w:left w:val="nil"/>
              <w:bottom w:val="nil"/>
              <w:right w:val="single" w:sz="4" w:space="0" w:color="auto"/>
            </w:tcBorders>
            <w:shd w:val="clear" w:color="auto" w:fill="auto"/>
            <w:vAlign w:val="center"/>
            <w:hideMark/>
          </w:tcPr>
          <w:p w14:paraId="31C34F74"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 xml:space="preserve">O – Veřejná správa a obrana; </w:t>
            </w:r>
            <w:r w:rsidRPr="00D92E20">
              <w:rPr>
                <w:rFonts w:cs="Arial"/>
                <w:color w:val="000000"/>
                <w:sz w:val="16"/>
                <w:szCs w:val="16"/>
              </w:rPr>
              <w:br/>
              <w:t xml:space="preserve">           povinné sociální zabezpečení</w:t>
            </w:r>
          </w:p>
        </w:tc>
        <w:tc>
          <w:tcPr>
            <w:tcW w:w="567" w:type="dxa"/>
            <w:tcBorders>
              <w:top w:val="nil"/>
              <w:left w:val="nil"/>
              <w:bottom w:val="nil"/>
              <w:right w:val="nil"/>
            </w:tcBorders>
            <w:shd w:val="clear" w:color="auto" w:fill="auto"/>
            <w:noWrap/>
            <w:vAlign w:val="center"/>
            <w:hideMark/>
          </w:tcPr>
          <w:p w14:paraId="2CCBF14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37,9</w:t>
            </w:r>
          </w:p>
        </w:tc>
        <w:tc>
          <w:tcPr>
            <w:tcW w:w="567" w:type="dxa"/>
            <w:tcBorders>
              <w:top w:val="nil"/>
              <w:left w:val="nil"/>
              <w:bottom w:val="nil"/>
              <w:right w:val="nil"/>
            </w:tcBorders>
            <w:shd w:val="clear" w:color="auto" w:fill="auto"/>
            <w:noWrap/>
            <w:vAlign w:val="center"/>
            <w:hideMark/>
          </w:tcPr>
          <w:p w14:paraId="26F500D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39,7</w:t>
            </w:r>
          </w:p>
        </w:tc>
        <w:tc>
          <w:tcPr>
            <w:tcW w:w="567" w:type="dxa"/>
            <w:tcBorders>
              <w:top w:val="nil"/>
              <w:left w:val="nil"/>
              <w:bottom w:val="nil"/>
              <w:right w:val="nil"/>
            </w:tcBorders>
            <w:shd w:val="clear" w:color="auto" w:fill="auto"/>
            <w:noWrap/>
            <w:vAlign w:val="center"/>
            <w:hideMark/>
          </w:tcPr>
          <w:p w14:paraId="202E5190"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34,8</w:t>
            </w:r>
          </w:p>
        </w:tc>
        <w:tc>
          <w:tcPr>
            <w:tcW w:w="567" w:type="dxa"/>
            <w:tcBorders>
              <w:top w:val="nil"/>
              <w:left w:val="nil"/>
              <w:bottom w:val="nil"/>
              <w:right w:val="nil"/>
            </w:tcBorders>
            <w:shd w:val="clear" w:color="auto" w:fill="auto"/>
            <w:noWrap/>
            <w:vAlign w:val="center"/>
            <w:hideMark/>
          </w:tcPr>
          <w:p w14:paraId="2BFBB4C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38,0</w:t>
            </w:r>
          </w:p>
        </w:tc>
        <w:tc>
          <w:tcPr>
            <w:tcW w:w="567" w:type="dxa"/>
            <w:tcBorders>
              <w:top w:val="nil"/>
              <w:left w:val="nil"/>
              <w:bottom w:val="nil"/>
              <w:right w:val="nil"/>
            </w:tcBorders>
            <w:shd w:val="clear" w:color="auto" w:fill="auto"/>
            <w:noWrap/>
            <w:vAlign w:val="center"/>
            <w:hideMark/>
          </w:tcPr>
          <w:p w14:paraId="72537B0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35,9</w:t>
            </w:r>
          </w:p>
        </w:tc>
        <w:tc>
          <w:tcPr>
            <w:tcW w:w="567" w:type="dxa"/>
            <w:tcBorders>
              <w:top w:val="nil"/>
              <w:left w:val="nil"/>
              <w:bottom w:val="nil"/>
              <w:right w:val="nil"/>
            </w:tcBorders>
            <w:shd w:val="clear" w:color="auto" w:fill="auto"/>
            <w:noWrap/>
            <w:vAlign w:val="center"/>
            <w:hideMark/>
          </w:tcPr>
          <w:p w14:paraId="07A4A17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37,2</w:t>
            </w:r>
          </w:p>
        </w:tc>
        <w:tc>
          <w:tcPr>
            <w:tcW w:w="567" w:type="dxa"/>
            <w:tcBorders>
              <w:top w:val="nil"/>
              <w:left w:val="nil"/>
              <w:bottom w:val="nil"/>
              <w:right w:val="nil"/>
            </w:tcBorders>
            <w:shd w:val="clear" w:color="auto" w:fill="auto"/>
            <w:noWrap/>
            <w:vAlign w:val="center"/>
            <w:hideMark/>
          </w:tcPr>
          <w:p w14:paraId="51D3939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36,2</w:t>
            </w:r>
          </w:p>
        </w:tc>
        <w:tc>
          <w:tcPr>
            <w:tcW w:w="567" w:type="dxa"/>
            <w:tcBorders>
              <w:top w:val="nil"/>
              <w:left w:val="nil"/>
              <w:bottom w:val="nil"/>
              <w:right w:val="nil"/>
            </w:tcBorders>
            <w:shd w:val="clear" w:color="auto" w:fill="auto"/>
            <w:noWrap/>
            <w:vAlign w:val="center"/>
            <w:hideMark/>
          </w:tcPr>
          <w:p w14:paraId="3CD30D7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34,9</w:t>
            </w:r>
          </w:p>
        </w:tc>
        <w:tc>
          <w:tcPr>
            <w:tcW w:w="567" w:type="dxa"/>
            <w:tcBorders>
              <w:top w:val="nil"/>
              <w:left w:val="nil"/>
              <w:bottom w:val="nil"/>
              <w:right w:val="nil"/>
            </w:tcBorders>
            <w:shd w:val="clear" w:color="auto" w:fill="auto"/>
            <w:noWrap/>
            <w:vAlign w:val="center"/>
            <w:hideMark/>
          </w:tcPr>
          <w:p w14:paraId="07B915E8"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35,1</w:t>
            </w:r>
          </w:p>
        </w:tc>
        <w:tc>
          <w:tcPr>
            <w:tcW w:w="567" w:type="dxa"/>
            <w:tcBorders>
              <w:top w:val="nil"/>
              <w:left w:val="nil"/>
              <w:bottom w:val="nil"/>
              <w:right w:val="nil"/>
            </w:tcBorders>
            <w:shd w:val="clear" w:color="auto" w:fill="auto"/>
            <w:noWrap/>
            <w:vAlign w:val="center"/>
            <w:hideMark/>
          </w:tcPr>
          <w:p w14:paraId="628A202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31,5</w:t>
            </w:r>
          </w:p>
        </w:tc>
        <w:tc>
          <w:tcPr>
            <w:tcW w:w="567" w:type="dxa"/>
            <w:vAlign w:val="center"/>
          </w:tcPr>
          <w:p w14:paraId="68012F58" w14:textId="77777777" w:rsidR="00071637" w:rsidRPr="00D92E20" w:rsidRDefault="00071637" w:rsidP="00071637">
            <w:pPr>
              <w:spacing w:after="0" w:line="240" w:lineRule="auto"/>
              <w:jc w:val="center"/>
            </w:pPr>
            <w:r>
              <w:rPr>
                <w:rFonts w:cs="Arial"/>
                <w:color w:val="000000"/>
                <w:sz w:val="16"/>
                <w:szCs w:val="16"/>
              </w:rPr>
              <w:t>28,7</w:t>
            </w:r>
          </w:p>
        </w:tc>
      </w:tr>
      <w:tr w:rsidR="00071637" w:rsidRPr="00D92E20" w14:paraId="1D748419"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6CA04B76"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P – Vzdělávání</w:t>
            </w:r>
          </w:p>
        </w:tc>
        <w:tc>
          <w:tcPr>
            <w:tcW w:w="567" w:type="dxa"/>
            <w:tcBorders>
              <w:top w:val="nil"/>
              <w:left w:val="nil"/>
              <w:bottom w:val="nil"/>
              <w:right w:val="nil"/>
            </w:tcBorders>
            <w:shd w:val="clear" w:color="auto" w:fill="auto"/>
            <w:noWrap/>
            <w:vAlign w:val="center"/>
            <w:hideMark/>
          </w:tcPr>
          <w:p w14:paraId="5C7BDC9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32,5</w:t>
            </w:r>
          </w:p>
        </w:tc>
        <w:tc>
          <w:tcPr>
            <w:tcW w:w="567" w:type="dxa"/>
            <w:tcBorders>
              <w:top w:val="nil"/>
              <w:left w:val="nil"/>
              <w:bottom w:val="nil"/>
              <w:right w:val="nil"/>
            </w:tcBorders>
            <w:shd w:val="clear" w:color="auto" w:fill="auto"/>
            <w:noWrap/>
            <w:vAlign w:val="center"/>
            <w:hideMark/>
          </w:tcPr>
          <w:p w14:paraId="16CB387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36,7</w:t>
            </w:r>
          </w:p>
        </w:tc>
        <w:tc>
          <w:tcPr>
            <w:tcW w:w="567" w:type="dxa"/>
            <w:tcBorders>
              <w:top w:val="nil"/>
              <w:left w:val="nil"/>
              <w:bottom w:val="nil"/>
              <w:right w:val="nil"/>
            </w:tcBorders>
            <w:shd w:val="clear" w:color="auto" w:fill="auto"/>
            <w:noWrap/>
            <w:vAlign w:val="center"/>
            <w:hideMark/>
          </w:tcPr>
          <w:p w14:paraId="0D43223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33,6</w:t>
            </w:r>
          </w:p>
        </w:tc>
        <w:tc>
          <w:tcPr>
            <w:tcW w:w="567" w:type="dxa"/>
            <w:tcBorders>
              <w:top w:val="nil"/>
              <w:left w:val="nil"/>
              <w:bottom w:val="nil"/>
              <w:right w:val="nil"/>
            </w:tcBorders>
            <w:shd w:val="clear" w:color="auto" w:fill="auto"/>
            <w:noWrap/>
            <w:vAlign w:val="center"/>
            <w:hideMark/>
          </w:tcPr>
          <w:p w14:paraId="6384C67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35,6</w:t>
            </w:r>
          </w:p>
        </w:tc>
        <w:tc>
          <w:tcPr>
            <w:tcW w:w="567" w:type="dxa"/>
            <w:tcBorders>
              <w:top w:val="nil"/>
              <w:left w:val="nil"/>
              <w:bottom w:val="nil"/>
              <w:right w:val="nil"/>
            </w:tcBorders>
            <w:shd w:val="clear" w:color="auto" w:fill="auto"/>
            <w:noWrap/>
            <w:vAlign w:val="center"/>
            <w:hideMark/>
          </w:tcPr>
          <w:p w14:paraId="77BF84D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32,6</w:t>
            </w:r>
          </w:p>
        </w:tc>
        <w:tc>
          <w:tcPr>
            <w:tcW w:w="567" w:type="dxa"/>
            <w:tcBorders>
              <w:top w:val="nil"/>
              <w:left w:val="nil"/>
              <w:bottom w:val="nil"/>
              <w:right w:val="nil"/>
            </w:tcBorders>
            <w:shd w:val="clear" w:color="auto" w:fill="auto"/>
            <w:noWrap/>
            <w:vAlign w:val="center"/>
            <w:hideMark/>
          </w:tcPr>
          <w:p w14:paraId="09575D3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33,3</w:t>
            </w:r>
          </w:p>
        </w:tc>
        <w:tc>
          <w:tcPr>
            <w:tcW w:w="567" w:type="dxa"/>
            <w:tcBorders>
              <w:top w:val="nil"/>
              <w:left w:val="nil"/>
              <w:bottom w:val="nil"/>
              <w:right w:val="nil"/>
            </w:tcBorders>
            <w:shd w:val="clear" w:color="auto" w:fill="auto"/>
            <w:noWrap/>
            <w:vAlign w:val="center"/>
            <w:hideMark/>
          </w:tcPr>
          <w:p w14:paraId="779F89E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32,2</w:t>
            </w:r>
          </w:p>
        </w:tc>
        <w:tc>
          <w:tcPr>
            <w:tcW w:w="567" w:type="dxa"/>
            <w:tcBorders>
              <w:top w:val="nil"/>
              <w:left w:val="nil"/>
              <w:bottom w:val="nil"/>
              <w:right w:val="nil"/>
            </w:tcBorders>
            <w:shd w:val="clear" w:color="auto" w:fill="auto"/>
            <w:noWrap/>
            <w:vAlign w:val="center"/>
            <w:hideMark/>
          </w:tcPr>
          <w:p w14:paraId="3E7A3FF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30,5</w:t>
            </w:r>
          </w:p>
        </w:tc>
        <w:tc>
          <w:tcPr>
            <w:tcW w:w="567" w:type="dxa"/>
            <w:tcBorders>
              <w:top w:val="nil"/>
              <w:left w:val="nil"/>
              <w:bottom w:val="nil"/>
              <w:right w:val="nil"/>
            </w:tcBorders>
            <w:shd w:val="clear" w:color="auto" w:fill="auto"/>
            <w:noWrap/>
            <w:vAlign w:val="center"/>
            <w:hideMark/>
          </w:tcPr>
          <w:p w14:paraId="72F54AB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31,2</w:t>
            </w:r>
          </w:p>
        </w:tc>
        <w:tc>
          <w:tcPr>
            <w:tcW w:w="567" w:type="dxa"/>
            <w:tcBorders>
              <w:top w:val="nil"/>
              <w:left w:val="nil"/>
              <w:bottom w:val="nil"/>
              <w:right w:val="nil"/>
            </w:tcBorders>
            <w:shd w:val="clear" w:color="auto" w:fill="auto"/>
            <w:noWrap/>
            <w:vAlign w:val="center"/>
            <w:hideMark/>
          </w:tcPr>
          <w:p w14:paraId="4741043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27,9</w:t>
            </w:r>
          </w:p>
        </w:tc>
        <w:tc>
          <w:tcPr>
            <w:tcW w:w="567" w:type="dxa"/>
            <w:vAlign w:val="center"/>
          </w:tcPr>
          <w:p w14:paraId="244C480B" w14:textId="77777777" w:rsidR="00071637" w:rsidRPr="00D92E20" w:rsidRDefault="00071637" w:rsidP="00071637">
            <w:pPr>
              <w:spacing w:after="0" w:line="240" w:lineRule="auto"/>
              <w:jc w:val="center"/>
            </w:pPr>
            <w:r>
              <w:rPr>
                <w:rFonts w:cs="Arial"/>
                <w:color w:val="000000"/>
                <w:sz w:val="16"/>
                <w:szCs w:val="16"/>
              </w:rPr>
              <w:t>24,0</w:t>
            </w:r>
          </w:p>
        </w:tc>
      </w:tr>
      <w:tr w:rsidR="00071637" w:rsidRPr="00D92E20" w14:paraId="2FED6A06"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19FC6C1B"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Q – Zdravotní a sociální péče</w:t>
            </w:r>
          </w:p>
        </w:tc>
        <w:tc>
          <w:tcPr>
            <w:tcW w:w="567" w:type="dxa"/>
            <w:tcBorders>
              <w:top w:val="nil"/>
              <w:left w:val="nil"/>
              <w:bottom w:val="nil"/>
              <w:right w:val="nil"/>
            </w:tcBorders>
            <w:shd w:val="clear" w:color="auto" w:fill="auto"/>
            <w:noWrap/>
            <w:vAlign w:val="center"/>
            <w:hideMark/>
          </w:tcPr>
          <w:p w14:paraId="03CC040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47,8</w:t>
            </w:r>
          </w:p>
        </w:tc>
        <w:tc>
          <w:tcPr>
            <w:tcW w:w="567" w:type="dxa"/>
            <w:tcBorders>
              <w:top w:val="nil"/>
              <w:left w:val="nil"/>
              <w:bottom w:val="nil"/>
              <w:right w:val="nil"/>
            </w:tcBorders>
            <w:shd w:val="clear" w:color="auto" w:fill="auto"/>
            <w:noWrap/>
            <w:vAlign w:val="center"/>
            <w:hideMark/>
          </w:tcPr>
          <w:p w14:paraId="44C4420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52,6</w:t>
            </w:r>
          </w:p>
        </w:tc>
        <w:tc>
          <w:tcPr>
            <w:tcW w:w="567" w:type="dxa"/>
            <w:tcBorders>
              <w:top w:val="nil"/>
              <w:left w:val="nil"/>
              <w:bottom w:val="nil"/>
              <w:right w:val="nil"/>
            </w:tcBorders>
            <w:shd w:val="clear" w:color="auto" w:fill="auto"/>
            <w:noWrap/>
            <w:vAlign w:val="center"/>
            <w:hideMark/>
          </w:tcPr>
          <w:p w14:paraId="3827236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48,9</w:t>
            </w:r>
          </w:p>
        </w:tc>
        <w:tc>
          <w:tcPr>
            <w:tcW w:w="567" w:type="dxa"/>
            <w:tcBorders>
              <w:top w:val="nil"/>
              <w:left w:val="nil"/>
              <w:bottom w:val="nil"/>
              <w:right w:val="nil"/>
            </w:tcBorders>
            <w:shd w:val="clear" w:color="auto" w:fill="auto"/>
            <w:noWrap/>
            <w:vAlign w:val="center"/>
            <w:hideMark/>
          </w:tcPr>
          <w:p w14:paraId="5085D3C0"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51,7</w:t>
            </w:r>
          </w:p>
        </w:tc>
        <w:tc>
          <w:tcPr>
            <w:tcW w:w="567" w:type="dxa"/>
            <w:tcBorders>
              <w:top w:val="nil"/>
              <w:left w:val="nil"/>
              <w:bottom w:val="nil"/>
              <w:right w:val="nil"/>
            </w:tcBorders>
            <w:shd w:val="clear" w:color="auto" w:fill="auto"/>
            <w:noWrap/>
            <w:vAlign w:val="center"/>
            <w:hideMark/>
          </w:tcPr>
          <w:p w14:paraId="39194278"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48,1</w:t>
            </w:r>
          </w:p>
        </w:tc>
        <w:tc>
          <w:tcPr>
            <w:tcW w:w="567" w:type="dxa"/>
            <w:tcBorders>
              <w:top w:val="nil"/>
              <w:left w:val="nil"/>
              <w:bottom w:val="nil"/>
              <w:right w:val="nil"/>
            </w:tcBorders>
            <w:shd w:val="clear" w:color="auto" w:fill="auto"/>
            <w:noWrap/>
            <w:vAlign w:val="center"/>
            <w:hideMark/>
          </w:tcPr>
          <w:p w14:paraId="1917C7A5"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48,8</w:t>
            </w:r>
          </w:p>
        </w:tc>
        <w:tc>
          <w:tcPr>
            <w:tcW w:w="567" w:type="dxa"/>
            <w:tcBorders>
              <w:top w:val="nil"/>
              <w:left w:val="nil"/>
              <w:bottom w:val="nil"/>
              <w:right w:val="nil"/>
            </w:tcBorders>
            <w:shd w:val="clear" w:color="auto" w:fill="auto"/>
            <w:noWrap/>
            <w:vAlign w:val="center"/>
            <w:hideMark/>
          </w:tcPr>
          <w:p w14:paraId="4052B47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48,0</w:t>
            </w:r>
          </w:p>
        </w:tc>
        <w:tc>
          <w:tcPr>
            <w:tcW w:w="567" w:type="dxa"/>
            <w:tcBorders>
              <w:top w:val="nil"/>
              <w:left w:val="nil"/>
              <w:bottom w:val="nil"/>
              <w:right w:val="nil"/>
            </w:tcBorders>
            <w:shd w:val="clear" w:color="auto" w:fill="auto"/>
            <w:noWrap/>
            <w:vAlign w:val="center"/>
            <w:hideMark/>
          </w:tcPr>
          <w:p w14:paraId="3FE1596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46,0</w:t>
            </w:r>
          </w:p>
        </w:tc>
        <w:tc>
          <w:tcPr>
            <w:tcW w:w="567" w:type="dxa"/>
            <w:tcBorders>
              <w:top w:val="nil"/>
              <w:left w:val="nil"/>
              <w:bottom w:val="nil"/>
              <w:right w:val="nil"/>
            </w:tcBorders>
            <w:shd w:val="clear" w:color="auto" w:fill="auto"/>
            <w:noWrap/>
            <w:vAlign w:val="center"/>
            <w:hideMark/>
          </w:tcPr>
          <w:p w14:paraId="432F6BA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46,3</w:t>
            </w:r>
          </w:p>
        </w:tc>
        <w:tc>
          <w:tcPr>
            <w:tcW w:w="567" w:type="dxa"/>
            <w:tcBorders>
              <w:top w:val="nil"/>
              <w:left w:val="nil"/>
              <w:bottom w:val="nil"/>
              <w:right w:val="nil"/>
            </w:tcBorders>
            <w:shd w:val="clear" w:color="auto" w:fill="auto"/>
            <w:noWrap/>
            <w:vAlign w:val="center"/>
            <w:hideMark/>
          </w:tcPr>
          <w:p w14:paraId="0D42D2F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36,0</w:t>
            </w:r>
          </w:p>
        </w:tc>
        <w:tc>
          <w:tcPr>
            <w:tcW w:w="567" w:type="dxa"/>
            <w:vAlign w:val="center"/>
          </w:tcPr>
          <w:p w14:paraId="57A3547F" w14:textId="77777777" w:rsidR="00071637" w:rsidRPr="00D92E20" w:rsidRDefault="00071637" w:rsidP="00071637">
            <w:pPr>
              <w:spacing w:after="0" w:line="240" w:lineRule="auto"/>
              <w:jc w:val="center"/>
            </w:pPr>
            <w:r>
              <w:rPr>
                <w:rFonts w:cs="Arial"/>
                <w:color w:val="000000"/>
                <w:sz w:val="16"/>
                <w:szCs w:val="16"/>
              </w:rPr>
              <w:t>37,5</w:t>
            </w:r>
          </w:p>
        </w:tc>
      </w:tr>
      <w:tr w:rsidR="00071637" w:rsidRPr="00D92E20" w14:paraId="751A5295"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42093282"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R – Kulturní, zábavní a rekreační činnosti</w:t>
            </w:r>
          </w:p>
        </w:tc>
        <w:tc>
          <w:tcPr>
            <w:tcW w:w="567" w:type="dxa"/>
            <w:tcBorders>
              <w:top w:val="nil"/>
              <w:left w:val="nil"/>
              <w:bottom w:val="nil"/>
              <w:right w:val="nil"/>
            </w:tcBorders>
            <w:shd w:val="clear" w:color="auto" w:fill="auto"/>
            <w:noWrap/>
            <w:vAlign w:val="center"/>
            <w:hideMark/>
          </w:tcPr>
          <w:p w14:paraId="75E3864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42,9</w:t>
            </w:r>
          </w:p>
        </w:tc>
        <w:tc>
          <w:tcPr>
            <w:tcW w:w="567" w:type="dxa"/>
            <w:tcBorders>
              <w:top w:val="nil"/>
              <w:left w:val="nil"/>
              <w:bottom w:val="nil"/>
              <w:right w:val="nil"/>
            </w:tcBorders>
            <w:shd w:val="clear" w:color="auto" w:fill="auto"/>
            <w:noWrap/>
            <w:vAlign w:val="center"/>
            <w:hideMark/>
          </w:tcPr>
          <w:p w14:paraId="34A2746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45,9</w:t>
            </w:r>
          </w:p>
        </w:tc>
        <w:tc>
          <w:tcPr>
            <w:tcW w:w="567" w:type="dxa"/>
            <w:tcBorders>
              <w:top w:val="nil"/>
              <w:left w:val="nil"/>
              <w:bottom w:val="nil"/>
              <w:right w:val="nil"/>
            </w:tcBorders>
            <w:shd w:val="clear" w:color="auto" w:fill="auto"/>
            <w:noWrap/>
            <w:vAlign w:val="center"/>
            <w:hideMark/>
          </w:tcPr>
          <w:p w14:paraId="575993E0"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42,7</w:t>
            </w:r>
          </w:p>
        </w:tc>
        <w:tc>
          <w:tcPr>
            <w:tcW w:w="567" w:type="dxa"/>
            <w:tcBorders>
              <w:top w:val="nil"/>
              <w:left w:val="nil"/>
              <w:bottom w:val="nil"/>
              <w:right w:val="nil"/>
            </w:tcBorders>
            <w:shd w:val="clear" w:color="auto" w:fill="auto"/>
            <w:noWrap/>
            <w:vAlign w:val="center"/>
            <w:hideMark/>
          </w:tcPr>
          <w:p w14:paraId="228AD22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42AC79C8"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41,3</w:t>
            </w:r>
          </w:p>
        </w:tc>
        <w:tc>
          <w:tcPr>
            <w:tcW w:w="567" w:type="dxa"/>
            <w:tcBorders>
              <w:top w:val="nil"/>
              <w:left w:val="nil"/>
              <w:bottom w:val="nil"/>
              <w:right w:val="nil"/>
            </w:tcBorders>
            <w:shd w:val="clear" w:color="auto" w:fill="auto"/>
            <w:noWrap/>
            <w:vAlign w:val="center"/>
            <w:hideMark/>
          </w:tcPr>
          <w:p w14:paraId="6DC8CB2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41,9</w:t>
            </w:r>
          </w:p>
        </w:tc>
        <w:tc>
          <w:tcPr>
            <w:tcW w:w="567" w:type="dxa"/>
            <w:tcBorders>
              <w:top w:val="nil"/>
              <w:left w:val="nil"/>
              <w:bottom w:val="nil"/>
              <w:right w:val="nil"/>
            </w:tcBorders>
            <w:shd w:val="clear" w:color="auto" w:fill="auto"/>
            <w:noWrap/>
            <w:vAlign w:val="center"/>
            <w:hideMark/>
          </w:tcPr>
          <w:p w14:paraId="4B26FE7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42,8</w:t>
            </w:r>
          </w:p>
        </w:tc>
        <w:tc>
          <w:tcPr>
            <w:tcW w:w="567" w:type="dxa"/>
            <w:tcBorders>
              <w:top w:val="nil"/>
              <w:left w:val="nil"/>
              <w:bottom w:val="nil"/>
              <w:right w:val="nil"/>
            </w:tcBorders>
            <w:shd w:val="clear" w:color="auto" w:fill="auto"/>
            <w:noWrap/>
            <w:vAlign w:val="center"/>
            <w:hideMark/>
          </w:tcPr>
          <w:p w14:paraId="31FD374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41,1</w:t>
            </w:r>
          </w:p>
        </w:tc>
        <w:tc>
          <w:tcPr>
            <w:tcW w:w="567" w:type="dxa"/>
            <w:tcBorders>
              <w:top w:val="nil"/>
              <w:left w:val="nil"/>
              <w:bottom w:val="nil"/>
              <w:right w:val="nil"/>
            </w:tcBorders>
            <w:shd w:val="clear" w:color="auto" w:fill="auto"/>
            <w:noWrap/>
            <w:vAlign w:val="center"/>
            <w:hideMark/>
          </w:tcPr>
          <w:p w14:paraId="5A3F92E3"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53F2E95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39,5</w:t>
            </w:r>
          </w:p>
        </w:tc>
        <w:tc>
          <w:tcPr>
            <w:tcW w:w="567" w:type="dxa"/>
            <w:vAlign w:val="center"/>
          </w:tcPr>
          <w:p w14:paraId="28EF0833" w14:textId="77777777" w:rsidR="00071637" w:rsidRPr="00D92E20" w:rsidRDefault="00071637" w:rsidP="00071637">
            <w:pPr>
              <w:spacing w:after="0" w:line="240" w:lineRule="auto"/>
              <w:jc w:val="center"/>
            </w:pPr>
            <w:r>
              <w:rPr>
                <w:rFonts w:cs="Arial"/>
                <w:color w:val="000000"/>
                <w:sz w:val="16"/>
                <w:szCs w:val="16"/>
              </w:rPr>
              <w:t>33,9</w:t>
            </w:r>
          </w:p>
        </w:tc>
      </w:tr>
      <w:tr w:rsidR="00071637" w:rsidRPr="00D92E20" w14:paraId="1DCC2835"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0DDF17F7"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S – Ostatní činnosti</w:t>
            </w:r>
          </w:p>
        </w:tc>
        <w:tc>
          <w:tcPr>
            <w:tcW w:w="567" w:type="dxa"/>
            <w:tcBorders>
              <w:top w:val="nil"/>
              <w:left w:val="nil"/>
              <w:bottom w:val="nil"/>
              <w:right w:val="nil"/>
            </w:tcBorders>
            <w:shd w:val="clear" w:color="auto" w:fill="auto"/>
            <w:noWrap/>
            <w:vAlign w:val="center"/>
            <w:hideMark/>
          </w:tcPr>
          <w:p w14:paraId="42A71FB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53,0</w:t>
            </w:r>
          </w:p>
        </w:tc>
        <w:tc>
          <w:tcPr>
            <w:tcW w:w="567" w:type="dxa"/>
            <w:tcBorders>
              <w:top w:val="nil"/>
              <w:left w:val="nil"/>
              <w:bottom w:val="nil"/>
              <w:right w:val="nil"/>
            </w:tcBorders>
            <w:shd w:val="clear" w:color="auto" w:fill="auto"/>
            <w:noWrap/>
            <w:vAlign w:val="center"/>
            <w:hideMark/>
          </w:tcPr>
          <w:p w14:paraId="2077B5A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50,2</w:t>
            </w:r>
          </w:p>
        </w:tc>
        <w:tc>
          <w:tcPr>
            <w:tcW w:w="567" w:type="dxa"/>
            <w:tcBorders>
              <w:top w:val="nil"/>
              <w:left w:val="nil"/>
              <w:bottom w:val="nil"/>
              <w:right w:val="nil"/>
            </w:tcBorders>
            <w:shd w:val="clear" w:color="auto" w:fill="auto"/>
            <w:noWrap/>
            <w:vAlign w:val="center"/>
            <w:hideMark/>
          </w:tcPr>
          <w:p w14:paraId="2B806DC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48,3</w:t>
            </w:r>
          </w:p>
        </w:tc>
        <w:tc>
          <w:tcPr>
            <w:tcW w:w="567" w:type="dxa"/>
            <w:tcBorders>
              <w:top w:val="nil"/>
              <w:left w:val="nil"/>
              <w:bottom w:val="nil"/>
              <w:right w:val="nil"/>
            </w:tcBorders>
            <w:shd w:val="clear" w:color="auto" w:fill="auto"/>
            <w:noWrap/>
            <w:vAlign w:val="center"/>
            <w:hideMark/>
          </w:tcPr>
          <w:p w14:paraId="7901632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49,6</w:t>
            </w:r>
          </w:p>
        </w:tc>
        <w:tc>
          <w:tcPr>
            <w:tcW w:w="567" w:type="dxa"/>
            <w:tcBorders>
              <w:top w:val="nil"/>
              <w:left w:val="nil"/>
              <w:bottom w:val="nil"/>
              <w:right w:val="nil"/>
            </w:tcBorders>
            <w:shd w:val="clear" w:color="auto" w:fill="auto"/>
            <w:noWrap/>
            <w:vAlign w:val="center"/>
            <w:hideMark/>
          </w:tcPr>
          <w:p w14:paraId="4544ED63"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48,1</w:t>
            </w:r>
          </w:p>
        </w:tc>
        <w:tc>
          <w:tcPr>
            <w:tcW w:w="567" w:type="dxa"/>
            <w:tcBorders>
              <w:top w:val="nil"/>
              <w:left w:val="nil"/>
              <w:bottom w:val="nil"/>
              <w:right w:val="nil"/>
            </w:tcBorders>
            <w:shd w:val="clear" w:color="auto" w:fill="auto"/>
            <w:noWrap/>
            <w:vAlign w:val="center"/>
            <w:hideMark/>
          </w:tcPr>
          <w:p w14:paraId="0053C74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48,9</w:t>
            </w:r>
          </w:p>
        </w:tc>
        <w:tc>
          <w:tcPr>
            <w:tcW w:w="567" w:type="dxa"/>
            <w:tcBorders>
              <w:top w:val="nil"/>
              <w:left w:val="nil"/>
              <w:bottom w:val="nil"/>
              <w:right w:val="nil"/>
            </w:tcBorders>
            <w:shd w:val="clear" w:color="auto" w:fill="auto"/>
            <w:noWrap/>
            <w:vAlign w:val="center"/>
            <w:hideMark/>
          </w:tcPr>
          <w:p w14:paraId="2911DB1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46,9</w:t>
            </w:r>
          </w:p>
        </w:tc>
        <w:tc>
          <w:tcPr>
            <w:tcW w:w="567" w:type="dxa"/>
            <w:tcBorders>
              <w:top w:val="nil"/>
              <w:left w:val="nil"/>
              <w:bottom w:val="nil"/>
              <w:right w:val="nil"/>
            </w:tcBorders>
            <w:shd w:val="clear" w:color="auto" w:fill="auto"/>
            <w:noWrap/>
            <w:vAlign w:val="center"/>
            <w:hideMark/>
          </w:tcPr>
          <w:p w14:paraId="2D0F06C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45,8</w:t>
            </w:r>
          </w:p>
        </w:tc>
        <w:tc>
          <w:tcPr>
            <w:tcW w:w="567" w:type="dxa"/>
            <w:tcBorders>
              <w:top w:val="nil"/>
              <w:left w:val="nil"/>
              <w:bottom w:val="nil"/>
              <w:right w:val="nil"/>
            </w:tcBorders>
            <w:shd w:val="clear" w:color="auto" w:fill="auto"/>
            <w:noWrap/>
            <w:vAlign w:val="center"/>
            <w:hideMark/>
          </w:tcPr>
          <w:p w14:paraId="3484E1F5"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46,3</w:t>
            </w:r>
          </w:p>
        </w:tc>
        <w:tc>
          <w:tcPr>
            <w:tcW w:w="567" w:type="dxa"/>
            <w:tcBorders>
              <w:top w:val="nil"/>
              <w:left w:val="nil"/>
              <w:bottom w:val="nil"/>
              <w:right w:val="nil"/>
            </w:tcBorders>
            <w:shd w:val="clear" w:color="auto" w:fill="auto"/>
            <w:noWrap/>
            <w:vAlign w:val="center"/>
            <w:hideMark/>
          </w:tcPr>
          <w:p w14:paraId="68DD34A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42,8</w:t>
            </w:r>
          </w:p>
        </w:tc>
        <w:tc>
          <w:tcPr>
            <w:tcW w:w="567" w:type="dxa"/>
            <w:vAlign w:val="center"/>
          </w:tcPr>
          <w:p w14:paraId="093A5499" w14:textId="77777777" w:rsidR="00071637" w:rsidRPr="00D92E20" w:rsidRDefault="00071637" w:rsidP="00071637">
            <w:pPr>
              <w:spacing w:after="0" w:line="240" w:lineRule="auto"/>
              <w:jc w:val="center"/>
            </w:pPr>
            <w:r>
              <w:rPr>
                <w:rFonts w:cs="Arial"/>
                <w:color w:val="000000"/>
                <w:sz w:val="16"/>
                <w:szCs w:val="16"/>
              </w:rPr>
              <w:t>38,4</w:t>
            </w:r>
          </w:p>
        </w:tc>
      </w:tr>
    </w:tbl>
    <w:p w14:paraId="7B38180E" w14:textId="5CB23A8E" w:rsidR="00071637" w:rsidRDefault="00071637" w:rsidP="004930CE">
      <w:pPr>
        <w:spacing w:before="120" w:after="120"/>
        <w:rPr>
          <w:sz w:val="16"/>
        </w:rPr>
      </w:pPr>
      <w:r w:rsidRPr="00D92E20">
        <w:rPr>
          <w:sz w:val="16"/>
        </w:rPr>
        <w:t>Zdroj: ČSÚ</w:t>
      </w:r>
    </w:p>
    <w:p w14:paraId="31FFD569" w14:textId="545AAF45" w:rsidR="007F666B" w:rsidRDefault="007F666B" w:rsidP="007F666B">
      <w:pPr>
        <w:spacing w:after="120"/>
        <w:jc w:val="both"/>
      </w:pPr>
      <w:r>
        <w:t>V </w:t>
      </w:r>
      <w:r w:rsidRPr="006C7D54">
        <w:rPr>
          <w:b/>
        </w:rPr>
        <w:t>regionálním</w:t>
      </w:r>
      <w:r>
        <w:t xml:space="preserve"> </w:t>
      </w:r>
      <w:r w:rsidRPr="006C7D54">
        <w:t>srovnání</w:t>
      </w:r>
      <w:r w:rsidRPr="00E10DD4">
        <w:t xml:space="preserve"> byla v </w:t>
      </w:r>
      <w:r>
        <w:t>roce</w:t>
      </w:r>
      <w:r w:rsidRPr="00E10DD4">
        <w:t xml:space="preserve"> 2021 nejdelší průměrná doba trvání dočasné pracovní nescho</w:t>
      </w:r>
      <w:r>
        <w:t>pnosti zaznamenána ve Zlínském</w:t>
      </w:r>
      <w:r w:rsidRPr="00E10DD4">
        <w:t xml:space="preserve"> a v Moravskoslezském kraji </w:t>
      </w:r>
      <w:r>
        <w:t>(shodně 39 dnů). Tyto kraje vykazují nejdelší průměrnou délku trvání pracovní neschopnosti</w:t>
      </w:r>
      <w:r w:rsidRPr="00E10DD4">
        <w:t xml:space="preserve"> </w:t>
      </w:r>
      <w:r>
        <w:t xml:space="preserve">opakovaně. </w:t>
      </w:r>
      <w:r w:rsidRPr="00E10DD4">
        <w:t>Kraji s nejkratší délkou trvání pracovní neschopnosti byly Královéhradecký (32,</w:t>
      </w:r>
      <w:r>
        <w:t>2</w:t>
      </w:r>
      <w:r w:rsidRPr="00E10DD4">
        <w:t>), Liberecký (32,</w:t>
      </w:r>
      <w:r>
        <w:t>3</w:t>
      </w:r>
      <w:r w:rsidRPr="00E10DD4">
        <w:t>) a Středočeský kraj</w:t>
      </w:r>
      <w:r>
        <w:t xml:space="preserve"> (32</w:t>
      </w:r>
      <w:r w:rsidRPr="00E10DD4">
        <w:t xml:space="preserve">,5). </w:t>
      </w:r>
      <w:r>
        <w:t>Dlouhodobě se mezi kraji s nejkratší dobou trvání pracovní neschopnosti pohybovala Praha, v roce 2021 j</w:t>
      </w:r>
      <w:r w:rsidR="002F2C0C">
        <w:t>í</w:t>
      </w:r>
      <w:r>
        <w:t xml:space="preserve"> však s hodnotou 32,6</w:t>
      </w:r>
      <w:r w:rsidR="00893FDC">
        <w:t> </w:t>
      </w:r>
      <w:r>
        <w:t xml:space="preserve">dne patřilo 4. místo. </w:t>
      </w:r>
      <w:r w:rsidRPr="00E10DD4">
        <w:t>Ve všech krajích ČR hodnoty tohoto ukazatele meziročně poklesly.</w:t>
      </w:r>
      <w:r>
        <w:t xml:space="preserve"> Graf 2.11 zobrazuje porovnání roku 2021 s předcovidovou situací</w:t>
      </w:r>
      <w:r w:rsidR="0083363A">
        <w:t xml:space="preserve"> </w:t>
      </w:r>
      <w:r w:rsidR="004930CE">
        <w:t>v roce</w:t>
      </w:r>
      <w:r w:rsidR="0083363A">
        <w:t xml:space="preserve"> 2019</w:t>
      </w:r>
      <w:r>
        <w:t>.</w:t>
      </w:r>
      <w:r w:rsidR="001D17A2">
        <w:t xml:space="preserve"> Z grafu je též patrné, že průměrná délka trvání v roce 2021 napříč kraji byla mnohem homogennější. Rozdíl dvou extrémních hodnot činil 7 dní, zatímco v roce 2019 o 4 dny více.</w:t>
      </w:r>
    </w:p>
    <w:p w14:paraId="3EAAEE98" w14:textId="698DB5F8" w:rsidR="007F666B" w:rsidRDefault="007F666B" w:rsidP="007F666B">
      <w:pPr>
        <w:spacing w:after="120"/>
        <w:jc w:val="both"/>
        <w:rPr>
          <w:b/>
        </w:rPr>
      </w:pPr>
      <w:r w:rsidRPr="00074873">
        <w:t xml:space="preserve">Z pohledu </w:t>
      </w:r>
      <w:r w:rsidRPr="00074873">
        <w:rPr>
          <w:b/>
        </w:rPr>
        <w:t>detailnějšího územního členění</w:t>
      </w:r>
      <w:r w:rsidRPr="00074873">
        <w:t xml:space="preserve"> (viz kartogram 2.1) je zřejmý větší rozptyl hodnot tohoto relativního ukazatele. Nejvyšší průměrnou délku na jeden případ v </w:t>
      </w:r>
      <w:r>
        <w:t>roce</w:t>
      </w:r>
      <w:r w:rsidRPr="00074873">
        <w:t xml:space="preserve"> 2021 vykazoval okres </w:t>
      </w:r>
      <w:r w:rsidR="00EF404E">
        <w:t>Hodonín (43,7</w:t>
      </w:r>
      <w:r w:rsidR="00DC2A86">
        <w:t> </w:t>
      </w:r>
      <w:r w:rsidR="00EF404E">
        <w:t xml:space="preserve">dne) v Jihomoravském kraji a </w:t>
      </w:r>
      <w:r w:rsidRPr="00074873">
        <w:t>Vsetín (4</w:t>
      </w:r>
      <w:r w:rsidR="00EF404E">
        <w:t>3</w:t>
      </w:r>
      <w:r w:rsidRPr="00074873">
        <w:t>,</w:t>
      </w:r>
      <w:r w:rsidR="00EF404E">
        <w:t>5</w:t>
      </w:r>
      <w:r w:rsidRPr="00074873">
        <w:t xml:space="preserve"> dne) ve Zlínském kraji, které se na předních místech mezi </w:t>
      </w:r>
      <w:r w:rsidRPr="00074873">
        <w:lastRenderedPageBreak/>
        <w:t>okresy s nejdelší pracovní neschopností pohybují již několik let. Následovaly okresy Břeclav</w:t>
      </w:r>
      <w:r>
        <w:t xml:space="preserve"> (Jihomoravský kraj)</w:t>
      </w:r>
      <w:r w:rsidR="00EF404E">
        <w:t xml:space="preserve"> a </w:t>
      </w:r>
      <w:r w:rsidRPr="00074873">
        <w:t xml:space="preserve">Uherské Hradiště </w:t>
      </w:r>
      <w:r w:rsidR="00EF404E">
        <w:t xml:space="preserve">(Zlínský kraj), </w:t>
      </w:r>
      <w:r w:rsidRPr="00074873">
        <w:t>které vykazovaly průměrnou délku případu pracovní neschopnosti 4</w:t>
      </w:r>
      <w:r w:rsidR="00EF404E">
        <w:t>2</w:t>
      </w:r>
      <w:r w:rsidR="00DC2A86">
        <w:t> </w:t>
      </w:r>
      <w:r w:rsidRPr="00074873">
        <w:t xml:space="preserve">dnů. Naopak nejkratší dobou trvání se mohl opět pochlubit okres Mladá Boleslav </w:t>
      </w:r>
      <w:r w:rsidR="00EF404E">
        <w:t xml:space="preserve">(28 dnů) ve Středních Čechách, Pardubice a </w:t>
      </w:r>
      <w:r w:rsidRPr="00074873">
        <w:t>Rychnov nad Kněžnou</w:t>
      </w:r>
      <w:r w:rsidR="00DF424D">
        <w:t xml:space="preserve"> v Královéhradeckém kraji</w:t>
      </w:r>
      <w:r w:rsidRPr="00074873">
        <w:t xml:space="preserve"> (</w:t>
      </w:r>
      <w:r w:rsidR="00EF404E">
        <w:t xml:space="preserve">oba shodně </w:t>
      </w:r>
      <w:r w:rsidRPr="00074873">
        <w:t>29 dnů).</w:t>
      </w:r>
      <w:r>
        <w:t xml:space="preserve"> Kompletní přehled je k dispozici v tabulce 3.6 v</w:t>
      </w:r>
      <w:r w:rsidR="00EF404E">
        <w:t> </w:t>
      </w:r>
      <w:r>
        <w:t>tabulkové části publikace.</w:t>
      </w:r>
    </w:p>
    <w:p w14:paraId="359E30FB" w14:textId="090511D0" w:rsidR="004A6E11" w:rsidRDefault="007F666B" w:rsidP="00D50EF1">
      <w:pPr>
        <w:spacing w:after="0" w:line="240" w:lineRule="auto"/>
      </w:pPr>
      <w:r w:rsidRPr="007F666B">
        <w:rPr>
          <w:rFonts w:cs="Arial"/>
          <w:b/>
          <w:bCs/>
          <w:color w:val="000000"/>
          <w:szCs w:val="20"/>
        </w:rPr>
        <w:t>Graf 2.11: Průměrná délka trvání dočasné pracovní neschopnosti podle krajů ČR, 2019 a 2021</w:t>
      </w:r>
    </w:p>
    <w:p w14:paraId="2C0E6A98" w14:textId="525A27DC" w:rsidR="00FC3985" w:rsidRPr="004A6E11" w:rsidRDefault="00D50EF1" w:rsidP="004A6E11">
      <w:r>
        <w:rPr>
          <w:noProof/>
        </w:rPr>
        <w:drawing>
          <wp:inline distT="0" distB="0" distL="0" distR="0" wp14:anchorId="67B7F1E5" wp14:editId="225E1EE7">
            <wp:extent cx="6115050" cy="2838450"/>
            <wp:effectExtent l="0" t="0" r="0" b="0"/>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0C9D7D1" w14:textId="77777777" w:rsidR="00EF404E" w:rsidRPr="004229D4" w:rsidRDefault="007F666B" w:rsidP="004229D4">
      <w:pPr>
        <w:spacing w:before="120" w:after="120"/>
        <w:rPr>
          <w:sz w:val="16"/>
        </w:rPr>
      </w:pPr>
      <w:r w:rsidRPr="00D92E20">
        <w:rPr>
          <w:sz w:val="16"/>
        </w:rPr>
        <w:t>Zdroj: ČSÚ</w:t>
      </w:r>
    </w:p>
    <w:p w14:paraId="2A691D1B" w14:textId="77777777" w:rsidR="00EF404E" w:rsidRPr="00D92E20" w:rsidRDefault="00EF404E" w:rsidP="00EF404E">
      <w:pPr>
        <w:spacing w:after="0"/>
        <w:jc w:val="both"/>
        <w:rPr>
          <w:b/>
        </w:rPr>
      </w:pPr>
      <w:r w:rsidRPr="00D92E20">
        <w:rPr>
          <w:b/>
        </w:rPr>
        <w:t>Tab. 2.7: Průměrná délka trvání dočasné pracovní neschopnosti podle krajů ČR, 201</w:t>
      </w:r>
      <w:r>
        <w:rPr>
          <w:b/>
        </w:rPr>
        <w:t>1–2021</w:t>
      </w:r>
    </w:p>
    <w:tbl>
      <w:tblPr>
        <w:tblW w:w="9670" w:type="dxa"/>
        <w:tblCellMar>
          <w:left w:w="70" w:type="dxa"/>
          <w:right w:w="70" w:type="dxa"/>
        </w:tblCellMar>
        <w:tblLook w:val="04A0" w:firstRow="1" w:lastRow="0" w:firstColumn="1" w:lastColumn="0" w:noHBand="0" w:noVBand="1"/>
      </w:tblPr>
      <w:tblGrid>
        <w:gridCol w:w="1871"/>
        <w:gridCol w:w="709"/>
        <w:gridCol w:w="709"/>
        <w:gridCol w:w="709"/>
        <w:gridCol w:w="709"/>
        <w:gridCol w:w="709"/>
        <w:gridCol w:w="709"/>
        <w:gridCol w:w="709"/>
        <w:gridCol w:w="709"/>
        <w:gridCol w:w="709"/>
        <w:gridCol w:w="709"/>
        <w:gridCol w:w="709"/>
      </w:tblGrid>
      <w:tr w:rsidR="00EF404E" w:rsidRPr="00D92E20" w14:paraId="217AE276" w14:textId="77777777" w:rsidTr="00EF404E">
        <w:trPr>
          <w:trHeight w:val="300"/>
        </w:trPr>
        <w:tc>
          <w:tcPr>
            <w:tcW w:w="1871" w:type="dxa"/>
            <w:tcBorders>
              <w:top w:val="single" w:sz="4" w:space="0" w:color="auto"/>
              <w:left w:val="nil"/>
              <w:bottom w:val="single" w:sz="4" w:space="0" w:color="auto"/>
              <w:right w:val="single" w:sz="4" w:space="0" w:color="auto"/>
            </w:tcBorders>
            <w:shd w:val="clear" w:color="000000" w:fill="F5DADD"/>
            <w:vAlign w:val="center"/>
            <w:hideMark/>
          </w:tcPr>
          <w:p w14:paraId="1D8E66C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Kraj ČR</w:t>
            </w:r>
          </w:p>
        </w:tc>
        <w:tc>
          <w:tcPr>
            <w:tcW w:w="709" w:type="dxa"/>
            <w:tcBorders>
              <w:top w:val="single" w:sz="4" w:space="0" w:color="auto"/>
              <w:left w:val="nil"/>
              <w:bottom w:val="single" w:sz="4" w:space="0" w:color="auto"/>
              <w:right w:val="nil"/>
            </w:tcBorders>
            <w:shd w:val="clear" w:color="000000" w:fill="F5DADD"/>
            <w:noWrap/>
            <w:vAlign w:val="center"/>
            <w:hideMark/>
          </w:tcPr>
          <w:p w14:paraId="7B09D58D"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2011</w:t>
            </w:r>
          </w:p>
        </w:tc>
        <w:tc>
          <w:tcPr>
            <w:tcW w:w="709" w:type="dxa"/>
            <w:tcBorders>
              <w:top w:val="single" w:sz="4" w:space="0" w:color="auto"/>
              <w:left w:val="nil"/>
              <w:bottom w:val="single" w:sz="4" w:space="0" w:color="auto"/>
              <w:right w:val="nil"/>
            </w:tcBorders>
            <w:shd w:val="clear" w:color="000000" w:fill="F5DADD"/>
            <w:noWrap/>
            <w:vAlign w:val="center"/>
            <w:hideMark/>
          </w:tcPr>
          <w:p w14:paraId="43528CB1"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2012</w:t>
            </w:r>
          </w:p>
        </w:tc>
        <w:tc>
          <w:tcPr>
            <w:tcW w:w="709" w:type="dxa"/>
            <w:tcBorders>
              <w:top w:val="single" w:sz="4" w:space="0" w:color="auto"/>
              <w:left w:val="nil"/>
              <w:bottom w:val="single" w:sz="4" w:space="0" w:color="auto"/>
              <w:right w:val="nil"/>
            </w:tcBorders>
            <w:shd w:val="clear" w:color="000000" w:fill="F5DADD"/>
            <w:noWrap/>
            <w:vAlign w:val="center"/>
            <w:hideMark/>
          </w:tcPr>
          <w:p w14:paraId="50EC2F8D"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2013</w:t>
            </w:r>
          </w:p>
        </w:tc>
        <w:tc>
          <w:tcPr>
            <w:tcW w:w="709" w:type="dxa"/>
            <w:tcBorders>
              <w:top w:val="single" w:sz="4" w:space="0" w:color="auto"/>
              <w:left w:val="nil"/>
              <w:bottom w:val="single" w:sz="4" w:space="0" w:color="auto"/>
              <w:right w:val="nil"/>
            </w:tcBorders>
            <w:shd w:val="clear" w:color="000000" w:fill="F5DADD"/>
            <w:noWrap/>
            <w:vAlign w:val="center"/>
            <w:hideMark/>
          </w:tcPr>
          <w:p w14:paraId="0FE9187B"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2014</w:t>
            </w:r>
          </w:p>
        </w:tc>
        <w:tc>
          <w:tcPr>
            <w:tcW w:w="709" w:type="dxa"/>
            <w:tcBorders>
              <w:top w:val="single" w:sz="4" w:space="0" w:color="auto"/>
              <w:left w:val="nil"/>
              <w:bottom w:val="single" w:sz="4" w:space="0" w:color="auto"/>
              <w:right w:val="nil"/>
            </w:tcBorders>
            <w:shd w:val="clear" w:color="000000" w:fill="F5DADD"/>
            <w:noWrap/>
            <w:vAlign w:val="center"/>
            <w:hideMark/>
          </w:tcPr>
          <w:p w14:paraId="7C5CDB81"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2015</w:t>
            </w:r>
          </w:p>
        </w:tc>
        <w:tc>
          <w:tcPr>
            <w:tcW w:w="709" w:type="dxa"/>
            <w:tcBorders>
              <w:top w:val="single" w:sz="4" w:space="0" w:color="auto"/>
              <w:left w:val="nil"/>
              <w:bottom w:val="single" w:sz="4" w:space="0" w:color="auto"/>
              <w:right w:val="nil"/>
            </w:tcBorders>
            <w:shd w:val="clear" w:color="000000" w:fill="F5DADD"/>
            <w:noWrap/>
            <w:vAlign w:val="center"/>
            <w:hideMark/>
          </w:tcPr>
          <w:p w14:paraId="115DE63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2016</w:t>
            </w:r>
          </w:p>
        </w:tc>
        <w:tc>
          <w:tcPr>
            <w:tcW w:w="709" w:type="dxa"/>
            <w:tcBorders>
              <w:top w:val="single" w:sz="4" w:space="0" w:color="auto"/>
              <w:left w:val="nil"/>
              <w:bottom w:val="single" w:sz="4" w:space="0" w:color="auto"/>
              <w:right w:val="nil"/>
            </w:tcBorders>
            <w:shd w:val="clear" w:color="000000" w:fill="F5DADD"/>
            <w:noWrap/>
            <w:vAlign w:val="center"/>
            <w:hideMark/>
          </w:tcPr>
          <w:p w14:paraId="5A568E1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2017</w:t>
            </w:r>
          </w:p>
        </w:tc>
        <w:tc>
          <w:tcPr>
            <w:tcW w:w="709" w:type="dxa"/>
            <w:tcBorders>
              <w:top w:val="single" w:sz="4" w:space="0" w:color="auto"/>
              <w:left w:val="nil"/>
              <w:bottom w:val="single" w:sz="4" w:space="0" w:color="auto"/>
              <w:right w:val="nil"/>
            </w:tcBorders>
            <w:shd w:val="clear" w:color="000000" w:fill="F5DADD"/>
            <w:noWrap/>
            <w:vAlign w:val="center"/>
            <w:hideMark/>
          </w:tcPr>
          <w:p w14:paraId="45962A0D"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2018</w:t>
            </w:r>
          </w:p>
        </w:tc>
        <w:tc>
          <w:tcPr>
            <w:tcW w:w="709" w:type="dxa"/>
            <w:tcBorders>
              <w:top w:val="single" w:sz="4" w:space="0" w:color="auto"/>
              <w:left w:val="nil"/>
              <w:bottom w:val="single" w:sz="4" w:space="0" w:color="auto"/>
              <w:right w:val="nil"/>
            </w:tcBorders>
            <w:shd w:val="clear" w:color="000000" w:fill="F5DADD"/>
            <w:noWrap/>
            <w:vAlign w:val="center"/>
            <w:hideMark/>
          </w:tcPr>
          <w:p w14:paraId="2CD80DD0"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2019</w:t>
            </w:r>
          </w:p>
        </w:tc>
        <w:tc>
          <w:tcPr>
            <w:tcW w:w="709" w:type="dxa"/>
            <w:tcBorders>
              <w:top w:val="single" w:sz="4" w:space="0" w:color="auto"/>
              <w:left w:val="nil"/>
              <w:bottom w:val="single" w:sz="4" w:space="0" w:color="auto"/>
              <w:right w:val="nil"/>
            </w:tcBorders>
            <w:shd w:val="clear" w:color="000000" w:fill="F5DADD"/>
            <w:noWrap/>
            <w:vAlign w:val="center"/>
            <w:hideMark/>
          </w:tcPr>
          <w:p w14:paraId="7796BD46"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2020</w:t>
            </w:r>
          </w:p>
        </w:tc>
        <w:tc>
          <w:tcPr>
            <w:tcW w:w="709" w:type="dxa"/>
            <w:tcBorders>
              <w:top w:val="single" w:sz="4" w:space="0" w:color="auto"/>
              <w:bottom w:val="single" w:sz="4" w:space="0" w:color="auto"/>
            </w:tcBorders>
            <w:shd w:val="clear" w:color="auto" w:fill="F5DADD"/>
            <w:vAlign w:val="center"/>
          </w:tcPr>
          <w:p w14:paraId="6CE82907" w14:textId="77777777" w:rsidR="00EF404E" w:rsidRPr="00D92E20" w:rsidRDefault="00EF404E" w:rsidP="00EF404E">
            <w:pPr>
              <w:spacing w:after="0" w:line="240" w:lineRule="auto"/>
              <w:jc w:val="center"/>
            </w:pPr>
            <w:r>
              <w:rPr>
                <w:rFonts w:cs="Arial"/>
                <w:color w:val="000000"/>
                <w:sz w:val="16"/>
                <w:szCs w:val="16"/>
              </w:rPr>
              <w:t>2021</w:t>
            </w:r>
          </w:p>
        </w:tc>
      </w:tr>
      <w:tr w:rsidR="00EF404E" w:rsidRPr="00D92E20" w14:paraId="38EC4D49"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024E9885" w14:textId="77777777" w:rsidR="00EF404E" w:rsidRPr="00D92E20" w:rsidRDefault="00EF404E" w:rsidP="00EF404E">
            <w:pPr>
              <w:spacing w:after="0" w:line="240" w:lineRule="auto"/>
              <w:rPr>
                <w:rFonts w:cs="Arial"/>
                <w:b/>
                <w:bCs/>
                <w:color w:val="000000"/>
                <w:sz w:val="16"/>
                <w:szCs w:val="16"/>
              </w:rPr>
            </w:pPr>
            <w:r w:rsidRPr="00D92E20">
              <w:rPr>
                <w:rFonts w:cs="Arial"/>
                <w:b/>
                <w:bCs/>
                <w:color w:val="000000"/>
                <w:sz w:val="16"/>
                <w:szCs w:val="16"/>
              </w:rPr>
              <w:t>ČR celkem</w:t>
            </w:r>
          </w:p>
        </w:tc>
        <w:tc>
          <w:tcPr>
            <w:tcW w:w="709" w:type="dxa"/>
            <w:tcBorders>
              <w:top w:val="nil"/>
              <w:left w:val="nil"/>
              <w:bottom w:val="nil"/>
              <w:right w:val="nil"/>
            </w:tcBorders>
            <w:shd w:val="clear" w:color="auto" w:fill="auto"/>
            <w:noWrap/>
            <w:vAlign w:val="center"/>
            <w:hideMark/>
          </w:tcPr>
          <w:p w14:paraId="1C3DDD04" w14:textId="77777777" w:rsidR="00EF404E" w:rsidRPr="00D92E20" w:rsidRDefault="00EF404E" w:rsidP="00EF404E">
            <w:pPr>
              <w:spacing w:after="0" w:line="240" w:lineRule="auto"/>
              <w:jc w:val="center"/>
              <w:rPr>
                <w:rFonts w:cs="Arial"/>
                <w:b/>
                <w:bCs/>
                <w:color w:val="000000"/>
                <w:sz w:val="16"/>
                <w:szCs w:val="16"/>
              </w:rPr>
            </w:pPr>
            <w:r w:rsidRPr="00D92E20">
              <w:rPr>
                <w:rFonts w:cs="Arial"/>
                <w:b/>
                <w:bCs/>
                <w:color w:val="000000"/>
                <w:sz w:val="16"/>
                <w:szCs w:val="16"/>
              </w:rPr>
              <w:t>44,1</w:t>
            </w:r>
          </w:p>
        </w:tc>
        <w:tc>
          <w:tcPr>
            <w:tcW w:w="709" w:type="dxa"/>
            <w:tcBorders>
              <w:top w:val="nil"/>
              <w:left w:val="nil"/>
              <w:bottom w:val="nil"/>
              <w:right w:val="nil"/>
            </w:tcBorders>
            <w:shd w:val="clear" w:color="auto" w:fill="auto"/>
            <w:noWrap/>
            <w:vAlign w:val="center"/>
            <w:hideMark/>
          </w:tcPr>
          <w:p w14:paraId="0C54ACDD" w14:textId="77777777" w:rsidR="00EF404E" w:rsidRPr="00D92E20" w:rsidRDefault="00EF404E" w:rsidP="00EF404E">
            <w:pPr>
              <w:spacing w:after="0" w:line="240" w:lineRule="auto"/>
              <w:jc w:val="center"/>
              <w:rPr>
                <w:rFonts w:cs="Arial"/>
                <w:b/>
                <w:bCs/>
                <w:color w:val="000000"/>
                <w:sz w:val="16"/>
                <w:szCs w:val="16"/>
              </w:rPr>
            </w:pPr>
            <w:r w:rsidRPr="00D92E20">
              <w:rPr>
                <w:rFonts w:cs="Arial"/>
                <w:b/>
                <w:bCs/>
                <w:color w:val="000000"/>
                <w:sz w:val="16"/>
                <w:szCs w:val="16"/>
              </w:rPr>
              <w:t>46,1</w:t>
            </w:r>
          </w:p>
        </w:tc>
        <w:tc>
          <w:tcPr>
            <w:tcW w:w="709" w:type="dxa"/>
            <w:tcBorders>
              <w:top w:val="nil"/>
              <w:left w:val="nil"/>
              <w:bottom w:val="nil"/>
              <w:right w:val="nil"/>
            </w:tcBorders>
            <w:shd w:val="clear" w:color="auto" w:fill="auto"/>
            <w:noWrap/>
            <w:vAlign w:val="center"/>
            <w:hideMark/>
          </w:tcPr>
          <w:p w14:paraId="27784C90" w14:textId="77777777" w:rsidR="00EF404E" w:rsidRPr="00D92E20" w:rsidRDefault="00EF404E" w:rsidP="00EF404E">
            <w:pPr>
              <w:spacing w:after="0" w:line="240" w:lineRule="auto"/>
              <w:jc w:val="center"/>
              <w:rPr>
                <w:rFonts w:cs="Arial"/>
                <w:b/>
                <w:bCs/>
                <w:color w:val="000000"/>
                <w:sz w:val="16"/>
                <w:szCs w:val="16"/>
              </w:rPr>
            </w:pPr>
            <w:r w:rsidRPr="00D92E20">
              <w:rPr>
                <w:rFonts w:cs="Arial"/>
                <w:b/>
                <w:bCs/>
                <w:color w:val="000000"/>
                <w:sz w:val="16"/>
                <w:szCs w:val="16"/>
              </w:rPr>
              <w:t>44,0</w:t>
            </w:r>
          </w:p>
        </w:tc>
        <w:tc>
          <w:tcPr>
            <w:tcW w:w="709" w:type="dxa"/>
            <w:tcBorders>
              <w:top w:val="nil"/>
              <w:left w:val="nil"/>
              <w:bottom w:val="nil"/>
              <w:right w:val="nil"/>
            </w:tcBorders>
            <w:shd w:val="clear" w:color="auto" w:fill="auto"/>
            <w:noWrap/>
            <w:vAlign w:val="center"/>
            <w:hideMark/>
          </w:tcPr>
          <w:p w14:paraId="4D1E0595" w14:textId="77777777" w:rsidR="00EF404E" w:rsidRPr="00D92E20" w:rsidRDefault="00EF404E" w:rsidP="00EF404E">
            <w:pPr>
              <w:spacing w:after="0" w:line="240" w:lineRule="auto"/>
              <w:jc w:val="center"/>
              <w:rPr>
                <w:rFonts w:cs="Arial"/>
                <w:b/>
                <w:bCs/>
                <w:color w:val="000000"/>
                <w:sz w:val="16"/>
                <w:szCs w:val="16"/>
              </w:rPr>
            </w:pPr>
            <w:r w:rsidRPr="00D92E20">
              <w:rPr>
                <w:rFonts w:cs="Arial"/>
                <w:b/>
                <w:bCs/>
                <w:color w:val="000000"/>
                <w:sz w:val="16"/>
                <w:szCs w:val="16"/>
              </w:rPr>
              <w:t>45,8</w:t>
            </w:r>
          </w:p>
        </w:tc>
        <w:tc>
          <w:tcPr>
            <w:tcW w:w="709" w:type="dxa"/>
            <w:tcBorders>
              <w:top w:val="nil"/>
              <w:left w:val="nil"/>
              <w:bottom w:val="nil"/>
              <w:right w:val="nil"/>
            </w:tcBorders>
            <w:shd w:val="clear" w:color="auto" w:fill="auto"/>
            <w:noWrap/>
            <w:vAlign w:val="center"/>
            <w:hideMark/>
          </w:tcPr>
          <w:p w14:paraId="13C8F3BB" w14:textId="77777777" w:rsidR="00EF404E" w:rsidRPr="00D92E20" w:rsidRDefault="00EF404E" w:rsidP="00EF404E">
            <w:pPr>
              <w:spacing w:after="0" w:line="240" w:lineRule="auto"/>
              <w:jc w:val="center"/>
              <w:rPr>
                <w:rFonts w:cs="Arial"/>
                <w:b/>
                <w:bCs/>
                <w:color w:val="000000"/>
                <w:sz w:val="16"/>
                <w:szCs w:val="16"/>
              </w:rPr>
            </w:pPr>
            <w:r w:rsidRPr="00D92E20">
              <w:rPr>
                <w:rFonts w:cs="Arial"/>
                <w:b/>
                <w:bCs/>
                <w:color w:val="000000"/>
                <w:sz w:val="16"/>
                <w:szCs w:val="16"/>
              </w:rPr>
              <w:t>42,7</w:t>
            </w:r>
          </w:p>
        </w:tc>
        <w:tc>
          <w:tcPr>
            <w:tcW w:w="709" w:type="dxa"/>
            <w:tcBorders>
              <w:top w:val="nil"/>
              <w:left w:val="nil"/>
              <w:bottom w:val="nil"/>
              <w:right w:val="nil"/>
            </w:tcBorders>
            <w:shd w:val="clear" w:color="auto" w:fill="auto"/>
            <w:noWrap/>
            <w:vAlign w:val="center"/>
            <w:hideMark/>
          </w:tcPr>
          <w:p w14:paraId="1F3B152B" w14:textId="77777777" w:rsidR="00EF404E" w:rsidRPr="00D92E20" w:rsidRDefault="00EF404E" w:rsidP="00EF404E">
            <w:pPr>
              <w:spacing w:after="0" w:line="240" w:lineRule="auto"/>
              <w:jc w:val="center"/>
              <w:rPr>
                <w:rFonts w:cs="Arial"/>
                <w:b/>
                <w:bCs/>
                <w:color w:val="000000"/>
                <w:sz w:val="16"/>
                <w:szCs w:val="16"/>
              </w:rPr>
            </w:pPr>
            <w:r w:rsidRPr="00D92E20">
              <w:rPr>
                <w:rFonts w:cs="Arial"/>
                <w:b/>
                <w:bCs/>
                <w:color w:val="000000"/>
                <w:sz w:val="16"/>
                <w:szCs w:val="16"/>
              </w:rPr>
              <w:t>43,0</w:t>
            </w:r>
          </w:p>
        </w:tc>
        <w:tc>
          <w:tcPr>
            <w:tcW w:w="709" w:type="dxa"/>
            <w:tcBorders>
              <w:top w:val="nil"/>
              <w:left w:val="nil"/>
              <w:bottom w:val="nil"/>
              <w:right w:val="nil"/>
            </w:tcBorders>
            <w:shd w:val="clear" w:color="auto" w:fill="auto"/>
            <w:noWrap/>
            <w:vAlign w:val="center"/>
            <w:hideMark/>
          </w:tcPr>
          <w:p w14:paraId="38A7C9FE" w14:textId="77777777" w:rsidR="00EF404E" w:rsidRPr="00D92E20" w:rsidRDefault="00EF404E" w:rsidP="00EF404E">
            <w:pPr>
              <w:spacing w:after="0" w:line="240" w:lineRule="auto"/>
              <w:jc w:val="center"/>
              <w:rPr>
                <w:rFonts w:cs="Arial"/>
                <w:b/>
                <w:bCs/>
                <w:color w:val="000000"/>
                <w:sz w:val="16"/>
                <w:szCs w:val="16"/>
              </w:rPr>
            </w:pPr>
            <w:r w:rsidRPr="00D92E20">
              <w:rPr>
                <w:rFonts w:cs="Arial"/>
                <w:b/>
                <w:bCs/>
                <w:color w:val="000000"/>
                <w:sz w:val="16"/>
                <w:szCs w:val="16"/>
              </w:rPr>
              <w:t>42,6</w:t>
            </w:r>
          </w:p>
        </w:tc>
        <w:tc>
          <w:tcPr>
            <w:tcW w:w="709" w:type="dxa"/>
            <w:tcBorders>
              <w:top w:val="nil"/>
              <w:left w:val="nil"/>
              <w:bottom w:val="nil"/>
              <w:right w:val="nil"/>
            </w:tcBorders>
            <w:shd w:val="clear" w:color="auto" w:fill="auto"/>
            <w:noWrap/>
            <w:vAlign w:val="center"/>
            <w:hideMark/>
          </w:tcPr>
          <w:p w14:paraId="17FCF808" w14:textId="77777777" w:rsidR="00EF404E" w:rsidRPr="00D92E20" w:rsidRDefault="00EF404E" w:rsidP="00EF404E">
            <w:pPr>
              <w:spacing w:after="0" w:line="240" w:lineRule="auto"/>
              <w:jc w:val="center"/>
              <w:rPr>
                <w:rFonts w:cs="Arial"/>
                <w:b/>
                <w:bCs/>
                <w:color w:val="000000"/>
                <w:sz w:val="16"/>
                <w:szCs w:val="16"/>
              </w:rPr>
            </w:pPr>
            <w:r w:rsidRPr="00D92E20">
              <w:rPr>
                <w:rFonts w:cs="Arial"/>
                <w:b/>
                <w:bCs/>
                <w:color w:val="000000"/>
                <w:sz w:val="16"/>
                <w:szCs w:val="16"/>
              </w:rPr>
              <w:t>41,7</w:t>
            </w:r>
          </w:p>
        </w:tc>
        <w:tc>
          <w:tcPr>
            <w:tcW w:w="709" w:type="dxa"/>
            <w:tcBorders>
              <w:top w:val="nil"/>
              <w:left w:val="nil"/>
              <w:bottom w:val="nil"/>
              <w:right w:val="nil"/>
            </w:tcBorders>
            <w:shd w:val="clear" w:color="auto" w:fill="auto"/>
            <w:noWrap/>
            <w:vAlign w:val="center"/>
            <w:hideMark/>
          </w:tcPr>
          <w:p w14:paraId="5EC40DD1" w14:textId="77777777" w:rsidR="00EF404E" w:rsidRPr="00D92E20" w:rsidRDefault="00EF404E" w:rsidP="00EF404E">
            <w:pPr>
              <w:spacing w:after="0" w:line="240" w:lineRule="auto"/>
              <w:jc w:val="center"/>
              <w:rPr>
                <w:rFonts w:cs="Arial"/>
                <w:b/>
                <w:bCs/>
                <w:color w:val="000000"/>
                <w:sz w:val="16"/>
                <w:szCs w:val="16"/>
              </w:rPr>
            </w:pPr>
            <w:r w:rsidRPr="00D92E20">
              <w:rPr>
                <w:rFonts w:cs="Arial"/>
                <w:b/>
                <w:bCs/>
                <w:color w:val="000000"/>
                <w:sz w:val="16"/>
                <w:szCs w:val="16"/>
              </w:rPr>
              <w:t>42,4</w:t>
            </w:r>
          </w:p>
        </w:tc>
        <w:tc>
          <w:tcPr>
            <w:tcW w:w="709" w:type="dxa"/>
            <w:tcBorders>
              <w:top w:val="nil"/>
              <w:left w:val="nil"/>
              <w:bottom w:val="nil"/>
              <w:right w:val="nil"/>
            </w:tcBorders>
            <w:shd w:val="clear" w:color="auto" w:fill="auto"/>
            <w:noWrap/>
            <w:vAlign w:val="center"/>
            <w:hideMark/>
          </w:tcPr>
          <w:p w14:paraId="2252ECA2" w14:textId="77777777" w:rsidR="00EF404E" w:rsidRPr="00D92E20" w:rsidRDefault="00EF404E" w:rsidP="00EF404E">
            <w:pPr>
              <w:spacing w:after="0" w:line="240" w:lineRule="auto"/>
              <w:jc w:val="center"/>
              <w:rPr>
                <w:rFonts w:cs="Arial"/>
                <w:b/>
                <w:bCs/>
                <w:color w:val="000000"/>
                <w:sz w:val="16"/>
                <w:szCs w:val="16"/>
              </w:rPr>
            </w:pPr>
            <w:r w:rsidRPr="00D92E20">
              <w:rPr>
                <w:rFonts w:cs="Arial"/>
                <w:b/>
                <w:bCs/>
                <w:color w:val="000000"/>
                <w:sz w:val="16"/>
                <w:szCs w:val="16"/>
              </w:rPr>
              <w:t>39,4</w:t>
            </w:r>
          </w:p>
        </w:tc>
        <w:tc>
          <w:tcPr>
            <w:tcW w:w="709" w:type="dxa"/>
            <w:tcBorders>
              <w:top w:val="single" w:sz="4" w:space="0" w:color="auto"/>
            </w:tcBorders>
            <w:vAlign w:val="center"/>
          </w:tcPr>
          <w:p w14:paraId="624CD74B" w14:textId="77777777" w:rsidR="00EF404E" w:rsidRPr="00D92E20" w:rsidRDefault="00EF404E" w:rsidP="00EF404E">
            <w:pPr>
              <w:spacing w:after="0" w:line="240" w:lineRule="auto"/>
              <w:jc w:val="center"/>
            </w:pPr>
            <w:r>
              <w:rPr>
                <w:rFonts w:cs="Arial"/>
                <w:b/>
                <w:bCs/>
                <w:color w:val="000000"/>
                <w:sz w:val="16"/>
                <w:szCs w:val="16"/>
              </w:rPr>
              <w:t>34,5</w:t>
            </w:r>
          </w:p>
        </w:tc>
      </w:tr>
      <w:tr w:rsidR="00EF404E" w:rsidRPr="00D92E20" w14:paraId="4F35E549"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5C5DB8B8"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Hl. m. Praha</w:t>
            </w:r>
          </w:p>
        </w:tc>
        <w:tc>
          <w:tcPr>
            <w:tcW w:w="709" w:type="dxa"/>
            <w:tcBorders>
              <w:top w:val="nil"/>
              <w:left w:val="nil"/>
              <w:bottom w:val="nil"/>
              <w:right w:val="nil"/>
            </w:tcBorders>
            <w:shd w:val="clear" w:color="auto" w:fill="auto"/>
            <w:noWrap/>
            <w:vAlign w:val="center"/>
            <w:hideMark/>
          </w:tcPr>
          <w:p w14:paraId="12844476"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37,6</w:t>
            </w:r>
          </w:p>
        </w:tc>
        <w:tc>
          <w:tcPr>
            <w:tcW w:w="709" w:type="dxa"/>
            <w:tcBorders>
              <w:top w:val="nil"/>
              <w:left w:val="nil"/>
              <w:bottom w:val="nil"/>
              <w:right w:val="nil"/>
            </w:tcBorders>
            <w:shd w:val="clear" w:color="auto" w:fill="auto"/>
            <w:noWrap/>
            <w:vAlign w:val="center"/>
            <w:hideMark/>
          </w:tcPr>
          <w:p w14:paraId="77431FA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40,4</w:t>
            </w:r>
          </w:p>
        </w:tc>
        <w:tc>
          <w:tcPr>
            <w:tcW w:w="709" w:type="dxa"/>
            <w:tcBorders>
              <w:top w:val="nil"/>
              <w:left w:val="nil"/>
              <w:bottom w:val="nil"/>
              <w:right w:val="nil"/>
            </w:tcBorders>
            <w:shd w:val="clear" w:color="auto" w:fill="auto"/>
            <w:noWrap/>
            <w:vAlign w:val="center"/>
            <w:hideMark/>
          </w:tcPr>
          <w:p w14:paraId="65216F9A"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37,7</w:t>
            </w:r>
          </w:p>
        </w:tc>
        <w:tc>
          <w:tcPr>
            <w:tcW w:w="709" w:type="dxa"/>
            <w:tcBorders>
              <w:top w:val="nil"/>
              <w:left w:val="nil"/>
              <w:bottom w:val="nil"/>
              <w:right w:val="nil"/>
            </w:tcBorders>
            <w:shd w:val="clear" w:color="auto" w:fill="auto"/>
            <w:noWrap/>
            <w:vAlign w:val="center"/>
            <w:hideMark/>
          </w:tcPr>
          <w:p w14:paraId="4EC35A8F"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40,0</w:t>
            </w:r>
          </w:p>
        </w:tc>
        <w:tc>
          <w:tcPr>
            <w:tcW w:w="709" w:type="dxa"/>
            <w:tcBorders>
              <w:top w:val="nil"/>
              <w:left w:val="nil"/>
              <w:bottom w:val="nil"/>
              <w:right w:val="nil"/>
            </w:tcBorders>
            <w:shd w:val="clear" w:color="auto" w:fill="auto"/>
            <w:noWrap/>
            <w:vAlign w:val="center"/>
            <w:hideMark/>
          </w:tcPr>
          <w:p w14:paraId="37760434"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38,7</w:t>
            </w:r>
          </w:p>
        </w:tc>
        <w:tc>
          <w:tcPr>
            <w:tcW w:w="709" w:type="dxa"/>
            <w:tcBorders>
              <w:top w:val="nil"/>
              <w:left w:val="nil"/>
              <w:bottom w:val="nil"/>
              <w:right w:val="nil"/>
            </w:tcBorders>
            <w:shd w:val="clear" w:color="auto" w:fill="auto"/>
            <w:noWrap/>
            <w:vAlign w:val="center"/>
            <w:hideMark/>
          </w:tcPr>
          <w:p w14:paraId="458C1A14"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37,7</w:t>
            </w:r>
          </w:p>
        </w:tc>
        <w:tc>
          <w:tcPr>
            <w:tcW w:w="709" w:type="dxa"/>
            <w:tcBorders>
              <w:top w:val="nil"/>
              <w:left w:val="nil"/>
              <w:bottom w:val="nil"/>
              <w:right w:val="nil"/>
            </w:tcBorders>
            <w:shd w:val="clear" w:color="auto" w:fill="auto"/>
            <w:noWrap/>
            <w:vAlign w:val="center"/>
            <w:hideMark/>
          </w:tcPr>
          <w:p w14:paraId="2AD14D47"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38,4</w:t>
            </w:r>
          </w:p>
        </w:tc>
        <w:tc>
          <w:tcPr>
            <w:tcW w:w="709" w:type="dxa"/>
            <w:tcBorders>
              <w:top w:val="nil"/>
              <w:left w:val="nil"/>
              <w:bottom w:val="nil"/>
              <w:right w:val="nil"/>
            </w:tcBorders>
            <w:shd w:val="clear" w:color="auto" w:fill="auto"/>
            <w:noWrap/>
            <w:vAlign w:val="center"/>
            <w:hideMark/>
          </w:tcPr>
          <w:p w14:paraId="3A8E78BB"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38,6</w:t>
            </w:r>
          </w:p>
        </w:tc>
        <w:tc>
          <w:tcPr>
            <w:tcW w:w="709" w:type="dxa"/>
            <w:tcBorders>
              <w:top w:val="nil"/>
              <w:left w:val="nil"/>
              <w:bottom w:val="nil"/>
              <w:right w:val="nil"/>
            </w:tcBorders>
            <w:shd w:val="clear" w:color="auto" w:fill="auto"/>
            <w:noWrap/>
            <w:vAlign w:val="center"/>
            <w:hideMark/>
          </w:tcPr>
          <w:p w14:paraId="06BA72E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38,8</w:t>
            </w:r>
          </w:p>
        </w:tc>
        <w:tc>
          <w:tcPr>
            <w:tcW w:w="709" w:type="dxa"/>
            <w:tcBorders>
              <w:top w:val="nil"/>
              <w:left w:val="nil"/>
              <w:bottom w:val="nil"/>
              <w:right w:val="nil"/>
            </w:tcBorders>
            <w:shd w:val="clear" w:color="auto" w:fill="auto"/>
            <w:noWrap/>
            <w:vAlign w:val="center"/>
            <w:hideMark/>
          </w:tcPr>
          <w:p w14:paraId="39D6E10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37,2</w:t>
            </w:r>
          </w:p>
        </w:tc>
        <w:tc>
          <w:tcPr>
            <w:tcW w:w="709" w:type="dxa"/>
            <w:vAlign w:val="center"/>
          </w:tcPr>
          <w:p w14:paraId="0382E272" w14:textId="77777777" w:rsidR="00EF404E" w:rsidRPr="00D92E20" w:rsidRDefault="00EF404E" w:rsidP="00EF404E">
            <w:pPr>
              <w:spacing w:after="0" w:line="240" w:lineRule="auto"/>
              <w:jc w:val="center"/>
            </w:pPr>
            <w:r>
              <w:rPr>
                <w:rFonts w:cs="Arial"/>
                <w:color w:val="000000"/>
                <w:sz w:val="16"/>
                <w:szCs w:val="16"/>
              </w:rPr>
              <w:t>32,6</w:t>
            </w:r>
          </w:p>
        </w:tc>
      </w:tr>
      <w:tr w:rsidR="00EF404E" w:rsidRPr="00D92E20" w14:paraId="6D905481"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61AA125C"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Středočeský kraj</w:t>
            </w:r>
          </w:p>
        </w:tc>
        <w:tc>
          <w:tcPr>
            <w:tcW w:w="709" w:type="dxa"/>
            <w:tcBorders>
              <w:top w:val="nil"/>
              <w:left w:val="nil"/>
              <w:bottom w:val="nil"/>
              <w:right w:val="nil"/>
            </w:tcBorders>
            <w:shd w:val="clear" w:color="auto" w:fill="auto"/>
            <w:noWrap/>
            <w:vAlign w:val="center"/>
            <w:hideMark/>
          </w:tcPr>
          <w:p w14:paraId="548F4264"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43,6</w:t>
            </w:r>
          </w:p>
        </w:tc>
        <w:tc>
          <w:tcPr>
            <w:tcW w:w="709" w:type="dxa"/>
            <w:tcBorders>
              <w:top w:val="nil"/>
              <w:left w:val="nil"/>
              <w:bottom w:val="nil"/>
              <w:right w:val="nil"/>
            </w:tcBorders>
            <w:shd w:val="clear" w:color="auto" w:fill="auto"/>
            <w:noWrap/>
            <w:vAlign w:val="center"/>
            <w:hideMark/>
          </w:tcPr>
          <w:p w14:paraId="16F2D08B"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44,7</w:t>
            </w:r>
          </w:p>
        </w:tc>
        <w:tc>
          <w:tcPr>
            <w:tcW w:w="709" w:type="dxa"/>
            <w:tcBorders>
              <w:top w:val="nil"/>
              <w:left w:val="nil"/>
              <w:bottom w:val="nil"/>
              <w:right w:val="nil"/>
            </w:tcBorders>
            <w:shd w:val="clear" w:color="auto" w:fill="auto"/>
            <w:noWrap/>
            <w:vAlign w:val="center"/>
            <w:hideMark/>
          </w:tcPr>
          <w:p w14:paraId="7C3732A5"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42,2</w:t>
            </w:r>
          </w:p>
        </w:tc>
        <w:tc>
          <w:tcPr>
            <w:tcW w:w="709" w:type="dxa"/>
            <w:tcBorders>
              <w:top w:val="nil"/>
              <w:left w:val="nil"/>
              <w:bottom w:val="nil"/>
              <w:right w:val="nil"/>
            </w:tcBorders>
            <w:shd w:val="clear" w:color="auto" w:fill="auto"/>
            <w:noWrap/>
            <w:vAlign w:val="center"/>
            <w:hideMark/>
          </w:tcPr>
          <w:p w14:paraId="6C9ECF16"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43,6</w:t>
            </w:r>
          </w:p>
        </w:tc>
        <w:tc>
          <w:tcPr>
            <w:tcW w:w="709" w:type="dxa"/>
            <w:tcBorders>
              <w:top w:val="nil"/>
              <w:left w:val="nil"/>
              <w:bottom w:val="nil"/>
              <w:right w:val="nil"/>
            </w:tcBorders>
            <w:shd w:val="clear" w:color="auto" w:fill="auto"/>
            <w:noWrap/>
            <w:vAlign w:val="center"/>
            <w:hideMark/>
          </w:tcPr>
          <w:p w14:paraId="237B759B"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40,8</w:t>
            </w:r>
          </w:p>
        </w:tc>
        <w:tc>
          <w:tcPr>
            <w:tcW w:w="709" w:type="dxa"/>
            <w:tcBorders>
              <w:top w:val="nil"/>
              <w:left w:val="nil"/>
              <w:bottom w:val="nil"/>
              <w:right w:val="nil"/>
            </w:tcBorders>
            <w:shd w:val="clear" w:color="auto" w:fill="auto"/>
            <w:noWrap/>
            <w:vAlign w:val="center"/>
            <w:hideMark/>
          </w:tcPr>
          <w:p w14:paraId="525B8377"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40,6</w:t>
            </w:r>
          </w:p>
        </w:tc>
        <w:tc>
          <w:tcPr>
            <w:tcW w:w="709" w:type="dxa"/>
            <w:tcBorders>
              <w:top w:val="nil"/>
              <w:left w:val="nil"/>
              <w:bottom w:val="nil"/>
              <w:right w:val="nil"/>
            </w:tcBorders>
            <w:shd w:val="clear" w:color="auto" w:fill="auto"/>
            <w:noWrap/>
            <w:vAlign w:val="center"/>
            <w:hideMark/>
          </w:tcPr>
          <w:p w14:paraId="1BCF4300"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40,4</w:t>
            </w:r>
          </w:p>
        </w:tc>
        <w:tc>
          <w:tcPr>
            <w:tcW w:w="709" w:type="dxa"/>
            <w:tcBorders>
              <w:top w:val="nil"/>
              <w:left w:val="nil"/>
              <w:bottom w:val="nil"/>
              <w:right w:val="nil"/>
            </w:tcBorders>
            <w:shd w:val="clear" w:color="auto" w:fill="auto"/>
            <w:noWrap/>
            <w:vAlign w:val="center"/>
            <w:hideMark/>
          </w:tcPr>
          <w:p w14:paraId="794A178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39,7</w:t>
            </w:r>
          </w:p>
        </w:tc>
        <w:tc>
          <w:tcPr>
            <w:tcW w:w="709" w:type="dxa"/>
            <w:tcBorders>
              <w:top w:val="nil"/>
              <w:left w:val="nil"/>
              <w:bottom w:val="nil"/>
              <w:right w:val="nil"/>
            </w:tcBorders>
            <w:shd w:val="clear" w:color="auto" w:fill="auto"/>
            <w:noWrap/>
            <w:vAlign w:val="center"/>
            <w:hideMark/>
          </w:tcPr>
          <w:p w14:paraId="2A74E57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40,4</w:t>
            </w:r>
          </w:p>
        </w:tc>
        <w:tc>
          <w:tcPr>
            <w:tcW w:w="709" w:type="dxa"/>
            <w:tcBorders>
              <w:top w:val="nil"/>
              <w:left w:val="nil"/>
              <w:bottom w:val="nil"/>
              <w:right w:val="nil"/>
            </w:tcBorders>
            <w:shd w:val="clear" w:color="auto" w:fill="auto"/>
            <w:noWrap/>
            <w:vAlign w:val="center"/>
            <w:hideMark/>
          </w:tcPr>
          <w:p w14:paraId="6194D1A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37,7</w:t>
            </w:r>
          </w:p>
        </w:tc>
        <w:tc>
          <w:tcPr>
            <w:tcW w:w="709" w:type="dxa"/>
            <w:vAlign w:val="center"/>
          </w:tcPr>
          <w:p w14:paraId="253B4344" w14:textId="77777777" w:rsidR="00EF404E" w:rsidRPr="00D92E20" w:rsidRDefault="00EF404E" w:rsidP="00EF404E">
            <w:pPr>
              <w:spacing w:after="0" w:line="240" w:lineRule="auto"/>
              <w:jc w:val="center"/>
            </w:pPr>
            <w:r>
              <w:rPr>
                <w:rFonts w:cs="Arial"/>
                <w:color w:val="000000"/>
                <w:sz w:val="16"/>
                <w:szCs w:val="16"/>
              </w:rPr>
              <w:t>32,5</w:t>
            </w:r>
          </w:p>
        </w:tc>
      </w:tr>
      <w:tr w:rsidR="00EF404E" w:rsidRPr="00D92E20" w14:paraId="0560DBD9"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5506B9AB"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Jihočeský kraj</w:t>
            </w:r>
          </w:p>
        </w:tc>
        <w:tc>
          <w:tcPr>
            <w:tcW w:w="709" w:type="dxa"/>
            <w:tcBorders>
              <w:top w:val="nil"/>
              <w:left w:val="nil"/>
              <w:bottom w:val="nil"/>
              <w:right w:val="nil"/>
            </w:tcBorders>
            <w:shd w:val="clear" w:color="auto" w:fill="auto"/>
            <w:noWrap/>
            <w:vAlign w:val="center"/>
            <w:hideMark/>
          </w:tcPr>
          <w:p w14:paraId="7E0DC90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48,5</w:t>
            </w:r>
          </w:p>
        </w:tc>
        <w:tc>
          <w:tcPr>
            <w:tcW w:w="709" w:type="dxa"/>
            <w:tcBorders>
              <w:top w:val="nil"/>
              <w:left w:val="nil"/>
              <w:bottom w:val="nil"/>
              <w:right w:val="nil"/>
            </w:tcBorders>
            <w:shd w:val="clear" w:color="auto" w:fill="auto"/>
            <w:noWrap/>
            <w:vAlign w:val="center"/>
            <w:hideMark/>
          </w:tcPr>
          <w:p w14:paraId="71E6380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49,7</w:t>
            </w:r>
          </w:p>
        </w:tc>
        <w:tc>
          <w:tcPr>
            <w:tcW w:w="709" w:type="dxa"/>
            <w:tcBorders>
              <w:top w:val="nil"/>
              <w:left w:val="nil"/>
              <w:bottom w:val="nil"/>
              <w:right w:val="nil"/>
            </w:tcBorders>
            <w:shd w:val="clear" w:color="auto" w:fill="auto"/>
            <w:noWrap/>
            <w:vAlign w:val="center"/>
            <w:hideMark/>
          </w:tcPr>
          <w:p w14:paraId="28007C20"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46,4</w:t>
            </w:r>
          </w:p>
        </w:tc>
        <w:tc>
          <w:tcPr>
            <w:tcW w:w="709" w:type="dxa"/>
            <w:tcBorders>
              <w:top w:val="nil"/>
              <w:left w:val="nil"/>
              <w:bottom w:val="nil"/>
              <w:right w:val="nil"/>
            </w:tcBorders>
            <w:shd w:val="clear" w:color="auto" w:fill="auto"/>
            <w:noWrap/>
            <w:vAlign w:val="center"/>
            <w:hideMark/>
          </w:tcPr>
          <w:p w14:paraId="35A69CC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48,7</w:t>
            </w:r>
          </w:p>
        </w:tc>
        <w:tc>
          <w:tcPr>
            <w:tcW w:w="709" w:type="dxa"/>
            <w:tcBorders>
              <w:top w:val="nil"/>
              <w:left w:val="nil"/>
              <w:bottom w:val="nil"/>
              <w:right w:val="nil"/>
            </w:tcBorders>
            <w:shd w:val="clear" w:color="auto" w:fill="auto"/>
            <w:noWrap/>
            <w:vAlign w:val="center"/>
            <w:hideMark/>
          </w:tcPr>
          <w:p w14:paraId="53D9979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44,3</w:t>
            </w:r>
          </w:p>
        </w:tc>
        <w:tc>
          <w:tcPr>
            <w:tcW w:w="709" w:type="dxa"/>
            <w:tcBorders>
              <w:top w:val="nil"/>
              <w:left w:val="nil"/>
              <w:bottom w:val="nil"/>
              <w:right w:val="nil"/>
            </w:tcBorders>
            <w:shd w:val="clear" w:color="auto" w:fill="auto"/>
            <w:noWrap/>
            <w:vAlign w:val="center"/>
            <w:hideMark/>
          </w:tcPr>
          <w:p w14:paraId="5D99947C"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45,5</w:t>
            </w:r>
          </w:p>
        </w:tc>
        <w:tc>
          <w:tcPr>
            <w:tcW w:w="709" w:type="dxa"/>
            <w:tcBorders>
              <w:top w:val="nil"/>
              <w:left w:val="nil"/>
              <w:bottom w:val="nil"/>
              <w:right w:val="nil"/>
            </w:tcBorders>
            <w:shd w:val="clear" w:color="auto" w:fill="auto"/>
            <w:noWrap/>
            <w:vAlign w:val="center"/>
            <w:hideMark/>
          </w:tcPr>
          <w:p w14:paraId="67E232F5"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45,2</w:t>
            </w:r>
          </w:p>
        </w:tc>
        <w:tc>
          <w:tcPr>
            <w:tcW w:w="709" w:type="dxa"/>
            <w:tcBorders>
              <w:top w:val="nil"/>
              <w:left w:val="nil"/>
              <w:bottom w:val="nil"/>
              <w:right w:val="nil"/>
            </w:tcBorders>
            <w:shd w:val="clear" w:color="auto" w:fill="auto"/>
            <w:noWrap/>
            <w:vAlign w:val="center"/>
            <w:hideMark/>
          </w:tcPr>
          <w:p w14:paraId="6BC9E001"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43,7</w:t>
            </w:r>
          </w:p>
        </w:tc>
        <w:tc>
          <w:tcPr>
            <w:tcW w:w="709" w:type="dxa"/>
            <w:tcBorders>
              <w:top w:val="nil"/>
              <w:left w:val="nil"/>
              <w:bottom w:val="nil"/>
              <w:right w:val="nil"/>
            </w:tcBorders>
            <w:shd w:val="clear" w:color="auto" w:fill="auto"/>
            <w:noWrap/>
            <w:vAlign w:val="center"/>
            <w:hideMark/>
          </w:tcPr>
          <w:p w14:paraId="3AA381FF"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2DBEE26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40,6</w:t>
            </w:r>
          </w:p>
        </w:tc>
        <w:tc>
          <w:tcPr>
            <w:tcW w:w="709" w:type="dxa"/>
            <w:vAlign w:val="center"/>
          </w:tcPr>
          <w:p w14:paraId="0EFFC623" w14:textId="77777777" w:rsidR="00EF404E" w:rsidRPr="00D92E20" w:rsidRDefault="00EF404E" w:rsidP="00EF404E">
            <w:pPr>
              <w:spacing w:after="0" w:line="240" w:lineRule="auto"/>
              <w:jc w:val="center"/>
            </w:pPr>
            <w:r>
              <w:rPr>
                <w:rFonts w:cs="Arial"/>
                <w:color w:val="000000"/>
                <w:sz w:val="16"/>
                <w:szCs w:val="16"/>
              </w:rPr>
              <w:t>34,9</w:t>
            </w:r>
          </w:p>
        </w:tc>
      </w:tr>
      <w:tr w:rsidR="00EF404E" w:rsidRPr="00D92E20" w14:paraId="11B2F49D"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6FDED0F9"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Plzeňský kraj</w:t>
            </w:r>
          </w:p>
        </w:tc>
        <w:tc>
          <w:tcPr>
            <w:tcW w:w="709" w:type="dxa"/>
            <w:tcBorders>
              <w:top w:val="nil"/>
              <w:left w:val="nil"/>
              <w:bottom w:val="nil"/>
              <w:right w:val="nil"/>
            </w:tcBorders>
            <w:shd w:val="clear" w:color="auto" w:fill="auto"/>
            <w:noWrap/>
            <w:vAlign w:val="center"/>
            <w:hideMark/>
          </w:tcPr>
          <w:p w14:paraId="5203C2B0"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40,5</w:t>
            </w:r>
          </w:p>
        </w:tc>
        <w:tc>
          <w:tcPr>
            <w:tcW w:w="709" w:type="dxa"/>
            <w:tcBorders>
              <w:top w:val="nil"/>
              <w:left w:val="nil"/>
              <w:bottom w:val="nil"/>
              <w:right w:val="nil"/>
            </w:tcBorders>
            <w:shd w:val="clear" w:color="auto" w:fill="auto"/>
            <w:noWrap/>
            <w:vAlign w:val="center"/>
            <w:hideMark/>
          </w:tcPr>
          <w:p w14:paraId="7550B8D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41,6</w:t>
            </w:r>
          </w:p>
        </w:tc>
        <w:tc>
          <w:tcPr>
            <w:tcW w:w="709" w:type="dxa"/>
            <w:tcBorders>
              <w:top w:val="nil"/>
              <w:left w:val="nil"/>
              <w:bottom w:val="nil"/>
              <w:right w:val="nil"/>
            </w:tcBorders>
            <w:shd w:val="clear" w:color="auto" w:fill="auto"/>
            <w:noWrap/>
            <w:vAlign w:val="center"/>
            <w:hideMark/>
          </w:tcPr>
          <w:p w14:paraId="34D1222C"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41,6</w:t>
            </w:r>
          </w:p>
        </w:tc>
        <w:tc>
          <w:tcPr>
            <w:tcW w:w="709" w:type="dxa"/>
            <w:tcBorders>
              <w:top w:val="nil"/>
              <w:left w:val="nil"/>
              <w:bottom w:val="nil"/>
              <w:right w:val="nil"/>
            </w:tcBorders>
            <w:shd w:val="clear" w:color="auto" w:fill="auto"/>
            <w:noWrap/>
            <w:vAlign w:val="center"/>
            <w:hideMark/>
          </w:tcPr>
          <w:p w14:paraId="5618BFD5"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42,3</w:t>
            </w:r>
          </w:p>
        </w:tc>
        <w:tc>
          <w:tcPr>
            <w:tcW w:w="709" w:type="dxa"/>
            <w:tcBorders>
              <w:top w:val="nil"/>
              <w:left w:val="nil"/>
              <w:bottom w:val="nil"/>
              <w:right w:val="nil"/>
            </w:tcBorders>
            <w:shd w:val="clear" w:color="auto" w:fill="auto"/>
            <w:noWrap/>
            <w:vAlign w:val="center"/>
            <w:hideMark/>
          </w:tcPr>
          <w:p w14:paraId="0E844405"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39,2</w:t>
            </w:r>
          </w:p>
        </w:tc>
        <w:tc>
          <w:tcPr>
            <w:tcW w:w="709" w:type="dxa"/>
            <w:tcBorders>
              <w:top w:val="nil"/>
              <w:left w:val="nil"/>
              <w:bottom w:val="nil"/>
              <w:right w:val="nil"/>
            </w:tcBorders>
            <w:shd w:val="clear" w:color="auto" w:fill="auto"/>
            <w:noWrap/>
            <w:vAlign w:val="center"/>
            <w:hideMark/>
          </w:tcPr>
          <w:p w14:paraId="03322E0A"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40,2</w:t>
            </w:r>
          </w:p>
        </w:tc>
        <w:tc>
          <w:tcPr>
            <w:tcW w:w="709" w:type="dxa"/>
            <w:tcBorders>
              <w:top w:val="nil"/>
              <w:left w:val="nil"/>
              <w:bottom w:val="nil"/>
              <w:right w:val="nil"/>
            </w:tcBorders>
            <w:shd w:val="clear" w:color="auto" w:fill="auto"/>
            <w:noWrap/>
            <w:vAlign w:val="center"/>
            <w:hideMark/>
          </w:tcPr>
          <w:p w14:paraId="371CEE4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39,1</w:t>
            </w:r>
          </w:p>
        </w:tc>
        <w:tc>
          <w:tcPr>
            <w:tcW w:w="709" w:type="dxa"/>
            <w:tcBorders>
              <w:top w:val="nil"/>
              <w:left w:val="nil"/>
              <w:bottom w:val="nil"/>
              <w:right w:val="nil"/>
            </w:tcBorders>
            <w:shd w:val="clear" w:color="auto" w:fill="auto"/>
            <w:noWrap/>
            <w:vAlign w:val="center"/>
            <w:hideMark/>
          </w:tcPr>
          <w:p w14:paraId="6BEDFFEC"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38,4</w:t>
            </w:r>
          </w:p>
        </w:tc>
        <w:tc>
          <w:tcPr>
            <w:tcW w:w="709" w:type="dxa"/>
            <w:tcBorders>
              <w:top w:val="nil"/>
              <w:left w:val="nil"/>
              <w:bottom w:val="nil"/>
              <w:right w:val="nil"/>
            </w:tcBorders>
            <w:shd w:val="clear" w:color="auto" w:fill="auto"/>
            <w:noWrap/>
            <w:vAlign w:val="center"/>
            <w:hideMark/>
          </w:tcPr>
          <w:p w14:paraId="247FE15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39,6</w:t>
            </w:r>
          </w:p>
        </w:tc>
        <w:tc>
          <w:tcPr>
            <w:tcW w:w="709" w:type="dxa"/>
            <w:tcBorders>
              <w:top w:val="nil"/>
              <w:left w:val="nil"/>
              <w:bottom w:val="nil"/>
              <w:right w:val="nil"/>
            </w:tcBorders>
            <w:shd w:val="clear" w:color="auto" w:fill="auto"/>
            <w:noWrap/>
            <w:vAlign w:val="center"/>
            <w:hideMark/>
          </w:tcPr>
          <w:p w14:paraId="58F3BF8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38,3</w:t>
            </w:r>
          </w:p>
        </w:tc>
        <w:tc>
          <w:tcPr>
            <w:tcW w:w="709" w:type="dxa"/>
            <w:vAlign w:val="center"/>
          </w:tcPr>
          <w:p w14:paraId="1A06CB53" w14:textId="77777777" w:rsidR="00EF404E" w:rsidRPr="00D92E20" w:rsidRDefault="00EF404E" w:rsidP="00EF404E">
            <w:pPr>
              <w:spacing w:after="0" w:line="240" w:lineRule="auto"/>
              <w:jc w:val="center"/>
            </w:pPr>
            <w:r>
              <w:rPr>
                <w:rFonts w:cs="Arial"/>
                <w:color w:val="000000"/>
                <w:sz w:val="16"/>
                <w:szCs w:val="16"/>
              </w:rPr>
              <w:t>33,0</w:t>
            </w:r>
          </w:p>
        </w:tc>
      </w:tr>
      <w:tr w:rsidR="00EF404E" w:rsidRPr="00D92E20" w14:paraId="2C3ECA3C"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195EED20"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Karlovarský kraj</w:t>
            </w:r>
          </w:p>
        </w:tc>
        <w:tc>
          <w:tcPr>
            <w:tcW w:w="709" w:type="dxa"/>
            <w:tcBorders>
              <w:top w:val="nil"/>
              <w:left w:val="nil"/>
              <w:bottom w:val="nil"/>
              <w:right w:val="nil"/>
            </w:tcBorders>
            <w:shd w:val="clear" w:color="auto" w:fill="auto"/>
            <w:noWrap/>
            <w:vAlign w:val="center"/>
            <w:hideMark/>
          </w:tcPr>
          <w:p w14:paraId="69BBA00A"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39,2</w:t>
            </w:r>
          </w:p>
        </w:tc>
        <w:tc>
          <w:tcPr>
            <w:tcW w:w="709" w:type="dxa"/>
            <w:tcBorders>
              <w:top w:val="nil"/>
              <w:left w:val="nil"/>
              <w:bottom w:val="nil"/>
              <w:right w:val="nil"/>
            </w:tcBorders>
            <w:shd w:val="clear" w:color="auto" w:fill="auto"/>
            <w:noWrap/>
            <w:vAlign w:val="center"/>
            <w:hideMark/>
          </w:tcPr>
          <w:p w14:paraId="5DF7A16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40,8</w:t>
            </w:r>
          </w:p>
        </w:tc>
        <w:tc>
          <w:tcPr>
            <w:tcW w:w="709" w:type="dxa"/>
            <w:tcBorders>
              <w:top w:val="nil"/>
              <w:left w:val="nil"/>
              <w:bottom w:val="nil"/>
              <w:right w:val="nil"/>
            </w:tcBorders>
            <w:shd w:val="clear" w:color="auto" w:fill="auto"/>
            <w:noWrap/>
            <w:vAlign w:val="center"/>
            <w:hideMark/>
          </w:tcPr>
          <w:p w14:paraId="7FF803B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41,4</w:t>
            </w:r>
          </w:p>
        </w:tc>
        <w:tc>
          <w:tcPr>
            <w:tcW w:w="709" w:type="dxa"/>
            <w:tcBorders>
              <w:top w:val="nil"/>
              <w:left w:val="nil"/>
              <w:bottom w:val="nil"/>
              <w:right w:val="nil"/>
            </w:tcBorders>
            <w:shd w:val="clear" w:color="auto" w:fill="auto"/>
            <w:noWrap/>
            <w:vAlign w:val="center"/>
            <w:hideMark/>
          </w:tcPr>
          <w:p w14:paraId="68B2B99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42,0</w:t>
            </w:r>
          </w:p>
        </w:tc>
        <w:tc>
          <w:tcPr>
            <w:tcW w:w="709" w:type="dxa"/>
            <w:tcBorders>
              <w:top w:val="nil"/>
              <w:left w:val="nil"/>
              <w:bottom w:val="nil"/>
              <w:right w:val="nil"/>
            </w:tcBorders>
            <w:shd w:val="clear" w:color="auto" w:fill="auto"/>
            <w:noWrap/>
            <w:vAlign w:val="center"/>
            <w:hideMark/>
          </w:tcPr>
          <w:p w14:paraId="2B871F30"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38,8</w:t>
            </w:r>
          </w:p>
        </w:tc>
        <w:tc>
          <w:tcPr>
            <w:tcW w:w="709" w:type="dxa"/>
            <w:tcBorders>
              <w:top w:val="nil"/>
              <w:left w:val="nil"/>
              <w:bottom w:val="nil"/>
              <w:right w:val="nil"/>
            </w:tcBorders>
            <w:shd w:val="clear" w:color="auto" w:fill="auto"/>
            <w:noWrap/>
            <w:vAlign w:val="center"/>
            <w:hideMark/>
          </w:tcPr>
          <w:p w14:paraId="79C450E5"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40,0</w:t>
            </w:r>
          </w:p>
        </w:tc>
        <w:tc>
          <w:tcPr>
            <w:tcW w:w="709" w:type="dxa"/>
            <w:tcBorders>
              <w:top w:val="nil"/>
              <w:left w:val="nil"/>
              <w:bottom w:val="nil"/>
              <w:right w:val="nil"/>
            </w:tcBorders>
            <w:shd w:val="clear" w:color="auto" w:fill="auto"/>
            <w:noWrap/>
            <w:vAlign w:val="center"/>
            <w:hideMark/>
          </w:tcPr>
          <w:p w14:paraId="7B6066EF"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39,6</w:t>
            </w:r>
          </w:p>
        </w:tc>
        <w:tc>
          <w:tcPr>
            <w:tcW w:w="709" w:type="dxa"/>
            <w:tcBorders>
              <w:top w:val="nil"/>
              <w:left w:val="nil"/>
              <w:bottom w:val="nil"/>
              <w:right w:val="nil"/>
            </w:tcBorders>
            <w:shd w:val="clear" w:color="auto" w:fill="auto"/>
            <w:noWrap/>
            <w:vAlign w:val="center"/>
            <w:hideMark/>
          </w:tcPr>
          <w:p w14:paraId="3C59E7D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39,3</w:t>
            </w:r>
          </w:p>
        </w:tc>
        <w:tc>
          <w:tcPr>
            <w:tcW w:w="709" w:type="dxa"/>
            <w:tcBorders>
              <w:top w:val="nil"/>
              <w:left w:val="nil"/>
              <w:bottom w:val="nil"/>
              <w:right w:val="nil"/>
            </w:tcBorders>
            <w:shd w:val="clear" w:color="auto" w:fill="auto"/>
            <w:noWrap/>
            <w:vAlign w:val="center"/>
            <w:hideMark/>
          </w:tcPr>
          <w:p w14:paraId="60211207"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40,3</w:t>
            </w:r>
          </w:p>
        </w:tc>
        <w:tc>
          <w:tcPr>
            <w:tcW w:w="709" w:type="dxa"/>
            <w:tcBorders>
              <w:top w:val="nil"/>
              <w:left w:val="nil"/>
              <w:bottom w:val="nil"/>
              <w:right w:val="nil"/>
            </w:tcBorders>
            <w:shd w:val="clear" w:color="auto" w:fill="auto"/>
            <w:noWrap/>
            <w:vAlign w:val="center"/>
            <w:hideMark/>
          </w:tcPr>
          <w:p w14:paraId="6FBD8356"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40,9</w:t>
            </w:r>
          </w:p>
        </w:tc>
        <w:tc>
          <w:tcPr>
            <w:tcW w:w="709" w:type="dxa"/>
            <w:vAlign w:val="center"/>
          </w:tcPr>
          <w:p w14:paraId="5464708E" w14:textId="77777777" w:rsidR="00EF404E" w:rsidRPr="00D92E20" w:rsidRDefault="00EF404E" w:rsidP="00EF404E">
            <w:pPr>
              <w:spacing w:after="0" w:line="240" w:lineRule="auto"/>
              <w:jc w:val="center"/>
            </w:pPr>
            <w:r>
              <w:rPr>
                <w:rFonts w:cs="Arial"/>
                <w:color w:val="000000"/>
                <w:sz w:val="16"/>
                <w:szCs w:val="16"/>
              </w:rPr>
              <w:t>35,1</w:t>
            </w:r>
          </w:p>
        </w:tc>
      </w:tr>
      <w:tr w:rsidR="00EF404E" w:rsidRPr="00D92E20" w14:paraId="08C03D66"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7FE120AE"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Ústecký kraj</w:t>
            </w:r>
          </w:p>
        </w:tc>
        <w:tc>
          <w:tcPr>
            <w:tcW w:w="709" w:type="dxa"/>
            <w:tcBorders>
              <w:top w:val="nil"/>
              <w:left w:val="nil"/>
              <w:bottom w:val="nil"/>
              <w:right w:val="nil"/>
            </w:tcBorders>
            <w:shd w:val="clear" w:color="auto" w:fill="auto"/>
            <w:noWrap/>
            <w:vAlign w:val="center"/>
            <w:hideMark/>
          </w:tcPr>
          <w:p w14:paraId="7AAFBEF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43,9</w:t>
            </w:r>
          </w:p>
        </w:tc>
        <w:tc>
          <w:tcPr>
            <w:tcW w:w="709" w:type="dxa"/>
            <w:tcBorders>
              <w:top w:val="nil"/>
              <w:left w:val="nil"/>
              <w:bottom w:val="nil"/>
              <w:right w:val="nil"/>
            </w:tcBorders>
            <w:shd w:val="clear" w:color="auto" w:fill="auto"/>
            <w:noWrap/>
            <w:vAlign w:val="center"/>
            <w:hideMark/>
          </w:tcPr>
          <w:p w14:paraId="433D6757"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48,3</w:t>
            </w:r>
          </w:p>
        </w:tc>
        <w:tc>
          <w:tcPr>
            <w:tcW w:w="709" w:type="dxa"/>
            <w:tcBorders>
              <w:top w:val="nil"/>
              <w:left w:val="nil"/>
              <w:bottom w:val="nil"/>
              <w:right w:val="nil"/>
            </w:tcBorders>
            <w:shd w:val="clear" w:color="auto" w:fill="auto"/>
            <w:noWrap/>
            <w:vAlign w:val="center"/>
            <w:hideMark/>
          </w:tcPr>
          <w:p w14:paraId="25B24036"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46,7</w:t>
            </w:r>
          </w:p>
        </w:tc>
        <w:tc>
          <w:tcPr>
            <w:tcW w:w="709" w:type="dxa"/>
            <w:tcBorders>
              <w:top w:val="nil"/>
              <w:left w:val="nil"/>
              <w:bottom w:val="nil"/>
              <w:right w:val="nil"/>
            </w:tcBorders>
            <w:shd w:val="clear" w:color="auto" w:fill="auto"/>
            <w:noWrap/>
            <w:vAlign w:val="center"/>
            <w:hideMark/>
          </w:tcPr>
          <w:p w14:paraId="425615A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47,5</w:t>
            </w:r>
          </w:p>
        </w:tc>
        <w:tc>
          <w:tcPr>
            <w:tcW w:w="709" w:type="dxa"/>
            <w:tcBorders>
              <w:top w:val="nil"/>
              <w:left w:val="nil"/>
              <w:bottom w:val="nil"/>
              <w:right w:val="nil"/>
            </w:tcBorders>
            <w:shd w:val="clear" w:color="auto" w:fill="auto"/>
            <w:noWrap/>
            <w:vAlign w:val="center"/>
            <w:hideMark/>
          </w:tcPr>
          <w:p w14:paraId="7B89B727"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43,8</w:t>
            </w:r>
          </w:p>
        </w:tc>
        <w:tc>
          <w:tcPr>
            <w:tcW w:w="709" w:type="dxa"/>
            <w:tcBorders>
              <w:top w:val="nil"/>
              <w:left w:val="nil"/>
              <w:bottom w:val="nil"/>
              <w:right w:val="nil"/>
            </w:tcBorders>
            <w:shd w:val="clear" w:color="auto" w:fill="auto"/>
            <w:noWrap/>
            <w:vAlign w:val="center"/>
            <w:hideMark/>
          </w:tcPr>
          <w:p w14:paraId="6D444D4C"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43,0</w:t>
            </w:r>
          </w:p>
        </w:tc>
        <w:tc>
          <w:tcPr>
            <w:tcW w:w="709" w:type="dxa"/>
            <w:tcBorders>
              <w:top w:val="nil"/>
              <w:left w:val="nil"/>
              <w:bottom w:val="nil"/>
              <w:right w:val="nil"/>
            </w:tcBorders>
            <w:shd w:val="clear" w:color="auto" w:fill="auto"/>
            <w:noWrap/>
            <w:vAlign w:val="center"/>
            <w:hideMark/>
          </w:tcPr>
          <w:p w14:paraId="70565FC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42,5</w:t>
            </w:r>
          </w:p>
        </w:tc>
        <w:tc>
          <w:tcPr>
            <w:tcW w:w="709" w:type="dxa"/>
            <w:tcBorders>
              <w:top w:val="nil"/>
              <w:left w:val="nil"/>
              <w:bottom w:val="nil"/>
              <w:right w:val="nil"/>
            </w:tcBorders>
            <w:shd w:val="clear" w:color="auto" w:fill="auto"/>
            <w:noWrap/>
            <w:vAlign w:val="center"/>
            <w:hideMark/>
          </w:tcPr>
          <w:p w14:paraId="3CA6642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42,0</w:t>
            </w:r>
          </w:p>
        </w:tc>
        <w:tc>
          <w:tcPr>
            <w:tcW w:w="709" w:type="dxa"/>
            <w:tcBorders>
              <w:top w:val="nil"/>
              <w:left w:val="nil"/>
              <w:bottom w:val="nil"/>
              <w:right w:val="nil"/>
            </w:tcBorders>
            <w:shd w:val="clear" w:color="auto" w:fill="auto"/>
            <w:noWrap/>
            <w:vAlign w:val="center"/>
            <w:hideMark/>
          </w:tcPr>
          <w:p w14:paraId="565C67C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42,0</w:t>
            </w:r>
          </w:p>
        </w:tc>
        <w:tc>
          <w:tcPr>
            <w:tcW w:w="709" w:type="dxa"/>
            <w:tcBorders>
              <w:top w:val="nil"/>
              <w:left w:val="nil"/>
              <w:bottom w:val="nil"/>
              <w:right w:val="nil"/>
            </w:tcBorders>
            <w:shd w:val="clear" w:color="auto" w:fill="auto"/>
            <w:noWrap/>
            <w:vAlign w:val="center"/>
            <w:hideMark/>
          </w:tcPr>
          <w:p w14:paraId="32055D8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38,8</w:t>
            </w:r>
          </w:p>
        </w:tc>
        <w:tc>
          <w:tcPr>
            <w:tcW w:w="709" w:type="dxa"/>
            <w:vAlign w:val="center"/>
          </w:tcPr>
          <w:p w14:paraId="12E2255E" w14:textId="77777777" w:rsidR="00EF404E" w:rsidRPr="00D92E20" w:rsidRDefault="00EF404E" w:rsidP="00EF404E">
            <w:pPr>
              <w:spacing w:after="0" w:line="240" w:lineRule="auto"/>
              <w:jc w:val="center"/>
            </w:pPr>
            <w:r>
              <w:rPr>
                <w:rFonts w:cs="Arial"/>
                <w:color w:val="000000"/>
                <w:sz w:val="16"/>
                <w:szCs w:val="16"/>
              </w:rPr>
              <w:t>33,9</w:t>
            </w:r>
          </w:p>
        </w:tc>
      </w:tr>
      <w:tr w:rsidR="00EF404E" w:rsidRPr="00D92E20" w14:paraId="1388E073"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52003903"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Liberecký kraj</w:t>
            </w:r>
          </w:p>
        </w:tc>
        <w:tc>
          <w:tcPr>
            <w:tcW w:w="709" w:type="dxa"/>
            <w:tcBorders>
              <w:top w:val="nil"/>
              <w:left w:val="nil"/>
              <w:bottom w:val="nil"/>
              <w:right w:val="nil"/>
            </w:tcBorders>
            <w:shd w:val="clear" w:color="auto" w:fill="auto"/>
            <w:noWrap/>
            <w:vAlign w:val="center"/>
            <w:hideMark/>
          </w:tcPr>
          <w:p w14:paraId="6D98027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44,0</w:t>
            </w:r>
          </w:p>
        </w:tc>
        <w:tc>
          <w:tcPr>
            <w:tcW w:w="709" w:type="dxa"/>
            <w:tcBorders>
              <w:top w:val="nil"/>
              <w:left w:val="nil"/>
              <w:bottom w:val="nil"/>
              <w:right w:val="nil"/>
            </w:tcBorders>
            <w:shd w:val="clear" w:color="auto" w:fill="auto"/>
            <w:noWrap/>
            <w:vAlign w:val="center"/>
            <w:hideMark/>
          </w:tcPr>
          <w:p w14:paraId="7BA2F83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44,6</w:t>
            </w:r>
          </w:p>
        </w:tc>
        <w:tc>
          <w:tcPr>
            <w:tcW w:w="709" w:type="dxa"/>
            <w:tcBorders>
              <w:top w:val="nil"/>
              <w:left w:val="nil"/>
              <w:bottom w:val="nil"/>
              <w:right w:val="nil"/>
            </w:tcBorders>
            <w:shd w:val="clear" w:color="auto" w:fill="auto"/>
            <w:noWrap/>
            <w:vAlign w:val="center"/>
            <w:hideMark/>
          </w:tcPr>
          <w:p w14:paraId="3619AC0D"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42,5</w:t>
            </w:r>
          </w:p>
        </w:tc>
        <w:tc>
          <w:tcPr>
            <w:tcW w:w="709" w:type="dxa"/>
            <w:tcBorders>
              <w:top w:val="nil"/>
              <w:left w:val="nil"/>
              <w:bottom w:val="nil"/>
              <w:right w:val="nil"/>
            </w:tcBorders>
            <w:shd w:val="clear" w:color="auto" w:fill="auto"/>
            <w:noWrap/>
            <w:vAlign w:val="center"/>
            <w:hideMark/>
          </w:tcPr>
          <w:p w14:paraId="11EA469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42,8</w:t>
            </w:r>
          </w:p>
        </w:tc>
        <w:tc>
          <w:tcPr>
            <w:tcW w:w="709" w:type="dxa"/>
            <w:tcBorders>
              <w:top w:val="nil"/>
              <w:left w:val="nil"/>
              <w:bottom w:val="nil"/>
              <w:right w:val="nil"/>
            </w:tcBorders>
            <w:shd w:val="clear" w:color="auto" w:fill="auto"/>
            <w:noWrap/>
            <w:vAlign w:val="center"/>
            <w:hideMark/>
          </w:tcPr>
          <w:p w14:paraId="63A3D15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40,2</w:t>
            </w:r>
          </w:p>
        </w:tc>
        <w:tc>
          <w:tcPr>
            <w:tcW w:w="709" w:type="dxa"/>
            <w:tcBorders>
              <w:top w:val="nil"/>
              <w:left w:val="nil"/>
              <w:bottom w:val="nil"/>
              <w:right w:val="nil"/>
            </w:tcBorders>
            <w:shd w:val="clear" w:color="auto" w:fill="auto"/>
            <w:noWrap/>
            <w:vAlign w:val="center"/>
            <w:hideMark/>
          </w:tcPr>
          <w:p w14:paraId="1EA314C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39,9</w:t>
            </w:r>
          </w:p>
        </w:tc>
        <w:tc>
          <w:tcPr>
            <w:tcW w:w="709" w:type="dxa"/>
            <w:tcBorders>
              <w:top w:val="nil"/>
              <w:left w:val="nil"/>
              <w:bottom w:val="nil"/>
              <w:right w:val="nil"/>
            </w:tcBorders>
            <w:shd w:val="clear" w:color="auto" w:fill="auto"/>
            <w:noWrap/>
            <w:vAlign w:val="center"/>
            <w:hideMark/>
          </w:tcPr>
          <w:p w14:paraId="7161012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39,0</w:t>
            </w:r>
          </w:p>
        </w:tc>
        <w:tc>
          <w:tcPr>
            <w:tcW w:w="709" w:type="dxa"/>
            <w:tcBorders>
              <w:top w:val="nil"/>
              <w:left w:val="nil"/>
              <w:bottom w:val="nil"/>
              <w:right w:val="nil"/>
            </w:tcBorders>
            <w:shd w:val="clear" w:color="auto" w:fill="auto"/>
            <w:noWrap/>
            <w:vAlign w:val="center"/>
            <w:hideMark/>
          </w:tcPr>
          <w:p w14:paraId="31759CAB"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37,7</w:t>
            </w:r>
          </w:p>
        </w:tc>
        <w:tc>
          <w:tcPr>
            <w:tcW w:w="709" w:type="dxa"/>
            <w:tcBorders>
              <w:top w:val="nil"/>
              <w:left w:val="nil"/>
              <w:bottom w:val="nil"/>
              <w:right w:val="nil"/>
            </w:tcBorders>
            <w:shd w:val="clear" w:color="auto" w:fill="auto"/>
            <w:noWrap/>
            <w:vAlign w:val="center"/>
            <w:hideMark/>
          </w:tcPr>
          <w:p w14:paraId="080816D4"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38,8</w:t>
            </w:r>
          </w:p>
        </w:tc>
        <w:tc>
          <w:tcPr>
            <w:tcW w:w="709" w:type="dxa"/>
            <w:tcBorders>
              <w:top w:val="nil"/>
              <w:left w:val="nil"/>
              <w:bottom w:val="nil"/>
              <w:right w:val="nil"/>
            </w:tcBorders>
            <w:shd w:val="clear" w:color="auto" w:fill="auto"/>
            <w:noWrap/>
            <w:vAlign w:val="center"/>
            <w:hideMark/>
          </w:tcPr>
          <w:p w14:paraId="39607A2A"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37,4</w:t>
            </w:r>
          </w:p>
        </w:tc>
        <w:tc>
          <w:tcPr>
            <w:tcW w:w="709" w:type="dxa"/>
            <w:vAlign w:val="center"/>
          </w:tcPr>
          <w:p w14:paraId="453B6B1C" w14:textId="77777777" w:rsidR="00EF404E" w:rsidRPr="00D92E20" w:rsidRDefault="00EF404E" w:rsidP="00EF404E">
            <w:pPr>
              <w:spacing w:after="0" w:line="240" w:lineRule="auto"/>
              <w:jc w:val="center"/>
            </w:pPr>
            <w:r>
              <w:rPr>
                <w:rFonts w:cs="Arial"/>
                <w:color w:val="000000"/>
                <w:sz w:val="16"/>
                <w:szCs w:val="16"/>
              </w:rPr>
              <w:t>32,3</w:t>
            </w:r>
          </w:p>
        </w:tc>
      </w:tr>
      <w:tr w:rsidR="00EF404E" w:rsidRPr="00D92E20" w14:paraId="108C1F5B"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05175600"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Královéhradecký kraj</w:t>
            </w:r>
          </w:p>
        </w:tc>
        <w:tc>
          <w:tcPr>
            <w:tcW w:w="709" w:type="dxa"/>
            <w:tcBorders>
              <w:top w:val="nil"/>
              <w:left w:val="nil"/>
              <w:bottom w:val="nil"/>
              <w:right w:val="nil"/>
            </w:tcBorders>
            <w:shd w:val="clear" w:color="auto" w:fill="auto"/>
            <w:noWrap/>
            <w:vAlign w:val="center"/>
            <w:hideMark/>
          </w:tcPr>
          <w:p w14:paraId="6B4AF6A5"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43,1</w:t>
            </w:r>
          </w:p>
        </w:tc>
        <w:tc>
          <w:tcPr>
            <w:tcW w:w="709" w:type="dxa"/>
            <w:tcBorders>
              <w:top w:val="nil"/>
              <w:left w:val="nil"/>
              <w:bottom w:val="nil"/>
              <w:right w:val="nil"/>
            </w:tcBorders>
            <w:shd w:val="clear" w:color="auto" w:fill="auto"/>
            <w:noWrap/>
            <w:vAlign w:val="center"/>
            <w:hideMark/>
          </w:tcPr>
          <w:p w14:paraId="35E4FE1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2CF3C23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42,4</w:t>
            </w:r>
          </w:p>
        </w:tc>
        <w:tc>
          <w:tcPr>
            <w:tcW w:w="709" w:type="dxa"/>
            <w:tcBorders>
              <w:top w:val="nil"/>
              <w:left w:val="nil"/>
              <w:bottom w:val="nil"/>
              <w:right w:val="nil"/>
            </w:tcBorders>
            <w:shd w:val="clear" w:color="auto" w:fill="auto"/>
            <w:noWrap/>
            <w:vAlign w:val="center"/>
            <w:hideMark/>
          </w:tcPr>
          <w:p w14:paraId="1E6DC0D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44,2</w:t>
            </w:r>
          </w:p>
        </w:tc>
        <w:tc>
          <w:tcPr>
            <w:tcW w:w="709" w:type="dxa"/>
            <w:tcBorders>
              <w:top w:val="nil"/>
              <w:left w:val="nil"/>
              <w:bottom w:val="nil"/>
              <w:right w:val="nil"/>
            </w:tcBorders>
            <w:shd w:val="clear" w:color="auto" w:fill="auto"/>
            <w:noWrap/>
            <w:vAlign w:val="center"/>
            <w:hideMark/>
          </w:tcPr>
          <w:p w14:paraId="738BFFA6"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41,1</w:t>
            </w:r>
          </w:p>
        </w:tc>
        <w:tc>
          <w:tcPr>
            <w:tcW w:w="709" w:type="dxa"/>
            <w:tcBorders>
              <w:top w:val="nil"/>
              <w:left w:val="nil"/>
              <w:bottom w:val="nil"/>
              <w:right w:val="nil"/>
            </w:tcBorders>
            <w:shd w:val="clear" w:color="auto" w:fill="auto"/>
            <w:noWrap/>
            <w:vAlign w:val="center"/>
            <w:hideMark/>
          </w:tcPr>
          <w:p w14:paraId="5CDB73B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40,6</w:t>
            </w:r>
          </w:p>
        </w:tc>
        <w:tc>
          <w:tcPr>
            <w:tcW w:w="709" w:type="dxa"/>
            <w:tcBorders>
              <w:top w:val="nil"/>
              <w:left w:val="nil"/>
              <w:bottom w:val="nil"/>
              <w:right w:val="nil"/>
            </w:tcBorders>
            <w:shd w:val="clear" w:color="auto" w:fill="auto"/>
            <w:noWrap/>
            <w:vAlign w:val="center"/>
            <w:hideMark/>
          </w:tcPr>
          <w:p w14:paraId="69F25F2F"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39,9</w:t>
            </w:r>
          </w:p>
        </w:tc>
        <w:tc>
          <w:tcPr>
            <w:tcW w:w="709" w:type="dxa"/>
            <w:tcBorders>
              <w:top w:val="nil"/>
              <w:left w:val="nil"/>
              <w:bottom w:val="nil"/>
              <w:right w:val="nil"/>
            </w:tcBorders>
            <w:shd w:val="clear" w:color="auto" w:fill="auto"/>
            <w:noWrap/>
            <w:vAlign w:val="center"/>
            <w:hideMark/>
          </w:tcPr>
          <w:p w14:paraId="123A8104"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38,8</w:t>
            </w:r>
          </w:p>
        </w:tc>
        <w:tc>
          <w:tcPr>
            <w:tcW w:w="709" w:type="dxa"/>
            <w:tcBorders>
              <w:top w:val="nil"/>
              <w:left w:val="nil"/>
              <w:bottom w:val="nil"/>
              <w:right w:val="nil"/>
            </w:tcBorders>
            <w:shd w:val="clear" w:color="auto" w:fill="auto"/>
            <w:noWrap/>
            <w:vAlign w:val="center"/>
            <w:hideMark/>
          </w:tcPr>
          <w:p w14:paraId="6974425A"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39,2</w:t>
            </w:r>
          </w:p>
        </w:tc>
        <w:tc>
          <w:tcPr>
            <w:tcW w:w="709" w:type="dxa"/>
            <w:tcBorders>
              <w:top w:val="nil"/>
              <w:left w:val="nil"/>
              <w:bottom w:val="nil"/>
              <w:right w:val="nil"/>
            </w:tcBorders>
            <w:shd w:val="clear" w:color="auto" w:fill="auto"/>
            <w:noWrap/>
            <w:vAlign w:val="center"/>
            <w:hideMark/>
          </w:tcPr>
          <w:p w14:paraId="2C2276F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36,8</w:t>
            </w:r>
          </w:p>
        </w:tc>
        <w:tc>
          <w:tcPr>
            <w:tcW w:w="709" w:type="dxa"/>
            <w:vAlign w:val="center"/>
          </w:tcPr>
          <w:p w14:paraId="413B0719" w14:textId="77777777" w:rsidR="00EF404E" w:rsidRPr="00D92E20" w:rsidRDefault="00EF404E" w:rsidP="00EF404E">
            <w:pPr>
              <w:spacing w:after="0" w:line="240" w:lineRule="auto"/>
              <w:jc w:val="center"/>
            </w:pPr>
            <w:r>
              <w:rPr>
                <w:rFonts w:cs="Arial"/>
                <w:color w:val="000000"/>
                <w:sz w:val="16"/>
                <w:szCs w:val="16"/>
              </w:rPr>
              <w:t>32,2</w:t>
            </w:r>
          </w:p>
        </w:tc>
      </w:tr>
      <w:tr w:rsidR="00EF404E" w:rsidRPr="00D92E20" w14:paraId="7DA722E3"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6A9B8E4B"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Pardubický kraj</w:t>
            </w:r>
          </w:p>
        </w:tc>
        <w:tc>
          <w:tcPr>
            <w:tcW w:w="709" w:type="dxa"/>
            <w:tcBorders>
              <w:top w:val="nil"/>
              <w:left w:val="nil"/>
              <w:bottom w:val="nil"/>
              <w:right w:val="nil"/>
            </w:tcBorders>
            <w:shd w:val="clear" w:color="auto" w:fill="auto"/>
            <w:noWrap/>
            <w:vAlign w:val="center"/>
            <w:hideMark/>
          </w:tcPr>
          <w:p w14:paraId="6CAEC1D6"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43,3</w:t>
            </w:r>
          </w:p>
        </w:tc>
        <w:tc>
          <w:tcPr>
            <w:tcW w:w="709" w:type="dxa"/>
            <w:tcBorders>
              <w:top w:val="nil"/>
              <w:left w:val="nil"/>
              <w:bottom w:val="nil"/>
              <w:right w:val="nil"/>
            </w:tcBorders>
            <w:shd w:val="clear" w:color="auto" w:fill="auto"/>
            <w:noWrap/>
            <w:vAlign w:val="center"/>
            <w:hideMark/>
          </w:tcPr>
          <w:p w14:paraId="074F32D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45,4</w:t>
            </w:r>
          </w:p>
        </w:tc>
        <w:tc>
          <w:tcPr>
            <w:tcW w:w="709" w:type="dxa"/>
            <w:tcBorders>
              <w:top w:val="nil"/>
              <w:left w:val="nil"/>
              <w:bottom w:val="nil"/>
              <w:right w:val="nil"/>
            </w:tcBorders>
            <w:shd w:val="clear" w:color="auto" w:fill="auto"/>
            <w:noWrap/>
            <w:vAlign w:val="center"/>
            <w:hideMark/>
          </w:tcPr>
          <w:p w14:paraId="045E44F1"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43,7</w:t>
            </w:r>
          </w:p>
        </w:tc>
        <w:tc>
          <w:tcPr>
            <w:tcW w:w="709" w:type="dxa"/>
            <w:tcBorders>
              <w:top w:val="nil"/>
              <w:left w:val="nil"/>
              <w:bottom w:val="nil"/>
              <w:right w:val="nil"/>
            </w:tcBorders>
            <w:shd w:val="clear" w:color="auto" w:fill="auto"/>
            <w:noWrap/>
            <w:vAlign w:val="center"/>
            <w:hideMark/>
          </w:tcPr>
          <w:p w14:paraId="2F877511"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46,1</w:t>
            </w:r>
          </w:p>
        </w:tc>
        <w:tc>
          <w:tcPr>
            <w:tcW w:w="709" w:type="dxa"/>
            <w:tcBorders>
              <w:top w:val="nil"/>
              <w:left w:val="nil"/>
              <w:bottom w:val="nil"/>
              <w:right w:val="nil"/>
            </w:tcBorders>
            <w:shd w:val="clear" w:color="auto" w:fill="auto"/>
            <w:noWrap/>
            <w:vAlign w:val="center"/>
            <w:hideMark/>
          </w:tcPr>
          <w:p w14:paraId="7AA2EAC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42,5</w:t>
            </w:r>
          </w:p>
        </w:tc>
        <w:tc>
          <w:tcPr>
            <w:tcW w:w="709" w:type="dxa"/>
            <w:tcBorders>
              <w:top w:val="nil"/>
              <w:left w:val="nil"/>
              <w:bottom w:val="nil"/>
              <w:right w:val="nil"/>
            </w:tcBorders>
            <w:shd w:val="clear" w:color="auto" w:fill="auto"/>
            <w:noWrap/>
            <w:vAlign w:val="center"/>
            <w:hideMark/>
          </w:tcPr>
          <w:p w14:paraId="57150FA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43,8</w:t>
            </w:r>
          </w:p>
        </w:tc>
        <w:tc>
          <w:tcPr>
            <w:tcW w:w="709" w:type="dxa"/>
            <w:tcBorders>
              <w:top w:val="nil"/>
              <w:left w:val="nil"/>
              <w:bottom w:val="nil"/>
              <w:right w:val="nil"/>
            </w:tcBorders>
            <w:shd w:val="clear" w:color="auto" w:fill="auto"/>
            <w:noWrap/>
            <w:vAlign w:val="center"/>
            <w:hideMark/>
          </w:tcPr>
          <w:p w14:paraId="5E06918C"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43,2</w:t>
            </w:r>
          </w:p>
        </w:tc>
        <w:tc>
          <w:tcPr>
            <w:tcW w:w="709" w:type="dxa"/>
            <w:tcBorders>
              <w:top w:val="nil"/>
              <w:left w:val="nil"/>
              <w:bottom w:val="nil"/>
              <w:right w:val="nil"/>
            </w:tcBorders>
            <w:shd w:val="clear" w:color="auto" w:fill="auto"/>
            <w:noWrap/>
            <w:vAlign w:val="center"/>
            <w:hideMark/>
          </w:tcPr>
          <w:p w14:paraId="3D0A88D1"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40,9</w:t>
            </w:r>
          </w:p>
        </w:tc>
        <w:tc>
          <w:tcPr>
            <w:tcW w:w="709" w:type="dxa"/>
            <w:tcBorders>
              <w:top w:val="nil"/>
              <w:left w:val="nil"/>
              <w:bottom w:val="nil"/>
              <w:right w:val="nil"/>
            </w:tcBorders>
            <w:shd w:val="clear" w:color="auto" w:fill="auto"/>
            <w:noWrap/>
            <w:vAlign w:val="center"/>
            <w:hideMark/>
          </w:tcPr>
          <w:p w14:paraId="582F956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42,2</w:t>
            </w:r>
          </w:p>
        </w:tc>
        <w:tc>
          <w:tcPr>
            <w:tcW w:w="709" w:type="dxa"/>
            <w:tcBorders>
              <w:top w:val="nil"/>
              <w:left w:val="nil"/>
              <w:bottom w:val="nil"/>
              <w:right w:val="nil"/>
            </w:tcBorders>
            <w:shd w:val="clear" w:color="auto" w:fill="auto"/>
            <w:noWrap/>
            <w:vAlign w:val="center"/>
            <w:hideMark/>
          </w:tcPr>
          <w:p w14:paraId="3483D50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38,4</w:t>
            </w:r>
          </w:p>
        </w:tc>
        <w:tc>
          <w:tcPr>
            <w:tcW w:w="709" w:type="dxa"/>
            <w:vAlign w:val="center"/>
          </w:tcPr>
          <w:p w14:paraId="40905F5C" w14:textId="77777777" w:rsidR="00EF404E" w:rsidRPr="00D92E20" w:rsidRDefault="00EF404E" w:rsidP="00EF404E">
            <w:pPr>
              <w:spacing w:after="0" w:line="240" w:lineRule="auto"/>
              <w:jc w:val="center"/>
            </w:pPr>
            <w:r>
              <w:rPr>
                <w:rFonts w:cs="Arial"/>
                <w:color w:val="000000"/>
                <w:sz w:val="16"/>
                <w:szCs w:val="16"/>
              </w:rPr>
              <w:t>32,9</w:t>
            </w:r>
          </w:p>
        </w:tc>
      </w:tr>
      <w:tr w:rsidR="00EF404E" w:rsidRPr="00D92E20" w14:paraId="7FAD57AF"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0FF24FD6"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Kraj Vysočina</w:t>
            </w:r>
          </w:p>
        </w:tc>
        <w:tc>
          <w:tcPr>
            <w:tcW w:w="709" w:type="dxa"/>
            <w:tcBorders>
              <w:top w:val="nil"/>
              <w:left w:val="nil"/>
              <w:bottom w:val="nil"/>
              <w:right w:val="nil"/>
            </w:tcBorders>
            <w:shd w:val="clear" w:color="auto" w:fill="auto"/>
            <w:noWrap/>
            <w:vAlign w:val="center"/>
            <w:hideMark/>
          </w:tcPr>
          <w:p w14:paraId="5DED717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44,8</w:t>
            </w:r>
          </w:p>
        </w:tc>
        <w:tc>
          <w:tcPr>
            <w:tcW w:w="709" w:type="dxa"/>
            <w:tcBorders>
              <w:top w:val="nil"/>
              <w:left w:val="nil"/>
              <w:bottom w:val="nil"/>
              <w:right w:val="nil"/>
            </w:tcBorders>
            <w:shd w:val="clear" w:color="auto" w:fill="auto"/>
            <w:noWrap/>
            <w:vAlign w:val="center"/>
            <w:hideMark/>
          </w:tcPr>
          <w:p w14:paraId="792719A7"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45,6</w:t>
            </w:r>
          </w:p>
        </w:tc>
        <w:tc>
          <w:tcPr>
            <w:tcW w:w="709" w:type="dxa"/>
            <w:tcBorders>
              <w:top w:val="nil"/>
              <w:left w:val="nil"/>
              <w:bottom w:val="nil"/>
              <w:right w:val="nil"/>
            </w:tcBorders>
            <w:shd w:val="clear" w:color="auto" w:fill="auto"/>
            <w:noWrap/>
            <w:vAlign w:val="center"/>
            <w:hideMark/>
          </w:tcPr>
          <w:p w14:paraId="6C100EA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3F102285"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47,4</w:t>
            </w:r>
          </w:p>
        </w:tc>
        <w:tc>
          <w:tcPr>
            <w:tcW w:w="709" w:type="dxa"/>
            <w:tcBorders>
              <w:top w:val="nil"/>
              <w:left w:val="nil"/>
              <w:bottom w:val="nil"/>
              <w:right w:val="nil"/>
            </w:tcBorders>
            <w:shd w:val="clear" w:color="auto" w:fill="auto"/>
            <w:noWrap/>
            <w:vAlign w:val="center"/>
            <w:hideMark/>
          </w:tcPr>
          <w:p w14:paraId="69092526"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44,1</w:t>
            </w:r>
          </w:p>
        </w:tc>
        <w:tc>
          <w:tcPr>
            <w:tcW w:w="709" w:type="dxa"/>
            <w:tcBorders>
              <w:top w:val="nil"/>
              <w:left w:val="nil"/>
              <w:bottom w:val="nil"/>
              <w:right w:val="nil"/>
            </w:tcBorders>
            <w:shd w:val="clear" w:color="auto" w:fill="auto"/>
            <w:noWrap/>
            <w:vAlign w:val="center"/>
            <w:hideMark/>
          </w:tcPr>
          <w:p w14:paraId="1EE3250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45,2</w:t>
            </w:r>
          </w:p>
        </w:tc>
        <w:tc>
          <w:tcPr>
            <w:tcW w:w="709" w:type="dxa"/>
            <w:tcBorders>
              <w:top w:val="nil"/>
              <w:left w:val="nil"/>
              <w:bottom w:val="nil"/>
              <w:right w:val="nil"/>
            </w:tcBorders>
            <w:shd w:val="clear" w:color="auto" w:fill="auto"/>
            <w:noWrap/>
            <w:vAlign w:val="center"/>
            <w:hideMark/>
          </w:tcPr>
          <w:p w14:paraId="0B1071E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45,1</w:t>
            </w:r>
          </w:p>
        </w:tc>
        <w:tc>
          <w:tcPr>
            <w:tcW w:w="709" w:type="dxa"/>
            <w:tcBorders>
              <w:top w:val="nil"/>
              <w:left w:val="nil"/>
              <w:bottom w:val="nil"/>
              <w:right w:val="nil"/>
            </w:tcBorders>
            <w:shd w:val="clear" w:color="auto" w:fill="auto"/>
            <w:noWrap/>
            <w:vAlign w:val="center"/>
            <w:hideMark/>
          </w:tcPr>
          <w:p w14:paraId="10EEAE7F"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44,2</w:t>
            </w:r>
          </w:p>
        </w:tc>
        <w:tc>
          <w:tcPr>
            <w:tcW w:w="709" w:type="dxa"/>
            <w:tcBorders>
              <w:top w:val="nil"/>
              <w:left w:val="nil"/>
              <w:bottom w:val="nil"/>
              <w:right w:val="nil"/>
            </w:tcBorders>
            <w:shd w:val="clear" w:color="auto" w:fill="auto"/>
            <w:noWrap/>
            <w:vAlign w:val="center"/>
            <w:hideMark/>
          </w:tcPr>
          <w:p w14:paraId="2FA8F01D"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45,6</w:t>
            </w:r>
          </w:p>
        </w:tc>
        <w:tc>
          <w:tcPr>
            <w:tcW w:w="709" w:type="dxa"/>
            <w:tcBorders>
              <w:top w:val="nil"/>
              <w:left w:val="nil"/>
              <w:bottom w:val="nil"/>
              <w:right w:val="nil"/>
            </w:tcBorders>
            <w:shd w:val="clear" w:color="auto" w:fill="auto"/>
            <w:noWrap/>
            <w:vAlign w:val="center"/>
            <w:hideMark/>
          </w:tcPr>
          <w:p w14:paraId="7F10684A"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40,7</w:t>
            </w:r>
          </w:p>
        </w:tc>
        <w:tc>
          <w:tcPr>
            <w:tcW w:w="709" w:type="dxa"/>
            <w:vAlign w:val="center"/>
          </w:tcPr>
          <w:p w14:paraId="337DE455" w14:textId="77777777" w:rsidR="00EF404E" w:rsidRPr="00D92E20" w:rsidRDefault="00EF404E" w:rsidP="00EF404E">
            <w:pPr>
              <w:spacing w:after="0" w:line="240" w:lineRule="auto"/>
              <w:jc w:val="center"/>
            </w:pPr>
            <w:r>
              <w:rPr>
                <w:rFonts w:cs="Arial"/>
                <w:color w:val="000000"/>
                <w:sz w:val="16"/>
                <w:szCs w:val="16"/>
              </w:rPr>
              <w:t>35,9</w:t>
            </w:r>
          </w:p>
        </w:tc>
      </w:tr>
      <w:tr w:rsidR="00EF404E" w:rsidRPr="00D92E20" w14:paraId="31A9D938"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3809C75D"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Jihomoravský kraj</w:t>
            </w:r>
          </w:p>
        </w:tc>
        <w:tc>
          <w:tcPr>
            <w:tcW w:w="709" w:type="dxa"/>
            <w:tcBorders>
              <w:top w:val="nil"/>
              <w:left w:val="nil"/>
              <w:bottom w:val="nil"/>
              <w:right w:val="nil"/>
            </w:tcBorders>
            <w:shd w:val="clear" w:color="auto" w:fill="auto"/>
            <w:noWrap/>
            <w:vAlign w:val="center"/>
            <w:hideMark/>
          </w:tcPr>
          <w:p w14:paraId="6A321F1D"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46,4</w:t>
            </w:r>
          </w:p>
        </w:tc>
        <w:tc>
          <w:tcPr>
            <w:tcW w:w="709" w:type="dxa"/>
            <w:tcBorders>
              <w:top w:val="nil"/>
              <w:left w:val="nil"/>
              <w:bottom w:val="nil"/>
              <w:right w:val="nil"/>
            </w:tcBorders>
            <w:shd w:val="clear" w:color="auto" w:fill="auto"/>
            <w:noWrap/>
            <w:vAlign w:val="center"/>
            <w:hideMark/>
          </w:tcPr>
          <w:p w14:paraId="1FE07DB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47,8</w:t>
            </w:r>
          </w:p>
        </w:tc>
        <w:tc>
          <w:tcPr>
            <w:tcW w:w="709" w:type="dxa"/>
            <w:tcBorders>
              <w:top w:val="nil"/>
              <w:left w:val="nil"/>
              <w:bottom w:val="nil"/>
              <w:right w:val="nil"/>
            </w:tcBorders>
            <w:shd w:val="clear" w:color="auto" w:fill="auto"/>
            <w:noWrap/>
            <w:vAlign w:val="center"/>
            <w:hideMark/>
          </w:tcPr>
          <w:p w14:paraId="0242C73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45,3</w:t>
            </w:r>
          </w:p>
        </w:tc>
        <w:tc>
          <w:tcPr>
            <w:tcW w:w="709" w:type="dxa"/>
            <w:tcBorders>
              <w:top w:val="nil"/>
              <w:left w:val="nil"/>
              <w:bottom w:val="nil"/>
              <w:right w:val="nil"/>
            </w:tcBorders>
            <w:shd w:val="clear" w:color="auto" w:fill="auto"/>
            <w:noWrap/>
            <w:vAlign w:val="center"/>
            <w:hideMark/>
          </w:tcPr>
          <w:p w14:paraId="56E07F1D"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47,1</w:t>
            </w:r>
          </w:p>
        </w:tc>
        <w:tc>
          <w:tcPr>
            <w:tcW w:w="709" w:type="dxa"/>
            <w:tcBorders>
              <w:top w:val="nil"/>
              <w:left w:val="nil"/>
              <w:bottom w:val="nil"/>
              <w:right w:val="nil"/>
            </w:tcBorders>
            <w:shd w:val="clear" w:color="auto" w:fill="auto"/>
            <w:noWrap/>
            <w:vAlign w:val="center"/>
            <w:hideMark/>
          </w:tcPr>
          <w:p w14:paraId="7D794CFB"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44,1</w:t>
            </w:r>
          </w:p>
        </w:tc>
        <w:tc>
          <w:tcPr>
            <w:tcW w:w="709" w:type="dxa"/>
            <w:tcBorders>
              <w:top w:val="nil"/>
              <w:left w:val="nil"/>
              <w:bottom w:val="nil"/>
              <w:right w:val="nil"/>
            </w:tcBorders>
            <w:shd w:val="clear" w:color="auto" w:fill="auto"/>
            <w:noWrap/>
            <w:vAlign w:val="center"/>
            <w:hideMark/>
          </w:tcPr>
          <w:p w14:paraId="318B3B0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44,9</w:t>
            </w:r>
          </w:p>
        </w:tc>
        <w:tc>
          <w:tcPr>
            <w:tcW w:w="709" w:type="dxa"/>
            <w:tcBorders>
              <w:top w:val="nil"/>
              <w:left w:val="nil"/>
              <w:bottom w:val="nil"/>
              <w:right w:val="nil"/>
            </w:tcBorders>
            <w:shd w:val="clear" w:color="auto" w:fill="auto"/>
            <w:noWrap/>
            <w:vAlign w:val="center"/>
            <w:hideMark/>
          </w:tcPr>
          <w:p w14:paraId="456499D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44,0</w:t>
            </w:r>
          </w:p>
        </w:tc>
        <w:tc>
          <w:tcPr>
            <w:tcW w:w="709" w:type="dxa"/>
            <w:tcBorders>
              <w:top w:val="nil"/>
              <w:left w:val="nil"/>
              <w:bottom w:val="nil"/>
              <w:right w:val="nil"/>
            </w:tcBorders>
            <w:shd w:val="clear" w:color="auto" w:fill="auto"/>
            <w:noWrap/>
            <w:vAlign w:val="center"/>
            <w:hideMark/>
          </w:tcPr>
          <w:p w14:paraId="3F6FAC1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42,6</w:t>
            </w:r>
          </w:p>
        </w:tc>
        <w:tc>
          <w:tcPr>
            <w:tcW w:w="709" w:type="dxa"/>
            <w:tcBorders>
              <w:top w:val="nil"/>
              <w:left w:val="nil"/>
              <w:bottom w:val="nil"/>
              <w:right w:val="nil"/>
            </w:tcBorders>
            <w:shd w:val="clear" w:color="auto" w:fill="auto"/>
            <w:noWrap/>
            <w:vAlign w:val="center"/>
            <w:hideMark/>
          </w:tcPr>
          <w:p w14:paraId="3A2900E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43,3</w:t>
            </w:r>
          </w:p>
        </w:tc>
        <w:tc>
          <w:tcPr>
            <w:tcW w:w="709" w:type="dxa"/>
            <w:tcBorders>
              <w:top w:val="nil"/>
              <w:left w:val="nil"/>
              <w:bottom w:val="nil"/>
              <w:right w:val="nil"/>
            </w:tcBorders>
            <w:shd w:val="clear" w:color="auto" w:fill="auto"/>
            <w:noWrap/>
            <w:vAlign w:val="center"/>
            <w:hideMark/>
          </w:tcPr>
          <w:p w14:paraId="5213CFD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41,0</w:t>
            </w:r>
          </w:p>
        </w:tc>
        <w:tc>
          <w:tcPr>
            <w:tcW w:w="709" w:type="dxa"/>
            <w:vAlign w:val="center"/>
          </w:tcPr>
          <w:p w14:paraId="5D1960F7" w14:textId="77777777" w:rsidR="00EF404E" w:rsidRPr="00D92E20" w:rsidRDefault="00EF404E" w:rsidP="00EF404E">
            <w:pPr>
              <w:spacing w:after="0" w:line="240" w:lineRule="auto"/>
              <w:jc w:val="center"/>
            </w:pPr>
            <w:r>
              <w:rPr>
                <w:rFonts w:cs="Arial"/>
                <w:color w:val="000000"/>
                <w:sz w:val="16"/>
                <w:szCs w:val="16"/>
              </w:rPr>
              <w:t>35,5</w:t>
            </w:r>
          </w:p>
        </w:tc>
      </w:tr>
      <w:tr w:rsidR="00EF404E" w:rsidRPr="00D92E20" w14:paraId="0712D4E6"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5BFF0BFD"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Olomoucký kraj</w:t>
            </w:r>
          </w:p>
        </w:tc>
        <w:tc>
          <w:tcPr>
            <w:tcW w:w="709" w:type="dxa"/>
            <w:tcBorders>
              <w:top w:val="nil"/>
              <w:left w:val="nil"/>
              <w:bottom w:val="nil"/>
              <w:right w:val="nil"/>
            </w:tcBorders>
            <w:shd w:val="clear" w:color="auto" w:fill="auto"/>
            <w:noWrap/>
            <w:vAlign w:val="center"/>
            <w:hideMark/>
          </w:tcPr>
          <w:p w14:paraId="627BD02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50,9</w:t>
            </w:r>
          </w:p>
        </w:tc>
        <w:tc>
          <w:tcPr>
            <w:tcW w:w="709" w:type="dxa"/>
            <w:tcBorders>
              <w:top w:val="nil"/>
              <w:left w:val="nil"/>
              <w:bottom w:val="nil"/>
              <w:right w:val="nil"/>
            </w:tcBorders>
            <w:shd w:val="clear" w:color="auto" w:fill="auto"/>
            <w:noWrap/>
            <w:vAlign w:val="center"/>
            <w:hideMark/>
          </w:tcPr>
          <w:p w14:paraId="42ED9A46"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53,5</w:t>
            </w:r>
          </w:p>
        </w:tc>
        <w:tc>
          <w:tcPr>
            <w:tcW w:w="709" w:type="dxa"/>
            <w:tcBorders>
              <w:top w:val="nil"/>
              <w:left w:val="nil"/>
              <w:bottom w:val="nil"/>
              <w:right w:val="nil"/>
            </w:tcBorders>
            <w:shd w:val="clear" w:color="auto" w:fill="auto"/>
            <w:noWrap/>
            <w:vAlign w:val="center"/>
            <w:hideMark/>
          </w:tcPr>
          <w:p w14:paraId="3044400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51,1</w:t>
            </w:r>
          </w:p>
        </w:tc>
        <w:tc>
          <w:tcPr>
            <w:tcW w:w="709" w:type="dxa"/>
            <w:tcBorders>
              <w:top w:val="nil"/>
              <w:left w:val="nil"/>
              <w:bottom w:val="nil"/>
              <w:right w:val="nil"/>
            </w:tcBorders>
            <w:shd w:val="clear" w:color="auto" w:fill="auto"/>
            <w:noWrap/>
            <w:vAlign w:val="center"/>
            <w:hideMark/>
          </w:tcPr>
          <w:p w14:paraId="455A1DA5"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54,1</w:t>
            </w:r>
          </w:p>
        </w:tc>
        <w:tc>
          <w:tcPr>
            <w:tcW w:w="709" w:type="dxa"/>
            <w:tcBorders>
              <w:top w:val="nil"/>
              <w:left w:val="nil"/>
              <w:bottom w:val="nil"/>
              <w:right w:val="nil"/>
            </w:tcBorders>
            <w:shd w:val="clear" w:color="auto" w:fill="auto"/>
            <w:noWrap/>
            <w:vAlign w:val="center"/>
            <w:hideMark/>
          </w:tcPr>
          <w:p w14:paraId="2D302480"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47,8</w:t>
            </w:r>
          </w:p>
        </w:tc>
        <w:tc>
          <w:tcPr>
            <w:tcW w:w="709" w:type="dxa"/>
            <w:tcBorders>
              <w:top w:val="nil"/>
              <w:left w:val="nil"/>
              <w:bottom w:val="nil"/>
              <w:right w:val="nil"/>
            </w:tcBorders>
            <w:shd w:val="clear" w:color="auto" w:fill="auto"/>
            <w:noWrap/>
            <w:vAlign w:val="center"/>
            <w:hideMark/>
          </w:tcPr>
          <w:p w14:paraId="2AF5090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48,6</w:t>
            </w:r>
          </w:p>
        </w:tc>
        <w:tc>
          <w:tcPr>
            <w:tcW w:w="709" w:type="dxa"/>
            <w:tcBorders>
              <w:top w:val="nil"/>
              <w:left w:val="nil"/>
              <w:bottom w:val="nil"/>
              <w:right w:val="nil"/>
            </w:tcBorders>
            <w:shd w:val="clear" w:color="auto" w:fill="auto"/>
            <w:noWrap/>
            <w:vAlign w:val="center"/>
            <w:hideMark/>
          </w:tcPr>
          <w:p w14:paraId="156768A5"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47,2</w:t>
            </w:r>
          </w:p>
        </w:tc>
        <w:tc>
          <w:tcPr>
            <w:tcW w:w="709" w:type="dxa"/>
            <w:tcBorders>
              <w:top w:val="nil"/>
              <w:left w:val="nil"/>
              <w:bottom w:val="nil"/>
              <w:right w:val="nil"/>
            </w:tcBorders>
            <w:shd w:val="clear" w:color="auto" w:fill="auto"/>
            <w:noWrap/>
            <w:vAlign w:val="center"/>
            <w:hideMark/>
          </w:tcPr>
          <w:p w14:paraId="3B265064"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45,7</w:t>
            </w:r>
          </w:p>
        </w:tc>
        <w:tc>
          <w:tcPr>
            <w:tcW w:w="709" w:type="dxa"/>
            <w:tcBorders>
              <w:top w:val="nil"/>
              <w:left w:val="nil"/>
              <w:bottom w:val="nil"/>
              <w:right w:val="nil"/>
            </w:tcBorders>
            <w:shd w:val="clear" w:color="auto" w:fill="auto"/>
            <w:noWrap/>
            <w:vAlign w:val="center"/>
            <w:hideMark/>
          </w:tcPr>
          <w:p w14:paraId="47E6ECFC"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46,1</w:t>
            </w:r>
          </w:p>
        </w:tc>
        <w:tc>
          <w:tcPr>
            <w:tcW w:w="709" w:type="dxa"/>
            <w:tcBorders>
              <w:top w:val="nil"/>
              <w:left w:val="nil"/>
              <w:bottom w:val="nil"/>
              <w:right w:val="nil"/>
            </w:tcBorders>
            <w:shd w:val="clear" w:color="auto" w:fill="auto"/>
            <w:noWrap/>
            <w:vAlign w:val="center"/>
            <w:hideMark/>
          </w:tcPr>
          <w:p w14:paraId="011E6587"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40,0</w:t>
            </w:r>
          </w:p>
        </w:tc>
        <w:tc>
          <w:tcPr>
            <w:tcW w:w="709" w:type="dxa"/>
            <w:vAlign w:val="center"/>
          </w:tcPr>
          <w:p w14:paraId="0629A7B1" w14:textId="77777777" w:rsidR="00EF404E" w:rsidRPr="00D92E20" w:rsidRDefault="00EF404E" w:rsidP="00EF404E">
            <w:pPr>
              <w:spacing w:after="0" w:line="240" w:lineRule="auto"/>
              <w:jc w:val="center"/>
            </w:pPr>
            <w:r>
              <w:rPr>
                <w:rFonts w:cs="Arial"/>
                <w:color w:val="000000"/>
                <w:sz w:val="16"/>
                <w:szCs w:val="16"/>
              </w:rPr>
              <w:t>35,9</w:t>
            </w:r>
          </w:p>
        </w:tc>
      </w:tr>
      <w:tr w:rsidR="00EF404E" w:rsidRPr="00D92E20" w14:paraId="0FCED3C6"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787E1EE0"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Zlínský kraj</w:t>
            </w:r>
          </w:p>
        </w:tc>
        <w:tc>
          <w:tcPr>
            <w:tcW w:w="709" w:type="dxa"/>
            <w:tcBorders>
              <w:top w:val="nil"/>
              <w:left w:val="nil"/>
              <w:bottom w:val="nil"/>
              <w:right w:val="nil"/>
            </w:tcBorders>
            <w:shd w:val="clear" w:color="auto" w:fill="auto"/>
            <w:noWrap/>
            <w:vAlign w:val="center"/>
            <w:hideMark/>
          </w:tcPr>
          <w:p w14:paraId="19737577"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55,3</w:t>
            </w:r>
          </w:p>
        </w:tc>
        <w:tc>
          <w:tcPr>
            <w:tcW w:w="709" w:type="dxa"/>
            <w:tcBorders>
              <w:top w:val="nil"/>
              <w:left w:val="nil"/>
              <w:bottom w:val="nil"/>
              <w:right w:val="nil"/>
            </w:tcBorders>
            <w:shd w:val="clear" w:color="auto" w:fill="auto"/>
            <w:noWrap/>
            <w:vAlign w:val="center"/>
            <w:hideMark/>
          </w:tcPr>
          <w:p w14:paraId="7D6E061B"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55,7</w:t>
            </w:r>
          </w:p>
        </w:tc>
        <w:tc>
          <w:tcPr>
            <w:tcW w:w="709" w:type="dxa"/>
            <w:tcBorders>
              <w:top w:val="nil"/>
              <w:left w:val="nil"/>
              <w:bottom w:val="nil"/>
              <w:right w:val="nil"/>
            </w:tcBorders>
            <w:shd w:val="clear" w:color="auto" w:fill="auto"/>
            <w:noWrap/>
            <w:vAlign w:val="center"/>
            <w:hideMark/>
          </w:tcPr>
          <w:p w14:paraId="00ED3CA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53,8</w:t>
            </w:r>
          </w:p>
        </w:tc>
        <w:tc>
          <w:tcPr>
            <w:tcW w:w="709" w:type="dxa"/>
            <w:tcBorders>
              <w:top w:val="nil"/>
              <w:left w:val="nil"/>
              <w:bottom w:val="nil"/>
              <w:right w:val="nil"/>
            </w:tcBorders>
            <w:shd w:val="clear" w:color="auto" w:fill="auto"/>
            <w:noWrap/>
            <w:vAlign w:val="center"/>
            <w:hideMark/>
          </w:tcPr>
          <w:p w14:paraId="283BF26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55,5</w:t>
            </w:r>
          </w:p>
        </w:tc>
        <w:tc>
          <w:tcPr>
            <w:tcW w:w="709" w:type="dxa"/>
            <w:tcBorders>
              <w:top w:val="nil"/>
              <w:left w:val="nil"/>
              <w:bottom w:val="nil"/>
              <w:right w:val="nil"/>
            </w:tcBorders>
            <w:shd w:val="clear" w:color="auto" w:fill="auto"/>
            <w:noWrap/>
            <w:vAlign w:val="center"/>
            <w:hideMark/>
          </w:tcPr>
          <w:p w14:paraId="1ECE8A26"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50,3</w:t>
            </w:r>
          </w:p>
        </w:tc>
        <w:tc>
          <w:tcPr>
            <w:tcW w:w="709" w:type="dxa"/>
            <w:tcBorders>
              <w:top w:val="nil"/>
              <w:left w:val="nil"/>
              <w:bottom w:val="nil"/>
              <w:right w:val="nil"/>
            </w:tcBorders>
            <w:shd w:val="clear" w:color="auto" w:fill="auto"/>
            <w:noWrap/>
            <w:vAlign w:val="center"/>
            <w:hideMark/>
          </w:tcPr>
          <w:p w14:paraId="74968C0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52,1</w:t>
            </w:r>
          </w:p>
        </w:tc>
        <w:tc>
          <w:tcPr>
            <w:tcW w:w="709" w:type="dxa"/>
            <w:tcBorders>
              <w:top w:val="nil"/>
              <w:left w:val="nil"/>
              <w:bottom w:val="nil"/>
              <w:right w:val="nil"/>
            </w:tcBorders>
            <w:shd w:val="clear" w:color="auto" w:fill="auto"/>
            <w:noWrap/>
            <w:vAlign w:val="center"/>
            <w:hideMark/>
          </w:tcPr>
          <w:p w14:paraId="4E872E9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50,3</w:t>
            </w:r>
          </w:p>
        </w:tc>
        <w:tc>
          <w:tcPr>
            <w:tcW w:w="709" w:type="dxa"/>
            <w:tcBorders>
              <w:top w:val="nil"/>
              <w:left w:val="nil"/>
              <w:bottom w:val="nil"/>
              <w:right w:val="nil"/>
            </w:tcBorders>
            <w:shd w:val="clear" w:color="auto" w:fill="auto"/>
            <w:noWrap/>
            <w:vAlign w:val="center"/>
            <w:hideMark/>
          </w:tcPr>
          <w:p w14:paraId="33143080"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49,2</w:t>
            </w:r>
          </w:p>
        </w:tc>
        <w:tc>
          <w:tcPr>
            <w:tcW w:w="709" w:type="dxa"/>
            <w:tcBorders>
              <w:top w:val="nil"/>
              <w:left w:val="nil"/>
              <w:bottom w:val="nil"/>
              <w:right w:val="nil"/>
            </w:tcBorders>
            <w:shd w:val="clear" w:color="auto" w:fill="auto"/>
            <w:noWrap/>
            <w:vAlign w:val="center"/>
            <w:hideMark/>
          </w:tcPr>
          <w:p w14:paraId="289574D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49,6</w:t>
            </w:r>
          </w:p>
        </w:tc>
        <w:tc>
          <w:tcPr>
            <w:tcW w:w="709" w:type="dxa"/>
            <w:tcBorders>
              <w:top w:val="nil"/>
              <w:left w:val="nil"/>
              <w:bottom w:val="nil"/>
              <w:right w:val="nil"/>
            </w:tcBorders>
            <w:shd w:val="clear" w:color="auto" w:fill="auto"/>
            <w:noWrap/>
            <w:vAlign w:val="center"/>
            <w:hideMark/>
          </w:tcPr>
          <w:p w14:paraId="08AF595C"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43,5</w:t>
            </w:r>
          </w:p>
        </w:tc>
        <w:tc>
          <w:tcPr>
            <w:tcW w:w="709" w:type="dxa"/>
            <w:vAlign w:val="center"/>
          </w:tcPr>
          <w:p w14:paraId="4A03D352" w14:textId="77777777" w:rsidR="00EF404E" w:rsidRPr="00D92E20" w:rsidRDefault="00EF404E" w:rsidP="00EF404E">
            <w:pPr>
              <w:spacing w:after="0" w:line="240" w:lineRule="auto"/>
              <w:jc w:val="center"/>
            </w:pPr>
            <w:r>
              <w:rPr>
                <w:rFonts w:cs="Arial"/>
                <w:color w:val="000000"/>
                <w:sz w:val="16"/>
                <w:szCs w:val="16"/>
              </w:rPr>
              <w:t>39,0</w:t>
            </w:r>
          </w:p>
        </w:tc>
      </w:tr>
      <w:tr w:rsidR="00EF404E" w:rsidRPr="00D92E20" w14:paraId="0DE9BBB6"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0C9F0463"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Moravskoslezský kraj</w:t>
            </w:r>
          </w:p>
        </w:tc>
        <w:tc>
          <w:tcPr>
            <w:tcW w:w="709" w:type="dxa"/>
            <w:tcBorders>
              <w:top w:val="nil"/>
              <w:left w:val="nil"/>
              <w:bottom w:val="nil"/>
              <w:right w:val="nil"/>
            </w:tcBorders>
            <w:shd w:val="clear" w:color="auto" w:fill="auto"/>
            <w:noWrap/>
            <w:vAlign w:val="center"/>
            <w:hideMark/>
          </w:tcPr>
          <w:p w14:paraId="4B77F8F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49,0</w:t>
            </w:r>
          </w:p>
        </w:tc>
        <w:tc>
          <w:tcPr>
            <w:tcW w:w="709" w:type="dxa"/>
            <w:tcBorders>
              <w:top w:val="nil"/>
              <w:left w:val="nil"/>
              <w:bottom w:val="nil"/>
              <w:right w:val="nil"/>
            </w:tcBorders>
            <w:shd w:val="clear" w:color="auto" w:fill="auto"/>
            <w:noWrap/>
            <w:vAlign w:val="center"/>
            <w:hideMark/>
          </w:tcPr>
          <w:p w14:paraId="5496317B"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51,6</w:t>
            </w:r>
          </w:p>
        </w:tc>
        <w:tc>
          <w:tcPr>
            <w:tcW w:w="709" w:type="dxa"/>
            <w:tcBorders>
              <w:top w:val="nil"/>
              <w:left w:val="nil"/>
              <w:bottom w:val="nil"/>
              <w:right w:val="nil"/>
            </w:tcBorders>
            <w:shd w:val="clear" w:color="auto" w:fill="auto"/>
            <w:noWrap/>
            <w:vAlign w:val="center"/>
            <w:hideMark/>
          </w:tcPr>
          <w:p w14:paraId="20F5262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50,1</w:t>
            </w:r>
          </w:p>
        </w:tc>
        <w:tc>
          <w:tcPr>
            <w:tcW w:w="709" w:type="dxa"/>
            <w:tcBorders>
              <w:top w:val="nil"/>
              <w:left w:val="nil"/>
              <w:bottom w:val="nil"/>
              <w:right w:val="nil"/>
            </w:tcBorders>
            <w:shd w:val="clear" w:color="auto" w:fill="auto"/>
            <w:noWrap/>
            <w:vAlign w:val="center"/>
            <w:hideMark/>
          </w:tcPr>
          <w:p w14:paraId="77C5AAA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52,6</w:t>
            </w:r>
          </w:p>
        </w:tc>
        <w:tc>
          <w:tcPr>
            <w:tcW w:w="709" w:type="dxa"/>
            <w:tcBorders>
              <w:top w:val="nil"/>
              <w:left w:val="nil"/>
              <w:bottom w:val="nil"/>
              <w:right w:val="nil"/>
            </w:tcBorders>
            <w:shd w:val="clear" w:color="auto" w:fill="auto"/>
            <w:noWrap/>
            <w:vAlign w:val="center"/>
            <w:hideMark/>
          </w:tcPr>
          <w:p w14:paraId="753034CF"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48,6</w:t>
            </w:r>
          </w:p>
        </w:tc>
        <w:tc>
          <w:tcPr>
            <w:tcW w:w="709" w:type="dxa"/>
            <w:tcBorders>
              <w:top w:val="nil"/>
              <w:left w:val="nil"/>
              <w:bottom w:val="nil"/>
              <w:right w:val="nil"/>
            </w:tcBorders>
            <w:shd w:val="clear" w:color="auto" w:fill="auto"/>
            <w:noWrap/>
            <w:vAlign w:val="center"/>
            <w:hideMark/>
          </w:tcPr>
          <w:p w14:paraId="5566E44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50,0</w:t>
            </w:r>
          </w:p>
        </w:tc>
        <w:tc>
          <w:tcPr>
            <w:tcW w:w="709" w:type="dxa"/>
            <w:tcBorders>
              <w:top w:val="nil"/>
              <w:left w:val="nil"/>
              <w:bottom w:val="nil"/>
              <w:right w:val="nil"/>
            </w:tcBorders>
            <w:shd w:val="clear" w:color="auto" w:fill="auto"/>
            <w:noWrap/>
            <w:vAlign w:val="center"/>
            <w:hideMark/>
          </w:tcPr>
          <w:p w14:paraId="67516EF5"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48,8</w:t>
            </w:r>
          </w:p>
        </w:tc>
        <w:tc>
          <w:tcPr>
            <w:tcW w:w="709" w:type="dxa"/>
            <w:tcBorders>
              <w:top w:val="nil"/>
              <w:left w:val="nil"/>
              <w:bottom w:val="nil"/>
              <w:right w:val="nil"/>
            </w:tcBorders>
            <w:shd w:val="clear" w:color="auto" w:fill="auto"/>
            <w:noWrap/>
            <w:vAlign w:val="center"/>
            <w:hideMark/>
          </w:tcPr>
          <w:p w14:paraId="3A1A990D"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47,3</w:t>
            </w:r>
          </w:p>
        </w:tc>
        <w:tc>
          <w:tcPr>
            <w:tcW w:w="709" w:type="dxa"/>
            <w:tcBorders>
              <w:top w:val="nil"/>
              <w:left w:val="nil"/>
              <w:bottom w:val="nil"/>
              <w:right w:val="nil"/>
            </w:tcBorders>
            <w:shd w:val="clear" w:color="auto" w:fill="auto"/>
            <w:noWrap/>
            <w:vAlign w:val="center"/>
            <w:hideMark/>
          </w:tcPr>
          <w:p w14:paraId="296E5EB7"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48,7</w:t>
            </w:r>
          </w:p>
        </w:tc>
        <w:tc>
          <w:tcPr>
            <w:tcW w:w="709" w:type="dxa"/>
            <w:tcBorders>
              <w:top w:val="nil"/>
              <w:left w:val="nil"/>
              <w:bottom w:val="nil"/>
              <w:right w:val="nil"/>
            </w:tcBorders>
            <w:shd w:val="clear" w:color="auto" w:fill="auto"/>
            <w:noWrap/>
            <w:vAlign w:val="center"/>
            <w:hideMark/>
          </w:tcPr>
          <w:p w14:paraId="0A3467E7"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42,9</w:t>
            </w:r>
          </w:p>
        </w:tc>
        <w:tc>
          <w:tcPr>
            <w:tcW w:w="709" w:type="dxa"/>
            <w:vAlign w:val="center"/>
          </w:tcPr>
          <w:p w14:paraId="1782BF18" w14:textId="77777777" w:rsidR="00EF404E" w:rsidRPr="00D92E20" w:rsidRDefault="00EF404E" w:rsidP="00EF404E">
            <w:pPr>
              <w:spacing w:after="0" w:line="240" w:lineRule="auto"/>
              <w:jc w:val="center"/>
            </w:pPr>
            <w:r>
              <w:rPr>
                <w:rFonts w:cs="Arial"/>
                <w:color w:val="000000"/>
                <w:sz w:val="16"/>
                <w:szCs w:val="16"/>
              </w:rPr>
              <w:t>38,7</w:t>
            </w:r>
          </w:p>
        </w:tc>
      </w:tr>
    </w:tbl>
    <w:p w14:paraId="5AD2ED3D" w14:textId="77777777" w:rsidR="00EF404E" w:rsidRDefault="00EF404E" w:rsidP="00EF404E">
      <w:pPr>
        <w:spacing w:before="120" w:after="120"/>
        <w:rPr>
          <w:sz w:val="16"/>
        </w:rPr>
      </w:pPr>
      <w:r w:rsidRPr="00D92E20">
        <w:rPr>
          <w:sz w:val="16"/>
        </w:rPr>
        <w:t>Zdroj: ČSÚ</w:t>
      </w:r>
    </w:p>
    <w:p w14:paraId="612672A6" w14:textId="77777777" w:rsidR="005C663E" w:rsidRDefault="005C663E">
      <w:pPr>
        <w:spacing w:after="0" w:line="240" w:lineRule="auto"/>
        <w:rPr>
          <w:b/>
        </w:rPr>
      </w:pPr>
      <w:r>
        <w:rPr>
          <w:b/>
        </w:rPr>
        <w:br w:type="page"/>
      </w:r>
    </w:p>
    <w:p w14:paraId="68E418DF" w14:textId="1164C000" w:rsidR="004229D4" w:rsidRDefault="004229D4" w:rsidP="004229D4">
      <w:pPr>
        <w:jc w:val="both"/>
        <w:rPr>
          <w:b/>
        </w:rPr>
      </w:pPr>
      <w:r w:rsidRPr="00895A72">
        <w:rPr>
          <w:b/>
        </w:rPr>
        <w:lastRenderedPageBreak/>
        <w:t>Kartogram 2.1: Průměrná délka trvání dočasné pracovní neschopnosti v okresech a krajích ČR, 2021</w:t>
      </w:r>
    </w:p>
    <w:p w14:paraId="119B0971" w14:textId="77777777" w:rsidR="004229D4" w:rsidRDefault="004229D4" w:rsidP="004229D4">
      <w:pPr>
        <w:jc w:val="both"/>
        <w:rPr>
          <w:b/>
        </w:rPr>
      </w:pPr>
      <w:r w:rsidRPr="00D1429A">
        <w:rPr>
          <w:b/>
          <w:noProof/>
        </w:rPr>
        <w:drawing>
          <wp:inline distT="0" distB="0" distL="0" distR="0" wp14:anchorId="2AE404EB" wp14:editId="089D764E">
            <wp:extent cx="6120130" cy="4328026"/>
            <wp:effectExtent l="0" t="0" r="0" b="0"/>
            <wp:docPr id="47" name="Obrázek 47" descr="D:\hykysova23070\Documents\PN\2021\2. pol\publ\podklady\KTG\3\Dn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ykysova23070\Documents\PN\2021\2. pol\publ\podklady\KTG\3\Dny_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4328026"/>
                    </a:xfrm>
                    <a:prstGeom prst="rect">
                      <a:avLst/>
                    </a:prstGeom>
                    <a:noFill/>
                    <a:ln>
                      <a:noFill/>
                    </a:ln>
                  </pic:spPr>
                </pic:pic>
              </a:graphicData>
            </a:graphic>
          </wp:inline>
        </w:drawing>
      </w:r>
    </w:p>
    <w:p w14:paraId="03C5F325" w14:textId="77777777" w:rsidR="004229D4" w:rsidRDefault="004229D4" w:rsidP="004229D4">
      <w:pPr>
        <w:spacing w:before="120" w:after="120"/>
        <w:rPr>
          <w:sz w:val="16"/>
        </w:rPr>
      </w:pPr>
      <w:r w:rsidRPr="00D92E20">
        <w:rPr>
          <w:sz w:val="16"/>
        </w:rPr>
        <w:t>Zdroj: ČSÚ</w:t>
      </w:r>
    </w:p>
    <w:p w14:paraId="5C0D83AB" w14:textId="77777777" w:rsidR="00B415F6" w:rsidRPr="005D666C" w:rsidRDefault="00B415F6" w:rsidP="00B415F6">
      <w:pPr>
        <w:spacing w:before="120" w:after="120"/>
        <w:jc w:val="both"/>
      </w:pPr>
      <w:r w:rsidRPr="005D666C">
        <w:rPr>
          <w:b/>
        </w:rPr>
        <w:t>Osoby samostatně výdělečně činné (OSVČ)</w:t>
      </w:r>
      <w:r w:rsidRPr="005D666C">
        <w:t xml:space="preserve"> nastupují do pracovní neschopnosti méně často než zaměstnanci (20 případů na 100 nemocensky pojištěných OSVČ vs. 59 případů u zaměstnanců v roce 2021). Pokud jsou však ze zdravotních důvodů z výkonu práce indisponováni, průměrná délka jejich pracovní neschopnosti značně převyšuje ostatní sledované kategorie velikosti podniku (podle počtu zaměstnanců; viz graf 2.12).</w:t>
      </w:r>
    </w:p>
    <w:p w14:paraId="0D811DED" w14:textId="1FEF2294" w:rsidR="00B415F6" w:rsidRPr="005D666C" w:rsidRDefault="00B415F6" w:rsidP="00B415F6">
      <w:pPr>
        <w:spacing w:before="120" w:after="120"/>
        <w:jc w:val="both"/>
      </w:pPr>
      <w:r w:rsidRPr="005D666C">
        <w:t>Dočasná pracovní neschopnost OSVČ v </w:t>
      </w:r>
      <w:r w:rsidR="005D666C" w:rsidRPr="005D666C">
        <w:t xml:space="preserve">roce 2021 trvala průměrně </w:t>
      </w:r>
      <w:r w:rsidR="009642F6">
        <w:t>77</w:t>
      </w:r>
      <w:r w:rsidRPr="005D666C">
        <w:t xml:space="preserve"> dn</w:t>
      </w:r>
      <w:r w:rsidR="005D666C" w:rsidRPr="005D666C">
        <w:t>ů</w:t>
      </w:r>
      <w:r w:rsidRPr="005D666C">
        <w:t>. Delší doba trvání pracovní neschopnosti u OSVČ může souviset se skutečností, že tato skupina pojištěnců v době prvních 14 dnů pracovní neschopnosti není finančně zabezpečena jako ostatní pojištěnci, je jim vypláceno až nemocenské od 15. dne. Vzhledem k tomuto faktu krátkodobé případy lehčích forem nemocí neřeší pracovní neschopností, tu si nechávají vystavit až při onemocnění vážnější chorobou, která si pak vyžádá dlouhodobější pracovní neschopnost. Další možností, kterou OSVČ mohou využít, je sjednání pojištění pracovní neschopnosti u</w:t>
      </w:r>
      <w:r w:rsidR="00ED6587">
        <w:t> </w:t>
      </w:r>
      <w:r w:rsidRPr="005D666C">
        <w:t>soukromých pojišťoven v rámci životního pojištění. Tomu se však tato publikace nevěnuje.</w:t>
      </w:r>
    </w:p>
    <w:p w14:paraId="2D65C8AB" w14:textId="09F326DB" w:rsidR="00B415F6" w:rsidRPr="00D92E20" w:rsidRDefault="00B415F6" w:rsidP="00B415F6">
      <w:pPr>
        <w:spacing w:before="120" w:after="120"/>
        <w:jc w:val="both"/>
      </w:pPr>
      <w:r w:rsidRPr="005D666C">
        <w:t>U zaměstnanců byla průměrná délka pracovní neschopnosti (bez ohledu na příčinu) ve srovnání s OSVČ zhruba poloviční. Nejdelší zaznamenaly malé podniky mající do 49 zaměstnanců (</w:t>
      </w:r>
      <w:r w:rsidR="009642F6">
        <w:t>3</w:t>
      </w:r>
      <w:r w:rsidR="005D666C" w:rsidRPr="005D666C">
        <w:t>8</w:t>
      </w:r>
      <w:r w:rsidRPr="005D666C">
        <w:t xml:space="preserve"> dnů). V ostatních velikostních kategoriích se tato hodnota pohybovala </w:t>
      </w:r>
      <w:r w:rsidR="009642F6">
        <w:t>do 34</w:t>
      </w:r>
      <w:r w:rsidRPr="005D666C">
        <w:t xml:space="preserve"> dnů.</w:t>
      </w:r>
    </w:p>
    <w:p w14:paraId="34D00B1C" w14:textId="77777777" w:rsidR="00B415F6" w:rsidRDefault="00B415F6" w:rsidP="00EF404E">
      <w:pPr>
        <w:spacing w:after="0" w:line="240" w:lineRule="auto"/>
        <w:jc w:val="both"/>
        <w:rPr>
          <w:rFonts w:cs="Arial"/>
          <w:b/>
          <w:bCs/>
          <w:color w:val="000000"/>
          <w:spacing w:val="-2"/>
          <w:szCs w:val="20"/>
        </w:rPr>
      </w:pPr>
    </w:p>
    <w:p w14:paraId="2C46F37C" w14:textId="77777777" w:rsidR="004229D4" w:rsidRDefault="004229D4">
      <w:pPr>
        <w:spacing w:after="0" w:line="240" w:lineRule="auto"/>
        <w:rPr>
          <w:rFonts w:cs="Arial"/>
          <w:b/>
          <w:bCs/>
          <w:color w:val="000000"/>
          <w:spacing w:val="-2"/>
          <w:szCs w:val="20"/>
        </w:rPr>
      </w:pPr>
      <w:r>
        <w:rPr>
          <w:rFonts w:cs="Arial"/>
          <w:b/>
          <w:bCs/>
          <w:color w:val="000000"/>
          <w:spacing w:val="-2"/>
          <w:szCs w:val="20"/>
        </w:rPr>
        <w:br w:type="page"/>
      </w:r>
    </w:p>
    <w:p w14:paraId="38F7AC5F" w14:textId="77777777" w:rsidR="00EF404E" w:rsidRPr="00EF404E" w:rsidRDefault="00EF404E" w:rsidP="00EF404E">
      <w:pPr>
        <w:spacing w:after="0" w:line="240" w:lineRule="auto"/>
        <w:jc w:val="both"/>
        <w:rPr>
          <w:rFonts w:cs="Arial"/>
          <w:b/>
          <w:bCs/>
          <w:color w:val="000000"/>
          <w:spacing w:val="-2"/>
          <w:szCs w:val="20"/>
        </w:rPr>
      </w:pPr>
      <w:r w:rsidRPr="00EF404E">
        <w:rPr>
          <w:rFonts w:cs="Arial"/>
          <w:b/>
          <w:bCs/>
          <w:color w:val="000000"/>
          <w:spacing w:val="-2"/>
          <w:szCs w:val="20"/>
        </w:rPr>
        <w:lastRenderedPageBreak/>
        <w:t>Graf 2.12: Průměrná délka trvání dočasné pracovní neschopnosti podle velikosti podniku a příčiny, 2021</w:t>
      </w:r>
    </w:p>
    <w:p w14:paraId="109C8790" w14:textId="77777777" w:rsidR="0086258D" w:rsidRPr="00D92E20" w:rsidRDefault="00EF404E" w:rsidP="000423A6">
      <w:pPr>
        <w:pStyle w:val="Seznam"/>
        <w:spacing w:after="120"/>
        <w:contextualSpacing w:val="0"/>
        <w:jc w:val="both"/>
      </w:pPr>
      <w:r>
        <w:rPr>
          <w:noProof/>
        </w:rPr>
        <w:drawing>
          <wp:inline distT="0" distB="0" distL="0" distR="0" wp14:anchorId="1BD03407" wp14:editId="1D68B208">
            <wp:extent cx="6153150" cy="3200400"/>
            <wp:effectExtent l="0" t="0" r="0" b="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0096AFD" w14:textId="77777777" w:rsidR="00EF404E" w:rsidRDefault="00EF404E" w:rsidP="00EF404E">
      <w:pPr>
        <w:spacing w:before="120" w:after="120"/>
        <w:rPr>
          <w:sz w:val="16"/>
        </w:rPr>
      </w:pPr>
      <w:r w:rsidRPr="00D92E20">
        <w:rPr>
          <w:sz w:val="16"/>
        </w:rPr>
        <w:t>Zdroj: ČSÚ</w:t>
      </w:r>
    </w:p>
    <w:p w14:paraId="645A5748" w14:textId="30A3076A" w:rsidR="005A480F" w:rsidRDefault="00841DC4" w:rsidP="00841DC4">
      <w:pPr>
        <w:pStyle w:val="Nadpis4"/>
      </w:pPr>
      <w:bookmarkStart w:id="15" w:name="_Toc54262802"/>
      <w:bookmarkStart w:id="16" w:name="_Toc70950131"/>
      <w:bookmarkStart w:id="17" w:name="_Toc104792911"/>
      <w:r>
        <w:t xml:space="preserve">4.2.3 </w:t>
      </w:r>
      <w:r w:rsidR="005A480F" w:rsidRPr="00D92E20">
        <w:t>Průměrné procento dočasné pracovní nes</w:t>
      </w:r>
      <w:r w:rsidR="005A480F">
        <w:t xml:space="preserve">chopnosti a průměrný denní stav </w:t>
      </w:r>
      <w:r w:rsidR="005A480F" w:rsidRPr="00D92E20">
        <w:t>dočasně práce neschopných</w:t>
      </w:r>
      <w:bookmarkEnd w:id="15"/>
      <w:bookmarkEnd w:id="16"/>
      <w:bookmarkEnd w:id="17"/>
    </w:p>
    <w:p w14:paraId="78D34A28" w14:textId="77777777" w:rsidR="005A480F" w:rsidRPr="00D92E20" w:rsidRDefault="005A480F" w:rsidP="005A480F">
      <w:pPr>
        <w:spacing w:after="120"/>
        <w:jc w:val="both"/>
      </w:pPr>
      <w:r w:rsidRPr="00D92E20">
        <w:t xml:space="preserve">Nejkomplexnějším ukazatelem statistiky pracovní neschopnosti pro nemoc a úraz je </w:t>
      </w:r>
      <w:r w:rsidRPr="005A480F">
        <w:rPr>
          <w:b/>
        </w:rPr>
        <w:t>průměrné procento dočasné pracovní neschopnosti</w:t>
      </w:r>
      <w:r w:rsidRPr="00D92E20">
        <w:t xml:space="preserve">. Zohledňuje jak celkový počet případů pracovní neschopnosti (jak často lidé do pracovní neschopnosti nastupují), tak i průměrné trvání jednoho případu pracovní neschopnosti (jak dlouho v pracovní neschopnosti setrvávají). Statistiky pak doplňuje ještě další ukazatel – </w:t>
      </w:r>
      <w:r w:rsidRPr="005A480F">
        <w:rPr>
          <w:b/>
        </w:rPr>
        <w:t>průměrný denní stav dočasně práce neschopných</w:t>
      </w:r>
      <w:r w:rsidRPr="00D92E20">
        <w:t>, který říká, kolik osob průměrně denně chybělo na pracovišti v důsledku dočasné pracovní neschopnosti pro nemoc a úraz.</w:t>
      </w:r>
    </w:p>
    <w:p w14:paraId="5CD0DB0A" w14:textId="77777777" w:rsidR="005A480F" w:rsidRPr="00D92E20" w:rsidRDefault="005A480F" w:rsidP="005A480F">
      <w:pPr>
        <w:pStyle w:val="Box1"/>
        <w:ind w:left="0"/>
        <w:jc w:val="both"/>
        <w:rPr>
          <w:i/>
        </w:rPr>
      </w:pPr>
      <w:r w:rsidRPr="00D92E20">
        <w:rPr>
          <w:b/>
          <w:i/>
        </w:rPr>
        <w:t xml:space="preserve">Průměrné procento dočasné pracovní neschopnosti </w:t>
      </w:r>
      <w:r w:rsidRPr="00D92E20">
        <w:rPr>
          <w:i/>
        </w:rPr>
        <w:t xml:space="preserve">– ukazatel udává, kolik ze 100 nemocensky pojištěných je průměrně každý den v pracovní neschopnosti pro nemoc či úraz. </w:t>
      </w:r>
    </w:p>
    <w:p w14:paraId="536FE7DF" w14:textId="77777777" w:rsidR="005A480F" w:rsidRPr="00D92E20" w:rsidRDefault="005A480F" w:rsidP="005A480F">
      <w:pPr>
        <w:pStyle w:val="Box1"/>
        <w:ind w:left="0"/>
        <w:jc w:val="both"/>
        <w:rPr>
          <w:i/>
          <w:u w:val="single"/>
        </w:rPr>
      </w:pPr>
      <w:r w:rsidRPr="00D92E20">
        <w:rPr>
          <w:i/>
          <w:u w:val="single"/>
        </w:rPr>
        <w:t>Způsob výpočtu:</w:t>
      </w:r>
    </w:p>
    <w:p w14:paraId="071F3CAB" w14:textId="77777777" w:rsidR="005A480F" w:rsidRPr="00D92E20" w:rsidRDefault="005A480F" w:rsidP="005A480F">
      <w:pPr>
        <w:pStyle w:val="Box1"/>
        <w:spacing w:before="120" w:after="120"/>
        <w:ind w:left="0"/>
        <w:contextualSpacing w:val="0"/>
        <w:jc w:val="both"/>
        <w:rPr>
          <w:i/>
        </w:rPr>
      </w:pPr>
      <w:r w:rsidRPr="00D92E20">
        <w:rPr>
          <w:i/>
        </w:rPr>
        <w:t>Průměrné procento dočasné pracovní neschopnosti = počet kalendářních dnů dočasné pracovní neschopnosti x 100 / (průměrný počet osob nemocensky pojištěných x počet kalendářních dnů ve sledovaném období).</w:t>
      </w:r>
    </w:p>
    <w:p w14:paraId="546719C0" w14:textId="77777777" w:rsidR="005A480F" w:rsidRPr="00D92E20" w:rsidRDefault="005A480F" w:rsidP="005A480F">
      <w:pPr>
        <w:pStyle w:val="Box1"/>
        <w:ind w:left="0"/>
        <w:jc w:val="both"/>
        <w:rPr>
          <w:i/>
        </w:rPr>
      </w:pPr>
      <w:r w:rsidRPr="00D92E20">
        <w:rPr>
          <w:b/>
          <w:i/>
        </w:rPr>
        <w:t xml:space="preserve">Průměrný denní stav dočasně práce neschopných </w:t>
      </w:r>
      <w:r w:rsidRPr="00D92E20">
        <w:rPr>
          <w:i/>
        </w:rPr>
        <w:t xml:space="preserve">– ukazatel vyjadřuje počet nemocensky pojištěných, kteří byli ve sledovaném období (roce) denně nepřítomni v práci z důvodů pracovní neschopnosti. </w:t>
      </w:r>
    </w:p>
    <w:p w14:paraId="1253CC58" w14:textId="77777777" w:rsidR="005A480F" w:rsidRPr="00D92E20" w:rsidRDefault="005A480F" w:rsidP="005A480F">
      <w:pPr>
        <w:pStyle w:val="Box1"/>
        <w:ind w:left="0"/>
        <w:jc w:val="both"/>
        <w:rPr>
          <w:i/>
          <w:u w:val="single"/>
        </w:rPr>
      </w:pPr>
      <w:r w:rsidRPr="00D92E20">
        <w:rPr>
          <w:i/>
          <w:u w:val="single"/>
        </w:rPr>
        <w:t>Způsob výpočtu:</w:t>
      </w:r>
    </w:p>
    <w:p w14:paraId="33D30D88" w14:textId="77777777" w:rsidR="005A480F" w:rsidRPr="00D92E20" w:rsidRDefault="005A480F" w:rsidP="005A480F">
      <w:pPr>
        <w:pStyle w:val="Box1"/>
        <w:spacing w:before="120" w:after="120"/>
        <w:ind w:left="0"/>
        <w:contextualSpacing w:val="0"/>
        <w:jc w:val="both"/>
        <w:rPr>
          <w:i/>
        </w:rPr>
      </w:pPr>
      <w:r w:rsidRPr="00D92E20">
        <w:rPr>
          <w:i/>
        </w:rPr>
        <w:t>Průměrný denní stav dočasně práce neschopných = kalendářní dny dočasné pracovní neschopnosti / počet kalendářních dnů ve sledovaném období.</w:t>
      </w:r>
    </w:p>
    <w:p w14:paraId="42BAF1C6" w14:textId="22F68B65" w:rsidR="005A480F" w:rsidRPr="00D92E20" w:rsidRDefault="005A480F" w:rsidP="005A480F">
      <w:pPr>
        <w:spacing w:before="120" w:after="120"/>
        <w:jc w:val="both"/>
      </w:pPr>
      <w:r w:rsidRPr="00D92E20">
        <w:t xml:space="preserve">Hodnota ukazatele </w:t>
      </w:r>
      <w:r w:rsidRPr="00D92E20">
        <w:rPr>
          <w:b/>
        </w:rPr>
        <w:t>průměrné procento dočasné pracovní neschopnosti</w:t>
      </w:r>
      <w:r w:rsidRPr="00D92E20">
        <w:t xml:space="preserve"> má od roku 2012 rostoucí tendenci</w:t>
      </w:r>
      <w:r>
        <w:t>, ačkoliv v roce 2021 byla patrná meziroční stagnace na 5,5 %. Ve srovnání s předcovidovým rokem 2019 vzrostl indikátor o 0,8 p. b. Jak</w:t>
      </w:r>
      <w:r w:rsidRPr="00D92E20">
        <w:t xml:space="preserve"> již bylo zmíněno, nárůst počtu kalendářních dnů dočasné pracovní neschopnosti </w:t>
      </w:r>
      <w:r>
        <w:t xml:space="preserve">od té doby </w:t>
      </w:r>
      <w:r w:rsidRPr="00D92E20">
        <w:t>byl výjimečný. Ve srovnání s rokem 2012 průměrné procento dočasné pracovní nesch</w:t>
      </w:r>
      <w:r w:rsidR="004930CE">
        <w:t>opnosti vzrostlo dokonce o 2 p. </w:t>
      </w:r>
      <w:r w:rsidRPr="00D92E20">
        <w:t xml:space="preserve">b. Podíl na růstu může mít mj. i stárnutí populace a zvyšování průměrného věku zaměstnanců (dáno vyšším věkem odchodu do důchodu než bylo v minulosti). Průměrné procento dočasné pracovní neschopnosti je dlouhodobě vyšší u žen. </w:t>
      </w:r>
      <w:r w:rsidR="004930CE">
        <w:t>V roce 2021 č</w:t>
      </w:r>
      <w:r w:rsidRPr="00D92E20">
        <w:t xml:space="preserve">inilo </w:t>
      </w:r>
      <w:r w:rsidR="001438A5">
        <w:t>5,9</w:t>
      </w:r>
      <w:r w:rsidRPr="00D92E20">
        <w:t xml:space="preserve"> %, zatímco pro muže 5</w:t>
      </w:r>
      <w:r w:rsidR="001438A5">
        <w:t>,2</w:t>
      </w:r>
      <w:r w:rsidRPr="00D92E20">
        <w:t xml:space="preserve"> %.</w:t>
      </w:r>
    </w:p>
    <w:p w14:paraId="18DA0AD4" w14:textId="77777777" w:rsidR="004229D4" w:rsidRDefault="004229D4">
      <w:pPr>
        <w:spacing w:after="0" w:line="240" w:lineRule="auto"/>
        <w:rPr>
          <w:rFonts w:cs="Arial"/>
          <w:b/>
          <w:bCs/>
          <w:color w:val="000000"/>
          <w:szCs w:val="20"/>
        </w:rPr>
      </w:pPr>
      <w:r>
        <w:rPr>
          <w:rFonts w:cs="Arial"/>
          <w:b/>
          <w:bCs/>
          <w:color w:val="000000"/>
          <w:szCs w:val="20"/>
        </w:rPr>
        <w:br w:type="page"/>
      </w:r>
    </w:p>
    <w:p w14:paraId="7FDE2EF1" w14:textId="77777777" w:rsidR="005A480F" w:rsidRPr="005A480F" w:rsidRDefault="005A480F" w:rsidP="005A480F">
      <w:pPr>
        <w:spacing w:after="0" w:line="240" w:lineRule="auto"/>
        <w:rPr>
          <w:rFonts w:cs="Arial"/>
          <w:b/>
          <w:bCs/>
          <w:color w:val="000000"/>
          <w:szCs w:val="20"/>
        </w:rPr>
      </w:pPr>
      <w:r w:rsidRPr="005A480F">
        <w:rPr>
          <w:rFonts w:cs="Arial"/>
          <w:b/>
          <w:bCs/>
          <w:color w:val="000000"/>
          <w:szCs w:val="20"/>
        </w:rPr>
        <w:lastRenderedPageBreak/>
        <w:t>Graf 2.13: Průměrné procento dočasné pracovní neschopnosti podle odvětví (sekce CZ-NACE), 2021</w:t>
      </w:r>
    </w:p>
    <w:p w14:paraId="09BBE225" w14:textId="77777777" w:rsidR="00705387" w:rsidRPr="00D92E20" w:rsidRDefault="005A480F" w:rsidP="00C61BBC">
      <w:pPr>
        <w:spacing w:after="120"/>
        <w:jc w:val="both"/>
      </w:pPr>
      <w:r>
        <w:rPr>
          <w:noProof/>
        </w:rPr>
        <w:drawing>
          <wp:inline distT="0" distB="0" distL="0" distR="0" wp14:anchorId="5482AD4E" wp14:editId="343F5F5B">
            <wp:extent cx="6115050" cy="4810125"/>
            <wp:effectExtent l="0" t="0" r="0" b="9525"/>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7DF4C09" w14:textId="77777777" w:rsidR="005A480F" w:rsidRDefault="005A480F" w:rsidP="005A480F">
      <w:pPr>
        <w:spacing w:before="120" w:after="120"/>
        <w:rPr>
          <w:sz w:val="16"/>
        </w:rPr>
      </w:pPr>
      <w:r w:rsidRPr="00D92E20">
        <w:rPr>
          <w:sz w:val="16"/>
        </w:rPr>
        <w:t>Zdroj: ČSÚ</w:t>
      </w:r>
    </w:p>
    <w:p w14:paraId="1C74974A" w14:textId="0B4A229B" w:rsidR="005A480F" w:rsidRDefault="005A480F" w:rsidP="005A480F">
      <w:pPr>
        <w:spacing w:before="120" w:after="120"/>
        <w:jc w:val="both"/>
        <w:rPr>
          <w:rFonts w:cs="Arial"/>
          <w:color w:val="000000"/>
          <w:szCs w:val="16"/>
        </w:rPr>
      </w:pPr>
      <w:r w:rsidRPr="00D92E20">
        <w:rPr>
          <w:rFonts w:cs="Arial"/>
          <w:color w:val="000000"/>
          <w:szCs w:val="16"/>
        </w:rPr>
        <w:t xml:space="preserve">Nejvyšší průměrné procento dočasné pracovní neschopnosti </w:t>
      </w:r>
      <w:r w:rsidRPr="00D92E20">
        <w:rPr>
          <w:rFonts w:cs="Arial"/>
          <w:b/>
          <w:color w:val="000000"/>
          <w:szCs w:val="16"/>
        </w:rPr>
        <w:t>z hlediska odvětvové činnosti</w:t>
      </w:r>
      <w:r w:rsidRPr="00D92E20">
        <w:rPr>
          <w:rFonts w:cs="Arial"/>
          <w:color w:val="000000"/>
          <w:szCs w:val="16"/>
        </w:rPr>
        <w:t xml:space="preserve"> bylo zaznamenáno v odvětví Těžba a dobývání (7,9 %) s</w:t>
      </w:r>
      <w:r>
        <w:rPr>
          <w:rFonts w:cs="Arial"/>
          <w:color w:val="000000"/>
          <w:szCs w:val="16"/>
        </w:rPr>
        <w:t xml:space="preserve"> druhým </w:t>
      </w:r>
      <w:r w:rsidRPr="00D92E20">
        <w:rPr>
          <w:rFonts w:cs="Arial"/>
          <w:color w:val="000000"/>
          <w:szCs w:val="16"/>
        </w:rPr>
        <w:t>nejvyšším počtem případů pracovní neschopnosti na 100 pojištěnců. Jinými slovy, téměř 8 % pojištěnců pracujících v sekci Těžba a dobývání bylo denně v pracovní neschopnosti. Odvětvími se 7% podílem osob dočasně práce neschopných denně byl i Zpracovatelský průmysl (7,</w:t>
      </w:r>
      <w:r>
        <w:rPr>
          <w:rFonts w:cs="Arial"/>
          <w:color w:val="000000"/>
          <w:szCs w:val="16"/>
        </w:rPr>
        <w:t>4</w:t>
      </w:r>
      <w:r w:rsidRPr="00D92E20">
        <w:rPr>
          <w:rFonts w:cs="Arial"/>
          <w:color w:val="000000"/>
          <w:szCs w:val="16"/>
        </w:rPr>
        <w:t xml:space="preserve"> %), Administrativní a podpůrné činnosti (6,</w:t>
      </w:r>
      <w:r>
        <w:rPr>
          <w:rFonts w:cs="Arial"/>
          <w:color w:val="000000"/>
          <w:szCs w:val="16"/>
        </w:rPr>
        <w:t>9</w:t>
      </w:r>
      <w:r w:rsidRPr="00D92E20">
        <w:rPr>
          <w:rFonts w:cs="Arial"/>
          <w:color w:val="000000"/>
          <w:szCs w:val="16"/>
        </w:rPr>
        <w:t xml:space="preserve"> %) a </w:t>
      </w:r>
      <w:r>
        <w:rPr>
          <w:rFonts w:cs="Arial"/>
          <w:color w:val="000000"/>
          <w:szCs w:val="16"/>
        </w:rPr>
        <w:t xml:space="preserve">Zásobování vodou; činnosti související s odpady a sanacemi (6,5 %). </w:t>
      </w:r>
      <w:r w:rsidRPr="00D92E20">
        <w:rPr>
          <w:rFonts w:cs="Arial"/>
          <w:color w:val="000000"/>
          <w:szCs w:val="16"/>
        </w:rPr>
        <w:t>Naopak nejméně pracovníků v pracovní neschopnosti ze 100</w:t>
      </w:r>
      <w:r w:rsidR="00DC2A86">
        <w:rPr>
          <w:rFonts w:cs="Arial"/>
          <w:color w:val="000000"/>
          <w:szCs w:val="16"/>
        </w:rPr>
        <w:t> </w:t>
      </w:r>
      <w:r w:rsidRPr="00D92E20">
        <w:rPr>
          <w:rFonts w:cs="Arial"/>
          <w:color w:val="000000"/>
          <w:szCs w:val="16"/>
        </w:rPr>
        <w:t>pojištěnců bylo denně evidováno v odvětví Informační a komunikační činnosti (1,</w:t>
      </w:r>
      <w:r w:rsidR="008A3A13">
        <w:rPr>
          <w:rFonts w:cs="Arial"/>
          <w:color w:val="000000"/>
          <w:szCs w:val="16"/>
        </w:rPr>
        <w:t>8</w:t>
      </w:r>
      <w:r w:rsidRPr="00D92E20">
        <w:rPr>
          <w:rFonts w:cs="Arial"/>
          <w:color w:val="000000"/>
          <w:szCs w:val="16"/>
        </w:rPr>
        <w:t>) a Peněžnictví a</w:t>
      </w:r>
      <w:r w:rsidR="008A3A13">
        <w:rPr>
          <w:rFonts w:cs="Arial"/>
          <w:color w:val="000000"/>
          <w:szCs w:val="16"/>
        </w:rPr>
        <w:t> </w:t>
      </w:r>
      <w:r w:rsidRPr="00D92E20">
        <w:rPr>
          <w:rFonts w:cs="Arial"/>
          <w:color w:val="000000"/>
          <w:szCs w:val="16"/>
        </w:rPr>
        <w:t>pojišťovnictví (2,</w:t>
      </w:r>
      <w:r w:rsidR="008A3A13">
        <w:rPr>
          <w:rFonts w:cs="Arial"/>
          <w:color w:val="000000"/>
          <w:szCs w:val="16"/>
        </w:rPr>
        <w:t>6</w:t>
      </w:r>
      <w:r w:rsidRPr="00D92E20">
        <w:rPr>
          <w:rFonts w:cs="Arial"/>
          <w:color w:val="000000"/>
          <w:szCs w:val="16"/>
        </w:rPr>
        <w:t>). Podrobněji viz graf 2.13 a tabulka 2.8.</w:t>
      </w:r>
    </w:p>
    <w:p w14:paraId="3FDCB731" w14:textId="361E953D" w:rsidR="004229D4" w:rsidRDefault="004229D4" w:rsidP="004229D4">
      <w:pPr>
        <w:spacing w:before="120" w:after="120"/>
        <w:jc w:val="both"/>
      </w:pPr>
      <w:r w:rsidRPr="00D92E20">
        <w:t>Z </w:t>
      </w:r>
      <w:r w:rsidRPr="00D92E20">
        <w:rPr>
          <w:b/>
        </w:rPr>
        <w:t>regionálního pohledu</w:t>
      </w:r>
      <w:r w:rsidRPr="00D92E20">
        <w:t xml:space="preserve"> zaznamenal nejvyšší hodnotu průměrného procenta pracovní neschopnosti Moravskoslezský </w:t>
      </w:r>
      <w:r>
        <w:t xml:space="preserve">a </w:t>
      </w:r>
      <w:r w:rsidRPr="00D92E20">
        <w:t xml:space="preserve">Zlínský a kraj (oba </w:t>
      </w:r>
      <w:r w:rsidR="009642F6">
        <w:t>7</w:t>
      </w:r>
      <w:r w:rsidRPr="00D92E20">
        <w:t xml:space="preserve"> %). Praha díky nejnižšímu počtu případů na 100 pojištěnců a díky</w:t>
      </w:r>
      <w:r>
        <w:t xml:space="preserve"> relativně</w:t>
      </w:r>
      <w:r w:rsidRPr="00D92E20">
        <w:t xml:space="preserve"> krátké průměrné </w:t>
      </w:r>
      <w:r>
        <w:t>délce</w:t>
      </w:r>
      <w:r w:rsidRPr="00D92E20">
        <w:t xml:space="preserve"> trvání pracovních neschopností vykazuje nejnižší procento dočasně práce neschopných denně. Zatímco hodnoty všech ostatních 13 krajů se nachází v rozmezí 5,</w:t>
      </w:r>
      <w:r>
        <w:t>5</w:t>
      </w:r>
      <w:r w:rsidRPr="00D92E20">
        <w:t xml:space="preserve"> až 7,0 %, ukazatel v Praze v roce 202</w:t>
      </w:r>
      <w:r>
        <w:t>1</w:t>
      </w:r>
      <w:r w:rsidRPr="00D92E20">
        <w:t xml:space="preserve"> dosáhl hodnoty pouze 3,9 %. Toto výsadní postavení si kraj hl. m. Praha drží už řadu let, jak je zřejmé z tabulky 2.9.</w:t>
      </w:r>
      <w:r>
        <w:t xml:space="preserve"> Vzhledem k tomu, že meziročně nedošlo k velkým změnám, v grafu 2.14 je k dispozici porovnání s rokem 2019. K největšímu zvýšení za 2 roky došlo v Moravskoslezském, Plzeňském a Libereckém kraji, a sice o 1,2 p. b.</w:t>
      </w:r>
    </w:p>
    <w:p w14:paraId="116CAD51" w14:textId="77777777" w:rsidR="004229D4" w:rsidRPr="00D92E20" w:rsidRDefault="004229D4" w:rsidP="005A480F">
      <w:pPr>
        <w:spacing w:before="120" w:after="120"/>
        <w:jc w:val="both"/>
        <w:rPr>
          <w:rFonts w:cs="Arial"/>
          <w:color w:val="000000"/>
          <w:szCs w:val="16"/>
        </w:rPr>
      </w:pPr>
    </w:p>
    <w:p w14:paraId="1141C017" w14:textId="77777777" w:rsidR="004229D4" w:rsidRDefault="004229D4">
      <w:pPr>
        <w:spacing w:after="0" w:line="240" w:lineRule="auto"/>
        <w:rPr>
          <w:rFonts w:cs="Arial"/>
          <w:b/>
          <w:bCs/>
          <w:color w:val="000000"/>
          <w:spacing w:val="-3"/>
          <w:szCs w:val="20"/>
        </w:rPr>
      </w:pPr>
      <w:r>
        <w:rPr>
          <w:rFonts w:cs="Arial"/>
          <w:b/>
          <w:bCs/>
          <w:color w:val="000000"/>
          <w:spacing w:val="-3"/>
          <w:szCs w:val="20"/>
        </w:rPr>
        <w:br w:type="page"/>
      </w:r>
    </w:p>
    <w:p w14:paraId="2272E6A8" w14:textId="77777777" w:rsidR="008A3A13" w:rsidRPr="008A3A13" w:rsidRDefault="008A3A13" w:rsidP="008A3A13">
      <w:pPr>
        <w:spacing w:after="0" w:line="240" w:lineRule="auto"/>
        <w:jc w:val="both"/>
        <w:rPr>
          <w:rFonts w:cs="Arial"/>
          <w:b/>
          <w:bCs/>
          <w:color w:val="000000"/>
          <w:spacing w:val="-3"/>
          <w:szCs w:val="20"/>
        </w:rPr>
      </w:pPr>
      <w:r w:rsidRPr="008A3A13">
        <w:rPr>
          <w:rFonts w:cs="Arial"/>
          <w:b/>
          <w:bCs/>
          <w:color w:val="000000"/>
          <w:spacing w:val="-3"/>
          <w:szCs w:val="20"/>
        </w:rPr>
        <w:lastRenderedPageBreak/>
        <w:t>Tab. 2.8: Průměrné procento dočasné pracovní neschopnosti podle odvětví (sekce CZ-NACE), 2011–2021</w:t>
      </w:r>
    </w:p>
    <w:tbl>
      <w:tblPr>
        <w:tblW w:w="9639" w:type="dxa"/>
        <w:tblCellMar>
          <w:left w:w="70" w:type="dxa"/>
          <w:right w:w="70" w:type="dxa"/>
        </w:tblCellMar>
        <w:tblLook w:val="04A0" w:firstRow="1" w:lastRow="0" w:firstColumn="1" w:lastColumn="0" w:noHBand="0" w:noVBand="1"/>
      </w:tblPr>
      <w:tblGrid>
        <w:gridCol w:w="3402"/>
        <w:gridCol w:w="567"/>
        <w:gridCol w:w="567"/>
        <w:gridCol w:w="567"/>
        <w:gridCol w:w="567"/>
        <w:gridCol w:w="567"/>
        <w:gridCol w:w="567"/>
        <w:gridCol w:w="567"/>
        <w:gridCol w:w="567"/>
        <w:gridCol w:w="567"/>
        <w:gridCol w:w="567"/>
        <w:gridCol w:w="567"/>
      </w:tblGrid>
      <w:tr w:rsidR="008A3A13" w:rsidRPr="00D92E20" w14:paraId="366A7707" w14:textId="77777777" w:rsidTr="008A3A13">
        <w:trPr>
          <w:trHeight w:val="300"/>
        </w:trPr>
        <w:tc>
          <w:tcPr>
            <w:tcW w:w="3402" w:type="dxa"/>
            <w:tcBorders>
              <w:top w:val="single" w:sz="4" w:space="0" w:color="auto"/>
              <w:left w:val="nil"/>
              <w:bottom w:val="single" w:sz="4" w:space="0" w:color="auto"/>
              <w:right w:val="single" w:sz="4" w:space="0" w:color="auto"/>
            </w:tcBorders>
            <w:shd w:val="clear" w:color="000000" w:fill="F5DADD"/>
            <w:vAlign w:val="center"/>
            <w:hideMark/>
          </w:tcPr>
          <w:p w14:paraId="2D078CA1" w14:textId="77777777" w:rsidR="008A3A13" w:rsidRPr="00D92E20" w:rsidRDefault="008A3A13" w:rsidP="002F2C0C">
            <w:pPr>
              <w:spacing w:after="0" w:line="240" w:lineRule="auto"/>
              <w:jc w:val="center"/>
              <w:rPr>
                <w:rFonts w:cs="Arial"/>
                <w:color w:val="000000"/>
                <w:sz w:val="16"/>
                <w:szCs w:val="16"/>
              </w:rPr>
            </w:pPr>
            <w:r w:rsidRPr="00D92E20">
              <w:rPr>
                <w:rFonts w:cs="Arial"/>
                <w:color w:val="000000"/>
                <w:sz w:val="16"/>
                <w:szCs w:val="16"/>
              </w:rPr>
              <w:t>Sekce CZ-NACE</w:t>
            </w:r>
          </w:p>
        </w:tc>
        <w:tc>
          <w:tcPr>
            <w:tcW w:w="567" w:type="dxa"/>
            <w:tcBorders>
              <w:top w:val="single" w:sz="4" w:space="0" w:color="auto"/>
              <w:left w:val="nil"/>
              <w:bottom w:val="single" w:sz="4" w:space="0" w:color="auto"/>
              <w:right w:val="nil"/>
            </w:tcBorders>
            <w:shd w:val="clear" w:color="000000" w:fill="F5DADD"/>
            <w:noWrap/>
            <w:vAlign w:val="center"/>
            <w:hideMark/>
          </w:tcPr>
          <w:p w14:paraId="15AACEE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2011</w:t>
            </w:r>
          </w:p>
        </w:tc>
        <w:tc>
          <w:tcPr>
            <w:tcW w:w="567" w:type="dxa"/>
            <w:tcBorders>
              <w:top w:val="single" w:sz="4" w:space="0" w:color="auto"/>
              <w:left w:val="nil"/>
              <w:bottom w:val="single" w:sz="4" w:space="0" w:color="auto"/>
              <w:right w:val="nil"/>
            </w:tcBorders>
            <w:shd w:val="clear" w:color="000000" w:fill="F5DADD"/>
            <w:noWrap/>
            <w:vAlign w:val="center"/>
            <w:hideMark/>
          </w:tcPr>
          <w:p w14:paraId="54D092FD"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2012</w:t>
            </w:r>
          </w:p>
        </w:tc>
        <w:tc>
          <w:tcPr>
            <w:tcW w:w="567" w:type="dxa"/>
            <w:tcBorders>
              <w:top w:val="single" w:sz="4" w:space="0" w:color="auto"/>
              <w:left w:val="nil"/>
              <w:bottom w:val="single" w:sz="4" w:space="0" w:color="auto"/>
              <w:right w:val="nil"/>
            </w:tcBorders>
            <w:shd w:val="clear" w:color="000000" w:fill="F5DADD"/>
            <w:noWrap/>
            <w:vAlign w:val="center"/>
            <w:hideMark/>
          </w:tcPr>
          <w:p w14:paraId="60A3E5A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2013</w:t>
            </w:r>
          </w:p>
        </w:tc>
        <w:tc>
          <w:tcPr>
            <w:tcW w:w="567" w:type="dxa"/>
            <w:tcBorders>
              <w:top w:val="single" w:sz="4" w:space="0" w:color="auto"/>
              <w:left w:val="nil"/>
              <w:bottom w:val="single" w:sz="4" w:space="0" w:color="auto"/>
              <w:right w:val="nil"/>
            </w:tcBorders>
            <w:shd w:val="clear" w:color="000000" w:fill="F5DADD"/>
            <w:noWrap/>
            <w:vAlign w:val="center"/>
            <w:hideMark/>
          </w:tcPr>
          <w:p w14:paraId="0AAE072C"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2014</w:t>
            </w:r>
          </w:p>
        </w:tc>
        <w:tc>
          <w:tcPr>
            <w:tcW w:w="567" w:type="dxa"/>
            <w:tcBorders>
              <w:top w:val="single" w:sz="4" w:space="0" w:color="auto"/>
              <w:left w:val="nil"/>
              <w:bottom w:val="single" w:sz="4" w:space="0" w:color="auto"/>
              <w:right w:val="nil"/>
            </w:tcBorders>
            <w:shd w:val="clear" w:color="000000" w:fill="F5DADD"/>
            <w:noWrap/>
            <w:vAlign w:val="center"/>
            <w:hideMark/>
          </w:tcPr>
          <w:p w14:paraId="5155CBB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2015</w:t>
            </w:r>
          </w:p>
        </w:tc>
        <w:tc>
          <w:tcPr>
            <w:tcW w:w="567" w:type="dxa"/>
            <w:tcBorders>
              <w:top w:val="single" w:sz="4" w:space="0" w:color="auto"/>
              <w:left w:val="nil"/>
              <w:bottom w:val="single" w:sz="4" w:space="0" w:color="auto"/>
              <w:right w:val="nil"/>
            </w:tcBorders>
            <w:shd w:val="clear" w:color="000000" w:fill="F5DADD"/>
            <w:noWrap/>
            <w:vAlign w:val="center"/>
            <w:hideMark/>
          </w:tcPr>
          <w:p w14:paraId="6376310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2016</w:t>
            </w:r>
          </w:p>
        </w:tc>
        <w:tc>
          <w:tcPr>
            <w:tcW w:w="567" w:type="dxa"/>
            <w:tcBorders>
              <w:top w:val="single" w:sz="4" w:space="0" w:color="auto"/>
              <w:left w:val="nil"/>
              <w:bottom w:val="single" w:sz="4" w:space="0" w:color="auto"/>
              <w:right w:val="nil"/>
            </w:tcBorders>
            <w:shd w:val="clear" w:color="000000" w:fill="F5DADD"/>
            <w:noWrap/>
            <w:vAlign w:val="center"/>
            <w:hideMark/>
          </w:tcPr>
          <w:p w14:paraId="4843E72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2017</w:t>
            </w:r>
          </w:p>
        </w:tc>
        <w:tc>
          <w:tcPr>
            <w:tcW w:w="567" w:type="dxa"/>
            <w:tcBorders>
              <w:top w:val="single" w:sz="4" w:space="0" w:color="auto"/>
              <w:left w:val="nil"/>
              <w:bottom w:val="single" w:sz="4" w:space="0" w:color="auto"/>
              <w:right w:val="nil"/>
            </w:tcBorders>
            <w:shd w:val="clear" w:color="000000" w:fill="F5DADD"/>
            <w:noWrap/>
            <w:vAlign w:val="center"/>
            <w:hideMark/>
          </w:tcPr>
          <w:p w14:paraId="7007CEE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2018</w:t>
            </w:r>
          </w:p>
        </w:tc>
        <w:tc>
          <w:tcPr>
            <w:tcW w:w="567" w:type="dxa"/>
            <w:tcBorders>
              <w:top w:val="single" w:sz="4" w:space="0" w:color="auto"/>
              <w:left w:val="nil"/>
              <w:bottom w:val="single" w:sz="4" w:space="0" w:color="auto"/>
              <w:right w:val="nil"/>
            </w:tcBorders>
            <w:shd w:val="clear" w:color="000000" w:fill="F5DADD"/>
            <w:noWrap/>
            <w:vAlign w:val="center"/>
            <w:hideMark/>
          </w:tcPr>
          <w:p w14:paraId="7699914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2019</w:t>
            </w:r>
          </w:p>
        </w:tc>
        <w:tc>
          <w:tcPr>
            <w:tcW w:w="567" w:type="dxa"/>
            <w:tcBorders>
              <w:top w:val="single" w:sz="4" w:space="0" w:color="auto"/>
              <w:left w:val="nil"/>
              <w:bottom w:val="single" w:sz="4" w:space="0" w:color="auto"/>
              <w:right w:val="nil"/>
            </w:tcBorders>
            <w:shd w:val="clear" w:color="000000" w:fill="F5DADD"/>
            <w:noWrap/>
            <w:vAlign w:val="center"/>
            <w:hideMark/>
          </w:tcPr>
          <w:p w14:paraId="7C66C89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2020</w:t>
            </w:r>
          </w:p>
        </w:tc>
        <w:tc>
          <w:tcPr>
            <w:tcW w:w="567" w:type="dxa"/>
            <w:tcBorders>
              <w:top w:val="single" w:sz="4" w:space="0" w:color="auto"/>
              <w:bottom w:val="single" w:sz="4" w:space="0" w:color="auto"/>
            </w:tcBorders>
            <w:shd w:val="clear" w:color="auto" w:fill="F5DADD"/>
            <w:vAlign w:val="center"/>
          </w:tcPr>
          <w:p w14:paraId="0E2B83C3" w14:textId="77777777" w:rsidR="008A3A13" w:rsidRPr="00D92E20" w:rsidRDefault="008A3A13" w:rsidP="008A3A13">
            <w:pPr>
              <w:spacing w:after="0" w:line="240" w:lineRule="auto"/>
              <w:jc w:val="center"/>
            </w:pPr>
            <w:r>
              <w:rPr>
                <w:rFonts w:cs="Arial"/>
                <w:color w:val="000000"/>
                <w:sz w:val="16"/>
                <w:szCs w:val="16"/>
              </w:rPr>
              <w:t>2021</w:t>
            </w:r>
          </w:p>
        </w:tc>
      </w:tr>
      <w:tr w:rsidR="008A3A13" w:rsidRPr="00D92E20" w14:paraId="13C2DC36"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2D65214F" w14:textId="77777777" w:rsidR="008A3A13" w:rsidRPr="00D92E20" w:rsidRDefault="008A3A13" w:rsidP="008A3A13">
            <w:pPr>
              <w:spacing w:after="0" w:line="240" w:lineRule="auto"/>
              <w:rPr>
                <w:rFonts w:cs="Arial"/>
                <w:b/>
                <w:bCs/>
                <w:color w:val="000000"/>
                <w:sz w:val="16"/>
                <w:szCs w:val="16"/>
              </w:rPr>
            </w:pPr>
            <w:r w:rsidRPr="00D92E20">
              <w:rPr>
                <w:rFonts w:cs="Arial"/>
                <w:b/>
                <w:bCs/>
                <w:color w:val="000000"/>
                <w:sz w:val="16"/>
                <w:szCs w:val="16"/>
              </w:rPr>
              <w:t>Celkem</w:t>
            </w:r>
          </w:p>
        </w:tc>
        <w:tc>
          <w:tcPr>
            <w:tcW w:w="567" w:type="dxa"/>
            <w:tcBorders>
              <w:top w:val="nil"/>
              <w:left w:val="nil"/>
              <w:bottom w:val="nil"/>
              <w:right w:val="nil"/>
            </w:tcBorders>
            <w:shd w:val="clear" w:color="auto" w:fill="auto"/>
            <w:noWrap/>
            <w:vAlign w:val="center"/>
            <w:hideMark/>
          </w:tcPr>
          <w:p w14:paraId="1BBB9E68" w14:textId="77777777" w:rsidR="008A3A13" w:rsidRPr="00D92E20" w:rsidRDefault="008A3A13" w:rsidP="008A3A13">
            <w:pPr>
              <w:spacing w:after="0" w:line="240" w:lineRule="auto"/>
              <w:jc w:val="center"/>
              <w:rPr>
                <w:rFonts w:cs="Arial"/>
                <w:b/>
                <w:bCs/>
                <w:color w:val="000000"/>
                <w:sz w:val="16"/>
                <w:szCs w:val="16"/>
              </w:rPr>
            </w:pPr>
            <w:r w:rsidRPr="00D92E20">
              <w:rPr>
                <w:rFonts w:cs="Arial"/>
                <w:b/>
                <w:bCs/>
                <w:color w:val="000000"/>
                <w:sz w:val="16"/>
                <w:szCs w:val="16"/>
              </w:rPr>
              <w:t>3,6</w:t>
            </w:r>
          </w:p>
        </w:tc>
        <w:tc>
          <w:tcPr>
            <w:tcW w:w="567" w:type="dxa"/>
            <w:tcBorders>
              <w:top w:val="nil"/>
              <w:left w:val="nil"/>
              <w:bottom w:val="nil"/>
              <w:right w:val="nil"/>
            </w:tcBorders>
            <w:shd w:val="clear" w:color="auto" w:fill="auto"/>
            <w:noWrap/>
            <w:vAlign w:val="center"/>
            <w:hideMark/>
          </w:tcPr>
          <w:p w14:paraId="07B8B2EF" w14:textId="77777777" w:rsidR="008A3A13" w:rsidRPr="00D92E20" w:rsidRDefault="008A3A13" w:rsidP="008A3A13">
            <w:pPr>
              <w:spacing w:after="0" w:line="240" w:lineRule="auto"/>
              <w:jc w:val="center"/>
              <w:rPr>
                <w:rFonts w:cs="Arial"/>
                <w:b/>
                <w:bCs/>
                <w:color w:val="000000"/>
                <w:sz w:val="16"/>
                <w:szCs w:val="16"/>
              </w:rPr>
            </w:pPr>
            <w:r w:rsidRPr="00D92E20">
              <w:rPr>
                <w:rFonts w:cs="Arial"/>
                <w:b/>
                <w:bCs/>
                <w:color w:val="000000"/>
                <w:sz w:val="16"/>
                <w:szCs w:val="16"/>
              </w:rPr>
              <w:t>3,5</w:t>
            </w:r>
          </w:p>
        </w:tc>
        <w:tc>
          <w:tcPr>
            <w:tcW w:w="567" w:type="dxa"/>
            <w:tcBorders>
              <w:top w:val="nil"/>
              <w:left w:val="nil"/>
              <w:bottom w:val="nil"/>
              <w:right w:val="nil"/>
            </w:tcBorders>
            <w:shd w:val="clear" w:color="auto" w:fill="auto"/>
            <w:noWrap/>
            <w:vAlign w:val="center"/>
            <w:hideMark/>
          </w:tcPr>
          <w:p w14:paraId="53B52250" w14:textId="77777777" w:rsidR="008A3A13" w:rsidRPr="00D92E20" w:rsidRDefault="008A3A13" w:rsidP="008A3A13">
            <w:pPr>
              <w:spacing w:after="0" w:line="240" w:lineRule="auto"/>
              <w:jc w:val="center"/>
              <w:rPr>
                <w:rFonts w:cs="Arial"/>
                <w:b/>
                <w:bCs/>
                <w:color w:val="000000"/>
                <w:sz w:val="16"/>
                <w:szCs w:val="16"/>
              </w:rPr>
            </w:pPr>
            <w:r w:rsidRPr="00D92E20">
              <w:rPr>
                <w:rFonts w:cs="Arial"/>
                <w:b/>
                <w:bCs/>
                <w:color w:val="000000"/>
                <w:sz w:val="16"/>
                <w:szCs w:val="16"/>
              </w:rPr>
              <w:t>3,6</w:t>
            </w:r>
          </w:p>
        </w:tc>
        <w:tc>
          <w:tcPr>
            <w:tcW w:w="567" w:type="dxa"/>
            <w:tcBorders>
              <w:top w:val="nil"/>
              <w:left w:val="nil"/>
              <w:bottom w:val="nil"/>
              <w:right w:val="nil"/>
            </w:tcBorders>
            <w:shd w:val="clear" w:color="auto" w:fill="auto"/>
            <w:noWrap/>
            <w:vAlign w:val="center"/>
            <w:hideMark/>
          </w:tcPr>
          <w:p w14:paraId="66F22656" w14:textId="77777777" w:rsidR="008A3A13" w:rsidRPr="00D92E20" w:rsidRDefault="008A3A13" w:rsidP="008A3A13">
            <w:pPr>
              <w:spacing w:after="0" w:line="240" w:lineRule="auto"/>
              <w:jc w:val="center"/>
              <w:rPr>
                <w:rFonts w:cs="Arial"/>
                <w:b/>
                <w:bCs/>
                <w:color w:val="000000"/>
                <w:sz w:val="16"/>
                <w:szCs w:val="16"/>
              </w:rPr>
            </w:pPr>
            <w:r w:rsidRPr="00D92E20">
              <w:rPr>
                <w:rFonts w:cs="Arial"/>
                <w:b/>
                <w:bCs/>
                <w:color w:val="000000"/>
                <w:sz w:val="16"/>
                <w:szCs w:val="16"/>
              </w:rPr>
              <w:t>3,7</w:t>
            </w:r>
          </w:p>
        </w:tc>
        <w:tc>
          <w:tcPr>
            <w:tcW w:w="567" w:type="dxa"/>
            <w:tcBorders>
              <w:top w:val="nil"/>
              <w:left w:val="nil"/>
              <w:bottom w:val="nil"/>
              <w:right w:val="nil"/>
            </w:tcBorders>
            <w:shd w:val="clear" w:color="auto" w:fill="auto"/>
            <w:noWrap/>
            <w:vAlign w:val="center"/>
            <w:hideMark/>
          </w:tcPr>
          <w:p w14:paraId="72B591D2" w14:textId="77777777" w:rsidR="008A3A13" w:rsidRPr="00D92E20" w:rsidRDefault="008A3A13" w:rsidP="008A3A13">
            <w:pPr>
              <w:spacing w:after="0" w:line="240" w:lineRule="auto"/>
              <w:jc w:val="center"/>
              <w:rPr>
                <w:rFonts w:cs="Arial"/>
                <w:b/>
                <w:bCs/>
                <w:color w:val="000000"/>
                <w:sz w:val="16"/>
                <w:szCs w:val="16"/>
              </w:rPr>
            </w:pPr>
            <w:r w:rsidRPr="00D92E20">
              <w:rPr>
                <w:rFonts w:cs="Arial"/>
                <w:b/>
                <w:bCs/>
                <w:color w:val="000000"/>
                <w:sz w:val="16"/>
                <w:szCs w:val="16"/>
              </w:rPr>
              <w:t>4,1</w:t>
            </w:r>
          </w:p>
        </w:tc>
        <w:tc>
          <w:tcPr>
            <w:tcW w:w="567" w:type="dxa"/>
            <w:tcBorders>
              <w:top w:val="nil"/>
              <w:left w:val="nil"/>
              <w:bottom w:val="nil"/>
              <w:right w:val="nil"/>
            </w:tcBorders>
            <w:shd w:val="clear" w:color="auto" w:fill="auto"/>
            <w:noWrap/>
            <w:vAlign w:val="center"/>
            <w:hideMark/>
          </w:tcPr>
          <w:p w14:paraId="3AA82AA9" w14:textId="77777777" w:rsidR="008A3A13" w:rsidRPr="00D92E20" w:rsidRDefault="008A3A13" w:rsidP="008A3A13">
            <w:pPr>
              <w:spacing w:after="0" w:line="240" w:lineRule="auto"/>
              <w:jc w:val="center"/>
              <w:rPr>
                <w:rFonts w:cs="Arial"/>
                <w:b/>
                <w:bCs/>
                <w:color w:val="000000"/>
                <w:sz w:val="16"/>
                <w:szCs w:val="16"/>
              </w:rPr>
            </w:pPr>
            <w:r w:rsidRPr="00D92E20">
              <w:rPr>
                <w:rFonts w:cs="Arial"/>
                <w:b/>
                <w:bCs/>
                <w:color w:val="000000"/>
                <w:sz w:val="16"/>
                <w:szCs w:val="16"/>
              </w:rPr>
              <w:t>4,2</w:t>
            </w:r>
          </w:p>
        </w:tc>
        <w:tc>
          <w:tcPr>
            <w:tcW w:w="567" w:type="dxa"/>
            <w:tcBorders>
              <w:top w:val="nil"/>
              <w:left w:val="nil"/>
              <w:bottom w:val="nil"/>
              <w:right w:val="nil"/>
            </w:tcBorders>
            <w:shd w:val="clear" w:color="auto" w:fill="auto"/>
            <w:noWrap/>
            <w:vAlign w:val="center"/>
            <w:hideMark/>
          </w:tcPr>
          <w:p w14:paraId="60797B85" w14:textId="77777777" w:rsidR="008A3A13" w:rsidRPr="00D92E20" w:rsidRDefault="008A3A13" w:rsidP="008A3A13">
            <w:pPr>
              <w:spacing w:after="0" w:line="240" w:lineRule="auto"/>
              <w:jc w:val="center"/>
              <w:rPr>
                <w:rFonts w:cs="Arial"/>
                <w:b/>
                <w:bCs/>
                <w:color w:val="000000"/>
                <w:sz w:val="16"/>
                <w:szCs w:val="16"/>
              </w:rPr>
            </w:pPr>
            <w:r w:rsidRPr="00D92E20">
              <w:rPr>
                <w:rFonts w:cs="Arial"/>
                <w:b/>
                <w:bCs/>
                <w:color w:val="000000"/>
                <w:sz w:val="16"/>
                <w:szCs w:val="16"/>
              </w:rPr>
              <w:t>4,3</w:t>
            </w:r>
          </w:p>
        </w:tc>
        <w:tc>
          <w:tcPr>
            <w:tcW w:w="567" w:type="dxa"/>
            <w:tcBorders>
              <w:top w:val="nil"/>
              <w:left w:val="nil"/>
              <w:bottom w:val="nil"/>
              <w:right w:val="nil"/>
            </w:tcBorders>
            <w:shd w:val="clear" w:color="auto" w:fill="auto"/>
            <w:noWrap/>
            <w:vAlign w:val="center"/>
            <w:hideMark/>
          </w:tcPr>
          <w:p w14:paraId="2F848D43" w14:textId="77777777" w:rsidR="008A3A13" w:rsidRPr="00D92E20" w:rsidRDefault="008A3A13" w:rsidP="008A3A13">
            <w:pPr>
              <w:spacing w:after="0" w:line="240" w:lineRule="auto"/>
              <w:jc w:val="center"/>
              <w:rPr>
                <w:rFonts w:cs="Arial"/>
                <w:b/>
                <w:bCs/>
                <w:color w:val="000000"/>
                <w:sz w:val="16"/>
                <w:szCs w:val="16"/>
              </w:rPr>
            </w:pPr>
            <w:r w:rsidRPr="00D92E20">
              <w:rPr>
                <w:rFonts w:cs="Arial"/>
                <w:b/>
                <w:bCs/>
                <w:color w:val="000000"/>
                <w:sz w:val="16"/>
                <w:szCs w:val="16"/>
              </w:rPr>
              <w:t>4,5</w:t>
            </w:r>
          </w:p>
        </w:tc>
        <w:tc>
          <w:tcPr>
            <w:tcW w:w="567" w:type="dxa"/>
            <w:tcBorders>
              <w:top w:val="nil"/>
              <w:left w:val="nil"/>
              <w:bottom w:val="nil"/>
              <w:right w:val="nil"/>
            </w:tcBorders>
            <w:shd w:val="clear" w:color="auto" w:fill="auto"/>
            <w:noWrap/>
            <w:vAlign w:val="center"/>
            <w:hideMark/>
          </w:tcPr>
          <w:p w14:paraId="0B2C050E" w14:textId="77777777" w:rsidR="008A3A13" w:rsidRPr="00D92E20" w:rsidRDefault="008A3A13" w:rsidP="008A3A13">
            <w:pPr>
              <w:spacing w:after="0" w:line="240" w:lineRule="auto"/>
              <w:jc w:val="center"/>
              <w:rPr>
                <w:rFonts w:cs="Arial"/>
                <w:b/>
                <w:bCs/>
                <w:color w:val="000000"/>
                <w:sz w:val="16"/>
                <w:szCs w:val="16"/>
              </w:rPr>
            </w:pPr>
            <w:r w:rsidRPr="00D92E20">
              <w:rPr>
                <w:rFonts w:cs="Arial"/>
                <w:b/>
                <w:bCs/>
                <w:color w:val="000000"/>
                <w:sz w:val="16"/>
                <w:szCs w:val="16"/>
              </w:rPr>
              <w:t>4,7</w:t>
            </w:r>
          </w:p>
        </w:tc>
        <w:tc>
          <w:tcPr>
            <w:tcW w:w="567" w:type="dxa"/>
            <w:tcBorders>
              <w:top w:val="nil"/>
              <w:left w:val="nil"/>
              <w:bottom w:val="nil"/>
              <w:right w:val="nil"/>
            </w:tcBorders>
            <w:shd w:val="clear" w:color="auto" w:fill="auto"/>
            <w:noWrap/>
            <w:vAlign w:val="center"/>
            <w:hideMark/>
          </w:tcPr>
          <w:p w14:paraId="32CAA907" w14:textId="77777777" w:rsidR="008A3A13" w:rsidRPr="00D92E20" w:rsidRDefault="008A3A13" w:rsidP="008A3A13">
            <w:pPr>
              <w:spacing w:after="0" w:line="240" w:lineRule="auto"/>
              <w:jc w:val="center"/>
              <w:rPr>
                <w:rFonts w:cs="Arial"/>
                <w:b/>
                <w:bCs/>
                <w:color w:val="000000"/>
                <w:sz w:val="16"/>
                <w:szCs w:val="16"/>
              </w:rPr>
            </w:pPr>
            <w:r w:rsidRPr="00D92E20">
              <w:rPr>
                <w:rFonts w:cs="Arial"/>
                <w:b/>
                <w:bCs/>
                <w:color w:val="000000"/>
                <w:sz w:val="16"/>
                <w:szCs w:val="16"/>
              </w:rPr>
              <w:t>5,5</w:t>
            </w:r>
          </w:p>
        </w:tc>
        <w:tc>
          <w:tcPr>
            <w:tcW w:w="567" w:type="dxa"/>
            <w:tcBorders>
              <w:top w:val="single" w:sz="4" w:space="0" w:color="auto"/>
            </w:tcBorders>
            <w:vAlign w:val="center"/>
          </w:tcPr>
          <w:p w14:paraId="23C33B33" w14:textId="77777777" w:rsidR="008A3A13" w:rsidRPr="00D92E20" w:rsidRDefault="008A3A13" w:rsidP="008A3A13">
            <w:pPr>
              <w:spacing w:after="0" w:line="240" w:lineRule="auto"/>
              <w:jc w:val="center"/>
            </w:pPr>
            <w:r>
              <w:rPr>
                <w:rFonts w:cs="Arial"/>
                <w:b/>
                <w:bCs/>
                <w:color w:val="000000"/>
                <w:sz w:val="16"/>
                <w:szCs w:val="16"/>
              </w:rPr>
              <w:t>5,5</w:t>
            </w:r>
          </w:p>
        </w:tc>
      </w:tr>
      <w:tr w:rsidR="008A3A13" w:rsidRPr="00D92E20" w14:paraId="70AFAAD7"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3586BE70"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A – Zemědělství, lesnictví a rybářství</w:t>
            </w:r>
          </w:p>
        </w:tc>
        <w:tc>
          <w:tcPr>
            <w:tcW w:w="567" w:type="dxa"/>
            <w:tcBorders>
              <w:top w:val="nil"/>
              <w:left w:val="nil"/>
              <w:bottom w:val="nil"/>
              <w:right w:val="nil"/>
            </w:tcBorders>
            <w:shd w:val="clear" w:color="auto" w:fill="auto"/>
            <w:noWrap/>
            <w:vAlign w:val="center"/>
            <w:hideMark/>
          </w:tcPr>
          <w:p w14:paraId="0D4498B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4,5</w:t>
            </w:r>
          </w:p>
        </w:tc>
        <w:tc>
          <w:tcPr>
            <w:tcW w:w="567" w:type="dxa"/>
            <w:tcBorders>
              <w:top w:val="nil"/>
              <w:left w:val="nil"/>
              <w:bottom w:val="nil"/>
              <w:right w:val="nil"/>
            </w:tcBorders>
            <w:shd w:val="clear" w:color="auto" w:fill="auto"/>
            <w:noWrap/>
            <w:vAlign w:val="center"/>
            <w:hideMark/>
          </w:tcPr>
          <w:p w14:paraId="1BA3900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6CD842F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3F8CE37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1AFEB32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382AD89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5,0</w:t>
            </w:r>
          </w:p>
        </w:tc>
        <w:tc>
          <w:tcPr>
            <w:tcW w:w="567" w:type="dxa"/>
            <w:tcBorders>
              <w:top w:val="nil"/>
              <w:left w:val="nil"/>
              <w:bottom w:val="nil"/>
              <w:right w:val="nil"/>
            </w:tcBorders>
            <w:shd w:val="clear" w:color="auto" w:fill="auto"/>
            <w:noWrap/>
            <w:vAlign w:val="center"/>
            <w:hideMark/>
          </w:tcPr>
          <w:p w14:paraId="5EC436B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5,1</w:t>
            </w:r>
          </w:p>
        </w:tc>
        <w:tc>
          <w:tcPr>
            <w:tcW w:w="567" w:type="dxa"/>
            <w:tcBorders>
              <w:top w:val="nil"/>
              <w:left w:val="nil"/>
              <w:bottom w:val="nil"/>
              <w:right w:val="nil"/>
            </w:tcBorders>
            <w:shd w:val="clear" w:color="auto" w:fill="auto"/>
            <w:noWrap/>
            <w:vAlign w:val="center"/>
            <w:hideMark/>
          </w:tcPr>
          <w:p w14:paraId="287472E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5,3</w:t>
            </w:r>
          </w:p>
        </w:tc>
        <w:tc>
          <w:tcPr>
            <w:tcW w:w="567" w:type="dxa"/>
            <w:tcBorders>
              <w:top w:val="nil"/>
              <w:left w:val="nil"/>
              <w:bottom w:val="nil"/>
              <w:right w:val="nil"/>
            </w:tcBorders>
            <w:shd w:val="clear" w:color="auto" w:fill="auto"/>
            <w:noWrap/>
            <w:vAlign w:val="center"/>
            <w:hideMark/>
          </w:tcPr>
          <w:p w14:paraId="1669195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5,4</w:t>
            </w:r>
          </w:p>
        </w:tc>
        <w:tc>
          <w:tcPr>
            <w:tcW w:w="567" w:type="dxa"/>
            <w:tcBorders>
              <w:top w:val="nil"/>
              <w:left w:val="nil"/>
              <w:bottom w:val="nil"/>
              <w:right w:val="nil"/>
            </w:tcBorders>
            <w:shd w:val="clear" w:color="auto" w:fill="auto"/>
            <w:noWrap/>
            <w:vAlign w:val="center"/>
            <w:hideMark/>
          </w:tcPr>
          <w:p w14:paraId="58FE813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5,8</w:t>
            </w:r>
          </w:p>
        </w:tc>
        <w:tc>
          <w:tcPr>
            <w:tcW w:w="567" w:type="dxa"/>
            <w:vAlign w:val="center"/>
          </w:tcPr>
          <w:p w14:paraId="36AEF311" w14:textId="77777777" w:rsidR="008A3A13" w:rsidRPr="00D92E20" w:rsidRDefault="008A3A13" w:rsidP="008A3A13">
            <w:pPr>
              <w:spacing w:after="0" w:line="240" w:lineRule="auto"/>
              <w:jc w:val="center"/>
            </w:pPr>
            <w:r>
              <w:rPr>
                <w:rFonts w:cs="Arial"/>
                <w:color w:val="000000"/>
                <w:sz w:val="16"/>
                <w:szCs w:val="16"/>
              </w:rPr>
              <w:t>6,3</w:t>
            </w:r>
          </w:p>
        </w:tc>
      </w:tr>
      <w:tr w:rsidR="008A3A13" w:rsidRPr="00D92E20" w14:paraId="4548EF5B"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1E39E7E1"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B – Těžba a dobývání</w:t>
            </w:r>
          </w:p>
        </w:tc>
        <w:tc>
          <w:tcPr>
            <w:tcW w:w="567" w:type="dxa"/>
            <w:tcBorders>
              <w:top w:val="nil"/>
              <w:left w:val="nil"/>
              <w:bottom w:val="nil"/>
              <w:right w:val="nil"/>
            </w:tcBorders>
            <w:shd w:val="clear" w:color="auto" w:fill="auto"/>
            <w:noWrap/>
            <w:vAlign w:val="center"/>
            <w:hideMark/>
          </w:tcPr>
          <w:p w14:paraId="2E815A4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337086A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7EEB2F2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1F7CCDA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11E940AE"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3C63069D"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5,8</w:t>
            </w:r>
          </w:p>
        </w:tc>
        <w:tc>
          <w:tcPr>
            <w:tcW w:w="567" w:type="dxa"/>
            <w:tcBorders>
              <w:top w:val="nil"/>
              <w:left w:val="nil"/>
              <w:bottom w:val="nil"/>
              <w:right w:val="nil"/>
            </w:tcBorders>
            <w:shd w:val="clear" w:color="auto" w:fill="auto"/>
            <w:noWrap/>
            <w:vAlign w:val="center"/>
            <w:hideMark/>
          </w:tcPr>
          <w:p w14:paraId="3E017FBD"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6,0</w:t>
            </w:r>
          </w:p>
        </w:tc>
        <w:tc>
          <w:tcPr>
            <w:tcW w:w="567" w:type="dxa"/>
            <w:tcBorders>
              <w:top w:val="nil"/>
              <w:left w:val="nil"/>
              <w:bottom w:val="nil"/>
              <w:right w:val="nil"/>
            </w:tcBorders>
            <w:shd w:val="clear" w:color="auto" w:fill="auto"/>
            <w:noWrap/>
            <w:vAlign w:val="center"/>
            <w:hideMark/>
          </w:tcPr>
          <w:p w14:paraId="5A8E532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5,6</w:t>
            </w:r>
          </w:p>
        </w:tc>
        <w:tc>
          <w:tcPr>
            <w:tcW w:w="567" w:type="dxa"/>
            <w:tcBorders>
              <w:top w:val="nil"/>
              <w:left w:val="nil"/>
              <w:bottom w:val="nil"/>
              <w:right w:val="nil"/>
            </w:tcBorders>
            <w:shd w:val="clear" w:color="auto" w:fill="auto"/>
            <w:noWrap/>
            <w:vAlign w:val="center"/>
            <w:hideMark/>
          </w:tcPr>
          <w:p w14:paraId="21198CD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6,0</w:t>
            </w:r>
          </w:p>
        </w:tc>
        <w:tc>
          <w:tcPr>
            <w:tcW w:w="567" w:type="dxa"/>
            <w:tcBorders>
              <w:top w:val="nil"/>
              <w:left w:val="nil"/>
              <w:bottom w:val="nil"/>
              <w:right w:val="nil"/>
            </w:tcBorders>
            <w:shd w:val="clear" w:color="auto" w:fill="auto"/>
            <w:noWrap/>
            <w:vAlign w:val="center"/>
            <w:hideMark/>
          </w:tcPr>
          <w:p w14:paraId="6C3CBD0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7,9</w:t>
            </w:r>
          </w:p>
        </w:tc>
        <w:tc>
          <w:tcPr>
            <w:tcW w:w="567" w:type="dxa"/>
            <w:vAlign w:val="center"/>
          </w:tcPr>
          <w:p w14:paraId="712C2308" w14:textId="77777777" w:rsidR="008A3A13" w:rsidRPr="00D92E20" w:rsidRDefault="008A3A13" w:rsidP="008A3A13">
            <w:pPr>
              <w:spacing w:after="0" w:line="240" w:lineRule="auto"/>
              <w:jc w:val="center"/>
            </w:pPr>
            <w:r>
              <w:rPr>
                <w:rFonts w:cs="Arial"/>
                <w:color w:val="000000"/>
                <w:sz w:val="16"/>
                <w:szCs w:val="16"/>
              </w:rPr>
              <w:t>7,9</w:t>
            </w:r>
          </w:p>
        </w:tc>
      </w:tr>
      <w:tr w:rsidR="008A3A13" w:rsidRPr="00D92E20" w14:paraId="53CF5F1A"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1A133CDE"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C – Zpracovatelský průmysl</w:t>
            </w:r>
          </w:p>
        </w:tc>
        <w:tc>
          <w:tcPr>
            <w:tcW w:w="567" w:type="dxa"/>
            <w:tcBorders>
              <w:top w:val="nil"/>
              <w:left w:val="nil"/>
              <w:bottom w:val="nil"/>
              <w:right w:val="nil"/>
            </w:tcBorders>
            <w:shd w:val="clear" w:color="auto" w:fill="auto"/>
            <w:noWrap/>
            <w:vAlign w:val="center"/>
            <w:hideMark/>
          </w:tcPr>
          <w:p w14:paraId="6F12DD1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41B8063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4BD3E7A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4,5</w:t>
            </w:r>
          </w:p>
        </w:tc>
        <w:tc>
          <w:tcPr>
            <w:tcW w:w="567" w:type="dxa"/>
            <w:tcBorders>
              <w:top w:val="nil"/>
              <w:left w:val="nil"/>
              <w:bottom w:val="nil"/>
              <w:right w:val="nil"/>
            </w:tcBorders>
            <w:shd w:val="clear" w:color="auto" w:fill="auto"/>
            <w:noWrap/>
            <w:vAlign w:val="center"/>
            <w:hideMark/>
          </w:tcPr>
          <w:p w14:paraId="1B6B439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7D0DDC9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5,1</w:t>
            </w:r>
          </w:p>
        </w:tc>
        <w:tc>
          <w:tcPr>
            <w:tcW w:w="567" w:type="dxa"/>
            <w:tcBorders>
              <w:top w:val="nil"/>
              <w:left w:val="nil"/>
              <w:bottom w:val="nil"/>
              <w:right w:val="nil"/>
            </w:tcBorders>
            <w:shd w:val="clear" w:color="auto" w:fill="auto"/>
            <w:noWrap/>
            <w:vAlign w:val="center"/>
            <w:hideMark/>
          </w:tcPr>
          <w:p w14:paraId="17D45EAE"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5,5</w:t>
            </w:r>
          </w:p>
        </w:tc>
        <w:tc>
          <w:tcPr>
            <w:tcW w:w="567" w:type="dxa"/>
            <w:tcBorders>
              <w:top w:val="nil"/>
              <w:left w:val="nil"/>
              <w:bottom w:val="nil"/>
              <w:right w:val="nil"/>
            </w:tcBorders>
            <w:shd w:val="clear" w:color="auto" w:fill="auto"/>
            <w:noWrap/>
            <w:vAlign w:val="center"/>
            <w:hideMark/>
          </w:tcPr>
          <w:p w14:paraId="4940FA2C"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5,5</w:t>
            </w:r>
          </w:p>
        </w:tc>
        <w:tc>
          <w:tcPr>
            <w:tcW w:w="567" w:type="dxa"/>
            <w:tcBorders>
              <w:top w:val="nil"/>
              <w:left w:val="nil"/>
              <w:bottom w:val="nil"/>
              <w:right w:val="nil"/>
            </w:tcBorders>
            <w:shd w:val="clear" w:color="auto" w:fill="auto"/>
            <w:noWrap/>
            <w:vAlign w:val="center"/>
            <w:hideMark/>
          </w:tcPr>
          <w:p w14:paraId="5CCA565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5,9</w:t>
            </w:r>
          </w:p>
        </w:tc>
        <w:tc>
          <w:tcPr>
            <w:tcW w:w="567" w:type="dxa"/>
            <w:tcBorders>
              <w:top w:val="nil"/>
              <w:left w:val="nil"/>
              <w:bottom w:val="nil"/>
              <w:right w:val="nil"/>
            </w:tcBorders>
            <w:shd w:val="clear" w:color="auto" w:fill="auto"/>
            <w:noWrap/>
            <w:vAlign w:val="center"/>
            <w:hideMark/>
          </w:tcPr>
          <w:p w14:paraId="595EC76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6,2</w:t>
            </w:r>
          </w:p>
        </w:tc>
        <w:tc>
          <w:tcPr>
            <w:tcW w:w="567" w:type="dxa"/>
            <w:tcBorders>
              <w:top w:val="nil"/>
              <w:left w:val="nil"/>
              <w:bottom w:val="nil"/>
              <w:right w:val="nil"/>
            </w:tcBorders>
            <w:shd w:val="clear" w:color="auto" w:fill="auto"/>
            <w:noWrap/>
            <w:vAlign w:val="center"/>
            <w:hideMark/>
          </w:tcPr>
          <w:p w14:paraId="2413BF8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7,3</w:t>
            </w:r>
          </w:p>
        </w:tc>
        <w:tc>
          <w:tcPr>
            <w:tcW w:w="567" w:type="dxa"/>
            <w:vAlign w:val="center"/>
          </w:tcPr>
          <w:p w14:paraId="24A7C8CE" w14:textId="77777777" w:rsidR="008A3A13" w:rsidRPr="00D92E20" w:rsidRDefault="008A3A13" w:rsidP="008A3A13">
            <w:pPr>
              <w:spacing w:after="0" w:line="240" w:lineRule="auto"/>
              <w:jc w:val="center"/>
            </w:pPr>
            <w:r>
              <w:rPr>
                <w:rFonts w:cs="Arial"/>
                <w:color w:val="000000"/>
                <w:sz w:val="16"/>
                <w:szCs w:val="16"/>
              </w:rPr>
              <w:t>7,4</w:t>
            </w:r>
          </w:p>
        </w:tc>
      </w:tr>
      <w:tr w:rsidR="008A3A13" w:rsidRPr="00D92E20" w14:paraId="4E2E7679" w14:textId="77777777" w:rsidTr="008A3A13">
        <w:trPr>
          <w:trHeight w:val="480"/>
        </w:trPr>
        <w:tc>
          <w:tcPr>
            <w:tcW w:w="3402" w:type="dxa"/>
            <w:tcBorders>
              <w:top w:val="nil"/>
              <w:left w:val="nil"/>
              <w:bottom w:val="nil"/>
              <w:right w:val="single" w:sz="4" w:space="0" w:color="auto"/>
            </w:tcBorders>
            <w:shd w:val="clear" w:color="auto" w:fill="auto"/>
            <w:vAlign w:val="center"/>
            <w:hideMark/>
          </w:tcPr>
          <w:p w14:paraId="5580413C"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 xml:space="preserve">D – Výroba a rozvod elektřiny, plynu, tepla    </w:t>
            </w:r>
          </w:p>
          <w:p w14:paraId="34537E01"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 xml:space="preserve">      a klimatizovaného vzduchu</w:t>
            </w:r>
          </w:p>
        </w:tc>
        <w:tc>
          <w:tcPr>
            <w:tcW w:w="567" w:type="dxa"/>
            <w:tcBorders>
              <w:top w:val="nil"/>
              <w:left w:val="nil"/>
              <w:bottom w:val="nil"/>
              <w:right w:val="nil"/>
            </w:tcBorders>
            <w:shd w:val="clear" w:color="auto" w:fill="auto"/>
            <w:noWrap/>
            <w:vAlign w:val="center"/>
            <w:hideMark/>
          </w:tcPr>
          <w:p w14:paraId="0215B2B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15762C3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w:t>
            </w:r>
          </w:p>
        </w:tc>
        <w:tc>
          <w:tcPr>
            <w:tcW w:w="567" w:type="dxa"/>
            <w:tcBorders>
              <w:top w:val="nil"/>
              <w:left w:val="nil"/>
              <w:bottom w:val="nil"/>
              <w:right w:val="nil"/>
            </w:tcBorders>
            <w:shd w:val="clear" w:color="auto" w:fill="auto"/>
            <w:noWrap/>
            <w:vAlign w:val="center"/>
            <w:hideMark/>
          </w:tcPr>
          <w:p w14:paraId="718A042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56CD5CE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1F71C79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6B028BC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5BB9134E"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2,8</w:t>
            </w:r>
          </w:p>
        </w:tc>
        <w:tc>
          <w:tcPr>
            <w:tcW w:w="567" w:type="dxa"/>
            <w:tcBorders>
              <w:top w:val="nil"/>
              <w:left w:val="nil"/>
              <w:bottom w:val="nil"/>
              <w:right w:val="nil"/>
            </w:tcBorders>
            <w:shd w:val="clear" w:color="auto" w:fill="auto"/>
            <w:noWrap/>
            <w:vAlign w:val="center"/>
            <w:hideMark/>
          </w:tcPr>
          <w:p w14:paraId="6626723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2,9</w:t>
            </w:r>
          </w:p>
        </w:tc>
        <w:tc>
          <w:tcPr>
            <w:tcW w:w="567" w:type="dxa"/>
            <w:tcBorders>
              <w:top w:val="nil"/>
              <w:left w:val="nil"/>
              <w:bottom w:val="nil"/>
              <w:right w:val="nil"/>
            </w:tcBorders>
            <w:shd w:val="clear" w:color="auto" w:fill="auto"/>
            <w:noWrap/>
            <w:vAlign w:val="center"/>
            <w:hideMark/>
          </w:tcPr>
          <w:p w14:paraId="6BF8DB3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44FE6CAD"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3,3</w:t>
            </w:r>
          </w:p>
        </w:tc>
        <w:tc>
          <w:tcPr>
            <w:tcW w:w="567" w:type="dxa"/>
            <w:vAlign w:val="center"/>
          </w:tcPr>
          <w:p w14:paraId="6F9BFC64" w14:textId="77777777" w:rsidR="008A3A13" w:rsidRPr="00D92E20" w:rsidRDefault="008A3A13" w:rsidP="008A3A13">
            <w:pPr>
              <w:spacing w:after="0" w:line="240" w:lineRule="auto"/>
              <w:jc w:val="center"/>
            </w:pPr>
            <w:r>
              <w:rPr>
                <w:rFonts w:cs="Arial"/>
                <w:color w:val="000000"/>
                <w:sz w:val="16"/>
                <w:szCs w:val="16"/>
              </w:rPr>
              <w:t>3,6</w:t>
            </w:r>
          </w:p>
        </w:tc>
      </w:tr>
      <w:tr w:rsidR="008A3A13" w:rsidRPr="00D92E20" w14:paraId="2A3AB120" w14:textId="77777777" w:rsidTr="008A3A13">
        <w:trPr>
          <w:trHeight w:val="480"/>
        </w:trPr>
        <w:tc>
          <w:tcPr>
            <w:tcW w:w="3402" w:type="dxa"/>
            <w:tcBorders>
              <w:top w:val="nil"/>
              <w:left w:val="nil"/>
              <w:bottom w:val="nil"/>
              <w:right w:val="single" w:sz="4" w:space="0" w:color="auto"/>
            </w:tcBorders>
            <w:shd w:val="clear" w:color="auto" w:fill="auto"/>
            <w:vAlign w:val="center"/>
            <w:hideMark/>
          </w:tcPr>
          <w:p w14:paraId="6783DA65"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 xml:space="preserve">E – Zásobování vodou; činnosti </w:t>
            </w:r>
            <w:r w:rsidRPr="00D92E20">
              <w:rPr>
                <w:rFonts w:cs="Arial"/>
                <w:color w:val="000000"/>
                <w:sz w:val="16"/>
                <w:szCs w:val="16"/>
              </w:rPr>
              <w:br/>
              <w:t xml:space="preserve">          související s odpady a sanacemi</w:t>
            </w:r>
          </w:p>
        </w:tc>
        <w:tc>
          <w:tcPr>
            <w:tcW w:w="567" w:type="dxa"/>
            <w:tcBorders>
              <w:top w:val="nil"/>
              <w:left w:val="nil"/>
              <w:bottom w:val="nil"/>
              <w:right w:val="nil"/>
            </w:tcBorders>
            <w:shd w:val="clear" w:color="auto" w:fill="auto"/>
            <w:noWrap/>
            <w:vAlign w:val="center"/>
            <w:hideMark/>
          </w:tcPr>
          <w:p w14:paraId="485E37B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618D792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0B6E5E3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3,7</w:t>
            </w:r>
          </w:p>
        </w:tc>
        <w:tc>
          <w:tcPr>
            <w:tcW w:w="567" w:type="dxa"/>
            <w:tcBorders>
              <w:top w:val="nil"/>
              <w:left w:val="nil"/>
              <w:bottom w:val="nil"/>
              <w:right w:val="nil"/>
            </w:tcBorders>
            <w:shd w:val="clear" w:color="auto" w:fill="auto"/>
            <w:noWrap/>
            <w:vAlign w:val="center"/>
            <w:hideMark/>
          </w:tcPr>
          <w:p w14:paraId="2420ED3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1E387E1E"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4,3</w:t>
            </w:r>
          </w:p>
        </w:tc>
        <w:tc>
          <w:tcPr>
            <w:tcW w:w="567" w:type="dxa"/>
            <w:tcBorders>
              <w:top w:val="nil"/>
              <w:left w:val="nil"/>
              <w:bottom w:val="nil"/>
              <w:right w:val="nil"/>
            </w:tcBorders>
            <w:shd w:val="clear" w:color="auto" w:fill="auto"/>
            <w:noWrap/>
            <w:vAlign w:val="center"/>
            <w:hideMark/>
          </w:tcPr>
          <w:p w14:paraId="784B0E6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7274668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768E0C1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4273312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5,2</w:t>
            </w:r>
          </w:p>
        </w:tc>
        <w:tc>
          <w:tcPr>
            <w:tcW w:w="567" w:type="dxa"/>
            <w:tcBorders>
              <w:top w:val="nil"/>
              <w:left w:val="nil"/>
              <w:bottom w:val="nil"/>
              <w:right w:val="nil"/>
            </w:tcBorders>
            <w:shd w:val="clear" w:color="auto" w:fill="auto"/>
            <w:noWrap/>
            <w:vAlign w:val="center"/>
            <w:hideMark/>
          </w:tcPr>
          <w:p w14:paraId="5831EB8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5,9</w:t>
            </w:r>
          </w:p>
        </w:tc>
        <w:tc>
          <w:tcPr>
            <w:tcW w:w="567" w:type="dxa"/>
            <w:vAlign w:val="center"/>
          </w:tcPr>
          <w:p w14:paraId="0E248623" w14:textId="77777777" w:rsidR="008A3A13" w:rsidRPr="00D92E20" w:rsidRDefault="008A3A13" w:rsidP="008A3A13">
            <w:pPr>
              <w:spacing w:after="0" w:line="240" w:lineRule="auto"/>
              <w:jc w:val="center"/>
            </w:pPr>
            <w:r>
              <w:rPr>
                <w:rFonts w:cs="Arial"/>
                <w:color w:val="000000"/>
                <w:sz w:val="16"/>
                <w:szCs w:val="16"/>
              </w:rPr>
              <w:t>6,5</w:t>
            </w:r>
          </w:p>
        </w:tc>
      </w:tr>
      <w:tr w:rsidR="008A3A13" w:rsidRPr="00D92E20" w14:paraId="6028F747"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28A9EC3F"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F – Stavebnictví</w:t>
            </w:r>
          </w:p>
        </w:tc>
        <w:tc>
          <w:tcPr>
            <w:tcW w:w="567" w:type="dxa"/>
            <w:tcBorders>
              <w:top w:val="nil"/>
              <w:left w:val="nil"/>
              <w:bottom w:val="nil"/>
              <w:right w:val="nil"/>
            </w:tcBorders>
            <w:shd w:val="clear" w:color="auto" w:fill="auto"/>
            <w:noWrap/>
            <w:vAlign w:val="center"/>
            <w:hideMark/>
          </w:tcPr>
          <w:p w14:paraId="19D8FBA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343A726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4142EF1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4,5</w:t>
            </w:r>
          </w:p>
        </w:tc>
        <w:tc>
          <w:tcPr>
            <w:tcW w:w="567" w:type="dxa"/>
            <w:tcBorders>
              <w:top w:val="nil"/>
              <w:left w:val="nil"/>
              <w:bottom w:val="nil"/>
              <w:right w:val="nil"/>
            </w:tcBorders>
            <w:shd w:val="clear" w:color="auto" w:fill="auto"/>
            <w:noWrap/>
            <w:vAlign w:val="center"/>
            <w:hideMark/>
          </w:tcPr>
          <w:p w14:paraId="3FDB4F3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5B7B1FF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1D85190D"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161EB98E"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33C1280C"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142A155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2D80D72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5,5</w:t>
            </w:r>
          </w:p>
        </w:tc>
        <w:tc>
          <w:tcPr>
            <w:tcW w:w="567" w:type="dxa"/>
            <w:vAlign w:val="center"/>
          </w:tcPr>
          <w:p w14:paraId="42CA2637" w14:textId="77777777" w:rsidR="008A3A13" w:rsidRPr="00D92E20" w:rsidRDefault="008A3A13" w:rsidP="008A3A13">
            <w:pPr>
              <w:spacing w:after="0" w:line="240" w:lineRule="auto"/>
              <w:jc w:val="center"/>
            </w:pPr>
            <w:r>
              <w:rPr>
                <w:rFonts w:cs="Arial"/>
                <w:color w:val="000000"/>
                <w:sz w:val="16"/>
                <w:szCs w:val="16"/>
              </w:rPr>
              <w:t>5,7</w:t>
            </w:r>
          </w:p>
        </w:tc>
      </w:tr>
      <w:tr w:rsidR="008A3A13" w:rsidRPr="00D92E20" w14:paraId="5C31499C" w14:textId="77777777" w:rsidTr="008A3A13">
        <w:trPr>
          <w:trHeight w:val="480"/>
        </w:trPr>
        <w:tc>
          <w:tcPr>
            <w:tcW w:w="3402" w:type="dxa"/>
            <w:tcBorders>
              <w:top w:val="nil"/>
              <w:left w:val="nil"/>
              <w:bottom w:val="nil"/>
              <w:right w:val="single" w:sz="4" w:space="0" w:color="auto"/>
            </w:tcBorders>
            <w:shd w:val="clear" w:color="auto" w:fill="auto"/>
            <w:vAlign w:val="center"/>
            <w:hideMark/>
          </w:tcPr>
          <w:p w14:paraId="1EA33CD5"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 xml:space="preserve">G – Velkoobchod a maloobchod; </w:t>
            </w:r>
            <w:r w:rsidRPr="00D92E20">
              <w:rPr>
                <w:rFonts w:cs="Arial"/>
                <w:color w:val="000000"/>
                <w:sz w:val="16"/>
                <w:szCs w:val="16"/>
              </w:rPr>
              <w:br/>
              <w:t xml:space="preserve">          opravy a údržba motorových vozidel</w:t>
            </w:r>
          </w:p>
        </w:tc>
        <w:tc>
          <w:tcPr>
            <w:tcW w:w="567" w:type="dxa"/>
            <w:tcBorders>
              <w:top w:val="nil"/>
              <w:left w:val="nil"/>
              <w:bottom w:val="nil"/>
              <w:right w:val="nil"/>
            </w:tcBorders>
            <w:shd w:val="clear" w:color="auto" w:fill="auto"/>
            <w:noWrap/>
            <w:vAlign w:val="center"/>
            <w:hideMark/>
          </w:tcPr>
          <w:p w14:paraId="77616947"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6F10C7F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71D3723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57D0B59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7CD2479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2A10D2AE"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626F35D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5F71C17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2A17C0D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6C4D739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5,7</w:t>
            </w:r>
          </w:p>
        </w:tc>
        <w:tc>
          <w:tcPr>
            <w:tcW w:w="567" w:type="dxa"/>
            <w:vAlign w:val="center"/>
          </w:tcPr>
          <w:p w14:paraId="72590568" w14:textId="77777777" w:rsidR="008A3A13" w:rsidRPr="00D92E20" w:rsidRDefault="008A3A13" w:rsidP="008A3A13">
            <w:pPr>
              <w:spacing w:after="0" w:line="240" w:lineRule="auto"/>
              <w:jc w:val="center"/>
            </w:pPr>
            <w:r>
              <w:rPr>
                <w:rFonts w:cs="Arial"/>
                <w:color w:val="000000"/>
                <w:sz w:val="16"/>
                <w:szCs w:val="16"/>
              </w:rPr>
              <w:t>5,7</w:t>
            </w:r>
          </w:p>
        </w:tc>
      </w:tr>
      <w:tr w:rsidR="008A3A13" w:rsidRPr="00D92E20" w14:paraId="27863C45"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69E1D5FD"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H – Doprava a skladování</w:t>
            </w:r>
          </w:p>
        </w:tc>
        <w:tc>
          <w:tcPr>
            <w:tcW w:w="567" w:type="dxa"/>
            <w:tcBorders>
              <w:top w:val="nil"/>
              <w:left w:val="nil"/>
              <w:bottom w:val="nil"/>
              <w:right w:val="nil"/>
            </w:tcBorders>
            <w:shd w:val="clear" w:color="auto" w:fill="auto"/>
            <w:noWrap/>
            <w:vAlign w:val="center"/>
            <w:hideMark/>
          </w:tcPr>
          <w:p w14:paraId="17DB2F77"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4EB8B8ED"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3,5</w:t>
            </w:r>
          </w:p>
        </w:tc>
        <w:tc>
          <w:tcPr>
            <w:tcW w:w="567" w:type="dxa"/>
            <w:tcBorders>
              <w:top w:val="nil"/>
              <w:left w:val="nil"/>
              <w:bottom w:val="nil"/>
              <w:right w:val="nil"/>
            </w:tcBorders>
            <w:shd w:val="clear" w:color="auto" w:fill="auto"/>
            <w:noWrap/>
            <w:vAlign w:val="center"/>
            <w:hideMark/>
          </w:tcPr>
          <w:p w14:paraId="1F9B4DFE"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240BC05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71DEDD3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0DD95A6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666CF52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7D05E907"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66C9A827"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6144CEA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5,8</w:t>
            </w:r>
          </w:p>
        </w:tc>
        <w:tc>
          <w:tcPr>
            <w:tcW w:w="567" w:type="dxa"/>
            <w:vAlign w:val="center"/>
          </w:tcPr>
          <w:p w14:paraId="27BA0CB5" w14:textId="77777777" w:rsidR="008A3A13" w:rsidRPr="00D92E20" w:rsidRDefault="008A3A13" w:rsidP="008A3A13">
            <w:pPr>
              <w:spacing w:after="0" w:line="240" w:lineRule="auto"/>
              <w:jc w:val="center"/>
            </w:pPr>
            <w:r>
              <w:rPr>
                <w:rFonts w:cs="Arial"/>
                <w:color w:val="000000"/>
                <w:sz w:val="16"/>
                <w:szCs w:val="16"/>
              </w:rPr>
              <w:t>6,1</w:t>
            </w:r>
          </w:p>
        </w:tc>
      </w:tr>
      <w:tr w:rsidR="008A3A13" w:rsidRPr="00D92E20" w14:paraId="2EB6E9A1"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63C2E59A"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I – Ubytování, stravování a pohostinství</w:t>
            </w:r>
          </w:p>
        </w:tc>
        <w:tc>
          <w:tcPr>
            <w:tcW w:w="567" w:type="dxa"/>
            <w:tcBorders>
              <w:top w:val="nil"/>
              <w:left w:val="nil"/>
              <w:bottom w:val="nil"/>
              <w:right w:val="nil"/>
            </w:tcBorders>
            <w:shd w:val="clear" w:color="auto" w:fill="auto"/>
            <w:noWrap/>
            <w:vAlign w:val="center"/>
            <w:hideMark/>
          </w:tcPr>
          <w:p w14:paraId="46EF2A2C"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6031C30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7013FD1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3,7</w:t>
            </w:r>
          </w:p>
        </w:tc>
        <w:tc>
          <w:tcPr>
            <w:tcW w:w="567" w:type="dxa"/>
            <w:tcBorders>
              <w:top w:val="nil"/>
              <w:left w:val="nil"/>
              <w:bottom w:val="nil"/>
              <w:right w:val="nil"/>
            </w:tcBorders>
            <w:shd w:val="clear" w:color="auto" w:fill="auto"/>
            <w:noWrap/>
            <w:vAlign w:val="center"/>
            <w:hideMark/>
          </w:tcPr>
          <w:p w14:paraId="49E07C5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440F2FE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15ACCADE"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20EF715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1CDC673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4E702A1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400C1D1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6,5</w:t>
            </w:r>
          </w:p>
        </w:tc>
        <w:tc>
          <w:tcPr>
            <w:tcW w:w="567" w:type="dxa"/>
            <w:vAlign w:val="center"/>
          </w:tcPr>
          <w:p w14:paraId="2BC48F37" w14:textId="77777777" w:rsidR="008A3A13" w:rsidRPr="00D92E20" w:rsidRDefault="008A3A13" w:rsidP="008A3A13">
            <w:pPr>
              <w:spacing w:after="0" w:line="240" w:lineRule="auto"/>
              <w:jc w:val="center"/>
            </w:pPr>
            <w:r>
              <w:rPr>
                <w:rFonts w:cs="Arial"/>
                <w:color w:val="000000"/>
                <w:sz w:val="16"/>
                <w:szCs w:val="16"/>
              </w:rPr>
              <w:t>5,2</w:t>
            </w:r>
          </w:p>
        </w:tc>
      </w:tr>
      <w:tr w:rsidR="008A3A13" w:rsidRPr="00D92E20" w14:paraId="419206C5"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3A2D8541"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J – Informační a komunikační činnosti</w:t>
            </w:r>
          </w:p>
        </w:tc>
        <w:tc>
          <w:tcPr>
            <w:tcW w:w="567" w:type="dxa"/>
            <w:tcBorders>
              <w:top w:val="nil"/>
              <w:left w:val="nil"/>
              <w:bottom w:val="nil"/>
              <w:right w:val="nil"/>
            </w:tcBorders>
            <w:shd w:val="clear" w:color="auto" w:fill="auto"/>
            <w:noWrap/>
            <w:vAlign w:val="center"/>
            <w:hideMark/>
          </w:tcPr>
          <w:p w14:paraId="7F5DD83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1,9</w:t>
            </w:r>
          </w:p>
        </w:tc>
        <w:tc>
          <w:tcPr>
            <w:tcW w:w="567" w:type="dxa"/>
            <w:tcBorders>
              <w:top w:val="nil"/>
              <w:left w:val="nil"/>
              <w:bottom w:val="nil"/>
              <w:right w:val="nil"/>
            </w:tcBorders>
            <w:shd w:val="clear" w:color="auto" w:fill="auto"/>
            <w:noWrap/>
            <w:vAlign w:val="center"/>
            <w:hideMark/>
          </w:tcPr>
          <w:p w14:paraId="4E3BB7E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1,6</w:t>
            </w:r>
          </w:p>
        </w:tc>
        <w:tc>
          <w:tcPr>
            <w:tcW w:w="567" w:type="dxa"/>
            <w:tcBorders>
              <w:top w:val="nil"/>
              <w:left w:val="nil"/>
              <w:bottom w:val="nil"/>
              <w:right w:val="nil"/>
            </w:tcBorders>
            <w:shd w:val="clear" w:color="auto" w:fill="auto"/>
            <w:noWrap/>
            <w:vAlign w:val="center"/>
            <w:hideMark/>
          </w:tcPr>
          <w:p w14:paraId="6409F1C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1,6</w:t>
            </w:r>
          </w:p>
        </w:tc>
        <w:tc>
          <w:tcPr>
            <w:tcW w:w="567" w:type="dxa"/>
            <w:tcBorders>
              <w:top w:val="nil"/>
              <w:left w:val="nil"/>
              <w:bottom w:val="nil"/>
              <w:right w:val="nil"/>
            </w:tcBorders>
            <w:shd w:val="clear" w:color="auto" w:fill="auto"/>
            <w:noWrap/>
            <w:vAlign w:val="center"/>
            <w:hideMark/>
          </w:tcPr>
          <w:p w14:paraId="6C8C49BC"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1,7</w:t>
            </w:r>
          </w:p>
        </w:tc>
        <w:tc>
          <w:tcPr>
            <w:tcW w:w="567" w:type="dxa"/>
            <w:tcBorders>
              <w:top w:val="nil"/>
              <w:left w:val="nil"/>
              <w:bottom w:val="nil"/>
              <w:right w:val="nil"/>
            </w:tcBorders>
            <w:shd w:val="clear" w:color="auto" w:fill="auto"/>
            <w:noWrap/>
            <w:vAlign w:val="center"/>
            <w:hideMark/>
          </w:tcPr>
          <w:p w14:paraId="5CF59C3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1,7</w:t>
            </w:r>
          </w:p>
        </w:tc>
        <w:tc>
          <w:tcPr>
            <w:tcW w:w="567" w:type="dxa"/>
            <w:tcBorders>
              <w:top w:val="nil"/>
              <w:left w:val="nil"/>
              <w:bottom w:val="nil"/>
              <w:right w:val="nil"/>
            </w:tcBorders>
            <w:shd w:val="clear" w:color="auto" w:fill="auto"/>
            <w:noWrap/>
            <w:vAlign w:val="center"/>
            <w:hideMark/>
          </w:tcPr>
          <w:p w14:paraId="5576F1F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1,7</w:t>
            </w:r>
          </w:p>
        </w:tc>
        <w:tc>
          <w:tcPr>
            <w:tcW w:w="567" w:type="dxa"/>
            <w:tcBorders>
              <w:top w:val="nil"/>
              <w:left w:val="nil"/>
              <w:bottom w:val="nil"/>
              <w:right w:val="nil"/>
            </w:tcBorders>
            <w:shd w:val="clear" w:color="auto" w:fill="auto"/>
            <w:noWrap/>
            <w:vAlign w:val="center"/>
            <w:hideMark/>
          </w:tcPr>
          <w:p w14:paraId="4F2DD14C"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1,8</w:t>
            </w:r>
          </w:p>
        </w:tc>
        <w:tc>
          <w:tcPr>
            <w:tcW w:w="567" w:type="dxa"/>
            <w:tcBorders>
              <w:top w:val="nil"/>
              <w:left w:val="nil"/>
              <w:bottom w:val="nil"/>
              <w:right w:val="nil"/>
            </w:tcBorders>
            <w:shd w:val="clear" w:color="auto" w:fill="auto"/>
            <w:noWrap/>
            <w:vAlign w:val="center"/>
            <w:hideMark/>
          </w:tcPr>
          <w:p w14:paraId="2BC3236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1,9</w:t>
            </w:r>
          </w:p>
        </w:tc>
        <w:tc>
          <w:tcPr>
            <w:tcW w:w="567" w:type="dxa"/>
            <w:tcBorders>
              <w:top w:val="nil"/>
              <w:left w:val="nil"/>
              <w:bottom w:val="nil"/>
              <w:right w:val="nil"/>
            </w:tcBorders>
            <w:shd w:val="clear" w:color="auto" w:fill="auto"/>
            <w:noWrap/>
            <w:vAlign w:val="center"/>
            <w:hideMark/>
          </w:tcPr>
          <w:p w14:paraId="78321B9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1,9</w:t>
            </w:r>
          </w:p>
        </w:tc>
        <w:tc>
          <w:tcPr>
            <w:tcW w:w="567" w:type="dxa"/>
            <w:tcBorders>
              <w:top w:val="nil"/>
              <w:left w:val="nil"/>
              <w:bottom w:val="nil"/>
              <w:right w:val="nil"/>
            </w:tcBorders>
            <w:shd w:val="clear" w:color="auto" w:fill="auto"/>
            <w:noWrap/>
            <w:vAlign w:val="center"/>
            <w:hideMark/>
          </w:tcPr>
          <w:p w14:paraId="3559E67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1,9</w:t>
            </w:r>
          </w:p>
        </w:tc>
        <w:tc>
          <w:tcPr>
            <w:tcW w:w="567" w:type="dxa"/>
            <w:vAlign w:val="center"/>
          </w:tcPr>
          <w:p w14:paraId="54EA74DC" w14:textId="77777777" w:rsidR="008A3A13" w:rsidRPr="00D92E20" w:rsidRDefault="008A3A13" w:rsidP="008A3A13">
            <w:pPr>
              <w:spacing w:after="0" w:line="240" w:lineRule="auto"/>
              <w:jc w:val="center"/>
            </w:pPr>
            <w:r>
              <w:rPr>
                <w:rFonts w:cs="Arial"/>
                <w:color w:val="000000"/>
                <w:sz w:val="16"/>
                <w:szCs w:val="16"/>
              </w:rPr>
              <w:t>1,8</w:t>
            </w:r>
          </w:p>
        </w:tc>
      </w:tr>
      <w:tr w:rsidR="008A3A13" w:rsidRPr="00D92E20" w14:paraId="4483766A"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1A1A8E28"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K – Peněžnictví a pojišťovnictví</w:t>
            </w:r>
          </w:p>
        </w:tc>
        <w:tc>
          <w:tcPr>
            <w:tcW w:w="567" w:type="dxa"/>
            <w:tcBorders>
              <w:top w:val="nil"/>
              <w:left w:val="nil"/>
              <w:bottom w:val="nil"/>
              <w:right w:val="nil"/>
            </w:tcBorders>
            <w:shd w:val="clear" w:color="auto" w:fill="auto"/>
            <w:noWrap/>
            <w:vAlign w:val="center"/>
            <w:hideMark/>
          </w:tcPr>
          <w:p w14:paraId="07CC5F2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466B7E7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24DE60A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022F024C"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6077DB5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2,6</w:t>
            </w:r>
          </w:p>
        </w:tc>
        <w:tc>
          <w:tcPr>
            <w:tcW w:w="567" w:type="dxa"/>
            <w:tcBorders>
              <w:top w:val="nil"/>
              <w:left w:val="nil"/>
              <w:bottom w:val="nil"/>
              <w:right w:val="nil"/>
            </w:tcBorders>
            <w:shd w:val="clear" w:color="auto" w:fill="auto"/>
            <w:noWrap/>
            <w:vAlign w:val="center"/>
            <w:hideMark/>
          </w:tcPr>
          <w:p w14:paraId="7126D8F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7A5DB72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7848E52D"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2,6</w:t>
            </w:r>
          </w:p>
        </w:tc>
        <w:tc>
          <w:tcPr>
            <w:tcW w:w="567" w:type="dxa"/>
            <w:tcBorders>
              <w:top w:val="nil"/>
              <w:left w:val="nil"/>
              <w:bottom w:val="nil"/>
              <w:right w:val="nil"/>
            </w:tcBorders>
            <w:shd w:val="clear" w:color="auto" w:fill="auto"/>
            <w:noWrap/>
            <w:vAlign w:val="center"/>
            <w:hideMark/>
          </w:tcPr>
          <w:p w14:paraId="1F8CF99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7E4FF4A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2,7</w:t>
            </w:r>
          </w:p>
        </w:tc>
        <w:tc>
          <w:tcPr>
            <w:tcW w:w="567" w:type="dxa"/>
            <w:vAlign w:val="center"/>
          </w:tcPr>
          <w:p w14:paraId="5C6908CD" w14:textId="77777777" w:rsidR="008A3A13" w:rsidRPr="00D92E20" w:rsidRDefault="008A3A13" w:rsidP="008A3A13">
            <w:pPr>
              <w:spacing w:after="0" w:line="240" w:lineRule="auto"/>
              <w:jc w:val="center"/>
            </w:pPr>
            <w:r>
              <w:rPr>
                <w:rFonts w:cs="Arial"/>
                <w:color w:val="000000"/>
                <w:sz w:val="16"/>
                <w:szCs w:val="16"/>
              </w:rPr>
              <w:t>2,6</w:t>
            </w:r>
          </w:p>
        </w:tc>
      </w:tr>
      <w:tr w:rsidR="008A3A13" w:rsidRPr="00D92E20" w14:paraId="077AE24E"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0262A777"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L – Činnosti v oblasti nemovitostí</w:t>
            </w:r>
          </w:p>
        </w:tc>
        <w:tc>
          <w:tcPr>
            <w:tcW w:w="567" w:type="dxa"/>
            <w:tcBorders>
              <w:top w:val="nil"/>
              <w:left w:val="nil"/>
              <w:bottom w:val="nil"/>
              <w:right w:val="nil"/>
            </w:tcBorders>
            <w:shd w:val="clear" w:color="auto" w:fill="auto"/>
            <w:noWrap/>
            <w:vAlign w:val="center"/>
            <w:hideMark/>
          </w:tcPr>
          <w:p w14:paraId="1DBF236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3,0</w:t>
            </w:r>
          </w:p>
        </w:tc>
        <w:tc>
          <w:tcPr>
            <w:tcW w:w="567" w:type="dxa"/>
            <w:tcBorders>
              <w:top w:val="nil"/>
              <w:left w:val="nil"/>
              <w:bottom w:val="nil"/>
              <w:right w:val="nil"/>
            </w:tcBorders>
            <w:shd w:val="clear" w:color="auto" w:fill="auto"/>
            <w:noWrap/>
            <w:vAlign w:val="center"/>
            <w:hideMark/>
          </w:tcPr>
          <w:p w14:paraId="48BCD49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0F35B1D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19F3D23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39D4EE7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38CCF43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29C1C98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0A5D414C"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369EC0C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2,6</w:t>
            </w:r>
          </w:p>
        </w:tc>
        <w:tc>
          <w:tcPr>
            <w:tcW w:w="567" w:type="dxa"/>
            <w:tcBorders>
              <w:top w:val="nil"/>
              <w:left w:val="nil"/>
              <w:bottom w:val="nil"/>
              <w:right w:val="nil"/>
            </w:tcBorders>
            <w:shd w:val="clear" w:color="auto" w:fill="auto"/>
            <w:noWrap/>
            <w:vAlign w:val="center"/>
            <w:hideMark/>
          </w:tcPr>
          <w:p w14:paraId="03554BD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3,1</w:t>
            </w:r>
          </w:p>
        </w:tc>
        <w:tc>
          <w:tcPr>
            <w:tcW w:w="567" w:type="dxa"/>
            <w:vAlign w:val="center"/>
          </w:tcPr>
          <w:p w14:paraId="7A4A17AB" w14:textId="77777777" w:rsidR="008A3A13" w:rsidRPr="00D92E20" w:rsidRDefault="008A3A13" w:rsidP="008A3A13">
            <w:pPr>
              <w:spacing w:after="0" w:line="240" w:lineRule="auto"/>
              <w:jc w:val="center"/>
            </w:pPr>
            <w:r>
              <w:rPr>
                <w:rFonts w:cs="Arial"/>
                <w:color w:val="000000"/>
                <w:sz w:val="16"/>
                <w:szCs w:val="16"/>
              </w:rPr>
              <w:t>3,1</w:t>
            </w:r>
          </w:p>
        </w:tc>
      </w:tr>
      <w:tr w:rsidR="008A3A13" w:rsidRPr="00D92E20" w14:paraId="48879D6B"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10487306"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M – Profesní, vědecké a technické činnosti</w:t>
            </w:r>
          </w:p>
        </w:tc>
        <w:tc>
          <w:tcPr>
            <w:tcW w:w="567" w:type="dxa"/>
            <w:tcBorders>
              <w:top w:val="nil"/>
              <w:left w:val="nil"/>
              <w:bottom w:val="nil"/>
              <w:right w:val="nil"/>
            </w:tcBorders>
            <w:shd w:val="clear" w:color="auto" w:fill="auto"/>
            <w:noWrap/>
            <w:vAlign w:val="center"/>
            <w:hideMark/>
          </w:tcPr>
          <w:p w14:paraId="467178D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2,6</w:t>
            </w:r>
          </w:p>
        </w:tc>
        <w:tc>
          <w:tcPr>
            <w:tcW w:w="567" w:type="dxa"/>
            <w:tcBorders>
              <w:top w:val="nil"/>
              <w:left w:val="nil"/>
              <w:bottom w:val="nil"/>
              <w:right w:val="nil"/>
            </w:tcBorders>
            <w:shd w:val="clear" w:color="auto" w:fill="auto"/>
            <w:noWrap/>
            <w:vAlign w:val="center"/>
            <w:hideMark/>
          </w:tcPr>
          <w:p w14:paraId="0A3654E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6165137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7DA8905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46B78C0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0A843B7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0DEA2A4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6B64F52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1B1CDF3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3DAAF30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2,8</w:t>
            </w:r>
          </w:p>
        </w:tc>
        <w:tc>
          <w:tcPr>
            <w:tcW w:w="567" w:type="dxa"/>
            <w:vAlign w:val="center"/>
          </w:tcPr>
          <w:p w14:paraId="62393A8A" w14:textId="77777777" w:rsidR="008A3A13" w:rsidRPr="00D92E20" w:rsidRDefault="008A3A13" w:rsidP="008A3A13">
            <w:pPr>
              <w:spacing w:after="0" w:line="240" w:lineRule="auto"/>
              <w:jc w:val="center"/>
            </w:pPr>
            <w:r>
              <w:rPr>
                <w:rFonts w:cs="Arial"/>
                <w:color w:val="000000"/>
                <w:sz w:val="16"/>
                <w:szCs w:val="16"/>
              </w:rPr>
              <w:t>2,7</w:t>
            </w:r>
          </w:p>
        </w:tc>
      </w:tr>
      <w:tr w:rsidR="008A3A13" w:rsidRPr="00D92E20" w14:paraId="10E75E74"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15AEF12F"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N – Administrativní a podpůrné činnosti</w:t>
            </w:r>
          </w:p>
        </w:tc>
        <w:tc>
          <w:tcPr>
            <w:tcW w:w="567" w:type="dxa"/>
            <w:tcBorders>
              <w:top w:val="nil"/>
              <w:left w:val="nil"/>
              <w:bottom w:val="nil"/>
              <w:right w:val="nil"/>
            </w:tcBorders>
            <w:shd w:val="clear" w:color="auto" w:fill="auto"/>
            <w:noWrap/>
            <w:vAlign w:val="center"/>
            <w:hideMark/>
          </w:tcPr>
          <w:p w14:paraId="73674D5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5D0F2EC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2A82E51C"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7A9C21F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52CFBC7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5,1</w:t>
            </w:r>
          </w:p>
        </w:tc>
        <w:tc>
          <w:tcPr>
            <w:tcW w:w="567" w:type="dxa"/>
            <w:tcBorders>
              <w:top w:val="nil"/>
              <w:left w:val="nil"/>
              <w:bottom w:val="nil"/>
              <w:right w:val="nil"/>
            </w:tcBorders>
            <w:shd w:val="clear" w:color="auto" w:fill="auto"/>
            <w:noWrap/>
            <w:vAlign w:val="center"/>
            <w:hideMark/>
          </w:tcPr>
          <w:p w14:paraId="067D58C7"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5,2</w:t>
            </w:r>
          </w:p>
        </w:tc>
        <w:tc>
          <w:tcPr>
            <w:tcW w:w="567" w:type="dxa"/>
            <w:tcBorders>
              <w:top w:val="nil"/>
              <w:left w:val="nil"/>
              <w:bottom w:val="nil"/>
              <w:right w:val="nil"/>
            </w:tcBorders>
            <w:shd w:val="clear" w:color="auto" w:fill="auto"/>
            <w:noWrap/>
            <w:vAlign w:val="center"/>
            <w:hideMark/>
          </w:tcPr>
          <w:p w14:paraId="11C38B5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5,2</w:t>
            </w:r>
          </w:p>
        </w:tc>
        <w:tc>
          <w:tcPr>
            <w:tcW w:w="567" w:type="dxa"/>
            <w:tcBorders>
              <w:top w:val="nil"/>
              <w:left w:val="nil"/>
              <w:bottom w:val="nil"/>
              <w:right w:val="nil"/>
            </w:tcBorders>
            <w:shd w:val="clear" w:color="auto" w:fill="auto"/>
            <w:noWrap/>
            <w:vAlign w:val="center"/>
            <w:hideMark/>
          </w:tcPr>
          <w:p w14:paraId="15C508D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5,4</w:t>
            </w:r>
          </w:p>
        </w:tc>
        <w:tc>
          <w:tcPr>
            <w:tcW w:w="567" w:type="dxa"/>
            <w:tcBorders>
              <w:top w:val="nil"/>
              <w:left w:val="nil"/>
              <w:bottom w:val="nil"/>
              <w:right w:val="nil"/>
            </w:tcBorders>
            <w:shd w:val="clear" w:color="auto" w:fill="auto"/>
            <w:noWrap/>
            <w:vAlign w:val="center"/>
            <w:hideMark/>
          </w:tcPr>
          <w:p w14:paraId="42F09BC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5,8</w:t>
            </w:r>
          </w:p>
        </w:tc>
        <w:tc>
          <w:tcPr>
            <w:tcW w:w="567" w:type="dxa"/>
            <w:tcBorders>
              <w:top w:val="nil"/>
              <w:left w:val="nil"/>
              <w:bottom w:val="nil"/>
              <w:right w:val="nil"/>
            </w:tcBorders>
            <w:shd w:val="clear" w:color="auto" w:fill="auto"/>
            <w:noWrap/>
            <w:vAlign w:val="center"/>
            <w:hideMark/>
          </w:tcPr>
          <w:p w14:paraId="23944D27"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6,8</w:t>
            </w:r>
          </w:p>
        </w:tc>
        <w:tc>
          <w:tcPr>
            <w:tcW w:w="567" w:type="dxa"/>
            <w:vAlign w:val="center"/>
          </w:tcPr>
          <w:p w14:paraId="0B608552" w14:textId="77777777" w:rsidR="008A3A13" w:rsidRPr="00D92E20" w:rsidRDefault="008A3A13" w:rsidP="008A3A13">
            <w:pPr>
              <w:spacing w:after="0" w:line="240" w:lineRule="auto"/>
              <w:jc w:val="center"/>
            </w:pPr>
            <w:r>
              <w:rPr>
                <w:rFonts w:cs="Arial"/>
                <w:color w:val="000000"/>
                <w:sz w:val="16"/>
                <w:szCs w:val="16"/>
              </w:rPr>
              <w:t>6,9</w:t>
            </w:r>
          </w:p>
        </w:tc>
      </w:tr>
      <w:tr w:rsidR="008A3A13" w:rsidRPr="00D92E20" w14:paraId="1E574DC8" w14:textId="77777777" w:rsidTr="008A3A13">
        <w:trPr>
          <w:trHeight w:val="480"/>
        </w:trPr>
        <w:tc>
          <w:tcPr>
            <w:tcW w:w="3402" w:type="dxa"/>
            <w:tcBorders>
              <w:top w:val="nil"/>
              <w:left w:val="nil"/>
              <w:bottom w:val="nil"/>
              <w:right w:val="single" w:sz="4" w:space="0" w:color="auto"/>
            </w:tcBorders>
            <w:shd w:val="clear" w:color="auto" w:fill="auto"/>
            <w:vAlign w:val="center"/>
            <w:hideMark/>
          </w:tcPr>
          <w:p w14:paraId="171F3C72"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 xml:space="preserve">O – Veřejná správa a obrana; </w:t>
            </w:r>
            <w:r w:rsidRPr="00D92E20">
              <w:rPr>
                <w:rFonts w:cs="Arial"/>
                <w:color w:val="000000"/>
                <w:sz w:val="16"/>
                <w:szCs w:val="16"/>
              </w:rPr>
              <w:br/>
              <w:t xml:space="preserve">          povinné sociální zabezpečení</w:t>
            </w:r>
          </w:p>
        </w:tc>
        <w:tc>
          <w:tcPr>
            <w:tcW w:w="567" w:type="dxa"/>
            <w:tcBorders>
              <w:top w:val="nil"/>
              <w:left w:val="nil"/>
              <w:bottom w:val="nil"/>
              <w:right w:val="nil"/>
            </w:tcBorders>
            <w:shd w:val="clear" w:color="auto" w:fill="auto"/>
            <w:noWrap/>
            <w:vAlign w:val="center"/>
            <w:hideMark/>
          </w:tcPr>
          <w:p w14:paraId="245E8CA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5A468EB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5FDE47E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6D79CDB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74D70E3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794A7C7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3995217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2931BC6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3,3</w:t>
            </w:r>
          </w:p>
        </w:tc>
        <w:tc>
          <w:tcPr>
            <w:tcW w:w="567" w:type="dxa"/>
            <w:tcBorders>
              <w:top w:val="nil"/>
              <w:left w:val="nil"/>
              <w:bottom w:val="nil"/>
              <w:right w:val="nil"/>
            </w:tcBorders>
            <w:shd w:val="clear" w:color="auto" w:fill="auto"/>
            <w:noWrap/>
            <w:vAlign w:val="center"/>
            <w:hideMark/>
          </w:tcPr>
          <w:p w14:paraId="7415A40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7D421D2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3,9</w:t>
            </w:r>
          </w:p>
        </w:tc>
        <w:tc>
          <w:tcPr>
            <w:tcW w:w="567" w:type="dxa"/>
            <w:vAlign w:val="center"/>
          </w:tcPr>
          <w:p w14:paraId="6C65F43A" w14:textId="77777777" w:rsidR="008A3A13" w:rsidRPr="00D92E20" w:rsidRDefault="008A3A13" w:rsidP="008A3A13">
            <w:pPr>
              <w:spacing w:after="0" w:line="240" w:lineRule="auto"/>
              <w:jc w:val="center"/>
            </w:pPr>
            <w:r>
              <w:rPr>
                <w:rFonts w:cs="Arial"/>
                <w:color w:val="000000"/>
                <w:sz w:val="16"/>
                <w:szCs w:val="16"/>
              </w:rPr>
              <w:t>4,1</w:t>
            </w:r>
          </w:p>
        </w:tc>
      </w:tr>
      <w:tr w:rsidR="008A3A13" w:rsidRPr="00D92E20" w14:paraId="3E057A82"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164FBD1D"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P – Vzdělávání</w:t>
            </w:r>
          </w:p>
        </w:tc>
        <w:tc>
          <w:tcPr>
            <w:tcW w:w="567" w:type="dxa"/>
            <w:tcBorders>
              <w:top w:val="nil"/>
              <w:left w:val="nil"/>
              <w:bottom w:val="nil"/>
              <w:right w:val="nil"/>
            </w:tcBorders>
            <w:shd w:val="clear" w:color="auto" w:fill="auto"/>
            <w:noWrap/>
            <w:vAlign w:val="center"/>
            <w:hideMark/>
          </w:tcPr>
          <w:p w14:paraId="0C16B1A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5DA9AB9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5128462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1118038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614C6F8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4C5FF9FE"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2,8</w:t>
            </w:r>
          </w:p>
        </w:tc>
        <w:tc>
          <w:tcPr>
            <w:tcW w:w="567" w:type="dxa"/>
            <w:tcBorders>
              <w:top w:val="nil"/>
              <w:left w:val="nil"/>
              <w:bottom w:val="nil"/>
              <w:right w:val="nil"/>
            </w:tcBorders>
            <w:shd w:val="clear" w:color="auto" w:fill="auto"/>
            <w:noWrap/>
            <w:vAlign w:val="center"/>
            <w:hideMark/>
          </w:tcPr>
          <w:p w14:paraId="19065E97"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2,9</w:t>
            </w:r>
          </w:p>
        </w:tc>
        <w:tc>
          <w:tcPr>
            <w:tcW w:w="567" w:type="dxa"/>
            <w:tcBorders>
              <w:top w:val="nil"/>
              <w:left w:val="nil"/>
              <w:bottom w:val="nil"/>
              <w:right w:val="nil"/>
            </w:tcBorders>
            <w:shd w:val="clear" w:color="auto" w:fill="auto"/>
            <w:noWrap/>
            <w:vAlign w:val="center"/>
            <w:hideMark/>
          </w:tcPr>
          <w:p w14:paraId="24678E1D"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3,0</w:t>
            </w:r>
          </w:p>
        </w:tc>
        <w:tc>
          <w:tcPr>
            <w:tcW w:w="567" w:type="dxa"/>
            <w:tcBorders>
              <w:top w:val="nil"/>
              <w:left w:val="nil"/>
              <w:bottom w:val="nil"/>
              <w:right w:val="nil"/>
            </w:tcBorders>
            <w:shd w:val="clear" w:color="auto" w:fill="auto"/>
            <w:noWrap/>
            <w:vAlign w:val="center"/>
            <w:hideMark/>
          </w:tcPr>
          <w:p w14:paraId="33C3BE6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776C8DBE"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3,3</w:t>
            </w:r>
          </w:p>
        </w:tc>
        <w:tc>
          <w:tcPr>
            <w:tcW w:w="567" w:type="dxa"/>
            <w:vAlign w:val="center"/>
          </w:tcPr>
          <w:p w14:paraId="1A86BCCB" w14:textId="77777777" w:rsidR="008A3A13" w:rsidRPr="00D92E20" w:rsidRDefault="008A3A13" w:rsidP="008A3A13">
            <w:pPr>
              <w:spacing w:after="0" w:line="240" w:lineRule="auto"/>
              <w:jc w:val="center"/>
            </w:pPr>
            <w:r>
              <w:rPr>
                <w:rFonts w:cs="Arial"/>
                <w:color w:val="000000"/>
                <w:sz w:val="16"/>
                <w:szCs w:val="16"/>
              </w:rPr>
              <w:t>3,7</w:t>
            </w:r>
          </w:p>
        </w:tc>
      </w:tr>
      <w:tr w:rsidR="008A3A13" w:rsidRPr="00D92E20" w14:paraId="783501D3"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7339A0FE"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Q – Zdravotní a sociální péče</w:t>
            </w:r>
          </w:p>
        </w:tc>
        <w:tc>
          <w:tcPr>
            <w:tcW w:w="567" w:type="dxa"/>
            <w:tcBorders>
              <w:top w:val="nil"/>
              <w:left w:val="nil"/>
              <w:bottom w:val="nil"/>
              <w:right w:val="nil"/>
            </w:tcBorders>
            <w:shd w:val="clear" w:color="auto" w:fill="auto"/>
            <w:noWrap/>
            <w:vAlign w:val="center"/>
            <w:hideMark/>
          </w:tcPr>
          <w:p w14:paraId="04E2335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74D7C52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3,2</w:t>
            </w:r>
          </w:p>
        </w:tc>
        <w:tc>
          <w:tcPr>
            <w:tcW w:w="567" w:type="dxa"/>
            <w:tcBorders>
              <w:top w:val="nil"/>
              <w:left w:val="nil"/>
              <w:bottom w:val="nil"/>
              <w:right w:val="nil"/>
            </w:tcBorders>
            <w:shd w:val="clear" w:color="auto" w:fill="auto"/>
            <w:noWrap/>
            <w:vAlign w:val="center"/>
            <w:hideMark/>
          </w:tcPr>
          <w:p w14:paraId="14B3466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3C9FCF9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59EB408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311733C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6229ACE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73DC38A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4,3</w:t>
            </w:r>
          </w:p>
        </w:tc>
        <w:tc>
          <w:tcPr>
            <w:tcW w:w="567" w:type="dxa"/>
            <w:tcBorders>
              <w:top w:val="nil"/>
              <w:left w:val="nil"/>
              <w:bottom w:val="nil"/>
              <w:right w:val="nil"/>
            </w:tcBorders>
            <w:shd w:val="clear" w:color="auto" w:fill="auto"/>
            <w:noWrap/>
            <w:vAlign w:val="center"/>
            <w:hideMark/>
          </w:tcPr>
          <w:p w14:paraId="6275FA6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4,5</w:t>
            </w:r>
          </w:p>
        </w:tc>
        <w:tc>
          <w:tcPr>
            <w:tcW w:w="567" w:type="dxa"/>
            <w:tcBorders>
              <w:top w:val="nil"/>
              <w:left w:val="nil"/>
              <w:bottom w:val="nil"/>
              <w:right w:val="nil"/>
            </w:tcBorders>
            <w:shd w:val="clear" w:color="auto" w:fill="auto"/>
            <w:noWrap/>
            <w:vAlign w:val="center"/>
            <w:hideMark/>
          </w:tcPr>
          <w:p w14:paraId="6313B04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5,9</w:t>
            </w:r>
          </w:p>
        </w:tc>
        <w:tc>
          <w:tcPr>
            <w:tcW w:w="567" w:type="dxa"/>
            <w:vAlign w:val="center"/>
          </w:tcPr>
          <w:p w14:paraId="055DBD54" w14:textId="77777777" w:rsidR="008A3A13" w:rsidRPr="00D92E20" w:rsidRDefault="008A3A13" w:rsidP="008A3A13">
            <w:pPr>
              <w:spacing w:after="0" w:line="240" w:lineRule="auto"/>
              <w:jc w:val="center"/>
            </w:pPr>
            <w:r>
              <w:rPr>
                <w:rFonts w:cs="Arial"/>
                <w:color w:val="000000"/>
                <w:sz w:val="16"/>
                <w:szCs w:val="16"/>
              </w:rPr>
              <w:t>5,4</w:t>
            </w:r>
          </w:p>
        </w:tc>
      </w:tr>
      <w:tr w:rsidR="008A3A13" w:rsidRPr="00D92E20" w14:paraId="74F71D36"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2493F257"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R – Kulturní, zábavní a rekreační činnosti</w:t>
            </w:r>
          </w:p>
        </w:tc>
        <w:tc>
          <w:tcPr>
            <w:tcW w:w="567" w:type="dxa"/>
            <w:tcBorders>
              <w:top w:val="nil"/>
              <w:left w:val="nil"/>
              <w:bottom w:val="nil"/>
              <w:right w:val="nil"/>
            </w:tcBorders>
            <w:shd w:val="clear" w:color="auto" w:fill="auto"/>
            <w:noWrap/>
            <w:vAlign w:val="center"/>
            <w:hideMark/>
          </w:tcPr>
          <w:p w14:paraId="5AC4C2A7"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496C72B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6079752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2E8F31A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466FC1A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48643D0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2,8</w:t>
            </w:r>
          </w:p>
        </w:tc>
        <w:tc>
          <w:tcPr>
            <w:tcW w:w="567" w:type="dxa"/>
            <w:tcBorders>
              <w:top w:val="nil"/>
              <w:left w:val="nil"/>
              <w:bottom w:val="nil"/>
              <w:right w:val="nil"/>
            </w:tcBorders>
            <w:shd w:val="clear" w:color="auto" w:fill="auto"/>
            <w:noWrap/>
            <w:vAlign w:val="center"/>
            <w:hideMark/>
          </w:tcPr>
          <w:p w14:paraId="4885A22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2,9</w:t>
            </w:r>
          </w:p>
        </w:tc>
        <w:tc>
          <w:tcPr>
            <w:tcW w:w="567" w:type="dxa"/>
            <w:tcBorders>
              <w:top w:val="nil"/>
              <w:left w:val="nil"/>
              <w:bottom w:val="nil"/>
              <w:right w:val="nil"/>
            </w:tcBorders>
            <w:shd w:val="clear" w:color="auto" w:fill="auto"/>
            <w:noWrap/>
            <w:vAlign w:val="center"/>
            <w:hideMark/>
          </w:tcPr>
          <w:p w14:paraId="49A9F0D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3,0</w:t>
            </w:r>
          </w:p>
        </w:tc>
        <w:tc>
          <w:tcPr>
            <w:tcW w:w="567" w:type="dxa"/>
            <w:tcBorders>
              <w:top w:val="nil"/>
              <w:left w:val="nil"/>
              <w:bottom w:val="nil"/>
              <w:right w:val="nil"/>
            </w:tcBorders>
            <w:shd w:val="clear" w:color="auto" w:fill="auto"/>
            <w:noWrap/>
            <w:vAlign w:val="center"/>
            <w:hideMark/>
          </w:tcPr>
          <w:p w14:paraId="1788E63C"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79F550E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3,7</w:t>
            </w:r>
          </w:p>
        </w:tc>
        <w:tc>
          <w:tcPr>
            <w:tcW w:w="567" w:type="dxa"/>
            <w:vAlign w:val="center"/>
          </w:tcPr>
          <w:p w14:paraId="532CB3B6" w14:textId="77777777" w:rsidR="008A3A13" w:rsidRPr="00D92E20" w:rsidRDefault="008A3A13" w:rsidP="008A3A13">
            <w:pPr>
              <w:spacing w:after="0" w:line="240" w:lineRule="auto"/>
              <w:jc w:val="center"/>
            </w:pPr>
            <w:r>
              <w:rPr>
                <w:rFonts w:cs="Arial"/>
                <w:color w:val="000000"/>
                <w:sz w:val="16"/>
                <w:szCs w:val="16"/>
              </w:rPr>
              <w:t>3,4</w:t>
            </w:r>
          </w:p>
        </w:tc>
      </w:tr>
      <w:tr w:rsidR="008A3A13" w:rsidRPr="00D92E20" w14:paraId="110B9590"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4728A77D"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S – Ostatní činnosti</w:t>
            </w:r>
          </w:p>
        </w:tc>
        <w:tc>
          <w:tcPr>
            <w:tcW w:w="567" w:type="dxa"/>
            <w:tcBorders>
              <w:top w:val="nil"/>
              <w:left w:val="nil"/>
              <w:bottom w:val="nil"/>
              <w:right w:val="nil"/>
            </w:tcBorders>
            <w:shd w:val="clear" w:color="auto" w:fill="auto"/>
            <w:noWrap/>
            <w:vAlign w:val="center"/>
            <w:hideMark/>
          </w:tcPr>
          <w:p w14:paraId="7DAE3E7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3,5</w:t>
            </w:r>
          </w:p>
        </w:tc>
        <w:tc>
          <w:tcPr>
            <w:tcW w:w="567" w:type="dxa"/>
            <w:tcBorders>
              <w:top w:val="nil"/>
              <w:left w:val="nil"/>
              <w:bottom w:val="nil"/>
              <w:right w:val="nil"/>
            </w:tcBorders>
            <w:shd w:val="clear" w:color="auto" w:fill="auto"/>
            <w:noWrap/>
            <w:vAlign w:val="center"/>
            <w:hideMark/>
          </w:tcPr>
          <w:p w14:paraId="209EAC07"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2,9</w:t>
            </w:r>
          </w:p>
        </w:tc>
        <w:tc>
          <w:tcPr>
            <w:tcW w:w="567" w:type="dxa"/>
            <w:tcBorders>
              <w:top w:val="nil"/>
              <w:left w:val="nil"/>
              <w:bottom w:val="nil"/>
              <w:right w:val="nil"/>
            </w:tcBorders>
            <w:shd w:val="clear" w:color="auto" w:fill="auto"/>
            <w:noWrap/>
            <w:vAlign w:val="center"/>
            <w:hideMark/>
          </w:tcPr>
          <w:p w14:paraId="023A51E7"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1264B7B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3,2</w:t>
            </w:r>
          </w:p>
        </w:tc>
        <w:tc>
          <w:tcPr>
            <w:tcW w:w="567" w:type="dxa"/>
            <w:tcBorders>
              <w:top w:val="nil"/>
              <w:left w:val="nil"/>
              <w:bottom w:val="nil"/>
              <w:right w:val="nil"/>
            </w:tcBorders>
            <w:shd w:val="clear" w:color="auto" w:fill="auto"/>
            <w:noWrap/>
            <w:vAlign w:val="center"/>
            <w:hideMark/>
          </w:tcPr>
          <w:p w14:paraId="3CE925E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575EE1E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6E0D71D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14D47EC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370F502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4,0</w:t>
            </w:r>
          </w:p>
        </w:tc>
        <w:tc>
          <w:tcPr>
            <w:tcW w:w="567" w:type="dxa"/>
            <w:tcBorders>
              <w:top w:val="nil"/>
              <w:left w:val="nil"/>
              <w:bottom w:val="nil"/>
              <w:right w:val="nil"/>
            </w:tcBorders>
            <w:shd w:val="clear" w:color="auto" w:fill="auto"/>
            <w:noWrap/>
            <w:vAlign w:val="center"/>
            <w:hideMark/>
          </w:tcPr>
          <w:p w14:paraId="6183088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4,8</w:t>
            </w:r>
          </w:p>
        </w:tc>
        <w:tc>
          <w:tcPr>
            <w:tcW w:w="567" w:type="dxa"/>
            <w:vAlign w:val="center"/>
          </w:tcPr>
          <w:p w14:paraId="7AEA7EB3" w14:textId="77777777" w:rsidR="008A3A13" w:rsidRPr="00D92E20" w:rsidRDefault="008A3A13" w:rsidP="008A3A13">
            <w:pPr>
              <w:spacing w:after="0" w:line="240" w:lineRule="auto"/>
              <w:jc w:val="center"/>
            </w:pPr>
            <w:r>
              <w:rPr>
                <w:rFonts w:cs="Arial"/>
                <w:color w:val="000000"/>
                <w:sz w:val="16"/>
                <w:szCs w:val="16"/>
              </w:rPr>
              <w:t>4,6</w:t>
            </w:r>
          </w:p>
        </w:tc>
      </w:tr>
    </w:tbl>
    <w:p w14:paraId="04756499" w14:textId="77777777" w:rsidR="008A3A13" w:rsidRDefault="008A3A13" w:rsidP="008A3A13">
      <w:pPr>
        <w:spacing w:before="120" w:after="120"/>
        <w:rPr>
          <w:sz w:val="16"/>
        </w:rPr>
      </w:pPr>
      <w:r w:rsidRPr="00D92E20">
        <w:rPr>
          <w:sz w:val="16"/>
        </w:rPr>
        <w:t>Zdroj: ČSÚ</w:t>
      </w:r>
    </w:p>
    <w:p w14:paraId="26A0E64C" w14:textId="77777777" w:rsidR="008A3A13" w:rsidRPr="00D92E20" w:rsidRDefault="008A3A13" w:rsidP="008A3A13">
      <w:pPr>
        <w:spacing w:before="120" w:after="120"/>
        <w:jc w:val="both"/>
      </w:pPr>
      <w:r w:rsidRPr="00D92E20">
        <w:t xml:space="preserve">Podle </w:t>
      </w:r>
      <w:r w:rsidRPr="00D92E20">
        <w:rPr>
          <w:b/>
        </w:rPr>
        <w:t>detailnějšího územního členění</w:t>
      </w:r>
      <w:r w:rsidRPr="00D92E20">
        <w:t xml:space="preserve"> se okresem s nejvyšším průměrným procentem dočasné pracovní neschopnosti v roce 202</w:t>
      </w:r>
      <w:r>
        <w:t>1</w:t>
      </w:r>
      <w:r w:rsidRPr="00D92E20">
        <w:t xml:space="preserve"> stala </w:t>
      </w:r>
      <w:r>
        <w:t xml:space="preserve">opět </w:t>
      </w:r>
      <w:r w:rsidRPr="00D92E20">
        <w:t>Karviná (8,</w:t>
      </w:r>
      <w:r>
        <w:t>0</w:t>
      </w:r>
      <w:r w:rsidRPr="00D92E20">
        <w:t xml:space="preserve"> %)</w:t>
      </w:r>
      <w:r>
        <w:t xml:space="preserve"> v Moravskoslezském kraji.</w:t>
      </w:r>
      <w:r w:rsidRPr="00D92E20">
        <w:t xml:space="preserve"> Následovaly okresy </w:t>
      </w:r>
      <w:r>
        <w:t>Tachov (Plzeňský kraj) a Česká Lípa (Liberecký kraj) rovněž s</w:t>
      </w:r>
      <w:r w:rsidR="005A1583">
        <w:t> </w:t>
      </w:r>
      <w:r>
        <w:t>hodnotou</w:t>
      </w:r>
      <w:r w:rsidR="005A1583">
        <w:t xml:space="preserve"> 8 %</w:t>
      </w:r>
      <w:r>
        <w:t xml:space="preserve">. </w:t>
      </w:r>
      <w:r w:rsidRPr="00D92E20">
        <w:t>Nejnižší hodnotu průměrného procenta pracovní neschopnosti vykazovaly stejně jako v předchozích letech okresy Jeseník</w:t>
      </w:r>
      <w:r w:rsidRPr="00D92E20">
        <w:rPr>
          <w:rStyle w:val="Znakapoznpodarou"/>
        </w:rPr>
        <w:footnoteReference w:id="8"/>
      </w:r>
      <w:r w:rsidRPr="00D92E20">
        <w:t xml:space="preserve"> </w:t>
      </w:r>
      <w:r>
        <w:t>v Olomouckém kraji s </w:t>
      </w:r>
      <w:r w:rsidRPr="00D92E20">
        <w:t>2,</w:t>
      </w:r>
      <w:r>
        <w:t>8</w:t>
      </w:r>
      <w:r w:rsidR="00D9160E">
        <w:t> </w:t>
      </w:r>
      <w:r>
        <w:t>%</w:t>
      </w:r>
      <w:r w:rsidRPr="00D92E20">
        <w:t xml:space="preserve"> a již zmíněná Praha (3,9 %). Hodnotu ukazatele pod hranicí</w:t>
      </w:r>
      <w:r>
        <w:t xml:space="preserve"> 5 % zaznamenal</w:t>
      </w:r>
      <w:r w:rsidRPr="00D92E20">
        <w:t xml:space="preserve"> ještě okres Brno-město (4,3</w:t>
      </w:r>
      <w:r>
        <w:t xml:space="preserve"> %) ležící v Jihomoravské</w:t>
      </w:r>
      <w:r w:rsidR="009306BF">
        <w:t>m</w:t>
      </w:r>
      <w:r>
        <w:t xml:space="preserve"> kraji. </w:t>
      </w:r>
      <w:r w:rsidRPr="00D92E20">
        <w:t>Podrobné informace za celou Českou</w:t>
      </w:r>
      <w:r>
        <w:t xml:space="preserve"> republiku nabízí kartogram 2.2, resp. tabulka 3.5 v tabulkové části publikace.</w:t>
      </w:r>
    </w:p>
    <w:p w14:paraId="05AFCB9A" w14:textId="77777777" w:rsidR="004229D4" w:rsidRDefault="004229D4">
      <w:pPr>
        <w:spacing w:after="0" w:line="240" w:lineRule="auto"/>
        <w:rPr>
          <w:rFonts w:cs="Arial"/>
          <w:b/>
          <w:bCs/>
          <w:color w:val="000000"/>
          <w:szCs w:val="20"/>
        </w:rPr>
      </w:pPr>
      <w:r>
        <w:rPr>
          <w:rFonts w:cs="Arial"/>
          <w:b/>
          <w:bCs/>
          <w:color w:val="000000"/>
          <w:szCs w:val="20"/>
        </w:rPr>
        <w:br w:type="page"/>
      </w:r>
    </w:p>
    <w:p w14:paraId="7C6904F2" w14:textId="79DA68AF" w:rsidR="008A3A13" w:rsidRDefault="00D9160E" w:rsidP="00D50EF1">
      <w:pPr>
        <w:spacing w:after="0" w:line="240" w:lineRule="auto"/>
        <w:jc w:val="both"/>
      </w:pPr>
      <w:r w:rsidRPr="00D9160E">
        <w:rPr>
          <w:rFonts w:cs="Arial"/>
          <w:b/>
          <w:bCs/>
          <w:color w:val="000000"/>
          <w:szCs w:val="20"/>
        </w:rPr>
        <w:lastRenderedPageBreak/>
        <w:t>Graf 2.14: Průměrné procento dočasné pracovní neschopnosti podle krajů ČR, 2019 a 2021</w:t>
      </w:r>
    </w:p>
    <w:p w14:paraId="0B610BEC" w14:textId="09856602" w:rsidR="00FC3985" w:rsidRPr="00D92E20" w:rsidRDefault="00FC3985" w:rsidP="008A3A13">
      <w:pPr>
        <w:spacing w:before="120" w:after="120"/>
        <w:jc w:val="both"/>
      </w:pPr>
      <w:r>
        <w:rPr>
          <w:noProof/>
        </w:rPr>
        <w:drawing>
          <wp:inline distT="0" distB="0" distL="0" distR="0" wp14:anchorId="5DA70C8D" wp14:editId="5A5FA215">
            <wp:extent cx="6172200" cy="2847975"/>
            <wp:effectExtent l="0" t="0" r="0" b="9525"/>
            <wp:docPr id="46"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3EFAD40" w14:textId="77777777" w:rsidR="00D9160E" w:rsidRDefault="00D9160E" w:rsidP="00D9160E">
      <w:pPr>
        <w:spacing w:before="120" w:after="120"/>
        <w:rPr>
          <w:sz w:val="16"/>
        </w:rPr>
      </w:pPr>
      <w:r w:rsidRPr="00D92E20">
        <w:rPr>
          <w:sz w:val="16"/>
        </w:rPr>
        <w:t>Zdroj: ČSÚ</w:t>
      </w:r>
    </w:p>
    <w:p w14:paraId="7CD65B78" w14:textId="77777777" w:rsidR="00D9160E" w:rsidRDefault="00D9160E" w:rsidP="00D9160E">
      <w:pPr>
        <w:rPr>
          <w:b/>
          <w:spacing w:val="-3"/>
        </w:rPr>
      </w:pPr>
      <w:r w:rsidRPr="00895A72">
        <w:rPr>
          <w:b/>
          <w:spacing w:val="-3"/>
        </w:rPr>
        <w:t>Kartogram 2.2: Průměrné procento dočasné pracovní neschopnosti v okresech a krajích ČR, 2021</w:t>
      </w:r>
    </w:p>
    <w:p w14:paraId="46800806" w14:textId="77777777" w:rsidR="00895A72" w:rsidRPr="001359B8" w:rsidRDefault="00D1429A" w:rsidP="00D9160E">
      <w:pPr>
        <w:rPr>
          <w:b/>
          <w:spacing w:val="-3"/>
        </w:rPr>
      </w:pPr>
      <w:r w:rsidRPr="00D1429A">
        <w:rPr>
          <w:b/>
          <w:noProof/>
          <w:spacing w:val="-3"/>
        </w:rPr>
        <w:drawing>
          <wp:inline distT="0" distB="0" distL="0" distR="0" wp14:anchorId="12C8594A" wp14:editId="2B16395C">
            <wp:extent cx="6120130" cy="4328026"/>
            <wp:effectExtent l="0" t="0" r="0" b="0"/>
            <wp:docPr id="48" name="Obrázek 48" descr="D:\hykysova23070\Documents\PN\2021\2. pol\publ\podklady\KTG\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ykysova23070\Documents\PN\2021\2. pol\publ\podklady\KTG\3\%_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4328026"/>
                    </a:xfrm>
                    <a:prstGeom prst="rect">
                      <a:avLst/>
                    </a:prstGeom>
                    <a:noFill/>
                    <a:ln>
                      <a:noFill/>
                    </a:ln>
                  </pic:spPr>
                </pic:pic>
              </a:graphicData>
            </a:graphic>
          </wp:inline>
        </w:drawing>
      </w:r>
    </w:p>
    <w:p w14:paraId="38C0AAB8" w14:textId="77777777" w:rsidR="00890181" w:rsidRDefault="00890181" w:rsidP="00890181">
      <w:pPr>
        <w:spacing w:before="120" w:after="120"/>
        <w:rPr>
          <w:sz w:val="16"/>
        </w:rPr>
      </w:pPr>
      <w:r w:rsidRPr="00D92E20">
        <w:rPr>
          <w:sz w:val="16"/>
        </w:rPr>
        <w:t>Zdroj: ČSÚ</w:t>
      </w:r>
    </w:p>
    <w:p w14:paraId="5CE89398" w14:textId="77777777" w:rsidR="005C663E" w:rsidRDefault="005C663E">
      <w:pPr>
        <w:spacing w:after="0" w:line="240" w:lineRule="auto"/>
        <w:rPr>
          <w:rFonts w:cs="Arial"/>
          <w:b/>
          <w:bCs/>
          <w:color w:val="000000"/>
          <w:szCs w:val="20"/>
        </w:rPr>
      </w:pPr>
      <w:r>
        <w:rPr>
          <w:rFonts w:cs="Arial"/>
          <w:b/>
          <w:bCs/>
          <w:color w:val="000000"/>
          <w:szCs w:val="20"/>
        </w:rPr>
        <w:br w:type="page"/>
      </w:r>
    </w:p>
    <w:p w14:paraId="526214D5" w14:textId="3D5ABBEF" w:rsidR="002B7CCE" w:rsidRPr="002B7CCE" w:rsidRDefault="002B7CCE" w:rsidP="002B7CCE">
      <w:pPr>
        <w:spacing w:after="0" w:line="240" w:lineRule="auto"/>
        <w:rPr>
          <w:rFonts w:cs="Arial"/>
          <w:b/>
          <w:bCs/>
          <w:color w:val="000000"/>
          <w:szCs w:val="20"/>
        </w:rPr>
      </w:pPr>
      <w:r w:rsidRPr="002B7CCE">
        <w:rPr>
          <w:rFonts w:cs="Arial"/>
          <w:b/>
          <w:bCs/>
          <w:color w:val="000000"/>
          <w:szCs w:val="20"/>
        </w:rPr>
        <w:lastRenderedPageBreak/>
        <w:t>Tab. 2.9: Průměrné procento dočasné pracovní neschopnosti podle krajů ČR, 2011–2021</w:t>
      </w:r>
    </w:p>
    <w:tbl>
      <w:tblPr>
        <w:tblW w:w="9593" w:type="dxa"/>
        <w:tblCellMar>
          <w:left w:w="70" w:type="dxa"/>
          <w:right w:w="70" w:type="dxa"/>
        </w:tblCellMar>
        <w:tblLook w:val="04A0" w:firstRow="1" w:lastRow="0" w:firstColumn="1" w:lastColumn="0" w:noHBand="0" w:noVBand="1"/>
      </w:tblPr>
      <w:tblGrid>
        <w:gridCol w:w="2058"/>
        <w:gridCol w:w="685"/>
        <w:gridCol w:w="685"/>
        <w:gridCol w:w="685"/>
        <w:gridCol w:w="685"/>
        <w:gridCol w:w="685"/>
        <w:gridCol w:w="685"/>
        <w:gridCol w:w="685"/>
        <w:gridCol w:w="685"/>
        <w:gridCol w:w="685"/>
        <w:gridCol w:w="685"/>
        <w:gridCol w:w="685"/>
      </w:tblGrid>
      <w:tr w:rsidR="002B7CCE" w:rsidRPr="00D92E20" w14:paraId="5B90FDE8" w14:textId="77777777" w:rsidTr="005C663E">
        <w:trPr>
          <w:trHeight w:val="282"/>
        </w:trPr>
        <w:tc>
          <w:tcPr>
            <w:tcW w:w="2058" w:type="dxa"/>
            <w:tcBorders>
              <w:top w:val="single" w:sz="4" w:space="0" w:color="auto"/>
              <w:left w:val="nil"/>
              <w:bottom w:val="single" w:sz="4" w:space="0" w:color="auto"/>
              <w:right w:val="single" w:sz="4" w:space="0" w:color="auto"/>
            </w:tcBorders>
            <w:shd w:val="clear" w:color="000000" w:fill="F5DADD"/>
            <w:vAlign w:val="center"/>
            <w:hideMark/>
          </w:tcPr>
          <w:p w14:paraId="17C60DD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Kraj ČR</w:t>
            </w:r>
          </w:p>
        </w:tc>
        <w:tc>
          <w:tcPr>
            <w:tcW w:w="685" w:type="dxa"/>
            <w:tcBorders>
              <w:top w:val="single" w:sz="4" w:space="0" w:color="auto"/>
              <w:left w:val="nil"/>
              <w:bottom w:val="single" w:sz="4" w:space="0" w:color="auto"/>
              <w:right w:val="nil"/>
            </w:tcBorders>
            <w:shd w:val="clear" w:color="000000" w:fill="F5DADD"/>
            <w:noWrap/>
            <w:vAlign w:val="center"/>
            <w:hideMark/>
          </w:tcPr>
          <w:p w14:paraId="240EB30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2011</w:t>
            </w:r>
          </w:p>
        </w:tc>
        <w:tc>
          <w:tcPr>
            <w:tcW w:w="685" w:type="dxa"/>
            <w:tcBorders>
              <w:top w:val="single" w:sz="4" w:space="0" w:color="auto"/>
              <w:left w:val="nil"/>
              <w:bottom w:val="single" w:sz="4" w:space="0" w:color="auto"/>
              <w:right w:val="nil"/>
            </w:tcBorders>
            <w:shd w:val="clear" w:color="000000" w:fill="F5DADD"/>
            <w:noWrap/>
            <w:vAlign w:val="center"/>
            <w:hideMark/>
          </w:tcPr>
          <w:p w14:paraId="62F5C71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2012</w:t>
            </w:r>
          </w:p>
        </w:tc>
        <w:tc>
          <w:tcPr>
            <w:tcW w:w="685" w:type="dxa"/>
            <w:tcBorders>
              <w:top w:val="single" w:sz="4" w:space="0" w:color="auto"/>
              <w:left w:val="nil"/>
              <w:bottom w:val="single" w:sz="4" w:space="0" w:color="auto"/>
              <w:right w:val="nil"/>
            </w:tcBorders>
            <w:shd w:val="clear" w:color="000000" w:fill="F5DADD"/>
            <w:noWrap/>
            <w:vAlign w:val="center"/>
            <w:hideMark/>
          </w:tcPr>
          <w:p w14:paraId="09E2964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2013</w:t>
            </w:r>
          </w:p>
        </w:tc>
        <w:tc>
          <w:tcPr>
            <w:tcW w:w="685" w:type="dxa"/>
            <w:tcBorders>
              <w:top w:val="single" w:sz="4" w:space="0" w:color="auto"/>
              <w:left w:val="nil"/>
              <w:bottom w:val="single" w:sz="4" w:space="0" w:color="auto"/>
              <w:right w:val="nil"/>
            </w:tcBorders>
            <w:shd w:val="clear" w:color="000000" w:fill="F5DADD"/>
            <w:noWrap/>
            <w:vAlign w:val="center"/>
            <w:hideMark/>
          </w:tcPr>
          <w:p w14:paraId="54AB864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2014</w:t>
            </w:r>
          </w:p>
        </w:tc>
        <w:tc>
          <w:tcPr>
            <w:tcW w:w="685" w:type="dxa"/>
            <w:tcBorders>
              <w:top w:val="single" w:sz="4" w:space="0" w:color="auto"/>
              <w:left w:val="nil"/>
              <w:bottom w:val="single" w:sz="4" w:space="0" w:color="auto"/>
              <w:right w:val="nil"/>
            </w:tcBorders>
            <w:shd w:val="clear" w:color="000000" w:fill="F5DADD"/>
            <w:noWrap/>
            <w:vAlign w:val="center"/>
            <w:hideMark/>
          </w:tcPr>
          <w:p w14:paraId="534BD20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2015</w:t>
            </w:r>
          </w:p>
        </w:tc>
        <w:tc>
          <w:tcPr>
            <w:tcW w:w="685" w:type="dxa"/>
            <w:tcBorders>
              <w:top w:val="single" w:sz="4" w:space="0" w:color="auto"/>
              <w:left w:val="nil"/>
              <w:bottom w:val="single" w:sz="4" w:space="0" w:color="auto"/>
              <w:right w:val="nil"/>
            </w:tcBorders>
            <w:shd w:val="clear" w:color="000000" w:fill="F5DADD"/>
            <w:noWrap/>
            <w:vAlign w:val="center"/>
            <w:hideMark/>
          </w:tcPr>
          <w:p w14:paraId="1EC5F84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2016</w:t>
            </w:r>
          </w:p>
        </w:tc>
        <w:tc>
          <w:tcPr>
            <w:tcW w:w="685" w:type="dxa"/>
            <w:tcBorders>
              <w:top w:val="single" w:sz="4" w:space="0" w:color="auto"/>
              <w:left w:val="nil"/>
              <w:bottom w:val="single" w:sz="4" w:space="0" w:color="auto"/>
              <w:right w:val="nil"/>
            </w:tcBorders>
            <w:shd w:val="clear" w:color="000000" w:fill="F5DADD"/>
            <w:noWrap/>
            <w:vAlign w:val="center"/>
            <w:hideMark/>
          </w:tcPr>
          <w:p w14:paraId="2BD3183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2017</w:t>
            </w:r>
          </w:p>
        </w:tc>
        <w:tc>
          <w:tcPr>
            <w:tcW w:w="685" w:type="dxa"/>
            <w:tcBorders>
              <w:top w:val="single" w:sz="4" w:space="0" w:color="auto"/>
              <w:left w:val="nil"/>
              <w:bottom w:val="single" w:sz="4" w:space="0" w:color="auto"/>
              <w:right w:val="nil"/>
            </w:tcBorders>
            <w:shd w:val="clear" w:color="000000" w:fill="F5DADD"/>
            <w:noWrap/>
            <w:vAlign w:val="center"/>
            <w:hideMark/>
          </w:tcPr>
          <w:p w14:paraId="5C55781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2018</w:t>
            </w:r>
          </w:p>
        </w:tc>
        <w:tc>
          <w:tcPr>
            <w:tcW w:w="685" w:type="dxa"/>
            <w:tcBorders>
              <w:top w:val="single" w:sz="4" w:space="0" w:color="auto"/>
              <w:left w:val="nil"/>
              <w:bottom w:val="single" w:sz="4" w:space="0" w:color="auto"/>
              <w:right w:val="nil"/>
            </w:tcBorders>
            <w:shd w:val="clear" w:color="000000" w:fill="F5DADD"/>
            <w:noWrap/>
            <w:vAlign w:val="center"/>
            <w:hideMark/>
          </w:tcPr>
          <w:p w14:paraId="55ED9A7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2019</w:t>
            </w:r>
          </w:p>
        </w:tc>
        <w:tc>
          <w:tcPr>
            <w:tcW w:w="685" w:type="dxa"/>
            <w:tcBorders>
              <w:top w:val="single" w:sz="4" w:space="0" w:color="auto"/>
              <w:left w:val="nil"/>
              <w:bottom w:val="single" w:sz="4" w:space="0" w:color="auto"/>
              <w:right w:val="nil"/>
            </w:tcBorders>
            <w:shd w:val="clear" w:color="000000" w:fill="F5DADD"/>
            <w:noWrap/>
            <w:vAlign w:val="center"/>
            <w:hideMark/>
          </w:tcPr>
          <w:p w14:paraId="174CC93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2020</w:t>
            </w:r>
          </w:p>
        </w:tc>
        <w:tc>
          <w:tcPr>
            <w:tcW w:w="685" w:type="dxa"/>
            <w:tcBorders>
              <w:top w:val="single" w:sz="4" w:space="0" w:color="auto"/>
              <w:bottom w:val="single" w:sz="4" w:space="0" w:color="auto"/>
            </w:tcBorders>
            <w:shd w:val="clear" w:color="auto" w:fill="F5DADD"/>
            <w:vAlign w:val="center"/>
          </w:tcPr>
          <w:p w14:paraId="77CF021D" w14:textId="77777777" w:rsidR="002B7CCE" w:rsidRPr="00D92E20" w:rsidRDefault="002B7CCE" w:rsidP="002B7CCE">
            <w:pPr>
              <w:spacing w:after="0" w:line="240" w:lineRule="auto"/>
              <w:jc w:val="center"/>
            </w:pPr>
            <w:r>
              <w:rPr>
                <w:rFonts w:cs="Arial"/>
                <w:color w:val="000000"/>
                <w:sz w:val="16"/>
                <w:szCs w:val="16"/>
              </w:rPr>
              <w:t>2021</w:t>
            </w:r>
          </w:p>
        </w:tc>
      </w:tr>
      <w:tr w:rsidR="002B7CCE" w:rsidRPr="00D92E20" w14:paraId="6B97FA59"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6469925C" w14:textId="77777777" w:rsidR="002B7CCE" w:rsidRPr="00D92E20" w:rsidRDefault="002B7CCE" w:rsidP="002B7CCE">
            <w:pPr>
              <w:spacing w:after="0" w:line="240" w:lineRule="auto"/>
              <w:rPr>
                <w:rFonts w:cs="Arial"/>
                <w:b/>
                <w:bCs/>
                <w:color w:val="000000"/>
                <w:sz w:val="16"/>
                <w:szCs w:val="16"/>
              </w:rPr>
            </w:pPr>
            <w:r w:rsidRPr="00D92E20">
              <w:rPr>
                <w:rFonts w:cs="Arial"/>
                <w:b/>
                <w:bCs/>
                <w:color w:val="000000"/>
                <w:sz w:val="16"/>
                <w:szCs w:val="16"/>
              </w:rPr>
              <w:t>ČR celkem</w:t>
            </w:r>
          </w:p>
        </w:tc>
        <w:tc>
          <w:tcPr>
            <w:tcW w:w="685" w:type="dxa"/>
            <w:tcBorders>
              <w:top w:val="nil"/>
              <w:left w:val="nil"/>
              <w:bottom w:val="nil"/>
              <w:right w:val="nil"/>
            </w:tcBorders>
            <w:shd w:val="clear" w:color="auto" w:fill="auto"/>
            <w:noWrap/>
            <w:vAlign w:val="center"/>
            <w:hideMark/>
          </w:tcPr>
          <w:p w14:paraId="4120AE89" w14:textId="77777777" w:rsidR="002B7CCE" w:rsidRPr="00D92E20" w:rsidRDefault="002B7CCE" w:rsidP="002B7CCE">
            <w:pPr>
              <w:spacing w:after="0" w:line="240" w:lineRule="auto"/>
              <w:jc w:val="center"/>
              <w:rPr>
                <w:rFonts w:cs="Arial"/>
                <w:b/>
                <w:bCs/>
                <w:color w:val="000000"/>
                <w:sz w:val="16"/>
                <w:szCs w:val="16"/>
              </w:rPr>
            </w:pPr>
            <w:r w:rsidRPr="00D92E20">
              <w:rPr>
                <w:rFonts w:cs="Arial"/>
                <w:b/>
                <w:bCs/>
                <w:color w:val="000000"/>
                <w:sz w:val="16"/>
                <w:szCs w:val="16"/>
              </w:rPr>
              <w:t>3,6</w:t>
            </w:r>
          </w:p>
        </w:tc>
        <w:tc>
          <w:tcPr>
            <w:tcW w:w="685" w:type="dxa"/>
            <w:tcBorders>
              <w:top w:val="nil"/>
              <w:left w:val="nil"/>
              <w:bottom w:val="nil"/>
              <w:right w:val="nil"/>
            </w:tcBorders>
            <w:shd w:val="clear" w:color="auto" w:fill="auto"/>
            <w:noWrap/>
            <w:vAlign w:val="center"/>
            <w:hideMark/>
          </w:tcPr>
          <w:p w14:paraId="1DD492D1" w14:textId="77777777" w:rsidR="002B7CCE" w:rsidRPr="00D92E20" w:rsidRDefault="002B7CCE" w:rsidP="002B7CCE">
            <w:pPr>
              <w:spacing w:after="0" w:line="240" w:lineRule="auto"/>
              <w:jc w:val="center"/>
              <w:rPr>
                <w:rFonts w:cs="Arial"/>
                <w:b/>
                <w:bCs/>
                <w:color w:val="000000"/>
                <w:sz w:val="16"/>
                <w:szCs w:val="16"/>
              </w:rPr>
            </w:pPr>
            <w:r w:rsidRPr="00D92E20">
              <w:rPr>
                <w:rFonts w:cs="Arial"/>
                <w:b/>
                <w:bCs/>
                <w:color w:val="000000"/>
                <w:sz w:val="16"/>
                <w:szCs w:val="16"/>
              </w:rPr>
              <w:t>3,5</w:t>
            </w:r>
          </w:p>
        </w:tc>
        <w:tc>
          <w:tcPr>
            <w:tcW w:w="685" w:type="dxa"/>
            <w:tcBorders>
              <w:top w:val="nil"/>
              <w:left w:val="nil"/>
              <w:bottom w:val="nil"/>
              <w:right w:val="nil"/>
            </w:tcBorders>
            <w:shd w:val="clear" w:color="auto" w:fill="auto"/>
            <w:noWrap/>
            <w:vAlign w:val="center"/>
            <w:hideMark/>
          </w:tcPr>
          <w:p w14:paraId="7F11159E" w14:textId="77777777" w:rsidR="002B7CCE" w:rsidRPr="00D92E20" w:rsidRDefault="002B7CCE" w:rsidP="002B7CCE">
            <w:pPr>
              <w:spacing w:after="0" w:line="240" w:lineRule="auto"/>
              <w:jc w:val="center"/>
              <w:rPr>
                <w:rFonts w:cs="Arial"/>
                <w:b/>
                <w:bCs/>
                <w:color w:val="000000"/>
                <w:sz w:val="16"/>
                <w:szCs w:val="16"/>
              </w:rPr>
            </w:pPr>
            <w:r w:rsidRPr="00D92E20">
              <w:rPr>
                <w:rFonts w:cs="Arial"/>
                <w:b/>
                <w:bCs/>
                <w:color w:val="000000"/>
                <w:sz w:val="16"/>
                <w:szCs w:val="16"/>
              </w:rPr>
              <w:t>3,6</w:t>
            </w:r>
          </w:p>
        </w:tc>
        <w:tc>
          <w:tcPr>
            <w:tcW w:w="685" w:type="dxa"/>
            <w:tcBorders>
              <w:top w:val="nil"/>
              <w:left w:val="nil"/>
              <w:bottom w:val="nil"/>
              <w:right w:val="nil"/>
            </w:tcBorders>
            <w:shd w:val="clear" w:color="auto" w:fill="auto"/>
            <w:noWrap/>
            <w:vAlign w:val="center"/>
            <w:hideMark/>
          </w:tcPr>
          <w:p w14:paraId="4D77495B" w14:textId="77777777" w:rsidR="002B7CCE" w:rsidRPr="00D92E20" w:rsidRDefault="002B7CCE" w:rsidP="002B7CCE">
            <w:pPr>
              <w:spacing w:after="0" w:line="240" w:lineRule="auto"/>
              <w:jc w:val="center"/>
              <w:rPr>
                <w:rFonts w:cs="Arial"/>
                <w:b/>
                <w:bCs/>
                <w:color w:val="000000"/>
                <w:sz w:val="16"/>
                <w:szCs w:val="16"/>
              </w:rPr>
            </w:pPr>
            <w:r w:rsidRPr="00D92E20">
              <w:rPr>
                <w:rFonts w:cs="Arial"/>
                <w:b/>
                <w:bCs/>
                <w:color w:val="000000"/>
                <w:sz w:val="16"/>
                <w:szCs w:val="16"/>
              </w:rPr>
              <w:t>3,7</w:t>
            </w:r>
          </w:p>
        </w:tc>
        <w:tc>
          <w:tcPr>
            <w:tcW w:w="685" w:type="dxa"/>
            <w:tcBorders>
              <w:top w:val="nil"/>
              <w:left w:val="nil"/>
              <w:bottom w:val="nil"/>
              <w:right w:val="nil"/>
            </w:tcBorders>
            <w:shd w:val="clear" w:color="auto" w:fill="auto"/>
            <w:noWrap/>
            <w:vAlign w:val="center"/>
            <w:hideMark/>
          </w:tcPr>
          <w:p w14:paraId="744604BE" w14:textId="77777777" w:rsidR="002B7CCE" w:rsidRPr="00D92E20" w:rsidRDefault="002B7CCE" w:rsidP="002B7CCE">
            <w:pPr>
              <w:spacing w:after="0" w:line="240" w:lineRule="auto"/>
              <w:jc w:val="center"/>
              <w:rPr>
                <w:rFonts w:cs="Arial"/>
                <w:b/>
                <w:bCs/>
                <w:color w:val="000000"/>
                <w:sz w:val="16"/>
                <w:szCs w:val="16"/>
              </w:rPr>
            </w:pPr>
            <w:r w:rsidRPr="00D92E20">
              <w:rPr>
                <w:rFonts w:cs="Arial"/>
                <w:b/>
                <w:bCs/>
                <w:color w:val="000000"/>
                <w:sz w:val="16"/>
                <w:szCs w:val="16"/>
              </w:rPr>
              <w:t>4,1</w:t>
            </w:r>
          </w:p>
        </w:tc>
        <w:tc>
          <w:tcPr>
            <w:tcW w:w="685" w:type="dxa"/>
            <w:tcBorders>
              <w:top w:val="nil"/>
              <w:left w:val="nil"/>
              <w:bottom w:val="nil"/>
              <w:right w:val="nil"/>
            </w:tcBorders>
            <w:shd w:val="clear" w:color="auto" w:fill="auto"/>
            <w:noWrap/>
            <w:vAlign w:val="center"/>
            <w:hideMark/>
          </w:tcPr>
          <w:p w14:paraId="3D30E150" w14:textId="77777777" w:rsidR="002B7CCE" w:rsidRPr="00D92E20" w:rsidRDefault="002B7CCE" w:rsidP="002B7CCE">
            <w:pPr>
              <w:spacing w:after="0" w:line="240" w:lineRule="auto"/>
              <w:jc w:val="center"/>
              <w:rPr>
                <w:rFonts w:cs="Arial"/>
                <w:b/>
                <w:bCs/>
                <w:color w:val="000000"/>
                <w:sz w:val="16"/>
                <w:szCs w:val="16"/>
              </w:rPr>
            </w:pPr>
            <w:r w:rsidRPr="00D92E20">
              <w:rPr>
                <w:rFonts w:cs="Arial"/>
                <w:b/>
                <w:bCs/>
                <w:color w:val="000000"/>
                <w:sz w:val="16"/>
                <w:szCs w:val="16"/>
              </w:rPr>
              <w:t>4,2</w:t>
            </w:r>
          </w:p>
        </w:tc>
        <w:tc>
          <w:tcPr>
            <w:tcW w:w="685" w:type="dxa"/>
            <w:tcBorders>
              <w:top w:val="nil"/>
              <w:left w:val="nil"/>
              <w:bottom w:val="nil"/>
              <w:right w:val="nil"/>
            </w:tcBorders>
            <w:shd w:val="clear" w:color="auto" w:fill="auto"/>
            <w:noWrap/>
            <w:vAlign w:val="center"/>
            <w:hideMark/>
          </w:tcPr>
          <w:p w14:paraId="1740904F" w14:textId="77777777" w:rsidR="002B7CCE" w:rsidRPr="00D92E20" w:rsidRDefault="002B7CCE" w:rsidP="002B7CCE">
            <w:pPr>
              <w:spacing w:after="0" w:line="240" w:lineRule="auto"/>
              <w:jc w:val="center"/>
              <w:rPr>
                <w:rFonts w:cs="Arial"/>
                <w:b/>
                <w:bCs/>
                <w:color w:val="000000"/>
                <w:sz w:val="16"/>
                <w:szCs w:val="16"/>
              </w:rPr>
            </w:pPr>
            <w:r w:rsidRPr="00D92E20">
              <w:rPr>
                <w:rFonts w:cs="Arial"/>
                <w:b/>
                <w:bCs/>
                <w:color w:val="000000"/>
                <w:sz w:val="16"/>
                <w:szCs w:val="16"/>
              </w:rPr>
              <w:t>4,3</w:t>
            </w:r>
          </w:p>
        </w:tc>
        <w:tc>
          <w:tcPr>
            <w:tcW w:w="685" w:type="dxa"/>
            <w:tcBorders>
              <w:top w:val="nil"/>
              <w:left w:val="nil"/>
              <w:bottom w:val="nil"/>
              <w:right w:val="nil"/>
            </w:tcBorders>
            <w:shd w:val="clear" w:color="auto" w:fill="auto"/>
            <w:noWrap/>
            <w:vAlign w:val="center"/>
            <w:hideMark/>
          </w:tcPr>
          <w:p w14:paraId="22ECDCCD" w14:textId="77777777" w:rsidR="002B7CCE" w:rsidRPr="00D92E20" w:rsidRDefault="002B7CCE" w:rsidP="002B7CCE">
            <w:pPr>
              <w:spacing w:after="0" w:line="240" w:lineRule="auto"/>
              <w:jc w:val="center"/>
              <w:rPr>
                <w:rFonts w:cs="Arial"/>
                <w:b/>
                <w:bCs/>
                <w:color w:val="000000"/>
                <w:sz w:val="16"/>
                <w:szCs w:val="16"/>
              </w:rPr>
            </w:pPr>
            <w:r w:rsidRPr="00D92E20">
              <w:rPr>
                <w:rFonts w:cs="Arial"/>
                <w:b/>
                <w:bCs/>
                <w:color w:val="000000"/>
                <w:sz w:val="16"/>
                <w:szCs w:val="16"/>
              </w:rPr>
              <w:t>4,5</w:t>
            </w:r>
          </w:p>
        </w:tc>
        <w:tc>
          <w:tcPr>
            <w:tcW w:w="685" w:type="dxa"/>
            <w:tcBorders>
              <w:top w:val="nil"/>
              <w:left w:val="nil"/>
              <w:bottom w:val="nil"/>
              <w:right w:val="nil"/>
            </w:tcBorders>
            <w:shd w:val="clear" w:color="auto" w:fill="auto"/>
            <w:noWrap/>
            <w:vAlign w:val="center"/>
            <w:hideMark/>
          </w:tcPr>
          <w:p w14:paraId="73DF5D7E" w14:textId="77777777" w:rsidR="002B7CCE" w:rsidRPr="00D92E20" w:rsidRDefault="002B7CCE" w:rsidP="002B7CCE">
            <w:pPr>
              <w:spacing w:after="0" w:line="240" w:lineRule="auto"/>
              <w:jc w:val="center"/>
              <w:rPr>
                <w:rFonts w:cs="Arial"/>
                <w:b/>
                <w:bCs/>
                <w:color w:val="000000"/>
                <w:sz w:val="16"/>
                <w:szCs w:val="16"/>
              </w:rPr>
            </w:pPr>
            <w:r w:rsidRPr="00D92E20">
              <w:rPr>
                <w:rFonts w:cs="Arial"/>
                <w:b/>
                <w:bCs/>
                <w:color w:val="000000"/>
                <w:sz w:val="16"/>
                <w:szCs w:val="16"/>
              </w:rPr>
              <w:t>4,7</w:t>
            </w:r>
          </w:p>
        </w:tc>
        <w:tc>
          <w:tcPr>
            <w:tcW w:w="685" w:type="dxa"/>
            <w:tcBorders>
              <w:top w:val="nil"/>
              <w:left w:val="nil"/>
              <w:bottom w:val="nil"/>
              <w:right w:val="nil"/>
            </w:tcBorders>
            <w:shd w:val="clear" w:color="auto" w:fill="auto"/>
            <w:noWrap/>
            <w:vAlign w:val="center"/>
            <w:hideMark/>
          </w:tcPr>
          <w:p w14:paraId="5B128D61" w14:textId="77777777" w:rsidR="002B7CCE" w:rsidRPr="00D92E20" w:rsidRDefault="002B7CCE" w:rsidP="002B7CCE">
            <w:pPr>
              <w:spacing w:after="0" w:line="240" w:lineRule="auto"/>
              <w:jc w:val="center"/>
              <w:rPr>
                <w:rFonts w:cs="Arial"/>
                <w:b/>
                <w:bCs/>
                <w:color w:val="000000"/>
                <w:sz w:val="16"/>
                <w:szCs w:val="16"/>
              </w:rPr>
            </w:pPr>
            <w:r w:rsidRPr="00D92E20">
              <w:rPr>
                <w:rFonts w:cs="Arial"/>
                <w:b/>
                <w:bCs/>
                <w:color w:val="000000"/>
                <w:sz w:val="16"/>
                <w:szCs w:val="16"/>
              </w:rPr>
              <w:t>5,5</w:t>
            </w:r>
          </w:p>
        </w:tc>
        <w:tc>
          <w:tcPr>
            <w:tcW w:w="685" w:type="dxa"/>
            <w:tcBorders>
              <w:top w:val="single" w:sz="4" w:space="0" w:color="auto"/>
            </w:tcBorders>
            <w:vAlign w:val="center"/>
          </w:tcPr>
          <w:p w14:paraId="71C69D93" w14:textId="77777777" w:rsidR="002B7CCE" w:rsidRPr="00D92E20" w:rsidRDefault="002B7CCE" w:rsidP="002B7CCE">
            <w:pPr>
              <w:spacing w:after="0" w:line="240" w:lineRule="auto"/>
              <w:jc w:val="center"/>
            </w:pPr>
            <w:r>
              <w:rPr>
                <w:rFonts w:cs="Arial"/>
                <w:b/>
                <w:bCs/>
                <w:color w:val="000000"/>
                <w:sz w:val="16"/>
                <w:szCs w:val="16"/>
              </w:rPr>
              <w:t>5,5</w:t>
            </w:r>
          </w:p>
        </w:tc>
      </w:tr>
      <w:tr w:rsidR="002B7CCE" w:rsidRPr="00D92E20" w14:paraId="548B5538"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406C228A"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Hl. m. Praha</w:t>
            </w:r>
          </w:p>
        </w:tc>
        <w:tc>
          <w:tcPr>
            <w:tcW w:w="685" w:type="dxa"/>
            <w:tcBorders>
              <w:top w:val="nil"/>
              <w:left w:val="nil"/>
              <w:bottom w:val="nil"/>
              <w:right w:val="nil"/>
            </w:tcBorders>
            <w:shd w:val="clear" w:color="auto" w:fill="auto"/>
            <w:noWrap/>
            <w:vAlign w:val="center"/>
            <w:hideMark/>
          </w:tcPr>
          <w:p w14:paraId="0F75EBD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2,9</w:t>
            </w:r>
          </w:p>
        </w:tc>
        <w:tc>
          <w:tcPr>
            <w:tcW w:w="685" w:type="dxa"/>
            <w:tcBorders>
              <w:top w:val="nil"/>
              <w:left w:val="nil"/>
              <w:bottom w:val="nil"/>
              <w:right w:val="nil"/>
            </w:tcBorders>
            <w:shd w:val="clear" w:color="auto" w:fill="auto"/>
            <w:noWrap/>
            <w:vAlign w:val="center"/>
            <w:hideMark/>
          </w:tcPr>
          <w:p w14:paraId="39E64E0F"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2,6</w:t>
            </w:r>
          </w:p>
        </w:tc>
        <w:tc>
          <w:tcPr>
            <w:tcW w:w="685" w:type="dxa"/>
            <w:tcBorders>
              <w:top w:val="nil"/>
              <w:left w:val="nil"/>
              <w:bottom w:val="nil"/>
              <w:right w:val="nil"/>
            </w:tcBorders>
            <w:shd w:val="clear" w:color="auto" w:fill="auto"/>
            <w:noWrap/>
            <w:vAlign w:val="center"/>
            <w:hideMark/>
          </w:tcPr>
          <w:p w14:paraId="534D67F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2,7</w:t>
            </w:r>
          </w:p>
        </w:tc>
        <w:tc>
          <w:tcPr>
            <w:tcW w:w="685" w:type="dxa"/>
            <w:tcBorders>
              <w:top w:val="nil"/>
              <w:left w:val="nil"/>
              <w:bottom w:val="nil"/>
              <w:right w:val="nil"/>
            </w:tcBorders>
            <w:shd w:val="clear" w:color="auto" w:fill="auto"/>
            <w:noWrap/>
            <w:vAlign w:val="center"/>
            <w:hideMark/>
          </w:tcPr>
          <w:p w14:paraId="5B99883A"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2,8</w:t>
            </w:r>
          </w:p>
        </w:tc>
        <w:tc>
          <w:tcPr>
            <w:tcW w:w="685" w:type="dxa"/>
            <w:tcBorders>
              <w:top w:val="nil"/>
              <w:left w:val="nil"/>
              <w:bottom w:val="nil"/>
              <w:right w:val="nil"/>
            </w:tcBorders>
            <w:shd w:val="clear" w:color="auto" w:fill="auto"/>
            <w:noWrap/>
            <w:vAlign w:val="center"/>
            <w:hideMark/>
          </w:tcPr>
          <w:p w14:paraId="2C0C06B1"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3,1</w:t>
            </w:r>
          </w:p>
        </w:tc>
        <w:tc>
          <w:tcPr>
            <w:tcW w:w="685" w:type="dxa"/>
            <w:tcBorders>
              <w:top w:val="nil"/>
              <w:left w:val="nil"/>
              <w:bottom w:val="nil"/>
              <w:right w:val="nil"/>
            </w:tcBorders>
            <w:shd w:val="clear" w:color="auto" w:fill="auto"/>
            <w:noWrap/>
            <w:vAlign w:val="center"/>
            <w:hideMark/>
          </w:tcPr>
          <w:p w14:paraId="6469842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3,1</w:t>
            </w:r>
          </w:p>
        </w:tc>
        <w:tc>
          <w:tcPr>
            <w:tcW w:w="685" w:type="dxa"/>
            <w:tcBorders>
              <w:top w:val="nil"/>
              <w:left w:val="nil"/>
              <w:bottom w:val="nil"/>
              <w:right w:val="nil"/>
            </w:tcBorders>
            <w:shd w:val="clear" w:color="auto" w:fill="auto"/>
            <w:noWrap/>
            <w:vAlign w:val="center"/>
            <w:hideMark/>
          </w:tcPr>
          <w:p w14:paraId="3F007DF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3,2</w:t>
            </w:r>
          </w:p>
        </w:tc>
        <w:tc>
          <w:tcPr>
            <w:tcW w:w="685" w:type="dxa"/>
            <w:tcBorders>
              <w:top w:val="nil"/>
              <w:left w:val="nil"/>
              <w:bottom w:val="nil"/>
              <w:right w:val="nil"/>
            </w:tcBorders>
            <w:shd w:val="clear" w:color="auto" w:fill="auto"/>
            <w:noWrap/>
            <w:vAlign w:val="center"/>
            <w:hideMark/>
          </w:tcPr>
          <w:p w14:paraId="10ECB7AF"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3,4</w:t>
            </w:r>
          </w:p>
        </w:tc>
        <w:tc>
          <w:tcPr>
            <w:tcW w:w="685" w:type="dxa"/>
            <w:tcBorders>
              <w:top w:val="nil"/>
              <w:left w:val="nil"/>
              <w:bottom w:val="nil"/>
              <w:right w:val="nil"/>
            </w:tcBorders>
            <w:shd w:val="clear" w:color="auto" w:fill="auto"/>
            <w:noWrap/>
            <w:vAlign w:val="center"/>
            <w:hideMark/>
          </w:tcPr>
          <w:p w14:paraId="644F775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3,6</w:t>
            </w:r>
          </w:p>
        </w:tc>
        <w:tc>
          <w:tcPr>
            <w:tcW w:w="685" w:type="dxa"/>
            <w:tcBorders>
              <w:top w:val="nil"/>
              <w:left w:val="nil"/>
              <w:bottom w:val="nil"/>
              <w:right w:val="nil"/>
            </w:tcBorders>
            <w:shd w:val="clear" w:color="auto" w:fill="auto"/>
            <w:noWrap/>
            <w:vAlign w:val="center"/>
            <w:hideMark/>
          </w:tcPr>
          <w:p w14:paraId="57A1F20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3,9</w:t>
            </w:r>
          </w:p>
        </w:tc>
        <w:tc>
          <w:tcPr>
            <w:tcW w:w="685" w:type="dxa"/>
            <w:vAlign w:val="center"/>
          </w:tcPr>
          <w:p w14:paraId="7ACE39C6" w14:textId="77777777" w:rsidR="002B7CCE" w:rsidRPr="00D92E20" w:rsidRDefault="002B7CCE" w:rsidP="002B7CCE">
            <w:pPr>
              <w:spacing w:after="0" w:line="240" w:lineRule="auto"/>
              <w:jc w:val="center"/>
            </w:pPr>
            <w:r>
              <w:rPr>
                <w:rFonts w:cs="Arial"/>
                <w:color w:val="000000"/>
                <w:sz w:val="16"/>
                <w:szCs w:val="16"/>
              </w:rPr>
              <w:t>3,9</w:t>
            </w:r>
          </w:p>
        </w:tc>
      </w:tr>
      <w:tr w:rsidR="002B7CCE" w:rsidRPr="00D92E20" w14:paraId="22852CFB"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00511B97"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Středočeský kraj</w:t>
            </w:r>
          </w:p>
        </w:tc>
        <w:tc>
          <w:tcPr>
            <w:tcW w:w="685" w:type="dxa"/>
            <w:tcBorders>
              <w:top w:val="nil"/>
              <w:left w:val="nil"/>
              <w:bottom w:val="nil"/>
              <w:right w:val="nil"/>
            </w:tcBorders>
            <w:shd w:val="clear" w:color="auto" w:fill="auto"/>
            <w:noWrap/>
            <w:vAlign w:val="center"/>
            <w:hideMark/>
          </w:tcPr>
          <w:p w14:paraId="429C25F4"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7B68E106"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018D942D"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3,6</w:t>
            </w:r>
          </w:p>
        </w:tc>
        <w:tc>
          <w:tcPr>
            <w:tcW w:w="685" w:type="dxa"/>
            <w:tcBorders>
              <w:top w:val="nil"/>
              <w:left w:val="nil"/>
              <w:bottom w:val="nil"/>
              <w:right w:val="nil"/>
            </w:tcBorders>
            <w:shd w:val="clear" w:color="auto" w:fill="auto"/>
            <w:noWrap/>
            <w:vAlign w:val="center"/>
            <w:hideMark/>
          </w:tcPr>
          <w:p w14:paraId="2F7A3287"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7DF1370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29D86ED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4,2</w:t>
            </w:r>
          </w:p>
        </w:tc>
        <w:tc>
          <w:tcPr>
            <w:tcW w:w="685" w:type="dxa"/>
            <w:tcBorders>
              <w:top w:val="nil"/>
              <w:left w:val="nil"/>
              <w:bottom w:val="nil"/>
              <w:right w:val="nil"/>
            </w:tcBorders>
            <w:shd w:val="clear" w:color="auto" w:fill="auto"/>
            <w:noWrap/>
            <w:vAlign w:val="center"/>
            <w:hideMark/>
          </w:tcPr>
          <w:p w14:paraId="6F21940F"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7639EEB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2788F36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4BEF4E9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5,5</w:t>
            </w:r>
          </w:p>
        </w:tc>
        <w:tc>
          <w:tcPr>
            <w:tcW w:w="685" w:type="dxa"/>
            <w:vAlign w:val="center"/>
          </w:tcPr>
          <w:p w14:paraId="36A63D29" w14:textId="77777777" w:rsidR="002B7CCE" w:rsidRPr="00D92E20" w:rsidRDefault="002B7CCE" w:rsidP="002B7CCE">
            <w:pPr>
              <w:spacing w:after="0" w:line="240" w:lineRule="auto"/>
              <w:jc w:val="center"/>
            </w:pPr>
            <w:r>
              <w:rPr>
                <w:rFonts w:cs="Arial"/>
                <w:color w:val="000000"/>
                <w:sz w:val="16"/>
                <w:szCs w:val="16"/>
              </w:rPr>
              <w:t>5,7</w:t>
            </w:r>
          </w:p>
        </w:tc>
      </w:tr>
      <w:tr w:rsidR="002B7CCE" w:rsidRPr="00D92E20" w14:paraId="31A8891A"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6A1B5FEA"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Jihočeský kraj</w:t>
            </w:r>
          </w:p>
        </w:tc>
        <w:tc>
          <w:tcPr>
            <w:tcW w:w="685" w:type="dxa"/>
            <w:tcBorders>
              <w:top w:val="nil"/>
              <w:left w:val="nil"/>
              <w:bottom w:val="nil"/>
              <w:right w:val="nil"/>
            </w:tcBorders>
            <w:shd w:val="clear" w:color="auto" w:fill="auto"/>
            <w:noWrap/>
            <w:vAlign w:val="center"/>
            <w:hideMark/>
          </w:tcPr>
          <w:p w14:paraId="373B7FD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4,2</w:t>
            </w:r>
          </w:p>
        </w:tc>
        <w:tc>
          <w:tcPr>
            <w:tcW w:w="685" w:type="dxa"/>
            <w:tcBorders>
              <w:top w:val="nil"/>
              <w:left w:val="nil"/>
              <w:bottom w:val="nil"/>
              <w:right w:val="nil"/>
            </w:tcBorders>
            <w:shd w:val="clear" w:color="auto" w:fill="auto"/>
            <w:noWrap/>
            <w:vAlign w:val="center"/>
            <w:hideMark/>
          </w:tcPr>
          <w:p w14:paraId="00A3D078"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27814704"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258E1981"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57753FE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4821F898"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5A4AB5AF"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7F28EBF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5,2</w:t>
            </w:r>
          </w:p>
        </w:tc>
        <w:tc>
          <w:tcPr>
            <w:tcW w:w="685" w:type="dxa"/>
            <w:tcBorders>
              <w:top w:val="nil"/>
              <w:left w:val="nil"/>
              <w:bottom w:val="nil"/>
              <w:right w:val="nil"/>
            </w:tcBorders>
            <w:shd w:val="clear" w:color="auto" w:fill="auto"/>
            <w:noWrap/>
            <w:vAlign w:val="center"/>
            <w:hideMark/>
          </w:tcPr>
          <w:p w14:paraId="5FF04F9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5,3</w:t>
            </w:r>
          </w:p>
        </w:tc>
        <w:tc>
          <w:tcPr>
            <w:tcW w:w="685" w:type="dxa"/>
            <w:tcBorders>
              <w:top w:val="nil"/>
              <w:left w:val="nil"/>
              <w:bottom w:val="nil"/>
              <w:right w:val="nil"/>
            </w:tcBorders>
            <w:shd w:val="clear" w:color="auto" w:fill="auto"/>
            <w:noWrap/>
            <w:vAlign w:val="center"/>
            <w:hideMark/>
          </w:tcPr>
          <w:p w14:paraId="212977C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6,2</w:t>
            </w:r>
          </w:p>
        </w:tc>
        <w:tc>
          <w:tcPr>
            <w:tcW w:w="685" w:type="dxa"/>
            <w:vAlign w:val="center"/>
          </w:tcPr>
          <w:p w14:paraId="4EE49157" w14:textId="77777777" w:rsidR="002B7CCE" w:rsidRPr="00D92E20" w:rsidRDefault="002B7CCE" w:rsidP="002B7CCE">
            <w:pPr>
              <w:spacing w:after="0" w:line="240" w:lineRule="auto"/>
              <w:jc w:val="center"/>
            </w:pPr>
            <w:r>
              <w:rPr>
                <w:rFonts w:cs="Arial"/>
                <w:color w:val="000000"/>
                <w:sz w:val="16"/>
                <w:szCs w:val="16"/>
              </w:rPr>
              <w:t>6,2</w:t>
            </w:r>
          </w:p>
        </w:tc>
      </w:tr>
      <w:tr w:rsidR="002B7CCE" w:rsidRPr="00D92E20" w14:paraId="1DE45CA3"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29A083C3"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Plzeňský kraj</w:t>
            </w:r>
          </w:p>
        </w:tc>
        <w:tc>
          <w:tcPr>
            <w:tcW w:w="685" w:type="dxa"/>
            <w:tcBorders>
              <w:top w:val="nil"/>
              <w:left w:val="nil"/>
              <w:bottom w:val="nil"/>
              <w:right w:val="nil"/>
            </w:tcBorders>
            <w:shd w:val="clear" w:color="auto" w:fill="auto"/>
            <w:noWrap/>
            <w:vAlign w:val="center"/>
            <w:hideMark/>
          </w:tcPr>
          <w:p w14:paraId="0DEB971A"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221069F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6ABDA79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08D3C9B7"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3FEE343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3057024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14FFD3EF"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357245C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7BEAACFD"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74FB68B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5,9</w:t>
            </w:r>
          </w:p>
        </w:tc>
        <w:tc>
          <w:tcPr>
            <w:tcW w:w="685" w:type="dxa"/>
            <w:vAlign w:val="center"/>
          </w:tcPr>
          <w:p w14:paraId="6BEDD3D4" w14:textId="77777777" w:rsidR="002B7CCE" w:rsidRPr="00D92E20" w:rsidRDefault="002B7CCE" w:rsidP="002B7CCE">
            <w:pPr>
              <w:spacing w:after="0" w:line="240" w:lineRule="auto"/>
              <w:jc w:val="center"/>
            </w:pPr>
            <w:r>
              <w:rPr>
                <w:rFonts w:cs="Arial"/>
                <w:color w:val="000000"/>
                <w:sz w:val="16"/>
                <w:szCs w:val="16"/>
              </w:rPr>
              <w:t>6,2</w:t>
            </w:r>
          </w:p>
        </w:tc>
      </w:tr>
      <w:tr w:rsidR="002B7CCE" w:rsidRPr="00D92E20" w14:paraId="7AC42176"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5CC28CFD"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Karlovarský kraj</w:t>
            </w:r>
          </w:p>
        </w:tc>
        <w:tc>
          <w:tcPr>
            <w:tcW w:w="685" w:type="dxa"/>
            <w:tcBorders>
              <w:top w:val="nil"/>
              <w:left w:val="nil"/>
              <w:bottom w:val="nil"/>
              <w:right w:val="nil"/>
            </w:tcBorders>
            <w:shd w:val="clear" w:color="auto" w:fill="auto"/>
            <w:noWrap/>
            <w:vAlign w:val="center"/>
            <w:hideMark/>
          </w:tcPr>
          <w:p w14:paraId="2EA7B37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729C5868"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72F883D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42E7BFA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4FB13C91"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5D6D760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4B55748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28637F2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0C11286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0946A95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5,9</w:t>
            </w:r>
          </w:p>
        </w:tc>
        <w:tc>
          <w:tcPr>
            <w:tcW w:w="685" w:type="dxa"/>
            <w:vAlign w:val="center"/>
          </w:tcPr>
          <w:p w14:paraId="76DC415A" w14:textId="77777777" w:rsidR="002B7CCE" w:rsidRPr="00D92E20" w:rsidRDefault="002B7CCE" w:rsidP="002B7CCE">
            <w:pPr>
              <w:spacing w:after="0" w:line="240" w:lineRule="auto"/>
              <w:jc w:val="center"/>
            </w:pPr>
            <w:r>
              <w:rPr>
                <w:rFonts w:cs="Arial"/>
                <w:color w:val="000000"/>
                <w:sz w:val="16"/>
                <w:szCs w:val="16"/>
              </w:rPr>
              <w:t>6,2</w:t>
            </w:r>
          </w:p>
        </w:tc>
      </w:tr>
      <w:tr w:rsidR="002B7CCE" w:rsidRPr="00D92E20" w14:paraId="5BB57AE1"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5144B12A"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Ústecký kraj</w:t>
            </w:r>
          </w:p>
        </w:tc>
        <w:tc>
          <w:tcPr>
            <w:tcW w:w="685" w:type="dxa"/>
            <w:tcBorders>
              <w:top w:val="nil"/>
              <w:left w:val="nil"/>
              <w:bottom w:val="nil"/>
              <w:right w:val="nil"/>
            </w:tcBorders>
            <w:shd w:val="clear" w:color="auto" w:fill="auto"/>
            <w:noWrap/>
            <w:vAlign w:val="center"/>
            <w:hideMark/>
          </w:tcPr>
          <w:p w14:paraId="534D777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3,6</w:t>
            </w:r>
          </w:p>
        </w:tc>
        <w:tc>
          <w:tcPr>
            <w:tcW w:w="685" w:type="dxa"/>
            <w:tcBorders>
              <w:top w:val="nil"/>
              <w:left w:val="nil"/>
              <w:bottom w:val="nil"/>
              <w:right w:val="nil"/>
            </w:tcBorders>
            <w:shd w:val="clear" w:color="auto" w:fill="auto"/>
            <w:noWrap/>
            <w:vAlign w:val="center"/>
            <w:hideMark/>
          </w:tcPr>
          <w:p w14:paraId="5DEDF171"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0C545FA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1BE58CB1"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505316AD"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1E99C36A"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0BEA87D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3F68E2E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4,9</w:t>
            </w:r>
          </w:p>
        </w:tc>
        <w:tc>
          <w:tcPr>
            <w:tcW w:w="685" w:type="dxa"/>
            <w:tcBorders>
              <w:top w:val="nil"/>
              <w:left w:val="nil"/>
              <w:bottom w:val="nil"/>
              <w:right w:val="nil"/>
            </w:tcBorders>
            <w:shd w:val="clear" w:color="auto" w:fill="auto"/>
            <w:noWrap/>
            <w:vAlign w:val="center"/>
            <w:hideMark/>
          </w:tcPr>
          <w:p w14:paraId="35D63F97"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7752651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5,8</w:t>
            </w:r>
          </w:p>
        </w:tc>
        <w:tc>
          <w:tcPr>
            <w:tcW w:w="685" w:type="dxa"/>
            <w:vAlign w:val="center"/>
          </w:tcPr>
          <w:p w14:paraId="2EFDDA89" w14:textId="77777777" w:rsidR="002B7CCE" w:rsidRPr="00D92E20" w:rsidRDefault="002B7CCE" w:rsidP="002B7CCE">
            <w:pPr>
              <w:spacing w:after="0" w:line="240" w:lineRule="auto"/>
              <w:jc w:val="center"/>
            </w:pPr>
            <w:r>
              <w:rPr>
                <w:rFonts w:cs="Arial"/>
                <w:color w:val="000000"/>
                <w:sz w:val="16"/>
                <w:szCs w:val="16"/>
              </w:rPr>
              <w:t>6,2</w:t>
            </w:r>
          </w:p>
        </w:tc>
      </w:tr>
      <w:tr w:rsidR="002B7CCE" w:rsidRPr="00D92E20" w14:paraId="178B3BF8"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5C380405"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Liberecký kraj</w:t>
            </w:r>
          </w:p>
        </w:tc>
        <w:tc>
          <w:tcPr>
            <w:tcW w:w="685" w:type="dxa"/>
            <w:tcBorders>
              <w:top w:val="nil"/>
              <w:left w:val="nil"/>
              <w:bottom w:val="nil"/>
              <w:right w:val="nil"/>
            </w:tcBorders>
            <w:shd w:val="clear" w:color="auto" w:fill="auto"/>
            <w:noWrap/>
            <w:vAlign w:val="center"/>
            <w:hideMark/>
          </w:tcPr>
          <w:p w14:paraId="6BFF1E7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3,9</w:t>
            </w:r>
          </w:p>
        </w:tc>
        <w:tc>
          <w:tcPr>
            <w:tcW w:w="685" w:type="dxa"/>
            <w:tcBorders>
              <w:top w:val="nil"/>
              <w:left w:val="nil"/>
              <w:bottom w:val="nil"/>
              <w:right w:val="nil"/>
            </w:tcBorders>
            <w:shd w:val="clear" w:color="auto" w:fill="auto"/>
            <w:noWrap/>
            <w:vAlign w:val="center"/>
            <w:hideMark/>
          </w:tcPr>
          <w:p w14:paraId="353F9AB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3,9</w:t>
            </w:r>
          </w:p>
        </w:tc>
        <w:tc>
          <w:tcPr>
            <w:tcW w:w="685" w:type="dxa"/>
            <w:tcBorders>
              <w:top w:val="nil"/>
              <w:left w:val="nil"/>
              <w:bottom w:val="nil"/>
              <w:right w:val="nil"/>
            </w:tcBorders>
            <w:shd w:val="clear" w:color="auto" w:fill="auto"/>
            <w:noWrap/>
            <w:vAlign w:val="center"/>
            <w:hideMark/>
          </w:tcPr>
          <w:p w14:paraId="641FF57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4,2</w:t>
            </w:r>
          </w:p>
        </w:tc>
        <w:tc>
          <w:tcPr>
            <w:tcW w:w="685" w:type="dxa"/>
            <w:tcBorders>
              <w:top w:val="nil"/>
              <w:left w:val="nil"/>
              <w:bottom w:val="nil"/>
              <w:right w:val="nil"/>
            </w:tcBorders>
            <w:shd w:val="clear" w:color="auto" w:fill="auto"/>
            <w:noWrap/>
            <w:vAlign w:val="center"/>
            <w:hideMark/>
          </w:tcPr>
          <w:p w14:paraId="3917AD0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5C56534A"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76C624F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2A85AEFD"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6596F8D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6BD58DF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5,3</w:t>
            </w:r>
          </w:p>
        </w:tc>
        <w:tc>
          <w:tcPr>
            <w:tcW w:w="685" w:type="dxa"/>
            <w:tcBorders>
              <w:top w:val="nil"/>
              <w:left w:val="nil"/>
              <w:bottom w:val="nil"/>
              <w:right w:val="nil"/>
            </w:tcBorders>
            <w:shd w:val="clear" w:color="auto" w:fill="auto"/>
            <w:noWrap/>
            <w:vAlign w:val="center"/>
            <w:hideMark/>
          </w:tcPr>
          <w:p w14:paraId="7AB46DEF"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6,5</w:t>
            </w:r>
          </w:p>
        </w:tc>
        <w:tc>
          <w:tcPr>
            <w:tcW w:w="685" w:type="dxa"/>
            <w:vAlign w:val="center"/>
          </w:tcPr>
          <w:p w14:paraId="76EA59FD" w14:textId="77777777" w:rsidR="002B7CCE" w:rsidRPr="00D92E20" w:rsidRDefault="002B7CCE" w:rsidP="002B7CCE">
            <w:pPr>
              <w:spacing w:after="0" w:line="240" w:lineRule="auto"/>
              <w:jc w:val="center"/>
            </w:pPr>
            <w:r>
              <w:rPr>
                <w:rFonts w:cs="Arial"/>
                <w:color w:val="000000"/>
                <w:sz w:val="16"/>
                <w:szCs w:val="16"/>
              </w:rPr>
              <w:t>6,5</w:t>
            </w:r>
          </w:p>
        </w:tc>
      </w:tr>
      <w:tr w:rsidR="002B7CCE" w:rsidRPr="00D92E20" w14:paraId="27304B6A"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538852B6"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Královéhradecký kraj</w:t>
            </w:r>
          </w:p>
        </w:tc>
        <w:tc>
          <w:tcPr>
            <w:tcW w:w="685" w:type="dxa"/>
            <w:tcBorders>
              <w:top w:val="nil"/>
              <w:left w:val="nil"/>
              <w:bottom w:val="nil"/>
              <w:right w:val="nil"/>
            </w:tcBorders>
            <w:shd w:val="clear" w:color="auto" w:fill="auto"/>
            <w:noWrap/>
            <w:vAlign w:val="center"/>
            <w:hideMark/>
          </w:tcPr>
          <w:p w14:paraId="2FDA041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3,6</w:t>
            </w:r>
          </w:p>
        </w:tc>
        <w:tc>
          <w:tcPr>
            <w:tcW w:w="685" w:type="dxa"/>
            <w:tcBorders>
              <w:top w:val="nil"/>
              <w:left w:val="nil"/>
              <w:bottom w:val="nil"/>
              <w:right w:val="nil"/>
            </w:tcBorders>
            <w:shd w:val="clear" w:color="auto" w:fill="auto"/>
            <w:noWrap/>
            <w:vAlign w:val="center"/>
            <w:hideMark/>
          </w:tcPr>
          <w:p w14:paraId="59DC608A"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76707B1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542E8C26"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18C37E9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1EDB8F0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680B50F7"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152E07DF"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21F0BE5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4,9</w:t>
            </w:r>
          </w:p>
        </w:tc>
        <w:tc>
          <w:tcPr>
            <w:tcW w:w="685" w:type="dxa"/>
            <w:tcBorders>
              <w:top w:val="nil"/>
              <w:left w:val="nil"/>
              <w:bottom w:val="nil"/>
              <w:right w:val="nil"/>
            </w:tcBorders>
            <w:shd w:val="clear" w:color="auto" w:fill="auto"/>
            <w:noWrap/>
            <w:vAlign w:val="center"/>
            <w:hideMark/>
          </w:tcPr>
          <w:p w14:paraId="2BC20E2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5,9</w:t>
            </w:r>
          </w:p>
        </w:tc>
        <w:tc>
          <w:tcPr>
            <w:tcW w:w="685" w:type="dxa"/>
            <w:vAlign w:val="center"/>
          </w:tcPr>
          <w:p w14:paraId="4EA4E69F" w14:textId="77777777" w:rsidR="002B7CCE" w:rsidRPr="00D92E20" w:rsidRDefault="002B7CCE" w:rsidP="002B7CCE">
            <w:pPr>
              <w:spacing w:after="0" w:line="240" w:lineRule="auto"/>
              <w:jc w:val="center"/>
            </w:pPr>
            <w:r>
              <w:rPr>
                <w:rFonts w:cs="Arial"/>
                <w:color w:val="000000"/>
                <w:sz w:val="16"/>
                <w:szCs w:val="16"/>
              </w:rPr>
              <w:t>6,0</w:t>
            </w:r>
          </w:p>
        </w:tc>
      </w:tr>
      <w:tr w:rsidR="002B7CCE" w:rsidRPr="00D92E20" w14:paraId="3B8EC9CE"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02C9D955"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Pardubický kraj</w:t>
            </w:r>
          </w:p>
        </w:tc>
        <w:tc>
          <w:tcPr>
            <w:tcW w:w="685" w:type="dxa"/>
            <w:tcBorders>
              <w:top w:val="nil"/>
              <w:left w:val="nil"/>
              <w:bottom w:val="nil"/>
              <w:right w:val="nil"/>
            </w:tcBorders>
            <w:shd w:val="clear" w:color="auto" w:fill="auto"/>
            <w:noWrap/>
            <w:vAlign w:val="center"/>
            <w:hideMark/>
          </w:tcPr>
          <w:p w14:paraId="14A351B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3,6</w:t>
            </w:r>
          </w:p>
        </w:tc>
        <w:tc>
          <w:tcPr>
            <w:tcW w:w="685" w:type="dxa"/>
            <w:tcBorders>
              <w:top w:val="nil"/>
              <w:left w:val="nil"/>
              <w:bottom w:val="nil"/>
              <w:right w:val="nil"/>
            </w:tcBorders>
            <w:shd w:val="clear" w:color="auto" w:fill="auto"/>
            <w:noWrap/>
            <w:vAlign w:val="center"/>
            <w:hideMark/>
          </w:tcPr>
          <w:p w14:paraId="5882D06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2D81874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5D2FD821"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3,9</w:t>
            </w:r>
          </w:p>
        </w:tc>
        <w:tc>
          <w:tcPr>
            <w:tcW w:w="685" w:type="dxa"/>
            <w:tcBorders>
              <w:top w:val="nil"/>
              <w:left w:val="nil"/>
              <w:bottom w:val="nil"/>
              <w:right w:val="nil"/>
            </w:tcBorders>
            <w:shd w:val="clear" w:color="auto" w:fill="auto"/>
            <w:noWrap/>
            <w:vAlign w:val="center"/>
            <w:hideMark/>
          </w:tcPr>
          <w:p w14:paraId="0F83575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3CB94C1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2BA7DDE7"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61F8A37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1AA3B6B8"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15A563F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5,7</w:t>
            </w:r>
          </w:p>
        </w:tc>
        <w:tc>
          <w:tcPr>
            <w:tcW w:w="685" w:type="dxa"/>
            <w:vAlign w:val="center"/>
          </w:tcPr>
          <w:p w14:paraId="04F8101D" w14:textId="77777777" w:rsidR="002B7CCE" w:rsidRPr="00D92E20" w:rsidRDefault="002B7CCE" w:rsidP="002B7CCE">
            <w:pPr>
              <w:spacing w:after="0" w:line="240" w:lineRule="auto"/>
              <w:jc w:val="center"/>
            </w:pPr>
            <w:r>
              <w:rPr>
                <w:rFonts w:cs="Arial"/>
                <w:color w:val="000000"/>
                <w:sz w:val="16"/>
                <w:szCs w:val="16"/>
              </w:rPr>
              <w:t>5,9</w:t>
            </w:r>
          </w:p>
        </w:tc>
      </w:tr>
      <w:tr w:rsidR="002B7CCE" w:rsidRPr="00D92E20" w14:paraId="13433F69"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6FE0B02F"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Kraj Vysočina</w:t>
            </w:r>
          </w:p>
        </w:tc>
        <w:tc>
          <w:tcPr>
            <w:tcW w:w="685" w:type="dxa"/>
            <w:tcBorders>
              <w:top w:val="nil"/>
              <w:left w:val="nil"/>
              <w:bottom w:val="nil"/>
              <w:right w:val="nil"/>
            </w:tcBorders>
            <w:shd w:val="clear" w:color="auto" w:fill="auto"/>
            <w:noWrap/>
            <w:vAlign w:val="center"/>
            <w:hideMark/>
          </w:tcPr>
          <w:p w14:paraId="19D3FECD"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74E2BE8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3,6</w:t>
            </w:r>
          </w:p>
        </w:tc>
        <w:tc>
          <w:tcPr>
            <w:tcW w:w="685" w:type="dxa"/>
            <w:tcBorders>
              <w:top w:val="nil"/>
              <w:left w:val="nil"/>
              <w:bottom w:val="nil"/>
              <w:right w:val="nil"/>
            </w:tcBorders>
            <w:shd w:val="clear" w:color="auto" w:fill="auto"/>
            <w:noWrap/>
            <w:vAlign w:val="center"/>
            <w:hideMark/>
          </w:tcPr>
          <w:p w14:paraId="39B4733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3,9</w:t>
            </w:r>
          </w:p>
        </w:tc>
        <w:tc>
          <w:tcPr>
            <w:tcW w:w="685" w:type="dxa"/>
            <w:tcBorders>
              <w:top w:val="nil"/>
              <w:left w:val="nil"/>
              <w:bottom w:val="nil"/>
              <w:right w:val="nil"/>
            </w:tcBorders>
            <w:shd w:val="clear" w:color="auto" w:fill="auto"/>
            <w:noWrap/>
            <w:vAlign w:val="center"/>
            <w:hideMark/>
          </w:tcPr>
          <w:p w14:paraId="5AB5297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7303EF26"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78FA84D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3DC7AFB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30AD819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0B520E0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5,4</w:t>
            </w:r>
          </w:p>
        </w:tc>
        <w:tc>
          <w:tcPr>
            <w:tcW w:w="685" w:type="dxa"/>
            <w:tcBorders>
              <w:top w:val="nil"/>
              <w:left w:val="nil"/>
              <w:bottom w:val="nil"/>
              <w:right w:val="nil"/>
            </w:tcBorders>
            <w:shd w:val="clear" w:color="auto" w:fill="auto"/>
            <w:noWrap/>
            <w:vAlign w:val="center"/>
            <w:hideMark/>
          </w:tcPr>
          <w:p w14:paraId="65EFBEAF"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6,4</w:t>
            </w:r>
          </w:p>
        </w:tc>
        <w:tc>
          <w:tcPr>
            <w:tcW w:w="685" w:type="dxa"/>
            <w:vAlign w:val="center"/>
          </w:tcPr>
          <w:p w14:paraId="3973319E" w14:textId="77777777" w:rsidR="002B7CCE" w:rsidRPr="00D92E20" w:rsidRDefault="002B7CCE" w:rsidP="002B7CCE">
            <w:pPr>
              <w:spacing w:after="0" w:line="240" w:lineRule="auto"/>
              <w:jc w:val="center"/>
            </w:pPr>
            <w:r>
              <w:rPr>
                <w:rFonts w:cs="Arial"/>
                <w:color w:val="000000"/>
                <w:sz w:val="16"/>
                <w:szCs w:val="16"/>
              </w:rPr>
              <w:t>6,1</w:t>
            </w:r>
          </w:p>
        </w:tc>
      </w:tr>
      <w:tr w:rsidR="002B7CCE" w:rsidRPr="00D92E20" w14:paraId="5B2AE0FC"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15E45DCA"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Jihomoravský kraj</w:t>
            </w:r>
          </w:p>
        </w:tc>
        <w:tc>
          <w:tcPr>
            <w:tcW w:w="685" w:type="dxa"/>
            <w:tcBorders>
              <w:top w:val="nil"/>
              <w:left w:val="nil"/>
              <w:bottom w:val="nil"/>
              <w:right w:val="nil"/>
            </w:tcBorders>
            <w:shd w:val="clear" w:color="auto" w:fill="auto"/>
            <w:noWrap/>
            <w:vAlign w:val="center"/>
            <w:hideMark/>
          </w:tcPr>
          <w:p w14:paraId="74EEBC2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05B5706D"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1CA6BF1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43FCD53A"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558CFB0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1C87C13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4,2</w:t>
            </w:r>
          </w:p>
        </w:tc>
        <w:tc>
          <w:tcPr>
            <w:tcW w:w="685" w:type="dxa"/>
            <w:tcBorders>
              <w:top w:val="nil"/>
              <w:left w:val="nil"/>
              <w:bottom w:val="nil"/>
              <w:right w:val="nil"/>
            </w:tcBorders>
            <w:shd w:val="clear" w:color="auto" w:fill="auto"/>
            <w:noWrap/>
            <w:vAlign w:val="center"/>
            <w:hideMark/>
          </w:tcPr>
          <w:p w14:paraId="1F0B59B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117E281D"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2FD5977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302042D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5,4</w:t>
            </w:r>
          </w:p>
        </w:tc>
        <w:tc>
          <w:tcPr>
            <w:tcW w:w="685" w:type="dxa"/>
            <w:vAlign w:val="center"/>
          </w:tcPr>
          <w:p w14:paraId="60B00133" w14:textId="77777777" w:rsidR="002B7CCE" w:rsidRPr="00D92E20" w:rsidRDefault="002B7CCE" w:rsidP="002B7CCE">
            <w:pPr>
              <w:spacing w:after="0" w:line="240" w:lineRule="auto"/>
              <w:jc w:val="center"/>
            </w:pPr>
            <w:r>
              <w:rPr>
                <w:rFonts w:cs="Arial"/>
                <w:color w:val="000000"/>
                <w:sz w:val="16"/>
                <w:szCs w:val="16"/>
              </w:rPr>
              <w:t>5,5</w:t>
            </w:r>
          </w:p>
        </w:tc>
      </w:tr>
      <w:tr w:rsidR="002B7CCE" w:rsidRPr="00D92E20" w14:paraId="5F2E5F01"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17060D20"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Olomoucký kraj</w:t>
            </w:r>
          </w:p>
        </w:tc>
        <w:tc>
          <w:tcPr>
            <w:tcW w:w="685" w:type="dxa"/>
            <w:tcBorders>
              <w:top w:val="nil"/>
              <w:left w:val="nil"/>
              <w:bottom w:val="nil"/>
              <w:right w:val="nil"/>
            </w:tcBorders>
            <w:shd w:val="clear" w:color="auto" w:fill="auto"/>
            <w:noWrap/>
            <w:vAlign w:val="center"/>
            <w:hideMark/>
          </w:tcPr>
          <w:p w14:paraId="5E32357A"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473A73A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2873511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6AFBAD0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3,9</w:t>
            </w:r>
          </w:p>
        </w:tc>
        <w:tc>
          <w:tcPr>
            <w:tcW w:w="685" w:type="dxa"/>
            <w:tcBorders>
              <w:top w:val="nil"/>
              <w:left w:val="nil"/>
              <w:bottom w:val="nil"/>
              <w:right w:val="nil"/>
            </w:tcBorders>
            <w:shd w:val="clear" w:color="auto" w:fill="auto"/>
            <w:noWrap/>
            <w:vAlign w:val="center"/>
            <w:hideMark/>
          </w:tcPr>
          <w:p w14:paraId="5429200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48BDD75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35FB5D61"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073A293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5D4C91DA"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5D8434B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6,0</w:t>
            </w:r>
          </w:p>
        </w:tc>
        <w:tc>
          <w:tcPr>
            <w:tcW w:w="685" w:type="dxa"/>
            <w:vAlign w:val="center"/>
          </w:tcPr>
          <w:p w14:paraId="33E7D049" w14:textId="77777777" w:rsidR="002B7CCE" w:rsidRPr="00D92E20" w:rsidRDefault="002B7CCE" w:rsidP="002B7CCE">
            <w:pPr>
              <w:spacing w:after="0" w:line="240" w:lineRule="auto"/>
              <w:jc w:val="center"/>
            </w:pPr>
            <w:r>
              <w:rPr>
                <w:rFonts w:cs="Arial"/>
                <w:color w:val="000000"/>
                <w:sz w:val="16"/>
                <w:szCs w:val="16"/>
              </w:rPr>
              <w:t>6,1</w:t>
            </w:r>
          </w:p>
        </w:tc>
      </w:tr>
      <w:tr w:rsidR="002B7CCE" w:rsidRPr="00D92E20" w14:paraId="07ED89A7"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10FF8514"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Zlínský kraj</w:t>
            </w:r>
          </w:p>
        </w:tc>
        <w:tc>
          <w:tcPr>
            <w:tcW w:w="685" w:type="dxa"/>
            <w:tcBorders>
              <w:top w:val="nil"/>
              <w:left w:val="nil"/>
              <w:bottom w:val="nil"/>
              <w:right w:val="nil"/>
            </w:tcBorders>
            <w:shd w:val="clear" w:color="auto" w:fill="auto"/>
            <w:noWrap/>
            <w:vAlign w:val="center"/>
            <w:hideMark/>
          </w:tcPr>
          <w:p w14:paraId="35A1105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7EFC4BF7"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2FFB40B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54ED607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319A04A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4,9</w:t>
            </w:r>
          </w:p>
        </w:tc>
        <w:tc>
          <w:tcPr>
            <w:tcW w:w="685" w:type="dxa"/>
            <w:tcBorders>
              <w:top w:val="nil"/>
              <w:left w:val="nil"/>
              <w:bottom w:val="nil"/>
              <w:right w:val="nil"/>
            </w:tcBorders>
            <w:shd w:val="clear" w:color="auto" w:fill="auto"/>
            <w:noWrap/>
            <w:vAlign w:val="center"/>
            <w:hideMark/>
          </w:tcPr>
          <w:p w14:paraId="7CB2461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5E372FF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5,2</w:t>
            </w:r>
          </w:p>
        </w:tc>
        <w:tc>
          <w:tcPr>
            <w:tcW w:w="685" w:type="dxa"/>
            <w:tcBorders>
              <w:top w:val="nil"/>
              <w:left w:val="nil"/>
              <w:bottom w:val="nil"/>
              <w:right w:val="nil"/>
            </w:tcBorders>
            <w:shd w:val="clear" w:color="auto" w:fill="auto"/>
            <w:noWrap/>
            <w:vAlign w:val="center"/>
            <w:hideMark/>
          </w:tcPr>
          <w:p w14:paraId="0637709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5,3</w:t>
            </w:r>
          </w:p>
        </w:tc>
        <w:tc>
          <w:tcPr>
            <w:tcW w:w="685" w:type="dxa"/>
            <w:tcBorders>
              <w:top w:val="nil"/>
              <w:left w:val="nil"/>
              <w:bottom w:val="nil"/>
              <w:right w:val="nil"/>
            </w:tcBorders>
            <w:shd w:val="clear" w:color="auto" w:fill="auto"/>
            <w:noWrap/>
            <w:vAlign w:val="center"/>
            <w:hideMark/>
          </w:tcPr>
          <w:p w14:paraId="17E73F9A"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5,6</w:t>
            </w:r>
          </w:p>
        </w:tc>
        <w:tc>
          <w:tcPr>
            <w:tcW w:w="685" w:type="dxa"/>
            <w:tcBorders>
              <w:top w:val="nil"/>
              <w:left w:val="nil"/>
              <w:bottom w:val="nil"/>
              <w:right w:val="nil"/>
            </w:tcBorders>
            <w:shd w:val="clear" w:color="auto" w:fill="auto"/>
            <w:noWrap/>
            <w:vAlign w:val="center"/>
            <w:hideMark/>
          </w:tcPr>
          <w:p w14:paraId="1D7FBC4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7,0</w:t>
            </w:r>
          </w:p>
        </w:tc>
        <w:tc>
          <w:tcPr>
            <w:tcW w:w="685" w:type="dxa"/>
            <w:vAlign w:val="center"/>
          </w:tcPr>
          <w:p w14:paraId="4865E420" w14:textId="77777777" w:rsidR="002B7CCE" w:rsidRPr="00D92E20" w:rsidRDefault="002B7CCE" w:rsidP="002B7CCE">
            <w:pPr>
              <w:spacing w:after="0" w:line="240" w:lineRule="auto"/>
              <w:jc w:val="center"/>
            </w:pPr>
            <w:r>
              <w:rPr>
                <w:rFonts w:cs="Arial"/>
                <w:color w:val="000000"/>
                <w:sz w:val="16"/>
                <w:szCs w:val="16"/>
              </w:rPr>
              <w:t>6,7</w:t>
            </w:r>
          </w:p>
        </w:tc>
      </w:tr>
      <w:tr w:rsidR="002B7CCE" w:rsidRPr="00D92E20" w14:paraId="57FBFE99"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3EC67FF8"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Moravskoslezský kraj</w:t>
            </w:r>
          </w:p>
        </w:tc>
        <w:tc>
          <w:tcPr>
            <w:tcW w:w="685" w:type="dxa"/>
            <w:tcBorders>
              <w:top w:val="nil"/>
              <w:left w:val="nil"/>
              <w:bottom w:val="nil"/>
              <w:right w:val="nil"/>
            </w:tcBorders>
            <w:shd w:val="clear" w:color="auto" w:fill="auto"/>
            <w:noWrap/>
            <w:vAlign w:val="center"/>
            <w:hideMark/>
          </w:tcPr>
          <w:p w14:paraId="60281EB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7E2E3EB8"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4F29118D"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7593400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2D0C961A"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56E72E9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7DF3848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02307DA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5,4</w:t>
            </w:r>
          </w:p>
        </w:tc>
        <w:tc>
          <w:tcPr>
            <w:tcW w:w="685" w:type="dxa"/>
            <w:tcBorders>
              <w:top w:val="nil"/>
              <w:left w:val="nil"/>
              <w:bottom w:val="nil"/>
              <w:right w:val="nil"/>
            </w:tcBorders>
            <w:shd w:val="clear" w:color="auto" w:fill="auto"/>
            <w:noWrap/>
            <w:vAlign w:val="center"/>
            <w:hideMark/>
          </w:tcPr>
          <w:p w14:paraId="19500E5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5,8</w:t>
            </w:r>
          </w:p>
        </w:tc>
        <w:tc>
          <w:tcPr>
            <w:tcW w:w="685" w:type="dxa"/>
            <w:tcBorders>
              <w:top w:val="nil"/>
              <w:left w:val="nil"/>
              <w:bottom w:val="nil"/>
              <w:right w:val="nil"/>
            </w:tcBorders>
            <w:shd w:val="clear" w:color="auto" w:fill="auto"/>
            <w:noWrap/>
            <w:vAlign w:val="center"/>
            <w:hideMark/>
          </w:tcPr>
          <w:p w14:paraId="2F43B1D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7,0</w:t>
            </w:r>
          </w:p>
        </w:tc>
        <w:tc>
          <w:tcPr>
            <w:tcW w:w="685" w:type="dxa"/>
            <w:vAlign w:val="center"/>
          </w:tcPr>
          <w:p w14:paraId="530A94D1" w14:textId="77777777" w:rsidR="002B7CCE" w:rsidRPr="00D92E20" w:rsidRDefault="002B7CCE" w:rsidP="002B7CCE">
            <w:pPr>
              <w:spacing w:after="0" w:line="240" w:lineRule="auto"/>
              <w:jc w:val="center"/>
            </w:pPr>
            <w:r>
              <w:rPr>
                <w:rFonts w:cs="Arial"/>
                <w:color w:val="000000"/>
                <w:sz w:val="16"/>
                <w:szCs w:val="16"/>
              </w:rPr>
              <w:t>7,0</w:t>
            </w:r>
          </w:p>
        </w:tc>
      </w:tr>
    </w:tbl>
    <w:p w14:paraId="79632A44" w14:textId="77777777" w:rsidR="002B7CCE" w:rsidRDefault="002B7CCE" w:rsidP="002B7CCE">
      <w:pPr>
        <w:spacing w:before="120" w:after="120"/>
        <w:rPr>
          <w:sz w:val="16"/>
        </w:rPr>
      </w:pPr>
      <w:r w:rsidRPr="00D92E20">
        <w:rPr>
          <w:sz w:val="16"/>
        </w:rPr>
        <w:t>Zdroj: ČSÚ</w:t>
      </w:r>
    </w:p>
    <w:p w14:paraId="6C59681D" w14:textId="77777777" w:rsidR="002B7CCE" w:rsidRPr="00D92E20" w:rsidRDefault="002B7CCE" w:rsidP="002B7CCE">
      <w:pPr>
        <w:spacing w:before="120" w:after="120"/>
        <w:jc w:val="both"/>
      </w:pPr>
      <w:r w:rsidRPr="00D92E20">
        <w:t xml:space="preserve">Obdobný ukazatel jako průměrné procento dočasné pracovní neschopnosti, avšak v absolutním vyjádření představuje </w:t>
      </w:r>
      <w:r w:rsidRPr="00D92E20">
        <w:rPr>
          <w:b/>
        </w:rPr>
        <w:t>průměrný denní stav dočasně práce neschopných</w:t>
      </w:r>
      <w:r w:rsidRPr="00D92E20">
        <w:t>. Říká, kolik nemocensky pojištěných osob bylo ve sledovaném období v průměru denně nepřítomno v práci z důvodu pracovní neschopnosti pro nemoc a úraz.</w:t>
      </w:r>
    </w:p>
    <w:p w14:paraId="3CFC12A7" w14:textId="20D4E803" w:rsidR="002B7CCE" w:rsidRPr="00D92E20" w:rsidRDefault="002B7CCE" w:rsidP="002B7CCE">
      <w:pPr>
        <w:spacing w:before="120" w:after="120"/>
        <w:jc w:val="both"/>
      </w:pPr>
      <w:r w:rsidRPr="00D92E20">
        <w:rPr>
          <w:rFonts w:cs="Arial"/>
          <w:color w:val="000000"/>
          <w:szCs w:val="16"/>
        </w:rPr>
        <w:t>V roce 202</w:t>
      </w:r>
      <w:r>
        <w:rPr>
          <w:rFonts w:cs="Arial"/>
          <w:color w:val="000000"/>
          <w:szCs w:val="16"/>
        </w:rPr>
        <w:t>1</w:t>
      </w:r>
      <w:r w:rsidRPr="00D92E20">
        <w:rPr>
          <w:rFonts w:cs="Arial"/>
          <w:color w:val="000000"/>
          <w:szCs w:val="16"/>
        </w:rPr>
        <w:t xml:space="preserve"> kvůli dočasné pracovní neschopnosti způsobené nemocí či úrazem denně chybělo na pracovištích </w:t>
      </w:r>
      <w:r>
        <w:rPr>
          <w:rFonts w:cs="Arial"/>
          <w:color w:val="000000"/>
          <w:szCs w:val="16"/>
        </w:rPr>
        <w:t>260 136</w:t>
      </w:r>
      <w:r w:rsidRPr="00D92E20">
        <w:rPr>
          <w:rFonts w:cs="Arial"/>
          <w:color w:val="000000"/>
          <w:szCs w:val="16"/>
        </w:rPr>
        <w:t xml:space="preserve"> nemocensky pojištěných osob. Oproti roku 20</w:t>
      </w:r>
      <w:r>
        <w:rPr>
          <w:rFonts w:cs="Arial"/>
          <w:color w:val="000000"/>
          <w:szCs w:val="16"/>
        </w:rPr>
        <w:t>20</w:t>
      </w:r>
      <w:r w:rsidRPr="00D92E20">
        <w:rPr>
          <w:rFonts w:cs="Arial"/>
          <w:color w:val="000000"/>
          <w:szCs w:val="16"/>
        </w:rPr>
        <w:t xml:space="preserve">, kdy hodnota činila </w:t>
      </w:r>
      <w:r>
        <w:rPr>
          <w:rFonts w:cs="Arial"/>
          <w:color w:val="000000"/>
          <w:szCs w:val="16"/>
        </w:rPr>
        <w:t>257 503</w:t>
      </w:r>
      <w:r w:rsidRPr="00D92E20">
        <w:rPr>
          <w:rFonts w:cs="Arial"/>
          <w:color w:val="000000"/>
          <w:szCs w:val="16"/>
        </w:rPr>
        <w:t> pojištěnců, se</w:t>
      </w:r>
      <w:r>
        <w:rPr>
          <w:rFonts w:cs="Arial"/>
          <w:color w:val="000000"/>
          <w:szCs w:val="16"/>
        </w:rPr>
        <w:t xml:space="preserve"> jedná o 1</w:t>
      </w:r>
      <w:r w:rsidRPr="00D92E20">
        <w:rPr>
          <w:rFonts w:cs="Arial"/>
          <w:color w:val="000000"/>
          <w:szCs w:val="16"/>
        </w:rPr>
        <w:t xml:space="preserve">% nárůst (o </w:t>
      </w:r>
      <w:r>
        <w:rPr>
          <w:rFonts w:cs="Arial"/>
          <w:color w:val="000000"/>
          <w:szCs w:val="16"/>
        </w:rPr>
        <w:t>2,6 tis.</w:t>
      </w:r>
      <w:r w:rsidRPr="00D92E20">
        <w:rPr>
          <w:rFonts w:cs="Arial"/>
          <w:color w:val="000000"/>
          <w:szCs w:val="16"/>
        </w:rPr>
        <w:t>). Ve srovnání s rokem 201</w:t>
      </w:r>
      <w:r>
        <w:rPr>
          <w:rFonts w:cs="Arial"/>
          <w:color w:val="000000"/>
          <w:szCs w:val="16"/>
        </w:rPr>
        <w:t>1</w:t>
      </w:r>
      <w:r w:rsidRPr="00D92E20">
        <w:rPr>
          <w:rFonts w:cs="Arial"/>
          <w:color w:val="000000"/>
          <w:szCs w:val="16"/>
        </w:rPr>
        <w:t xml:space="preserve"> přibylo </w:t>
      </w:r>
      <w:r>
        <w:rPr>
          <w:rFonts w:cs="Arial"/>
          <w:color w:val="000000"/>
          <w:szCs w:val="16"/>
        </w:rPr>
        <w:t>107</w:t>
      </w:r>
      <w:r w:rsidRPr="00D92E20">
        <w:rPr>
          <w:rFonts w:cs="Arial"/>
          <w:color w:val="000000"/>
          <w:szCs w:val="16"/>
        </w:rPr>
        <w:t xml:space="preserve"> tis. (tj. </w:t>
      </w:r>
      <w:r>
        <w:rPr>
          <w:rFonts w:cs="Arial"/>
          <w:color w:val="000000"/>
          <w:szCs w:val="16"/>
        </w:rPr>
        <w:t>70</w:t>
      </w:r>
      <w:r w:rsidRPr="00D92E20">
        <w:rPr>
          <w:rFonts w:cs="Arial"/>
          <w:color w:val="000000"/>
          <w:szCs w:val="16"/>
        </w:rPr>
        <w:t xml:space="preserve"> %) dočasně práce neschopných denně. Na tomto nárůstu se podílely především neschopenky zapříčiněné nemocí (+</w:t>
      </w:r>
      <w:r>
        <w:rPr>
          <w:rFonts w:cs="Arial"/>
          <w:color w:val="000000"/>
          <w:szCs w:val="16"/>
        </w:rPr>
        <w:t>95</w:t>
      </w:r>
      <w:r w:rsidRPr="00D92E20">
        <w:rPr>
          <w:rFonts w:cs="Arial"/>
          <w:color w:val="000000"/>
          <w:szCs w:val="16"/>
        </w:rPr>
        <w:t xml:space="preserve"> tis.), jednou tolik však vzrostl i </w:t>
      </w:r>
      <w:r w:rsidR="00E07811">
        <w:rPr>
          <w:rFonts w:cs="Arial"/>
          <w:color w:val="000000"/>
          <w:szCs w:val="16"/>
        </w:rPr>
        <w:t xml:space="preserve">denní </w:t>
      </w:r>
      <w:r w:rsidRPr="00D92E20">
        <w:rPr>
          <w:rFonts w:cs="Arial"/>
          <w:color w:val="000000"/>
          <w:szCs w:val="16"/>
        </w:rPr>
        <w:t>počet</w:t>
      </w:r>
      <w:r w:rsidR="0068631B">
        <w:rPr>
          <w:rFonts w:cs="Arial"/>
          <w:color w:val="000000"/>
          <w:szCs w:val="16"/>
        </w:rPr>
        <w:t xml:space="preserve"> práce neschopných</w:t>
      </w:r>
      <w:r w:rsidRPr="00D92E20">
        <w:rPr>
          <w:rFonts w:cs="Arial"/>
          <w:color w:val="000000"/>
          <w:szCs w:val="16"/>
        </w:rPr>
        <w:t xml:space="preserve"> osob s mimopracovními úrazy (+12 tis.). </w:t>
      </w:r>
      <w:r w:rsidRPr="00D92E20">
        <w:t xml:space="preserve">Vývoj hodnot ukazatele průměrný denní stav dočasně práce neschopných v posledních deseti letech je zřejmý z tabulky 2.10. </w:t>
      </w:r>
    </w:p>
    <w:p w14:paraId="2D645CB9" w14:textId="77777777" w:rsidR="002B7CCE" w:rsidRPr="00D92E20" w:rsidRDefault="002B7CCE" w:rsidP="002B7CCE">
      <w:pPr>
        <w:spacing w:before="120" w:after="120"/>
        <w:jc w:val="both"/>
        <w:rPr>
          <w:rFonts w:cs="Arial"/>
          <w:color w:val="000000"/>
          <w:szCs w:val="16"/>
        </w:rPr>
      </w:pPr>
      <w:r w:rsidRPr="00D92E20">
        <w:rPr>
          <w:rFonts w:cs="Arial"/>
          <w:color w:val="000000"/>
          <w:szCs w:val="16"/>
        </w:rPr>
        <w:t>Pro nemoc bylo v roce 202</w:t>
      </w:r>
      <w:r>
        <w:rPr>
          <w:rFonts w:cs="Arial"/>
          <w:color w:val="000000"/>
          <w:szCs w:val="16"/>
        </w:rPr>
        <w:t>1</w:t>
      </w:r>
      <w:r w:rsidRPr="00D92E20">
        <w:rPr>
          <w:rFonts w:cs="Arial"/>
          <w:color w:val="000000"/>
          <w:szCs w:val="16"/>
        </w:rPr>
        <w:t xml:space="preserve"> průměrně denně v neschopnosti 22</w:t>
      </w:r>
      <w:r>
        <w:rPr>
          <w:rFonts w:cs="Arial"/>
          <w:color w:val="000000"/>
          <w:szCs w:val="16"/>
        </w:rPr>
        <w:t>8 392</w:t>
      </w:r>
      <w:r w:rsidRPr="00D92E20">
        <w:rPr>
          <w:rFonts w:cs="Arial"/>
          <w:color w:val="000000"/>
          <w:szCs w:val="16"/>
        </w:rPr>
        <w:t xml:space="preserve"> pojištěnců, v důsledku pracovního úrazu 7</w:t>
      </w:r>
      <w:r>
        <w:rPr>
          <w:rFonts w:cs="Arial"/>
          <w:color w:val="000000"/>
          <w:szCs w:val="16"/>
        </w:rPr>
        <w:t> 143 osob</w:t>
      </w:r>
      <w:r w:rsidRPr="00D92E20">
        <w:rPr>
          <w:rFonts w:cs="Arial"/>
          <w:color w:val="000000"/>
          <w:szCs w:val="16"/>
        </w:rPr>
        <w:t xml:space="preserve"> a následkem ostatních úrazů 2</w:t>
      </w:r>
      <w:r>
        <w:rPr>
          <w:rFonts w:cs="Arial"/>
          <w:color w:val="000000"/>
          <w:szCs w:val="16"/>
        </w:rPr>
        <w:t xml:space="preserve">4 </w:t>
      </w:r>
      <w:r w:rsidRPr="00D92E20">
        <w:rPr>
          <w:rFonts w:cs="Arial"/>
          <w:color w:val="000000"/>
          <w:szCs w:val="16"/>
        </w:rPr>
        <w:t>6</w:t>
      </w:r>
      <w:r>
        <w:rPr>
          <w:rFonts w:cs="Arial"/>
          <w:color w:val="000000"/>
          <w:szCs w:val="16"/>
        </w:rPr>
        <w:t>01</w:t>
      </w:r>
      <w:r w:rsidRPr="00D92E20">
        <w:rPr>
          <w:rFonts w:cs="Arial"/>
          <w:color w:val="000000"/>
          <w:szCs w:val="16"/>
        </w:rPr>
        <w:t xml:space="preserve"> nemocensky pojištěných. Ve Zpracovatelském průmyslu chybělo denně 8</w:t>
      </w:r>
      <w:r>
        <w:rPr>
          <w:rFonts w:cs="Arial"/>
          <w:color w:val="000000"/>
          <w:szCs w:val="16"/>
        </w:rPr>
        <w:t>9</w:t>
      </w:r>
      <w:r w:rsidRPr="00D92E20">
        <w:rPr>
          <w:rFonts w:cs="Arial"/>
          <w:color w:val="000000"/>
          <w:szCs w:val="16"/>
        </w:rPr>
        <w:t> tis. pojištěnců, v odvětví Velkoobchod a maloobchod, opravy a údržba motorových vozidel 36 tis. osob. Tyto hodnoty jsou značně ovlivněné velikostí odvětví.</w:t>
      </w:r>
    </w:p>
    <w:p w14:paraId="7E45E6B1" w14:textId="433F40F8" w:rsidR="008924EC" w:rsidRPr="00E50F69" w:rsidRDefault="008924EC" w:rsidP="008924EC">
      <w:pPr>
        <w:spacing w:after="0" w:line="240" w:lineRule="auto"/>
        <w:rPr>
          <w:rFonts w:cs="Arial"/>
          <w:b/>
          <w:bCs/>
          <w:color w:val="000000"/>
          <w:spacing w:val="-2"/>
          <w:szCs w:val="20"/>
        </w:rPr>
      </w:pPr>
      <w:r w:rsidRPr="00E50F69">
        <w:rPr>
          <w:rFonts w:cs="Arial"/>
          <w:b/>
          <w:bCs/>
          <w:color w:val="000000"/>
          <w:spacing w:val="-2"/>
          <w:szCs w:val="20"/>
        </w:rPr>
        <w:t>Tab. 2.10: Průměrný denní stav dočasně práce neschopných</w:t>
      </w:r>
      <w:r w:rsidR="00E50F69" w:rsidRPr="00E50F69">
        <w:rPr>
          <w:rFonts w:cs="Arial"/>
          <w:b/>
          <w:bCs/>
          <w:color w:val="000000"/>
          <w:spacing w:val="-2"/>
          <w:szCs w:val="20"/>
        </w:rPr>
        <w:t xml:space="preserve"> podle příčiny a pohlaví</w:t>
      </w:r>
      <w:r w:rsidRPr="00E50F69">
        <w:rPr>
          <w:rFonts w:cs="Arial"/>
          <w:b/>
          <w:bCs/>
          <w:color w:val="000000"/>
          <w:spacing w:val="-2"/>
          <w:szCs w:val="20"/>
        </w:rPr>
        <w:t>, 2011–2021 (v tis.)</w:t>
      </w:r>
    </w:p>
    <w:tbl>
      <w:tblPr>
        <w:tblW w:w="9594" w:type="dxa"/>
        <w:tblCellMar>
          <w:left w:w="70" w:type="dxa"/>
          <w:right w:w="70" w:type="dxa"/>
        </w:tblCellMar>
        <w:tblLook w:val="04A0" w:firstRow="1" w:lastRow="0" w:firstColumn="1" w:lastColumn="0" w:noHBand="0" w:noVBand="1"/>
      </w:tblPr>
      <w:tblGrid>
        <w:gridCol w:w="737"/>
        <w:gridCol w:w="737"/>
        <w:gridCol w:w="736"/>
        <w:gridCol w:w="736"/>
        <w:gridCol w:w="737"/>
        <w:gridCol w:w="736"/>
        <w:gridCol w:w="736"/>
        <w:gridCol w:w="754"/>
        <w:gridCol w:w="737"/>
        <w:gridCol w:w="737"/>
        <w:gridCol w:w="737"/>
        <w:gridCol w:w="737"/>
        <w:gridCol w:w="737"/>
      </w:tblGrid>
      <w:tr w:rsidR="008924EC" w:rsidRPr="00D92E20" w14:paraId="7CFFE04B" w14:textId="77777777" w:rsidTr="004C01F9">
        <w:trPr>
          <w:trHeight w:val="300"/>
        </w:trPr>
        <w:tc>
          <w:tcPr>
            <w:tcW w:w="737" w:type="dxa"/>
            <w:vMerge w:val="restart"/>
            <w:tcBorders>
              <w:top w:val="single" w:sz="4" w:space="0" w:color="auto"/>
              <w:left w:val="nil"/>
              <w:bottom w:val="single" w:sz="4" w:space="0" w:color="000000"/>
              <w:right w:val="nil"/>
            </w:tcBorders>
            <w:shd w:val="clear" w:color="000000" w:fill="F5DADD"/>
            <w:vAlign w:val="center"/>
            <w:hideMark/>
          </w:tcPr>
          <w:p w14:paraId="5AB00B1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Rok</w:t>
            </w:r>
          </w:p>
        </w:tc>
        <w:tc>
          <w:tcPr>
            <w:tcW w:w="737" w:type="dxa"/>
            <w:vMerge w:val="restart"/>
            <w:tcBorders>
              <w:top w:val="single" w:sz="4" w:space="0" w:color="auto"/>
              <w:left w:val="single" w:sz="4" w:space="0" w:color="auto"/>
              <w:bottom w:val="single" w:sz="4" w:space="0" w:color="000000"/>
              <w:right w:val="nil"/>
            </w:tcBorders>
            <w:shd w:val="clear" w:color="000000" w:fill="F2DBDB"/>
            <w:vAlign w:val="center"/>
            <w:hideMark/>
          </w:tcPr>
          <w:p w14:paraId="2EA53AE8" w14:textId="77777777" w:rsidR="008924EC" w:rsidRPr="00D92E20" w:rsidRDefault="008924EC" w:rsidP="004C01F9">
            <w:pPr>
              <w:spacing w:after="0" w:line="240" w:lineRule="auto"/>
              <w:jc w:val="center"/>
              <w:rPr>
                <w:rFonts w:cs="Arial"/>
                <w:b/>
                <w:bCs/>
                <w:color w:val="000000"/>
                <w:sz w:val="16"/>
                <w:szCs w:val="16"/>
              </w:rPr>
            </w:pPr>
            <w:r w:rsidRPr="00D92E20">
              <w:rPr>
                <w:rFonts w:cs="Arial"/>
                <w:b/>
                <w:bCs/>
                <w:color w:val="000000"/>
                <w:sz w:val="16"/>
                <w:szCs w:val="16"/>
              </w:rPr>
              <w:t>Celkem</w:t>
            </w:r>
          </w:p>
        </w:tc>
        <w:tc>
          <w:tcPr>
            <w:tcW w:w="1472"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13D1A4CF"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podle pohlaví</w:t>
            </w:r>
          </w:p>
        </w:tc>
        <w:tc>
          <w:tcPr>
            <w:tcW w:w="737" w:type="dxa"/>
            <w:vMerge w:val="restart"/>
            <w:tcBorders>
              <w:top w:val="single" w:sz="4" w:space="0" w:color="auto"/>
              <w:left w:val="nil"/>
              <w:right w:val="nil"/>
            </w:tcBorders>
            <w:shd w:val="clear" w:color="000000" w:fill="F2DBDB"/>
            <w:vAlign w:val="center"/>
            <w:hideMark/>
          </w:tcPr>
          <w:p w14:paraId="6CAC5A7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Pro nemoc</w:t>
            </w:r>
          </w:p>
        </w:tc>
        <w:tc>
          <w:tcPr>
            <w:tcW w:w="1472"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2B1742BA"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podle pohlaví</w:t>
            </w:r>
          </w:p>
        </w:tc>
        <w:tc>
          <w:tcPr>
            <w:tcW w:w="754" w:type="dxa"/>
            <w:vMerge w:val="restart"/>
            <w:tcBorders>
              <w:top w:val="single" w:sz="4" w:space="0" w:color="auto"/>
              <w:left w:val="single" w:sz="4" w:space="0" w:color="auto"/>
              <w:right w:val="nil"/>
            </w:tcBorders>
            <w:shd w:val="clear" w:color="000000" w:fill="F2DBDB"/>
            <w:vAlign w:val="center"/>
            <w:hideMark/>
          </w:tcPr>
          <w:p w14:paraId="366795BD"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Pro pracovní úrazy</w:t>
            </w:r>
          </w:p>
        </w:tc>
        <w:tc>
          <w:tcPr>
            <w:tcW w:w="1474"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3EE8480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podle pohlaví</w:t>
            </w:r>
          </w:p>
        </w:tc>
        <w:tc>
          <w:tcPr>
            <w:tcW w:w="737" w:type="dxa"/>
            <w:vMerge w:val="restart"/>
            <w:tcBorders>
              <w:top w:val="single" w:sz="4" w:space="0" w:color="auto"/>
              <w:left w:val="nil"/>
              <w:right w:val="nil"/>
            </w:tcBorders>
            <w:shd w:val="clear" w:color="000000" w:fill="F2DBDB"/>
            <w:vAlign w:val="center"/>
            <w:hideMark/>
          </w:tcPr>
          <w:p w14:paraId="7020229C"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Pro ostatní úrazy</w:t>
            </w:r>
          </w:p>
        </w:tc>
        <w:tc>
          <w:tcPr>
            <w:tcW w:w="1474" w:type="dxa"/>
            <w:gridSpan w:val="2"/>
            <w:tcBorders>
              <w:top w:val="single" w:sz="4" w:space="0" w:color="auto"/>
              <w:left w:val="single" w:sz="4" w:space="0" w:color="auto"/>
              <w:bottom w:val="single" w:sz="4" w:space="0" w:color="auto"/>
            </w:tcBorders>
            <w:shd w:val="clear" w:color="000000" w:fill="F2DBDB"/>
            <w:vAlign w:val="center"/>
            <w:hideMark/>
          </w:tcPr>
          <w:p w14:paraId="1BDCB45C"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podle pohlaví</w:t>
            </w:r>
          </w:p>
        </w:tc>
      </w:tr>
      <w:tr w:rsidR="008924EC" w:rsidRPr="00D92E20" w14:paraId="10CF7025" w14:textId="77777777" w:rsidTr="004C01F9">
        <w:trPr>
          <w:trHeight w:val="390"/>
        </w:trPr>
        <w:tc>
          <w:tcPr>
            <w:tcW w:w="737" w:type="dxa"/>
            <w:vMerge/>
            <w:tcBorders>
              <w:top w:val="single" w:sz="4" w:space="0" w:color="auto"/>
              <w:left w:val="nil"/>
              <w:bottom w:val="single" w:sz="4" w:space="0" w:color="000000"/>
              <w:right w:val="nil"/>
            </w:tcBorders>
            <w:vAlign w:val="center"/>
            <w:hideMark/>
          </w:tcPr>
          <w:p w14:paraId="7F4CAA42" w14:textId="77777777" w:rsidR="008924EC" w:rsidRPr="00D92E20" w:rsidRDefault="008924EC" w:rsidP="004C01F9">
            <w:pPr>
              <w:spacing w:after="0" w:line="240" w:lineRule="auto"/>
              <w:rPr>
                <w:rFonts w:cs="Arial"/>
                <w:color w:val="000000"/>
                <w:sz w:val="16"/>
                <w:szCs w:val="16"/>
              </w:rPr>
            </w:pPr>
          </w:p>
        </w:tc>
        <w:tc>
          <w:tcPr>
            <w:tcW w:w="737" w:type="dxa"/>
            <w:vMerge/>
            <w:tcBorders>
              <w:top w:val="single" w:sz="4" w:space="0" w:color="auto"/>
              <w:left w:val="single" w:sz="4" w:space="0" w:color="auto"/>
              <w:bottom w:val="single" w:sz="4" w:space="0" w:color="000000"/>
              <w:right w:val="nil"/>
            </w:tcBorders>
            <w:vAlign w:val="center"/>
            <w:hideMark/>
          </w:tcPr>
          <w:p w14:paraId="3B2CA07C" w14:textId="77777777" w:rsidR="008924EC" w:rsidRPr="00D92E20" w:rsidRDefault="008924EC" w:rsidP="004C01F9">
            <w:pPr>
              <w:spacing w:after="0" w:line="240" w:lineRule="auto"/>
              <w:rPr>
                <w:rFonts w:cs="Arial"/>
                <w:b/>
                <w:bCs/>
                <w:color w:val="000000"/>
                <w:sz w:val="16"/>
                <w:szCs w:val="16"/>
              </w:rPr>
            </w:pPr>
          </w:p>
        </w:tc>
        <w:tc>
          <w:tcPr>
            <w:tcW w:w="736" w:type="dxa"/>
            <w:tcBorders>
              <w:top w:val="nil"/>
              <w:left w:val="single" w:sz="4" w:space="0" w:color="auto"/>
              <w:bottom w:val="single" w:sz="4" w:space="0" w:color="auto"/>
              <w:right w:val="single" w:sz="4" w:space="0" w:color="auto"/>
            </w:tcBorders>
            <w:shd w:val="clear" w:color="000000" w:fill="F2DBDB"/>
            <w:vAlign w:val="center"/>
            <w:hideMark/>
          </w:tcPr>
          <w:p w14:paraId="3A158E4A"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muži</w:t>
            </w:r>
          </w:p>
        </w:tc>
        <w:tc>
          <w:tcPr>
            <w:tcW w:w="736" w:type="dxa"/>
            <w:tcBorders>
              <w:top w:val="nil"/>
              <w:left w:val="nil"/>
              <w:bottom w:val="single" w:sz="4" w:space="0" w:color="auto"/>
              <w:right w:val="single" w:sz="4" w:space="0" w:color="auto"/>
            </w:tcBorders>
            <w:shd w:val="clear" w:color="000000" w:fill="F2DBDB"/>
            <w:vAlign w:val="center"/>
            <w:hideMark/>
          </w:tcPr>
          <w:p w14:paraId="68006D2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ženy</w:t>
            </w:r>
          </w:p>
        </w:tc>
        <w:tc>
          <w:tcPr>
            <w:tcW w:w="737" w:type="dxa"/>
            <w:vMerge/>
            <w:tcBorders>
              <w:left w:val="nil"/>
              <w:bottom w:val="single" w:sz="4" w:space="0" w:color="000000"/>
              <w:right w:val="nil"/>
            </w:tcBorders>
            <w:vAlign w:val="center"/>
            <w:hideMark/>
          </w:tcPr>
          <w:p w14:paraId="736904FA" w14:textId="77777777" w:rsidR="008924EC" w:rsidRPr="00D92E20" w:rsidRDefault="008924EC" w:rsidP="004C01F9">
            <w:pPr>
              <w:spacing w:after="0" w:line="240" w:lineRule="auto"/>
              <w:rPr>
                <w:rFonts w:cs="Arial"/>
                <w:color w:val="000000"/>
                <w:sz w:val="16"/>
                <w:szCs w:val="16"/>
              </w:rPr>
            </w:pPr>
          </w:p>
        </w:tc>
        <w:tc>
          <w:tcPr>
            <w:tcW w:w="736" w:type="dxa"/>
            <w:tcBorders>
              <w:top w:val="nil"/>
              <w:left w:val="single" w:sz="4" w:space="0" w:color="auto"/>
              <w:bottom w:val="single" w:sz="4" w:space="0" w:color="auto"/>
              <w:right w:val="single" w:sz="4" w:space="0" w:color="auto"/>
            </w:tcBorders>
            <w:shd w:val="clear" w:color="000000" w:fill="F2DBDB"/>
            <w:vAlign w:val="center"/>
            <w:hideMark/>
          </w:tcPr>
          <w:p w14:paraId="1EF0DC6A"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muži</w:t>
            </w:r>
          </w:p>
        </w:tc>
        <w:tc>
          <w:tcPr>
            <w:tcW w:w="736" w:type="dxa"/>
            <w:tcBorders>
              <w:top w:val="nil"/>
              <w:left w:val="nil"/>
              <w:bottom w:val="single" w:sz="4" w:space="0" w:color="auto"/>
              <w:right w:val="single" w:sz="4" w:space="0" w:color="auto"/>
            </w:tcBorders>
            <w:shd w:val="clear" w:color="000000" w:fill="F2DBDB"/>
            <w:vAlign w:val="center"/>
            <w:hideMark/>
          </w:tcPr>
          <w:p w14:paraId="19449013"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ženy</w:t>
            </w:r>
          </w:p>
        </w:tc>
        <w:tc>
          <w:tcPr>
            <w:tcW w:w="754" w:type="dxa"/>
            <w:vMerge/>
            <w:tcBorders>
              <w:left w:val="single" w:sz="4" w:space="0" w:color="auto"/>
              <w:bottom w:val="single" w:sz="4" w:space="0" w:color="000000"/>
              <w:right w:val="nil"/>
            </w:tcBorders>
            <w:vAlign w:val="center"/>
            <w:hideMark/>
          </w:tcPr>
          <w:p w14:paraId="7657D9E7" w14:textId="77777777" w:rsidR="008924EC" w:rsidRPr="00D92E20" w:rsidRDefault="008924EC" w:rsidP="004C01F9">
            <w:pPr>
              <w:spacing w:after="0" w:line="240" w:lineRule="auto"/>
              <w:rPr>
                <w:rFonts w:cs="Arial"/>
                <w:color w:val="000000"/>
                <w:sz w:val="16"/>
                <w:szCs w:val="16"/>
              </w:rPr>
            </w:pPr>
          </w:p>
        </w:tc>
        <w:tc>
          <w:tcPr>
            <w:tcW w:w="737" w:type="dxa"/>
            <w:tcBorders>
              <w:top w:val="nil"/>
              <w:left w:val="single" w:sz="4" w:space="0" w:color="auto"/>
              <w:bottom w:val="single" w:sz="4" w:space="0" w:color="auto"/>
              <w:right w:val="single" w:sz="4" w:space="0" w:color="auto"/>
            </w:tcBorders>
            <w:shd w:val="clear" w:color="000000" w:fill="F2DBDB"/>
            <w:vAlign w:val="center"/>
            <w:hideMark/>
          </w:tcPr>
          <w:p w14:paraId="234F6B2E"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muži</w:t>
            </w:r>
          </w:p>
        </w:tc>
        <w:tc>
          <w:tcPr>
            <w:tcW w:w="737" w:type="dxa"/>
            <w:tcBorders>
              <w:top w:val="nil"/>
              <w:left w:val="nil"/>
              <w:bottom w:val="single" w:sz="4" w:space="0" w:color="auto"/>
              <w:right w:val="single" w:sz="4" w:space="0" w:color="auto"/>
            </w:tcBorders>
            <w:shd w:val="clear" w:color="000000" w:fill="F2DBDB"/>
            <w:vAlign w:val="center"/>
            <w:hideMark/>
          </w:tcPr>
          <w:p w14:paraId="38CF8BB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ženy</w:t>
            </w:r>
          </w:p>
        </w:tc>
        <w:tc>
          <w:tcPr>
            <w:tcW w:w="737" w:type="dxa"/>
            <w:vMerge/>
            <w:tcBorders>
              <w:left w:val="nil"/>
              <w:bottom w:val="single" w:sz="4" w:space="0" w:color="000000"/>
              <w:right w:val="nil"/>
            </w:tcBorders>
            <w:vAlign w:val="center"/>
            <w:hideMark/>
          </w:tcPr>
          <w:p w14:paraId="0D2FDAAD" w14:textId="77777777" w:rsidR="008924EC" w:rsidRPr="00D92E20" w:rsidRDefault="008924EC" w:rsidP="004C01F9">
            <w:pPr>
              <w:spacing w:after="0" w:line="240" w:lineRule="auto"/>
              <w:rPr>
                <w:rFonts w:cs="Arial"/>
                <w:color w:val="000000"/>
                <w:sz w:val="16"/>
                <w:szCs w:val="16"/>
              </w:rPr>
            </w:pPr>
          </w:p>
        </w:tc>
        <w:tc>
          <w:tcPr>
            <w:tcW w:w="737" w:type="dxa"/>
            <w:tcBorders>
              <w:top w:val="nil"/>
              <w:left w:val="single" w:sz="4" w:space="0" w:color="auto"/>
              <w:bottom w:val="single" w:sz="4" w:space="0" w:color="auto"/>
              <w:right w:val="single" w:sz="4" w:space="0" w:color="auto"/>
            </w:tcBorders>
            <w:shd w:val="clear" w:color="000000" w:fill="F2DBDB"/>
            <w:vAlign w:val="center"/>
            <w:hideMark/>
          </w:tcPr>
          <w:p w14:paraId="7FE4E799"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muži</w:t>
            </w:r>
          </w:p>
        </w:tc>
        <w:tc>
          <w:tcPr>
            <w:tcW w:w="737" w:type="dxa"/>
            <w:tcBorders>
              <w:top w:val="nil"/>
              <w:left w:val="nil"/>
              <w:bottom w:val="single" w:sz="4" w:space="0" w:color="auto"/>
              <w:right w:val="nil"/>
            </w:tcBorders>
            <w:shd w:val="clear" w:color="000000" w:fill="F2DBDB"/>
            <w:vAlign w:val="center"/>
            <w:hideMark/>
          </w:tcPr>
          <w:p w14:paraId="0B95E719"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ženy</w:t>
            </w:r>
          </w:p>
        </w:tc>
      </w:tr>
      <w:tr w:rsidR="008924EC" w:rsidRPr="00D92E20" w14:paraId="1C0C69CF" w14:textId="77777777" w:rsidTr="004C01F9">
        <w:trPr>
          <w:trHeight w:val="300"/>
        </w:trPr>
        <w:tc>
          <w:tcPr>
            <w:tcW w:w="737" w:type="dxa"/>
            <w:tcBorders>
              <w:top w:val="nil"/>
              <w:left w:val="nil"/>
              <w:bottom w:val="nil"/>
              <w:right w:val="nil"/>
            </w:tcBorders>
            <w:shd w:val="clear" w:color="auto" w:fill="auto"/>
            <w:vAlign w:val="center"/>
            <w:hideMark/>
          </w:tcPr>
          <w:p w14:paraId="010DE88D"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2011</w:t>
            </w:r>
          </w:p>
        </w:tc>
        <w:tc>
          <w:tcPr>
            <w:tcW w:w="737" w:type="dxa"/>
            <w:tcBorders>
              <w:top w:val="nil"/>
              <w:left w:val="single" w:sz="4" w:space="0" w:color="auto"/>
              <w:bottom w:val="nil"/>
              <w:right w:val="nil"/>
            </w:tcBorders>
            <w:shd w:val="clear" w:color="auto" w:fill="auto"/>
            <w:vAlign w:val="center"/>
            <w:hideMark/>
          </w:tcPr>
          <w:p w14:paraId="0D9F2A0A"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153,2</w:t>
            </w:r>
          </w:p>
        </w:tc>
        <w:tc>
          <w:tcPr>
            <w:tcW w:w="736" w:type="dxa"/>
            <w:tcBorders>
              <w:top w:val="nil"/>
              <w:left w:val="nil"/>
              <w:bottom w:val="nil"/>
              <w:right w:val="nil"/>
            </w:tcBorders>
            <w:shd w:val="clear" w:color="auto" w:fill="auto"/>
            <w:vAlign w:val="center"/>
            <w:hideMark/>
          </w:tcPr>
          <w:p w14:paraId="2E1C79AF"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71,2</w:t>
            </w:r>
          </w:p>
        </w:tc>
        <w:tc>
          <w:tcPr>
            <w:tcW w:w="736" w:type="dxa"/>
            <w:tcBorders>
              <w:top w:val="nil"/>
              <w:left w:val="nil"/>
              <w:bottom w:val="nil"/>
              <w:right w:val="single" w:sz="4" w:space="0" w:color="auto"/>
            </w:tcBorders>
            <w:shd w:val="clear" w:color="auto" w:fill="auto"/>
            <w:vAlign w:val="center"/>
            <w:hideMark/>
          </w:tcPr>
          <w:p w14:paraId="1574E87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82,0</w:t>
            </w:r>
          </w:p>
        </w:tc>
        <w:tc>
          <w:tcPr>
            <w:tcW w:w="737" w:type="dxa"/>
            <w:tcBorders>
              <w:top w:val="nil"/>
              <w:left w:val="nil"/>
              <w:bottom w:val="nil"/>
              <w:right w:val="nil"/>
            </w:tcBorders>
            <w:shd w:val="clear" w:color="auto" w:fill="auto"/>
            <w:vAlign w:val="center"/>
            <w:hideMark/>
          </w:tcPr>
          <w:p w14:paraId="4106A35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133,6</w:t>
            </w:r>
          </w:p>
        </w:tc>
        <w:tc>
          <w:tcPr>
            <w:tcW w:w="736" w:type="dxa"/>
            <w:tcBorders>
              <w:top w:val="nil"/>
              <w:left w:val="nil"/>
              <w:bottom w:val="nil"/>
              <w:right w:val="nil"/>
            </w:tcBorders>
            <w:shd w:val="clear" w:color="auto" w:fill="auto"/>
            <w:vAlign w:val="center"/>
            <w:hideMark/>
          </w:tcPr>
          <w:p w14:paraId="36B4FFBC"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57,9</w:t>
            </w:r>
          </w:p>
        </w:tc>
        <w:tc>
          <w:tcPr>
            <w:tcW w:w="736" w:type="dxa"/>
            <w:tcBorders>
              <w:top w:val="nil"/>
              <w:left w:val="nil"/>
              <w:bottom w:val="nil"/>
              <w:right w:val="nil"/>
            </w:tcBorders>
            <w:shd w:val="clear" w:color="auto" w:fill="auto"/>
            <w:vAlign w:val="center"/>
            <w:hideMark/>
          </w:tcPr>
          <w:p w14:paraId="58C3973A"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75,7</w:t>
            </w:r>
          </w:p>
        </w:tc>
        <w:tc>
          <w:tcPr>
            <w:tcW w:w="754" w:type="dxa"/>
            <w:tcBorders>
              <w:top w:val="nil"/>
              <w:left w:val="single" w:sz="4" w:space="0" w:color="auto"/>
              <w:bottom w:val="nil"/>
              <w:right w:val="nil"/>
            </w:tcBorders>
            <w:shd w:val="clear" w:color="auto" w:fill="auto"/>
            <w:vAlign w:val="center"/>
            <w:hideMark/>
          </w:tcPr>
          <w:p w14:paraId="628D744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7,1</w:t>
            </w:r>
          </w:p>
        </w:tc>
        <w:tc>
          <w:tcPr>
            <w:tcW w:w="737" w:type="dxa"/>
            <w:tcBorders>
              <w:top w:val="nil"/>
              <w:left w:val="nil"/>
              <w:bottom w:val="nil"/>
              <w:right w:val="nil"/>
            </w:tcBorders>
            <w:shd w:val="clear" w:color="auto" w:fill="auto"/>
            <w:vAlign w:val="center"/>
            <w:hideMark/>
          </w:tcPr>
          <w:p w14:paraId="67B3547C"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5,1</w:t>
            </w:r>
          </w:p>
        </w:tc>
        <w:tc>
          <w:tcPr>
            <w:tcW w:w="737" w:type="dxa"/>
            <w:tcBorders>
              <w:top w:val="nil"/>
              <w:left w:val="nil"/>
              <w:bottom w:val="nil"/>
              <w:right w:val="single" w:sz="4" w:space="0" w:color="auto"/>
            </w:tcBorders>
            <w:shd w:val="clear" w:color="auto" w:fill="auto"/>
            <w:vAlign w:val="center"/>
            <w:hideMark/>
          </w:tcPr>
          <w:p w14:paraId="65BD00D2"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w:t>
            </w:r>
          </w:p>
        </w:tc>
        <w:tc>
          <w:tcPr>
            <w:tcW w:w="737" w:type="dxa"/>
            <w:tcBorders>
              <w:top w:val="nil"/>
              <w:left w:val="nil"/>
              <w:bottom w:val="nil"/>
              <w:right w:val="nil"/>
            </w:tcBorders>
            <w:shd w:val="clear" w:color="auto" w:fill="auto"/>
            <w:vAlign w:val="center"/>
            <w:hideMark/>
          </w:tcPr>
          <w:p w14:paraId="1ED5681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12,5</w:t>
            </w:r>
          </w:p>
        </w:tc>
        <w:tc>
          <w:tcPr>
            <w:tcW w:w="737" w:type="dxa"/>
            <w:tcBorders>
              <w:top w:val="nil"/>
              <w:left w:val="nil"/>
              <w:bottom w:val="nil"/>
              <w:right w:val="nil"/>
            </w:tcBorders>
            <w:shd w:val="clear" w:color="auto" w:fill="auto"/>
            <w:vAlign w:val="center"/>
            <w:hideMark/>
          </w:tcPr>
          <w:p w14:paraId="7C06C7C4"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8,2</w:t>
            </w:r>
          </w:p>
        </w:tc>
        <w:tc>
          <w:tcPr>
            <w:tcW w:w="737" w:type="dxa"/>
            <w:tcBorders>
              <w:top w:val="nil"/>
              <w:left w:val="nil"/>
              <w:bottom w:val="nil"/>
              <w:right w:val="nil"/>
            </w:tcBorders>
            <w:shd w:val="clear" w:color="auto" w:fill="auto"/>
            <w:vAlign w:val="center"/>
            <w:hideMark/>
          </w:tcPr>
          <w:p w14:paraId="2B2A97C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4,3</w:t>
            </w:r>
          </w:p>
        </w:tc>
      </w:tr>
      <w:tr w:rsidR="008924EC" w:rsidRPr="00D92E20" w14:paraId="56095C8D" w14:textId="77777777" w:rsidTr="004C01F9">
        <w:trPr>
          <w:trHeight w:val="300"/>
        </w:trPr>
        <w:tc>
          <w:tcPr>
            <w:tcW w:w="737" w:type="dxa"/>
            <w:tcBorders>
              <w:top w:val="nil"/>
              <w:left w:val="nil"/>
              <w:bottom w:val="nil"/>
              <w:right w:val="nil"/>
            </w:tcBorders>
            <w:shd w:val="clear" w:color="auto" w:fill="auto"/>
            <w:vAlign w:val="center"/>
            <w:hideMark/>
          </w:tcPr>
          <w:p w14:paraId="2343E18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2012</w:t>
            </w:r>
          </w:p>
        </w:tc>
        <w:tc>
          <w:tcPr>
            <w:tcW w:w="737" w:type="dxa"/>
            <w:tcBorders>
              <w:top w:val="nil"/>
              <w:left w:val="single" w:sz="4" w:space="0" w:color="auto"/>
              <w:bottom w:val="nil"/>
              <w:right w:val="nil"/>
            </w:tcBorders>
            <w:shd w:val="clear" w:color="auto" w:fill="auto"/>
            <w:vAlign w:val="center"/>
            <w:hideMark/>
          </w:tcPr>
          <w:p w14:paraId="7E2EA0EC"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154,4</w:t>
            </w:r>
          </w:p>
        </w:tc>
        <w:tc>
          <w:tcPr>
            <w:tcW w:w="736" w:type="dxa"/>
            <w:tcBorders>
              <w:top w:val="nil"/>
              <w:left w:val="nil"/>
              <w:bottom w:val="nil"/>
              <w:right w:val="nil"/>
            </w:tcBorders>
            <w:shd w:val="clear" w:color="auto" w:fill="auto"/>
            <w:vAlign w:val="center"/>
            <w:hideMark/>
          </w:tcPr>
          <w:p w14:paraId="5DE06B2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71,6</w:t>
            </w:r>
          </w:p>
        </w:tc>
        <w:tc>
          <w:tcPr>
            <w:tcW w:w="736" w:type="dxa"/>
            <w:tcBorders>
              <w:top w:val="nil"/>
              <w:left w:val="nil"/>
              <w:bottom w:val="nil"/>
              <w:right w:val="single" w:sz="4" w:space="0" w:color="auto"/>
            </w:tcBorders>
            <w:shd w:val="clear" w:color="auto" w:fill="auto"/>
            <w:vAlign w:val="center"/>
            <w:hideMark/>
          </w:tcPr>
          <w:p w14:paraId="057AB253"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82,8</w:t>
            </w:r>
          </w:p>
        </w:tc>
        <w:tc>
          <w:tcPr>
            <w:tcW w:w="737" w:type="dxa"/>
            <w:tcBorders>
              <w:top w:val="nil"/>
              <w:left w:val="nil"/>
              <w:bottom w:val="nil"/>
              <w:right w:val="nil"/>
            </w:tcBorders>
            <w:shd w:val="clear" w:color="auto" w:fill="auto"/>
            <w:vAlign w:val="center"/>
            <w:hideMark/>
          </w:tcPr>
          <w:p w14:paraId="4F17CBC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130,3</w:t>
            </w:r>
          </w:p>
        </w:tc>
        <w:tc>
          <w:tcPr>
            <w:tcW w:w="736" w:type="dxa"/>
            <w:tcBorders>
              <w:top w:val="nil"/>
              <w:left w:val="nil"/>
              <w:bottom w:val="nil"/>
              <w:right w:val="nil"/>
            </w:tcBorders>
            <w:shd w:val="clear" w:color="auto" w:fill="auto"/>
            <w:vAlign w:val="center"/>
            <w:hideMark/>
          </w:tcPr>
          <w:p w14:paraId="5EF08E64"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55,6</w:t>
            </w:r>
          </w:p>
        </w:tc>
        <w:tc>
          <w:tcPr>
            <w:tcW w:w="736" w:type="dxa"/>
            <w:tcBorders>
              <w:top w:val="nil"/>
              <w:left w:val="nil"/>
              <w:bottom w:val="nil"/>
              <w:right w:val="nil"/>
            </w:tcBorders>
            <w:shd w:val="clear" w:color="auto" w:fill="auto"/>
            <w:vAlign w:val="center"/>
            <w:hideMark/>
          </w:tcPr>
          <w:p w14:paraId="4D938604"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74,7</w:t>
            </w:r>
          </w:p>
        </w:tc>
        <w:tc>
          <w:tcPr>
            <w:tcW w:w="754" w:type="dxa"/>
            <w:tcBorders>
              <w:top w:val="nil"/>
              <w:left w:val="single" w:sz="4" w:space="0" w:color="auto"/>
              <w:bottom w:val="nil"/>
              <w:right w:val="nil"/>
            </w:tcBorders>
            <w:shd w:val="clear" w:color="auto" w:fill="auto"/>
            <w:vAlign w:val="center"/>
            <w:hideMark/>
          </w:tcPr>
          <w:p w14:paraId="2F8932AD"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6,6</w:t>
            </w:r>
          </w:p>
        </w:tc>
        <w:tc>
          <w:tcPr>
            <w:tcW w:w="737" w:type="dxa"/>
            <w:tcBorders>
              <w:top w:val="nil"/>
              <w:left w:val="nil"/>
              <w:bottom w:val="nil"/>
              <w:right w:val="nil"/>
            </w:tcBorders>
            <w:shd w:val="clear" w:color="auto" w:fill="auto"/>
            <w:vAlign w:val="center"/>
            <w:hideMark/>
          </w:tcPr>
          <w:p w14:paraId="3D69EDEA"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4,7</w:t>
            </w:r>
          </w:p>
        </w:tc>
        <w:tc>
          <w:tcPr>
            <w:tcW w:w="737" w:type="dxa"/>
            <w:tcBorders>
              <w:top w:val="nil"/>
              <w:left w:val="nil"/>
              <w:bottom w:val="nil"/>
              <w:right w:val="single" w:sz="4" w:space="0" w:color="auto"/>
            </w:tcBorders>
            <w:shd w:val="clear" w:color="auto" w:fill="auto"/>
            <w:vAlign w:val="center"/>
            <w:hideMark/>
          </w:tcPr>
          <w:p w14:paraId="23D90665"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1,9</w:t>
            </w:r>
          </w:p>
        </w:tc>
        <w:tc>
          <w:tcPr>
            <w:tcW w:w="737" w:type="dxa"/>
            <w:tcBorders>
              <w:top w:val="nil"/>
              <w:left w:val="nil"/>
              <w:bottom w:val="nil"/>
              <w:right w:val="nil"/>
            </w:tcBorders>
            <w:shd w:val="clear" w:color="auto" w:fill="auto"/>
            <w:vAlign w:val="center"/>
            <w:hideMark/>
          </w:tcPr>
          <w:p w14:paraId="57D7291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17,5</w:t>
            </w:r>
          </w:p>
        </w:tc>
        <w:tc>
          <w:tcPr>
            <w:tcW w:w="737" w:type="dxa"/>
            <w:tcBorders>
              <w:top w:val="nil"/>
              <w:left w:val="nil"/>
              <w:bottom w:val="nil"/>
              <w:right w:val="nil"/>
            </w:tcBorders>
            <w:shd w:val="clear" w:color="auto" w:fill="auto"/>
            <w:vAlign w:val="center"/>
            <w:hideMark/>
          </w:tcPr>
          <w:p w14:paraId="7450D78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11,3</w:t>
            </w:r>
          </w:p>
        </w:tc>
        <w:tc>
          <w:tcPr>
            <w:tcW w:w="737" w:type="dxa"/>
            <w:tcBorders>
              <w:top w:val="nil"/>
              <w:left w:val="nil"/>
              <w:bottom w:val="nil"/>
              <w:right w:val="nil"/>
            </w:tcBorders>
            <w:shd w:val="clear" w:color="auto" w:fill="auto"/>
            <w:vAlign w:val="center"/>
            <w:hideMark/>
          </w:tcPr>
          <w:p w14:paraId="5C697DB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6,2</w:t>
            </w:r>
          </w:p>
        </w:tc>
      </w:tr>
      <w:tr w:rsidR="008924EC" w:rsidRPr="00D92E20" w14:paraId="09660A30" w14:textId="77777777" w:rsidTr="004C01F9">
        <w:trPr>
          <w:trHeight w:val="300"/>
        </w:trPr>
        <w:tc>
          <w:tcPr>
            <w:tcW w:w="737" w:type="dxa"/>
            <w:tcBorders>
              <w:top w:val="nil"/>
              <w:left w:val="nil"/>
              <w:bottom w:val="nil"/>
              <w:right w:val="nil"/>
            </w:tcBorders>
            <w:shd w:val="clear" w:color="auto" w:fill="auto"/>
            <w:vAlign w:val="center"/>
            <w:hideMark/>
          </w:tcPr>
          <w:p w14:paraId="4030837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2013</w:t>
            </w:r>
          </w:p>
        </w:tc>
        <w:tc>
          <w:tcPr>
            <w:tcW w:w="737" w:type="dxa"/>
            <w:tcBorders>
              <w:top w:val="nil"/>
              <w:left w:val="single" w:sz="4" w:space="0" w:color="auto"/>
              <w:bottom w:val="nil"/>
              <w:right w:val="nil"/>
            </w:tcBorders>
            <w:shd w:val="clear" w:color="auto" w:fill="auto"/>
            <w:vAlign w:val="center"/>
            <w:hideMark/>
          </w:tcPr>
          <w:p w14:paraId="20301179"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160,5</w:t>
            </w:r>
          </w:p>
        </w:tc>
        <w:tc>
          <w:tcPr>
            <w:tcW w:w="736" w:type="dxa"/>
            <w:tcBorders>
              <w:top w:val="nil"/>
              <w:left w:val="nil"/>
              <w:bottom w:val="nil"/>
              <w:right w:val="nil"/>
            </w:tcBorders>
            <w:shd w:val="clear" w:color="auto" w:fill="auto"/>
            <w:vAlign w:val="center"/>
            <w:hideMark/>
          </w:tcPr>
          <w:p w14:paraId="6F1B0CFF"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74,0</w:t>
            </w:r>
          </w:p>
        </w:tc>
        <w:tc>
          <w:tcPr>
            <w:tcW w:w="736" w:type="dxa"/>
            <w:tcBorders>
              <w:top w:val="nil"/>
              <w:left w:val="nil"/>
              <w:bottom w:val="nil"/>
              <w:right w:val="single" w:sz="4" w:space="0" w:color="auto"/>
            </w:tcBorders>
            <w:shd w:val="clear" w:color="auto" w:fill="auto"/>
            <w:vAlign w:val="center"/>
            <w:hideMark/>
          </w:tcPr>
          <w:p w14:paraId="7BCE7BC2"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86,5</w:t>
            </w:r>
          </w:p>
        </w:tc>
        <w:tc>
          <w:tcPr>
            <w:tcW w:w="737" w:type="dxa"/>
            <w:tcBorders>
              <w:top w:val="nil"/>
              <w:left w:val="nil"/>
              <w:bottom w:val="nil"/>
              <w:right w:val="nil"/>
            </w:tcBorders>
            <w:shd w:val="clear" w:color="auto" w:fill="auto"/>
            <w:vAlign w:val="center"/>
            <w:hideMark/>
          </w:tcPr>
          <w:p w14:paraId="3B6EBBAF"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135,9</w:t>
            </w:r>
          </w:p>
        </w:tc>
        <w:tc>
          <w:tcPr>
            <w:tcW w:w="736" w:type="dxa"/>
            <w:tcBorders>
              <w:top w:val="nil"/>
              <w:left w:val="nil"/>
              <w:bottom w:val="nil"/>
              <w:right w:val="nil"/>
            </w:tcBorders>
            <w:shd w:val="clear" w:color="auto" w:fill="auto"/>
            <w:vAlign w:val="center"/>
            <w:hideMark/>
          </w:tcPr>
          <w:p w14:paraId="22230C4E"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58,0</w:t>
            </w:r>
          </w:p>
        </w:tc>
        <w:tc>
          <w:tcPr>
            <w:tcW w:w="736" w:type="dxa"/>
            <w:tcBorders>
              <w:top w:val="nil"/>
              <w:left w:val="nil"/>
              <w:bottom w:val="nil"/>
              <w:right w:val="nil"/>
            </w:tcBorders>
            <w:shd w:val="clear" w:color="auto" w:fill="auto"/>
            <w:vAlign w:val="center"/>
            <w:hideMark/>
          </w:tcPr>
          <w:p w14:paraId="359BDD1C"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77,9</w:t>
            </w:r>
          </w:p>
        </w:tc>
        <w:tc>
          <w:tcPr>
            <w:tcW w:w="754" w:type="dxa"/>
            <w:tcBorders>
              <w:top w:val="nil"/>
              <w:left w:val="single" w:sz="4" w:space="0" w:color="auto"/>
              <w:bottom w:val="nil"/>
              <w:right w:val="nil"/>
            </w:tcBorders>
            <w:shd w:val="clear" w:color="auto" w:fill="auto"/>
            <w:vAlign w:val="center"/>
            <w:hideMark/>
          </w:tcPr>
          <w:p w14:paraId="377E4DA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6,5</w:t>
            </w:r>
          </w:p>
        </w:tc>
        <w:tc>
          <w:tcPr>
            <w:tcW w:w="737" w:type="dxa"/>
            <w:tcBorders>
              <w:top w:val="nil"/>
              <w:left w:val="nil"/>
              <w:bottom w:val="nil"/>
              <w:right w:val="nil"/>
            </w:tcBorders>
            <w:shd w:val="clear" w:color="auto" w:fill="auto"/>
            <w:vAlign w:val="center"/>
            <w:hideMark/>
          </w:tcPr>
          <w:p w14:paraId="0376727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4,6</w:t>
            </w:r>
          </w:p>
        </w:tc>
        <w:tc>
          <w:tcPr>
            <w:tcW w:w="737" w:type="dxa"/>
            <w:tcBorders>
              <w:top w:val="nil"/>
              <w:left w:val="nil"/>
              <w:bottom w:val="nil"/>
              <w:right w:val="single" w:sz="4" w:space="0" w:color="auto"/>
            </w:tcBorders>
            <w:shd w:val="clear" w:color="auto" w:fill="auto"/>
            <w:vAlign w:val="center"/>
            <w:hideMark/>
          </w:tcPr>
          <w:p w14:paraId="7210F9F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1,9</w:t>
            </w:r>
          </w:p>
        </w:tc>
        <w:tc>
          <w:tcPr>
            <w:tcW w:w="737" w:type="dxa"/>
            <w:tcBorders>
              <w:top w:val="nil"/>
              <w:left w:val="nil"/>
              <w:bottom w:val="nil"/>
              <w:right w:val="nil"/>
            </w:tcBorders>
            <w:shd w:val="clear" w:color="auto" w:fill="auto"/>
            <w:vAlign w:val="center"/>
            <w:hideMark/>
          </w:tcPr>
          <w:p w14:paraId="105188CA"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18,1</w:t>
            </w:r>
          </w:p>
        </w:tc>
        <w:tc>
          <w:tcPr>
            <w:tcW w:w="737" w:type="dxa"/>
            <w:tcBorders>
              <w:top w:val="nil"/>
              <w:left w:val="nil"/>
              <w:bottom w:val="nil"/>
              <w:right w:val="nil"/>
            </w:tcBorders>
            <w:shd w:val="clear" w:color="auto" w:fill="auto"/>
            <w:vAlign w:val="center"/>
            <w:hideMark/>
          </w:tcPr>
          <w:p w14:paraId="22F97923"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11,4</w:t>
            </w:r>
          </w:p>
        </w:tc>
        <w:tc>
          <w:tcPr>
            <w:tcW w:w="737" w:type="dxa"/>
            <w:tcBorders>
              <w:top w:val="nil"/>
              <w:left w:val="nil"/>
              <w:bottom w:val="nil"/>
              <w:right w:val="nil"/>
            </w:tcBorders>
            <w:shd w:val="clear" w:color="auto" w:fill="auto"/>
            <w:vAlign w:val="center"/>
            <w:hideMark/>
          </w:tcPr>
          <w:p w14:paraId="57A8FFB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6,7</w:t>
            </w:r>
          </w:p>
        </w:tc>
      </w:tr>
      <w:tr w:rsidR="008924EC" w:rsidRPr="00D92E20" w14:paraId="16A73F60" w14:textId="77777777" w:rsidTr="004C01F9">
        <w:trPr>
          <w:trHeight w:val="300"/>
        </w:trPr>
        <w:tc>
          <w:tcPr>
            <w:tcW w:w="737" w:type="dxa"/>
            <w:tcBorders>
              <w:top w:val="nil"/>
              <w:left w:val="nil"/>
              <w:bottom w:val="nil"/>
              <w:right w:val="nil"/>
            </w:tcBorders>
            <w:shd w:val="clear" w:color="auto" w:fill="auto"/>
            <w:vAlign w:val="center"/>
            <w:hideMark/>
          </w:tcPr>
          <w:p w14:paraId="2AA1819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2014</w:t>
            </w:r>
          </w:p>
        </w:tc>
        <w:tc>
          <w:tcPr>
            <w:tcW w:w="737" w:type="dxa"/>
            <w:tcBorders>
              <w:top w:val="nil"/>
              <w:left w:val="single" w:sz="4" w:space="0" w:color="auto"/>
              <w:bottom w:val="nil"/>
              <w:right w:val="nil"/>
            </w:tcBorders>
            <w:shd w:val="clear" w:color="auto" w:fill="auto"/>
            <w:vAlign w:val="center"/>
            <w:hideMark/>
          </w:tcPr>
          <w:p w14:paraId="10F579DD"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165,0</w:t>
            </w:r>
          </w:p>
        </w:tc>
        <w:tc>
          <w:tcPr>
            <w:tcW w:w="736" w:type="dxa"/>
            <w:tcBorders>
              <w:top w:val="nil"/>
              <w:left w:val="nil"/>
              <w:bottom w:val="nil"/>
              <w:right w:val="nil"/>
            </w:tcBorders>
            <w:shd w:val="clear" w:color="auto" w:fill="auto"/>
            <w:vAlign w:val="center"/>
            <w:hideMark/>
          </w:tcPr>
          <w:p w14:paraId="3450DE5D"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75,1</w:t>
            </w:r>
          </w:p>
        </w:tc>
        <w:tc>
          <w:tcPr>
            <w:tcW w:w="736" w:type="dxa"/>
            <w:tcBorders>
              <w:top w:val="nil"/>
              <w:left w:val="nil"/>
              <w:bottom w:val="nil"/>
              <w:right w:val="single" w:sz="4" w:space="0" w:color="auto"/>
            </w:tcBorders>
            <w:shd w:val="clear" w:color="auto" w:fill="auto"/>
            <w:vAlign w:val="center"/>
            <w:hideMark/>
          </w:tcPr>
          <w:p w14:paraId="1D6F6FC7"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89,9</w:t>
            </w:r>
          </w:p>
        </w:tc>
        <w:tc>
          <w:tcPr>
            <w:tcW w:w="737" w:type="dxa"/>
            <w:tcBorders>
              <w:top w:val="nil"/>
              <w:left w:val="nil"/>
              <w:bottom w:val="nil"/>
              <w:right w:val="nil"/>
            </w:tcBorders>
            <w:shd w:val="clear" w:color="auto" w:fill="auto"/>
            <w:vAlign w:val="center"/>
            <w:hideMark/>
          </w:tcPr>
          <w:p w14:paraId="571FDE89"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139,9</w:t>
            </w:r>
          </w:p>
        </w:tc>
        <w:tc>
          <w:tcPr>
            <w:tcW w:w="736" w:type="dxa"/>
            <w:tcBorders>
              <w:top w:val="nil"/>
              <w:left w:val="nil"/>
              <w:bottom w:val="nil"/>
              <w:right w:val="nil"/>
            </w:tcBorders>
            <w:shd w:val="clear" w:color="auto" w:fill="auto"/>
            <w:vAlign w:val="center"/>
            <w:hideMark/>
          </w:tcPr>
          <w:p w14:paraId="7CA92547"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58,7</w:t>
            </w:r>
          </w:p>
        </w:tc>
        <w:tc>
          <w:tcPr>
            <w:tcW w:w="736" w:type="dxa"/>
            <w:tcBorders>
              <w:top w:val="nil"/>
              <w:left w:val="nil"/>
              <w:bottom w:val="nil"/>
              <w:right w:val="nil"/>
            </w:tcBorders>
            <w:shd w:val="clear" w:color="auto" w:fill="auto"/>
            <w:vAlign w:val="center"/>
            <w:hideMark/>
          </w:tcPr>
          <w:p w14:paraId="00080A23"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81,2</w:t>
            </w:r>
          </w:p>
        </w:tc>
        <w:tc>
          <w:tcPr>
            <w:tcW w:w="754" w:type="dxa"/>
            <w:tcBorders>
              <w:top w:val="nil"/>
              <w:left w:val="single" w:sz="4" w:space="0" w:color="auto"/>
              <w:bottom w:val="nil"/>
              <w:right w:val="nil"/>
            </w:tcBorders>
            <w:shd w:val="clear" w:color="auto" w:fill="auto"/>
            <w:vAlign w:val="center"/>
            <w:hideMark/>
          </w:tcPr>
          <w:p w14:paraId="4F797F3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6,7</w:t>
            </w:r>
          </w:p>
        </w:tc>
        <w:tc>
          <w:tcPr>
            <w:tcW w:w="737" w:type="dxa"/>
            <w:tcBorders>
              <w:top w:val="nil"/>
              <w:left w:val="nil"/>
              <w:bottom w:val="nil"/>
              <w:right w:val="nil"/>
            </w:tcBorders>
            <w:shd w:val="clear" w:color="auto" w:fill="auto"/>
            <w:vAlign w:val="center"/>
            <w:hideMark/>
          </w:tcPr>
          <w:p w14:paraId="031211B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4,7</w:t>
            </w:r>
          </w:p>
        </w:tc>
        <w:tc>
          <w:tcPr>
            <w:tcW w:w="737" w:type="dxa"/>
            <w:tcBorders>
              <w:top w:val="nil"/>
              <w:left w:val="nil"/>
              <w:bottom w:val="nil"/>
              <w:right w:val="single" w:sz="4" w:space="0" w:color="auto"/>
            </w:tcBorders>
            <w:shd w:val="clear" w:color="auto" w:fill="auto"/>
            <w:vAlign w:val="center"/>
            <w:hideMark/>
          </w:tcPr>
          <w:p w14:paraId="673D509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w:t>
            </w:r>
          </w:p>
        </w:tc>
        <w:tc>
          <w:tcPr>
            <w:tcW w:w="737" w:type="dxa"/>
            <w:tcBorders>
              <w:top w:val="nil"/>
              <w:left w:val="nil"/>
              <w:bottom w:val="nil"/>
              <w:right w:val="nil"/>
            </w:tcBorders>
            <w:shd w:val="clear" w:color="auto" w:fill="auto"/>
            <w:vAlign w:val="center"/>
            <w:hideMark/>
          </w:tcPr>
          <w:p w14:paraId="3649D84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18,4</w:t>
            </w:r>
          </w:p>
        </w:tc>
        <w:tc>
          <w:tcPr>
            <w:tcW w:w="737" w:type="dxa"/>
            <w:tcBorders>
              <w:top w:val="nil"/>
              <w:left w:val="nil"/>
              <w:bottom w:val="nil"/>
              <w:right w:val="nil"/>
            </w:tcBorders>
            <w:shd w:val="clear" w:color="auto" w:fill="auto"/>
            <w:vAlign w:val="center"/>
            <w:hideMark/>
          </w:tcPr>
          <w:p w14:paraId="49F9D17D"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11,7</w:t>
            </w:r>
          </w:p>
        </w:tc>
        <w:tc>
          <w:tcPr>
            <w:tcW w:w="737" w:type="dxa"/>
            <w:tcBorders>
              <w:top w:val="nil"/>
              <w:left w:val="nil"/>
              <w:bottom w:val="nil"/>
              <w:right w:val="nil"/>
            </w:tcBorders>
            <w:shd w:val="clear" w:color="auto" w:fill="auto"/>
            <w:vAlign w:val="center"/>
            <w:hideMark/>
          </w:tcPr>
          <w:p w14:paraId="0FE671C5"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6,7</w:t>
            </w:r>
          </w:p>
        </w:tc>
      </w:tr>
      <w:tr w:rsidR="008924EC" w:rsidRPr="00D92E20" w14:paraId="32880669" w14:textId="77777777" w:rsidTr="004C01F9">
        <w:trPr>
          <w:trHeight w:val="300"/>
        </w:trPr>
        <w:tc>
          <w:tcPr>
            <w:tcW w:w="737" w:type="dxa"/>
            <w:tcBorders>
              <w:top w:val="nil"/>
              <w:left w:val="nil"/>
              <w:bottom w:val="nil"/>
              <w:right w:val="nil"/>
            </w:tcBorders>
            <w:shd w:val="clear" w:color="auto" w:fill="auto"/>
            <w:vAlign w:val="center"/>
            <w:hideMark/>
          </w:tcPr>
          <w:p w14:paraId="2937112E"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2015</w:t>
            </w:r>
          </w:p>
        </w:tc>
        <w:tc>
          <w:tcPr>
            <w:tcW w:w="737" w:type="dxa"/>
            <w:tcBorders>
              <w:top w:val="nil"/>
              <w:left w:val="single" w:sz="4" w:space="0" w:color="auto"/>
              <w:bottom w:val="nil"/>
              <w:right w:val="nil"/>
            </w:tcBorders>
            <w:shd w:val="clear" w:color="auto" w:fill="auto"/>
            <w:vAlign w:val="center"/>
            <w:hideMark/>
          </w:tcPr>
          <w:p w14:paraId="409ADA3E"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183,1</w:t>
            </w:r>
          </w:p>
        </w:tc>
        <w:tc>
          <w:tcPr>
            <w:tcW w:w="736" w:type="dxa"/>
            <w:tcBorders>
              <w:top w:val="nil"/>
              <w:left w:val="nil"/>
              <w:bottom w:val="nil"/>
              <w:right w:val="nil"/>
            </w:tcBorders>
            <w:shd w:val="clear" w:color="auto" w:fill="auto"/>
            <w:vAlign w:val="center"/>
            <w:hideMark/>
          </w:tcPr>
          <w:p w14:paraId="0FB34FC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83,5</w:t>
            </w:r>
          </w:p>
        </w:tc>
        <w:tc>
          <w:tcPr>
            <w:tcW w:w="736" w:type="dxa"/>
            <w:tcBorders>
              <w:top w:val="nil"/>
              <w:left w:val="nil"/>
              <w:bottom w:val="nil"/>
              <w:right w:val="single" w:sz="4" w:space="0" w:color="auto"/>
            </w:tcBorders>
            <w:shd w:val="clear" w:color="auto" w:fill="auto"/>
            <w:vAlign w:val="center"/>
            <w:hideMark/>
          </w:tcPr>
          <w:p w14:paraId="6D080AD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99,6</w:t>
            </w:r>
          </w:p>
        </w:tc>
        <w:tc>
          <w:tcPr>
            <w:tcW w:w="737" w:type="dxa"/>
            <w:tcBorders>
              <w:top w:val="nil"/>
              <w:left w:val="nil"/>
              <w:bottom w:val="nil"/>
              <w:right w:val="nil"/>
            </w:tcBorders>
            <w:shd w:val="clear" w:color="auto" w:fill="auto"/>
            <w:vAlign w:val="center"/>
            <w:hideMark/>
          </w:tcPr>
          <w:p w14:paraId="68949E83"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156,2</w:t>
            </w:r>
          </w:p>
        </w:tc>
        <w:tc>
          <w:tcPr>
            <w:tcW w:w="736" w:type="dxa"/>
            <w:tcBorders>
              <w:top w:val="nil"/>
              <w:left w:val="nil"/>
              <w:bottom w:val="nil"/>
              <w:right w:val="nil"/>
            </w:tcBorders>
            <w:shd w:val="clear" w:color="auto" w:fill="auto"/>
            <w:vAlign w:val="center"/>
            <w:hideMark/>
          </w:tcPr>
          <w:p w14:paraId="289201A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66,2</w:t>
            </w:r>
          </w:p>
        </w:tc>
        <w:tc>
          <w:tcPr>
            <w:tcW w:w="736" w:type="dxa"/>
            <w:tcBorders>
              <w:top w:val="nil"/>
              <w:left w:val="nil"/>
              <w:bottom w:val="nil"/>
              <w:right w:val="nil"/>
            </w:tcBorders>
            <w:shd w:val="clear" w:color="auto" w:fill="auto"/>
            <w:vAlign w:val="center"/>
            <w:hideMark/>
          </w:tcPr>
          <w:p w14:paraId="04561307"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90,0</w:t>
            </w:r>
          </w:p>
        </w:tc>
        <w:tc>
          <w:tcPr>
            <w:tcW w:w="754" w:type="dxa"/>
            <w:tcBorders>
              <w:top w:val="nil"/>
              <w:left w:val="single" w:sz="4" w:space="0" w:color="auto"/>
              <w:bottom w:val="nil"/>
              <w:right w:val="nil"/>
            </w:tcBorders>
            <w:shd w:val="clear" w:color="auto" w:fill="auto"/>
            <w:vAlign w:val="center"/>
            <w:hideMark/>
          </w:tcPr>
          <w:p w14:paraId="75249F39"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7,0</w:t>
            </w:r>
          </w:p>
        </w:tc>
        <w:tc>
          <w:tcPr>
            <w:tcW w:w="737" w:type="dxa"/>
            <w:tcBorders>
              <w:top w:val="nil"/>
              <w:left w:val="nil"/>
              <w:bottom w:val="nil"/>
              <w:right w:val="nil"/>
            </w:tcBorders>
            <w:shd w:val="clear" w:color="auto" w:fill="auto"/>
            <w:vAlign w:val="center"/>
            <w:hideMark/>
          </w:tcPr>
          <w:p w14:paraId="18FD49F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480A5C52"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2,2</w:t>
            </w:r>
          </w:p>
        </w:tc>
        <w:tc>
          <w:tcPr>
            <w:tcW w:w="737" w:type="dxa"/>
            <w:tcBorders>
              <w:top w:val="nil"/>
              <w:left w:val="nil"/>
              <w:bottom w:val="nil"/>
              <w:right w:val="nil"/>
            </w:tcBorders>
            <w:shd w:val="clear" w:color="auto" w:fill="auto"/>
            <w:vAlign w:val="center"/>
            <w:hideMark/>
          </w:tcPr>
          <w:p w14:paraId="5084915A"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19,9</w:t>
            </w:r>
          </w:p>
        </w:tc>
        <w:tc>
          <w:tcPr>
            <w:tcW w:w="737" w:type="dxa"/>
            <w:tcBorders>
              <w:top w:val="nil"/>
              <w:left w:val="nil"/>
              <w:bottom w:val="nil"/>
              <w:right w:val="nil"/>
            </w:tcBorders>
            <w:shd w:val="clear" w:color="auto" w:fill="auto"/>
            <w:vAlign w:val="center"/>
            <w:hideMark/>
          </w:tcPr>
          <w:p w14:paraId="08C9023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12,5</w:t>
            </w:r>
          </w:p>
        </w:tc>
        <w:tc>
          <w:tcPr>
            <w:tcW w:w="737" w:type="dxa"/>
            <w:tcBorders>
              <w:top w:val="nil"/>
              <w:left w:val="nil"/>
              <w:bottom w:val="nil"/>
              <w:right w:val="nil"/>
            </w:tcBorders>
            <w:shd w:val="clear" w:color="auto" w:fill="auto"/>
            <w:vAlign w:val="center"/>
            <w:hideMark/>
          </w:tcPr>
          <w:p w14:paraId="2265B2C5"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7,4</w:t>
            </w:r>
          </w:p>
        </w:tc>
      </w:tr>
      <w:tr w:rsidR="008924EC" w:rsidRPr="00D92E20" w14:paraId="72AA8233" w14:textId="77777777" w:rsidTr="004C01F9">
        <w:trPr>
          <w:trHeight w:val="300"/>
        </w:trPr>
        <w:tc>
          <w:tcPr>
            <w:tcW w:w="737" w:type="dxa"/>
            <w:tcBorders>
              <w:top w:val="nil"/>
              <w:left w:val="nil"/>
              <w:bottom w:val="nil"/>
              <w:right w:val="nil"/>
            </w:tcBorders>
            <w:shd w:val="clear" w:color="auto" w:fill="auto"/>
            <w:vAlign w:val="center"/>
            <w:hideMark/>
          </w:tcPr>
          <w:p w14:paraId="276AB1A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2016</w:t>
            </w:r>
          </w:p>
        </w:tc>
        <w:tc>
          <w:tcPr>
            <w:tcW w:w="737" w:type="dxa"/>
            <w:tcBorders>
              <w:top w:val="nil"/>
              <w:left w:val="single" w:sz="4" w:space="0" w:color="auto"/>
              <w:bottom w:val="nil"/>
              <w:right w:val="nil"/>
            </w:tcBorders>
            <w:shd w:val="clear" w:color="auto" w:fill="auto"/>
            <w:vAlign w:val="center"/>
            <w:hideMark/>
          </w:tcPr>
          <w:p w14:paraId="432D2BE7"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191,9</w:t>
            </w:r>
          </w:p>
        </w:tc>
        <w:tc>
          <w:tcPr>
            <w:tcW w:w="736" w:type="dxa"/>
            <w:tcBorders>
              <w:top w:val="nil"/>
              <w:left w:val="nil"/>
              <w:bottom w:val="nil"/>
              <w:right w:val="nil"/>
            </w:tcBorders>
            <w:shd w:val="clear" w:color="auto" w:fill="auto"/>
            <w:vAlign w:val="center"/>
            <w:hideMark/>
          </w:tcPr>
          <w:p w14:paraId="36FA228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87,1</w:t>
            </w:r>
          </w:p>
        </w:tc>
        <w:tc>
          <w:tcPr>
            <w:tcW w:w="736" w:type="dxa"/>
            <w:tcBorders>
              <w:top w:val="nil"/>
              <w:left w:val="nil"/>
              <w:bottom w:val="nil"/>
              <w:right w:val="single" w:sz="4" w:space="0" w:color="auto"/>
            </w:tcBorders>
            <w:shd w:val="clear" w:color="auto" w:fill="auto"/>
            <w:vAlign w:val="center"/>
            <w:hideMark/>
          </w:tcPr>
          <w:p w14:paraId="350B2DD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104,8</w:t>
            </w:r>
          </w:p>
        </w:tc>
        <w:tc>
          <w:tcPr>
            <w:tcW w:w="737" w:type="dxa"/>
            <w:tcBorders>
              <w:top w:val="nil"/>
              <w:left w:val="nil"/>
              <w:bottom w:val="nil"/>
              <w:right w:val="nil"/>
            </w:tcBorders>
            <w:shd w:val="clear" w:color="auto" w:fill="auto"/>
            <w:vAlign w:val="center"/>
            <w:hideMark/>
          </w:tcPr>
          <w:p w14:paraId="08EA960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164,2</w:t>
            </w:r>
          </w:p>
        </w:tc>
        <w:tc>
          <w:tcPr>
            <w:tcW w:w="736" w:type="dxa"/>
            <w:tcBorders>
              <w:top w:val="nil"/>
              <w:left w:val="nil"/>
              <w:bottom w:val="nil"/>
              <w:right w:val="nil"/>
            </w:tcBorders>
            <w:shd w:val="clear" w:color="auto" w:fill="auto"/>
            <w:vAlign w:val="center"/>
            <w:hideMark/>
          </w:tcPr>
          <w:p w14:paraId="2A8A6D3A"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69,4</w:t>
            </w:r>
          </w:p>
        </w:tc>
        <w:tc>
          <w:tcPr>
            <w:tcW w:w="736" w:type="dxa"/>
            <w:tcBorders>
              <w:top w:val="nil"/>
              <w:left w:val="nil"/>
              <w:bottom w:val="nil"/>
              <w:right w:val="nil"/>
            </w:tcBorders>
            <w:shd w:val="clear" w:color="auto" w:fill="auto"/>
            <w:vAlign w:val="center"/>
            <w:hideMark/>
          </w:tcPr>
          <w:p w14:paraId="1B8D0604"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94,8</w:t>
            </w:r>
          </w:p>
        </w:tc>
        <w:tc>
          <w:tcPr>
            <w:tcW w:w="754" w:type="dxa"/>
            <w:tcBorders>
              <w:top w:val="nil"/>
              <w:left w:val="single" w:sz="4" w:space="0" w:color="auto"/>
              <w:bottom w:val="nil"/>
              <w:right w:val="nil"/>
            </w:tcBorders>
            <w:shd w:val="clear" w:color="auto" w:fill="auto"/>
            <w:vAlign w:val="center"/>
            <w:hideMark/>
          </w:tcPr>
          <w:p w14:paraId="0C2C86EC"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7,0</w:t>
            </w:r>
          </w:p>
        </w:tc>
        <w:tc>
          <w:tcPr>
            <w:tcW w:w="737" w:type="dxa"/>
            <w:tcBorders>
              <w:top w:val="nil"/>
              <w:left w:val="nil"/>
              <w:bottom w:val="nil"/>
              <w:right w:val="nil"/>
            </w:tcBorders>
            <w:shd w:val="clear" w:color="auto" w:fill="auto"/>
            <w:vAlign w:val="center"/>
            <w:hideMark/>
          </w:tcPr>
          <w:p w14:paraId="2340B97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0516F64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2,2</w:t>
            </w:r>
          </w:p>
        </w:tc>
        <w:tc>
          <w:tcPr>
            <w:tcW w:w="737" w:type="dxa"/>
            <w:tcBorders>
              <w:top w:val="nil"/>
              <w:left w:val="nil"/>
              <w:bottom w:val="nil"/>
              <w:right w:val="nil"/>
            </w:tcBorders>
            <w:shd w:val="clear" w:color="auto" w:fill="auto"/>
            <w:vAlign w:val="center"/>
            <w:hideMark/>
          </w:tcPr>
          <w:p w14:paraId="5CF1B2B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20,7</w:t>
            </w:r>
          </w:p>
        </w:tc>
        <w:tc>
          <w:tcPr>
            <w:tcW w:w="737" w:type="dxa"/>
            <w:tcBorders>
              <w:top w:val="nil"/>
              <w:left w:val="nil"/>
              <w:bottom w:val="nil"/>
              <w:right w:val="nil"/>
            </w:tcBorders>
            <w:shd w:val="clear" w:color="auto" w:fill="auto"/>
            <w:vAlign w:val="center"/>
            <w:hideMark/>
          </w:tcPr>
          <w:p w14:paraId="3F61080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12,9</w:t>
            </w:r>
          </w:p>
        </w:tc>
        <w:tc>
          <w:tcPr>
            <w:tcW w:w="737" w:type="dxa"/>
            <w:tcBorders>
              <w:top w:val="nil"/>
              <w:left w:val="nil"/>
              <w:bottom w:val="nil"/>
              <w:right w:val="nil"/>
            </w:tcBorders>
            <w:shd w:val="clear" w:color="auto" w:fill="auto"/>
            <w:vAlign w:val="center"/>
            <w:hideMark/>
          </w:tcPr>
          <w:p w14:paraId="087E5C6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7,8</w:t>
            </w:r>
          </w:p>
        </w:tc>
      </w:tr>
      <w:tr w:rsidR="008924EC" w:rsidRPr="00D92E20" w14:paraId="2058BB8E" w14:textId="77777777" w:rsidTr="004C01F9">
        <w:trPr>
          <w:trHeight w:val="300"/>
        </w:trPr>
        <w:tc>
          <w:tcPr>
            <w:tcW w:w="737" w:type="dxa"/>
            <w:tcBorders>
              <w:top w:val="nil"/>
              <w:left w:val="nil"/>
              <w:bottom w:val="nil"/>
              <w:right w:val="nil"/>
            </w:tcBorders>
            <w:shd w:val="clear" w:color="auto" w:fill="auto"/>
            <w:vAlign w:val="center"/>
            <w:hideMark/>
          </w:tcPr>
          <w:p w14:paraId="1251C8A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2017</w:t>
            </w:r>
          </w:p>
        </w:tc>
        <w:tc>
          <w:tcPr>
            <w:tcW w:w="737" w:type="dxa"/>
            <w:tcBorders>
              <w:top w:val="nil"/>
              <w:left w:val="single" w:sz="4" w:space="0" w:color="auto"/>
              <w:bottom w:val="nil"/>
              <w:right w:val="nil"/>
            </w:tcBorders>
            <w:shd w:val="clear" w:color="auto" w:fill="auto"/>
            <w:vAlign w:val="center"/>
            <w:hideMark/>
          </w:tcPr>
          <w:p w14:paraId="668A83C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199,1</w:t>
            </w:r>
          </w:p>
        </w:tc>
        <w:tc>
          <w:tcPr>
            <w:tcW w:w="736" w:type="dxa"/>
            <w:tcBorders>
              <w:top w:val="nil"/>
              <w:left w:val="nil"/>
              <w:bottom w:val="nil"/>
              <w:right w:val="nil"/>
            </w:tcBorders>
            <w:shd w:val="clear" w:color="auto" w:fill="auto"/>
            <w:vAlign w:val="center"/>
            <w:hideMark/>
          </w:tcPr>
          <w:p w14:paraId="6AED76F3"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90,6</w:t>
            </w:r>
          </w:p>
        </w:tc>
        <w:tc>
          <w:tcPr>
            <w:tcW w:w="736" w:type="dxa"/>
            <w:tcBorders>
              <w:top w:val="nil"/>
              <w:left w:val="nil"/>
              <w:bottom w:val="nil"/>
              <w:right w:val="single" w:sz="4" w:space="0" w:color="auto"/>
            </w:tcBorders>
            <w:shd w:val="clear" w:color="auto" w:fill="auto"/>
            <w:vAlign w:val="center"/>
            <w:hideMark/>
          </w:tcPr>
          <w:p w14:paraId="32F9417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108,5</w:t>
            </w:r>
          </w:p>
        </w:tc>
        <w:tc>
          <w:tcPr>
            <w:tcW w:w="737" w:type="dxa"/>
            <w:tcBorders>
              <w:top w:val="nil"/>
              <w:left w:val="nil"/>
              <w:bottom w:val="nil"/>
              <w:right w:val="nil"/>
            </w:tcBorders>
            <w:shd w:val="clear" w:color="auto" w:fill="auto"/>
            <w:vAlign w:val="center"/>
            <w:hideMark/>
          </w:tcPr>
          <w:p w14:paraId="1F503497"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170,2</w:t>
            </w:r>
          </w:p>
        </w:tc>
        <w:tc>
          <w:tcPr>
            <w:tcW w:w="736" w:type="dxa"/>
            <w:tcBorders>
              <w:top w:val="nil"/>
              <w:left w:val="nil"/>
              <w:bottom w:val="nil"/>
              <w:right w:val="nil"/>
            </w:tcBorders>
            <w:shd w:val="clear" w:color="auto" w:fill="auto"/>
            <w:vAlign w:val="center"/>
            <w:hideMark/>
          </w:tcPr>
          <w:p w14:paraId="62FE429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72,5</w:t>
            </w:r>
          </w:p>
        </w:tc>
        <w:tc>
          <w:tcPr>
            <w:tcW w:w="736" w:type="dxa"/>
            <w:tcBorders>
              <w:top w:val="nil"/>
              <w:left w:val="nil"/>
              <w:bottom w:val="nil"/>
              <w:right w:val="nil"/>
            </w:tcBorders>
            <w:shd w:val="clear" w:color="auto" w:fill="auto"/>
            <w:vAlign w:val="center"/>
            <w:hideMark/>
          </w:tcPr>
          <w:p w14:paraId="4F4DB4D5"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97,7</w:t>
            </w:r>
          </w:p>
        </w:tc>
        <w:tc>
          <w:tcPr>
            <w:tcW w:w="754" w:type="dxa"/>
            <w:tcBorders>
              <w:top w:val="nil"/>
              <w:left w:val="single" w:sz="4" w:space="0" w:color="auto"/>
              <w:bottom w:val="nil"/>
              <w:right w:val="nil"/>
            </w:tcBorders>
            <w:shd w:val="clear" w:color="auto" w:fill="auto"/>
            <w:vAlign w:val="center"/>
            <w:hideMark/>
          </w:tcPr>
          <w:p w14:paraId="731F33A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7,1</w:t>
            </w:r>
          </w:p>
        </w:tc>
        <w:tc>
          <w:tcPr>
            <w:tcW w:w="737" w:type="dxa"/>
            <w:tcBorders>
              <w:top w:val="nil"/>
              <w:left w:val="nil"/>
              <w:bottom w:val="nil"/>
              <w:right w:val="nil"/>
            </w:tcBorders>
            <w:shd w:val="clear" w:color="auto" w:fill="auto"/>
            <w:vAlign w:val="center"/>
            <w:hideMark/>
          </w:tcPr>
          <w:p w14:paraId="0F0CA90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73BDC0B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2,3</w:t>
            </w:r>
          </w:p>
        </w:tc>
        <w:tc>
          <w:tcPr>
            <w:tcW w:w="737" w:type="dxa"/>
            <w:tcBorders>
              <w:top w:val="nil"/>
              <w:left w:val="nil"/>
              <w:bottom w:val="nil"/>
              <w:right w:val="nil"/>
            </w:tcBorders>
            <w:shd w:val="clear" w:color="auto" w:fill="auto"/>
            <w:vAlign w:val="center"/>
            <w:hideMark/>
          </w:tcPr>
          <w:p w14:paraId="519735C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21,8</w:t>
            </w:r>
          </w:p>
        </w:tc>
        <w:tc>
          <w:tcPr>
            <w:tcW w:w="737" w:type="dxa"/>
            <w:tcBorders>
              <w:top w:val="nil"/>
              <w:left w:val="nil"/>
              <w:bottom w:val="nil"/>
              <w:right w:val="nil"/>
            </w:tcBorders>
            <w:shd w:val="clear" w:color="auto" w:fill="auto"/>
            <w:vAlign w:val="center"/>
            <w:hideMark/>
          </w:tcPr>
          <w:p w14:paraId="30F5D799"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13,3</w:t>
            </w:r>
          </w:p>
        </w:tc>
        <w:tc>
          <w:tcPr>
            <w:tcW w:w="737" w:type="dxa"/>
            <w:tcBorders>
              <w:top w:val="nil"/>
              <w:left w:val="nil"/>
              <w:bottom w:val="nil"/>
              <w:right w:val="nil"/>
            </w:tcBorders>
            <w:shd w:val="clear" w:color="auto" w:fill="auto"/>
            <w:vAlign w:val="center"/>
            <w:hideMark/>
          </w:tcPr>
          <w:p w14:paraId="625CE20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8,5</w:t>
            </w:r>
          </w:p>
        </w:tc>
      </w:tr>
      <w:tr w:rsidR="008924EC" w:rsidRPr="00D92E20" w14:paraId="72358333" w14:textId="77777777" w:rsidTr="004C01F9">
        <w:trPr>
          <w:trHeight w:val="300"/>
        </w:trPr>
        <w:tc>
          <w:tcPr>
            <w:tcW w:w="737" w:type="dxa"/>
            <w:tcBorders>
              <w:top w:val="nil"/>
              <w:left w:val="nil"/>
              <w:bottom w:val="nil"/>
              <w:right w:val="nil"/>
            </w:tcBorders>
            <w:shd w:val="clear" w:color="auto" w:fill="auto"/>
            <w:vAlign w:val="center"/>
            <w:hideMark/>
          </w:tcPr>
          <w:p w14:paraId="071FFE39"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2018</w:t>
            </w:r>
          </w:p>
        </w:tc>
        <w:tc>
          <w:tcPr>
            <w:tcW w:w="737" w:type="dxa"/>
            <w:tcBorders>
              <w:top w:val="nil"/>
              <w:left w:val="single" w:sz="4" w:space="0" w:color="auto"/>
              <w:bottom w:val="nil"/>
              <w:right w:val="nil"/>
            </w:tcBorders>
            <w:shd w:val="clear" w:color="auto" w:fill="auto"/>
            <w:vAlign w:val="center"/>
            <w:hideMark/>
          </w:tcPr>
          <w:p w14:paraId="716876B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211,4</w:t>
            </w:r>
          </w:p>
        </w:tc>
        <w:tc>
          <w:tcPr>
            <w:tcW w:w="736" w:type="dxa"/>
            <w:tcBorders>
              <w:top w:val="nil"/>
              <w:left w:val="nil"/>
              <w:bottom w:val="nil"/>
              <w:right w:val="nil"/>
            </w:tcBorders>
            <w:shd w:val="clear" w:color="auto" w:fill="auto"/>
            <w:vAlign w:val="center"/>
            <w:hideMark/>
          </w:tcPr>
          <w:p w14:paraId="4F9E680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96,5</w:t>
            </w:r>
          </w:p>
        </w:tc>
        <w:tc>
          <w:tcPr>
            <w:tcW w:w="736" w:type="dxa"/>
            <w:tcBorders>
              <w:top w:val="nil"/>
              <w:left w:val="nil"/>
              <w:bottom w:val="nil"/>
              <w:right w:val="single" w:sz="4" w:space="0" w:color="auto"/>
            </w:tcBorders>
            <w:shd w:val="clear" w:color="auto" w:fill="auto"/>
            <w:vAlign w:val="center"/>
            <w:hideMark/>
          </w:tcPr>
          <w:p w14:paraId="0B09949C"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114,9</w:t>
            </w:r>
          </w:p>
        </w:tc>
        <w:tc>
          <w:tcPr>
            <w:tcW w:w="737" w:type="dxa"/>
            <w:tcBorders>
              <w:top w:val="nil"/>
              <w:left w:val="nil"/>
              <w:bottom w:val="nil"/>
              <w:right w:val="nil"/>
            </w:tcBorders>
            <w:shd w:val="clear" w:color="auto" w:fill="auto"/>
            <w:vAlign w:val="center"/>
            <w:hideMark/>
          </w:tcPr>
          <w:p w14:paraId="0996E3C4"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181,4</w:t>
            </w:r>
          </w:p>
        </w:tc>
        <w:tc>
          <w:tcPr>
            <w:tcW w:w="736" w:type="dxa"/>
            <w:tcBorders>
              <w:top w:val="nil"/>
              <w:left w:val="nil"/>
              <w:bottom w:val="nil"/>
              <w:right w:val="nil"/>
            </w:tcBorders>
            <w:shd w:val="clear" w:color="auto" w:fill="auto"/>
            <w:vAlign w:val="center"/>
            <w:hideMark/>
          </w:tcPr>
          <w:p w14:paraId="7CAC876D"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77,8</w:t>
            </w:r>
          </w:p>
        </w:tc>
        <w:tc>
          <w:tcPr>
            <w:tcW w:w="736" w:type="dxa"/>
            <w:tcBorders>
              <w:top w:val="nil"/>
              <w:left w:val="nil"/>
              <w:bottom w:val="nil"/>
              <w:right w:val="nil"/>
            </w:tcBorders>
            <w:shd w:val="clear" w:color="auto" w:fill="auto"/>
            <w:vAlign w:val="center"/>
            <w:hideMark/>
          </w:tcPr>
          <w:p w14:paraId="01D46DC4"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103,7</w:t>
            </w:r>
          </w:p>
        </w:tc>
        <w:tc>
          <w:tcPr>
            <w:tcW w:w="754" w:type="dxa"/>
            <w:tcBorders>
              <w:top w:val="nil"/>
              <w:left w:val="single" w:sz="4" w:space="0" w:color="auto"/>
              <w:bottom w:val="nil"/>
              <w:right w:val="nil"/>
            </w:tcBorders>
            <w:shd w:val="clear" w:color="auto" w:fill="auto"/>
            <w:vAlign w:val="center"/>
            <w:hideMark/>
          </w:tcPr>
          <w:p w14:paraId="4D83B3C5"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7,0</w:t>
            </w:r>
          </w:p>
        </w:tc>
        <w:tc>
          <w:tcPr>
            <w:tcW w:w="737" w:type="dxa"/>
            <w:tcBorders>
              <w:top w:val="nil"/>
              <w:left w:val="nil"/>
              <w:bottom w:val="nil"/>
              <w:right w:val="nil"/>
            </w:tcBorders>
            <w:shd w:val="clear" w:color="auto" w:fill="auto"/>
            <w:vAlign w:val="center"/>
            <w:hideMark/>
          </w:tcPr>
          <w:p w14:paraId="509475E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6A7C91AF"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2,3</w:t>
            </w:r>
          </w:p>
        </w:tc>
        <w:tc>
          <w:tcPr>
            <w:tcW w:w="737" w:type="dxa"/>
            <w:tcBorders>
              <w:top w:val="nil"/>
              <w:left w:val="nil"/>
              <w:bottom w:val="nil"/>
              <w:right w:val="nil"/>
            </w:tcBorders>
            <w:shd w:val="clear" w:color="auto" w:fill="auto"/>
            <w:vAlign w:val="center"/>
            <w:hideMark/>
          </w:tcPr>
          <w:p w14:paraId="47EDD432"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22,9</w:t>
            </w:r>
          </w:p>
        </w:tc>
        <w:tc>
          <w:tcPr>
            <w:tcW w:w="737" w:type="dxa"/>
            <w:tcBorders>
              <w:top w:val="nil"/>
              <w:left w:val="nil"/>
              <w:bottom w:val="nil"/>
              <w:right w:val="nil"/>
            </w:tcBorders>
            <w:shd w:val="clear" w:color="auto" w:fill="auto"/>
            <w:vAlign w:val="center"/>
            <w:hideMark/>
          </w:tcPr>
          <w:p w14:paraId="09F2520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14,0</w:t>
            </w:r>
          </w:p>
        </w:tc>
        <w:tc>
          <w:tcPr>
            <w:tcW w:w="737" w:type="dxa"/>
            <w:tcBorders>
              <w:top w:val="nil"/>
              <w:left w:val="nil"/>
              <w:bottom w:val="nil"/>
              <w:right w:val="nil"/>
            </w:tcBorders>
            <w:shd w:val="clear" w:color="auto" w:fill="auto"/>
            <w:vAlign w:val="center"/>
            <w:hideMark/>
          </w:tcPr>
          <w:p w14:paraId="3042153D"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8,9</w:t>
            </w:r>
          </w:p>
        </w:tc>
      </w:tr>
      <w:tr w:rsidR="008924EC" w:rsidRPr="00D92E20" w14:paraId="4CF65ED0" w14:textId="77777777" w:rsidTr="004C01F9">
        <w:trPr>
          <w:trHeight w:val="300"/>
        </w:trPr>
        <w:tc>
          <w:tcPr>
            <w:tcW w:w="737" w:type="dxa"/>
            <w:tcBorders>
              <w:top w:val="nil"/>
              <w:left w:val="nil"/>
              <w:bottom w:val="nil"/>
              <w:right w:val="nil"/>
            </w:tcBorders>
            <w:shd w:val="clear" w:color="auto" w:fill="auto"/>
            <w:vAlign w:val="center"/>
            <w:hideMark/>
          </w:tcPr>
          <w:p w14:paraId="09F724A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2019</w:t>
            </w:r>
          </w:p>
        </w:tc>
        <w:tc>
          <w:tcPr>
            <w:tcW w:w="737" w:type="dxa"/>
            <w:tcBorders>
              <w:top w:val="nil"/>
              <w:left w:val="single" w:sz="4" w:space="0" w:color="auto"/>
              <w:bottom w:val="nil"/>
              <w:right w:val="nil"/>
            </w:tcBorders>
            <w:shd w:val="clear" w:color="auto" w:fill="auto"/>
            <w:vAlign w:val="center"/>
            <w:hideMark/>
          </w:tcPr>
          <w:p w14:paraId="6945EE83"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222,5</w:t>
            </w:r>
          </w:p>
        </w:tc>
        <w:tc>
          <w:tcPr>
            <w:tcW w:w="736" w:type="dxa"/>
            <w:tcBorders>
              <w:top w:val="nil"/>
              <w:left w:val="nil"/>
              <w:bottom w:val="nil"/>
              <w:right w:val="nil"/>
            </w:tcBorders>
            <w:shd w:val="clear" w:color="auto" w:fill="auto"/>
            <w:vAlign w:val="center"/>
            <w:hideMark/>
          </w:tcPr>
          <w:p w14:paraId="3ADBFB3F"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101,5</w:t>
            </w:r>
          </w:p>
        </w:tc>
        <w:tc>
          <w:tcPr>
            <w:tcW w:w="736" w:type="dxa"/>
            <w:tcBorders>
              <w:top w:val="nil"/>
              <w:left w:val="nil"/>
              <w:bottom w:val="nil"/>
              <w:right w:val="single" w:sz="4" w:space="0" w:color="auto"/>
            </w:tcBorders>
            <w:shd w:val="clear" w:color="auto" w:fill="auto"/>
            <w:vAlign w:val="center"/>
            <w:hideMark/>
          </w:tcPr>
          <w:p w14:paraId="244269B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121,0</w:t>
            </w:r>
          </w:p>
        </w:tc>
        <w:tc>
          <w:tcPr>
            <w:tcW w:w="737" w:type="dxa"/>
            <w:tcBorders>
              <w:top w:val="nil"/>
              <w:left w:val="nil"/>
              <w:bottom w:val="nil"/>
              <w:right w:val="nil"/>
            </w:tcBorders>
            <w:shd w:val="clear" w:color="auto" w:fill="auto"/>
            <w:vAlign w:val="center"/>
            <w:hideMark/>
          </w:tcPr>
          <w:p w14:paraId="22DD81EC"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191,5</w:t>
            </w:r>
          </w:p>
        </w:tc>
        <w:tc>
          <w:tcPr>
            <w:tcW w:w="736" w:type="dxa"/>
            <w:tcBorders>
              <w:top w:val="nil"/>
              <w:left w:val="nil"/>
              <w:bottom w:val="nil"/>
              <w:right w:val="nil"/>
            </w:tcBorders>
            <w:shd w:val="clear" w:color="auto" w:fill="auto"/>
            <w:vAlign w:val="center"/>
            <w:hideMark/>
          </w:tcPr>
          <w:p w14:paraId="26CDED5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82,2</w:t>
            </w:r>
          </w:p>
        </w:tc>
        <w:tc>
          <w:tcPr>
            <w:tcW w:w="736" w:type="dxa"/>
            <w:tcBorders>
              <w:top w:val="nil"/>
              <w:left w:val="nil"/>
              <w:bottom w:val="nil"/>
              <w:right w:val="nil"/>
            </w:tcBorders>
            <w:shd w:val="clear" w:color="auto" w:fill="auto"/>
            <w:vAlign w:val="center"/>
            <w:hideMark/>
          </w:tcPr>
          <w:p w14:paraId="4515E0D7"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109,3</w:t>
            </w:r>
          </w:p>
        </w:tc>
        <w:tc>
          <w:tcPr>
            <w:tcW w:w="754" w:type="dxa"/>
            <w:tcBorders>
              <w:top w:val="nil"/>
              <w:left w:val="single" w:sz="4" w:space="0" w:color="auto"/>
              <w:bottom w:val="nil"/>
              <w:right w:val="nil"/>
            </w:tcBorders>
            <w:shd w:val="clear" w:color="auto" w:fill="auto"/>
            <w:vAlign w:val="center"/>
            <w:hideMark/>
          </w:tcPr>
          <w:p w14:paraId="735F7C95"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6,9</w:t>
            </w:r>
          </w:p>
        </w:tc>
        <w:tc>
          <w:tcPr>
            <w:tcW w:w="737" w:type="dxa"/>
            <w:tcBorders>
              <w:top w:val="nil"/>
              <w:left w:val="nil"/>
              <w:bottom w:val="nil"/>
              <w:right w:val="nil"/>
            </w:tcBorders>
            <w:shd w:val="clear" w:color="auto" w:fill="auto"/>
            <w:vAlign w:val="center"/>
            <w:hideMark/>
          </w:tcPr>
          <w:p w14:paraId="313B5039"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4,7</w:t>
            </w:r>
          </w:p>
        </w:tc>
        <w:tc>
          <w:tcPr>
            <w:tcW w:w="737" w:type="dxa"/>
            <w:tcBorders>
              <w:top w:val="nil"/>
              <w:left w:val="nil"/>
              <w:bottom w:val="nil"/>
              <w:right w:val="single" w:sz="4" w:space="0" w:color="auto"/>
            </w:tcBorders>
            <w:shd w:val="clear" w:color="auto" w:fill="auto"/>
            <w:vAlign w:val="center"/>
            <w:hideMark/>
          </w:tcPr>
          <w:p w14:paraId="4B816A5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2,3</w:t>
            </w:r>
          </w:p>
        </w:tc>
        <w:tc>
          <w:tcPr>
            <w:tcW w:w="737" w:type="dxa"/>
            <w:tcBorders>
              <w:top w:val="nil"/>
              <w:left w:val="nil"/>
              <w:bottom w:val="nil"/>
              <w:right w:val="nil"/>
            </w:tcBorders>
            <w:shd w:val="clear" w:color="auto" w:fill="auto"/>
            <w:vAlign w:val="center"/>
            <w:hideMark/>
          </w:tcPr>
          <w:p w14:paraId="3EDA021F"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24,0</w:t>
            </w:r>
          </w:p>
        </w:tc>
        <w:tc>
          <w:tcPr>
            <w:tcW w:w="737" w:type="dxa"/>
            <w:tcBorders>
              <w:top w:val="nil"/>
              <w:left w:val="nil"/>
              <w:bottom w:val="nil"/>
              <w:right w:val="nil"/>
            </w:tcBorders>
            <w:shd w:val="clear" w:color="auto" w:fill="auto"/>
            <w:vAlign w:val="center"/>
            <w:hideMark/>
          </w:tcPr>
          <w:p w14:paraId="4C9029AA"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14,6</w:t>
            </w:r>
          </w:p>
        </w:tc>
        <w:tc>
          <w:tcPr>
            <w:tcW w:w="737" w:type="dxa"/>
            <w:tcBorders>
              <w:top w:val="nil"/>
              <w:left w:val="nil"/>
              <w:bottom w:val="nil"/>
              <w:right w:val="nil"/>
            </w:tcBorders>
            <w:shd w:val="clear" w:color="auto" w:fill="auto"/>
            <w:vAlign w:val="center"/>
            <w:hideMark/>
          </w:tcPr>
          <w:p w14:paraId="519B46C2"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9,4</w:t>
            </w:r>
          </w:p>
        </w:tc>
      </w:tr>
      <w:tr w:rsidR="008924EC" w:rsidRPr="00D92E20" w14:paraId="4DDCE717" w14:textId="77777777" w:rsidTr="004C01F9">
        <w:trPr>
          <w:trHeight w:val="300"/>
        </w:trPr>
        <w:tc>
          <w:tcPr>
            <w:tcW w:w="737" w:type="dxa"/>
            <w:tcBorders>
              <w:top w:val="nil"/>
              <w:left w:val="nil"/>
              <w:bottom w:val="nil"/>
              <w:right w:val="single" w:sz="4" w:space="0" w:color="auto"/>
            </w:tcBorders>
            <w:shd w:val="clear" w:color="auto" w:fill="auto"/>
            <w:vAlign w:val="center"/>
            <w:hideMark/>
          </w:tcPr>
          <w:p w14:paraId="22A01F57"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2020</w:t>
            </w:r>
          </w:p>
        </w:tc>
        <w:tc>
          <w:tcPr>
            <w:tcW w:w="737" w:type="dxa"/>
            <w:tcBorders>
              <w:top w:val="nil"/>
              <w:left w:val="nil"/>
              <w:bottom w:val="nil"/>
              <w:right w:val="nil"/>
            </w:tcBorders>
            <w:shd w:val="clear" w:color="auto" w:fill="auto"/>
            <w:vAlign w:val="center"/>
            <w:hideMark/>
          </w:tcPr>
          <w:p w14:paraId="73DF14E9"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257,5</w:t>
            </w:r>
          </w:p>
        </w:tc>
        <w:tc>
          <w:tcPr>
            <w:tcW w:w="736" w:type="dxa"/>
            <w:tcBorders>
              <w:top w:val="nil"/>
              <w:left w:val="nil"/>
              <w:bottom w:val="nil"/>
              <w:right w:val="nil"/>
            </w:tcBorders>
            <w:shd w:val="clear" w:color="auto" w:fill="auto"/>
            <w:vAlign w:val="center"/>
            <w:hideMark/>
          </w:tcPr>
          <w:p w14:paraId="50321359"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118,1</w:t>
            </w:r>
          </w:p>
        </w:tc>
        <w:tc>
          <w:tcPr>
            <w:tcW w:w="736" w:type="dxa"/>
            <w:tcBorders>
              <w:top w:val="nil"/>
              <w:left w:val="nil"/>
              <w:bottom w:val="nil"/>
              <w:right w:val="single" w:sz="4" w:space="0" w:color="auto"/>
            </w:tcBorders>
            <w:shd w:val="clear" w:color="auto" w:fill="auto"/>
            <w:vAlign w:val="center"/>
            <w:hideMark/>
          </w:tcPr>
          <w:p w14:paraId="2C1D1BF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139,4</w:t>
            </w:r>
          </w:p>
        </w:tc>
        <w:tc>
          <w:tcPr>
            <w:tcW w:w="737" w:type="dxa"/>
            <w:tcBorders>
              <w:top w:val="nil"/>
              <w:left w:val="nil"/>
              <w:bottom w:val="nil"/>
              <w:right w:val="nil"/>
            </w:tcBorders>
            <w:shd w:val="clear" w:color="auto" w:fill="auto"/>
            <w:vAlign w:val="center"/>
            <w:hideMark/>
          </w:tcPr>
          <w:p w14:paraId="73C6BC6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224,8</w:t>
            </w:r>
          </w:p>
        </w:tc>
        <w:tc>
          <w:tcPr>
            <w:tcW w:w="736" w:type="dxa"/>
            <w:tcBorders>
              <w:top w:val="nil"/>
              <w:left w:val="nil"/>
              <w:bottom w:val="nil"/>
              <w:right w:val="nil"/>
            </w:tcBorders>
            <w:shd w:val="clear" w:color="auto" w:fill="auto"/>
            <w:vAlign w:val="center"/>
            <w:hideMark/>
          </w:tcPr>
          <w:p w14:paraId="2A35B36D"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98,0</w:t>
            </w:r>
          </w:p>
        </w:tc>
        <w:tc>
          <w:tcPr>
            <w:tcW w:w="736" w:type="dxa"/>
            <w:tcBorders>
              <w:top w:val="nil"/>
              <w:left w:val="nil"/>
              <w:bottom w:val="nil"/>
              <w:right w:val="nil"/>
            </w:tcBorders>
            <w:shd w:val="clear" w:color="auto" w:fill="auto"/>
            <w:vAlign w:val="center"/>
            <w:hideMark/>
          </w:tcPr>
          <w:p w14:paraId="69311C82"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126,9</w:t>
            </w:r>
          </w:p>
        </w:tc>
        <w:tc>
          <w:tcPr>
            <w:tcW w:w="754" w:type="dxa"/>
            <w:tcBorders>
              <w:top w:val="nil"/>
              <w:left w:val="single" w:sz="4" w:space="0" w:color="auto"/>
              <w:bottom w:val="nil"/>
              <w:right w:val="nil"/>
            </w:tcBorders>
            <w:shd w:val="clear" w:color="auto" w:fill="auto"/>
            <w:vAlign w:val="center"/>
            <w:hideMark/>
          </w:tcPr>
          <w:p w14:paraId="1C1FA51C"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7,1</w:t>
            </w:r>
          </w:p>
        </w:tc>
        <w:tc>
          <w:tcPr>
            <w:tcW w:w="737" w:type="dxa"/>
            <w:tcBorders>
              <w:top w:val="nil"/>
              <w:left w:val="nil"/>
              <w:bottom w:val="nil"/>
              <w:right w:val="nil"/>
            </w:tcBorders>
            <w:shd w:val="clear" w:color="auto" w:fill="auto"/>
            <w:vAlign w:val="center"/>
            <w:hideMark/>
          </w:tcPr>
          <w:p w14:paraId="050DDCA5"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7FD665A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2,2</w:t>
            </w:r>
          </w:p>
        </w:tc>
        <w:tc>
          <w:tcPr>
            <w:tcW w:w="737" w:type="dxa"/>
            <w:tcBorders>
              <w:top w:val="nil"/>
              <w:left w:val="nil"/>
              <w:bottom w:val="nil"/>
              <w:right w:val="nil"/>
            </w:tcBorders>
            <w:shd w:val="clear" w:color="auto" w:fill="auto"/>
            <w:vAlign w:val="center"/>
            <w:hideMark/>
          </w:tcPr>
          <w:p w14:paraId="5F05BA7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25,6</w:t>
            </w:r>
          </w:p>
        </w:tc>
        <w:tc>
          <w:tcPr>
            <w:tcW w:w="737" w:type="dxa"/>
            <w:tcBorders>
              <w:top w:val="nil"/>
              <w:left w:val="nil"/>
              <w:bottom w:val="nil"/>
              <w:right w:val="nil"/>
            </w:tcBorders>
            <w:shd w:val="clear" w:color="auto" w:fill="auto"/>
            <w:vAlign w:val="center"/>
            <w:hideMark/>
          </w:tcPr>
          <w:p w14:paraId="79CF2D23"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15,3</w:t>
            </w:r>
          </w:p>
        </w:tc>
        <w:tc>
          <w:tcPr>
            <w:tcW w:w="737" w:type="dxa"/>
            <w:tcBorders>
              <w:top w:val="nil"/>
              <w:left w:val="nil"/>
              <w:bottom w:val="nil"/>
              <w:right w:val="nil"/>
            </w:tcBorders>
            <w:shd w:val="clear" w:color="auto" w:fill="auto"/>
            <w:vAlign w:val="center"/>
            <w:hideMark/>
          </w:tcPr>
          <w:p w14:paraId="1C03839D"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10,3</w:t>
            </w:r>
          </w:p>
        </w:tc>
      </w:tr>
      <w:tr w:rsidR="008924EC" w:rsidRPr="008924EC" w14:paraId="38F6A55C" w14:textId="77777777" w:rsidTr="008924EC">
        <w:trPr>
          <w:trHeight w:val="300"/>
        </w:trPr>
        <w:tc>
          <w:tcPr>
            <w:tcW w:w="737" w:type="dxa"/>
            <w:tcBorders>
              <w:top w:val="nil"/>
              <w:left w:val="nil"/>
              <w:bottom w:val="nil"/>
              <w:right w:val="single" w:sz="4" w:space="0" w:color="auto"/>
            </w:tcBorders>
            <w:shd w:val="clear" w:color="auto" w:fill="auto"/>
            <w:vAlign w:val="center"/>
            <w:hideMark/>
          </w:tcPr>
          <w:p w14:paraId="2E9A3B04"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2021</w:t>
            </w:r>
          </w:p>
        </w:tc>
        <w:tc>
          <w:tcPr>
            <w:tcW w:w="737" w:type="dxa"/>
            <w:tcBorders>
              <w:top w:val="nil"/>
              <w:left w:val="nil"/>
              <w:bottom w:val="nil"/>
              <w:right w:val="nil"/>
            </w:tcBorders>
            <w:shd w:val="clear" w:color="auto" w:fill="auto"/>
            <w:vAlign w:val="center"/>
            <w:hideMark/>
          </w:tcPr>
          <w:p w14:paraId="6DD6E43D"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260,1</w:t>
            </w:r>
          </w:p>
        </w:tc>
        <w:tc>
          <w:tcPr>
            <w:tcW w:w="736" w:type="dxa"/>
            <w:tcBorders>
              <w:top w:val="nil"/>
              <w:left w:val="nil"/>
              <w:bottom w:val="nil"/>
              <w:right w:val="nil"/>
            </w:tcBorders>
            <w:shd w:val="clear" w:color="auto" w:fill="auto"/>
            <w:vAlign w:val="center"/>
            <w:hideMark/>
          </w:tcPr>
          <w:p w14:paraId="67FEE58E"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121,2</w:t>
            </w:r>
          </w:p>
        </w:tc>
        <w:tc>
          <w:tcPr>
            <w:tcW w:w="736" w:type="dxa"/>
            <w:tcBorders>
              <w:top w:val="nil"/>
              <w:left w:val="nil"/>
              <w:bottom w:val="nil"/>
              <w:right w:val="single" w:sz="4" w:space="0" w:color="auto"/>
            </w:tcBorders>
            <w:shd w:val="clear" w:color="auto" w:fill="auto"/>
            <w:vAlign w:val="center"/>
            <w:hideMark/>
          </w:tcPr>
          <w:p w14:paraId="38B959EB"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138,9</w:t>
            </w:r>
          </w:p>
        </w:tc>
        <w:tc>
          <w:tcPr>
            <w:tcW w:w="737" w:type="dxa"/>
            <w:tcBorders>
              <w:top w:val="nil"/>
              <w:left w:val="nil"/>
              <w:bottom w:val="nil"/>
              <w:right w:val="nil"/>
            </w:tcBorders>
            <w:shd w:val="clear" w:color="auto" w:fill="auto"/>
            <w:vAlign w:val="center"/>
            <w:hideMark/>
          </w:tcPr>
          <w:p w14:paraId="39BB6456"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228,4</w:t>
            </w:r>
          </w:p>
        </w:tc>
        <w:tc>
          <w:tcPr>
            <w:tcW w:w="736" w:type="dxa"/>
            <w:tcBorders>
              <w:top w:val="nil"/>
              <w:left w:val="nil"/>
              <w:bottom w:val="nil"/>
              <w:right w:val="nil"/>
            </w:tcBorders>
            <w:shd w:val="clear" w:color="auto" w:fill="auto"/>
            <w:vAlign w:val="center"/>
            <w:hideMark/>
          </w:tcPr>
          <w:p w14:paraId="65051A85"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101,9</w:t>
            </w:r>
          </w:p>
        </w:tc>
        <w:tc>
          <w:tcPr>
            <w:tcW w:w="736" w:type="dxa"/>
            <w:tcBorders>
              <w:top w:val="nil"/>
              <w:left w:val="nil"/>
              <w:bottom w:val="nil"/>
              <w:right w:val="nil"/>
            </w:tcBorders>
            <w:shd w:val="clear" w:color="auto" w:fill="auto"/>
            <w:vAlign w:val="center"/>
            <w:hideMark/>
          </w:tcPr>
          <w:p w14:paraId="0FD75402"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126,4</w:t>
            </w:r>
          </w:p>
        </w:tc>
        <w:tc>
          <w:tcPr>
            <w:tcW w:w="754" w:type="dxa"/>
            <w:tcBorders>
              <w:top w:val="nil"/>
              <w:left w:val="single" w:sz="4" w:space="0" w:color="auto"/>
              <w:bottom w:val="nil"/>
              <w:right w:val="nil"/>
            </w:tcBorders>
            <w:shd w:val="clear" w:color="auto" w:fill="auto"/>
            <w:vAlign w:val="center"/>
            <w:hideMark/>
          </w:tcPr>
          <w:p w14:paraId="52BE9596"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7,1</w:t>
            </w:r>
          </w:p>
        </w:tc>
        <w:tc>
          <w:tcPr>
            <w:tcW w:w="737" w:type="dxa"/>
            <w:tcBorders>
              <w:top w:val="nil"/>
              <w:left w:val="nil"/>
              <w:bottom w:val="nil"/>
              <w:right w:val="nil"/>
            </w:tcBorders>
            <w:shd w:val="clear" w:color="auto" w:fill="auto"/>
            <w:vAlign w:val="center"/>
            <w:hideMark/>
          </w:tcPr>
          <w:p w14:paraId="747D728E"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4,9</w:t>
            </w:r>
          </w:p>
        </w:tc>
        <w:tc>
          <w:tcPr>
            <w:tcW w:w="737" w:type="dxa"/>
            <w:tcBorders>
              <w:top w:val="nil"/>
              <w:left w:val="nil"/>
              <w:bottom w:val="nil"/>
              <w:right w:val="single" w:sz="4" w:space="0" w:color="auto"/>
            </w:tcBorders>
            <w:shd w:val="clear" w:color="auto" w:fill="auto"/>
            <w:vAlign w:val="center"/>
            <w:hideMark/>
          </w:tcPr>
          <w:p w14:paraId="0BA0B457"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2,2</w:t>
            </w:r>
          </w:p>
        </w:tc>
        <w:tc>
          <w:tcPr>
            <w:tcW w:w="737" w:type="dxa"/>
            <w:tcBorders>
              <w:top w:val="nil"/>
              <w:left w:val="nil"/>
              <w:bottom w:val="nil"/>
              <w:right w:val="nil"/>
            </w:tcBorders>
            <w:shd w:val="clear" w:color="auto" w:fill="auto"/>
            <w:vAlign w:val="center"/>
            <w:hideMark/>
          </w:tcPr>
          <w:p w14:paraId="2F331FBC"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24,6</w:t>
            </w:r>
          </w:p>
        </w:tc>
        <w:tc>
          <w:tcPr>
            <w:tcW w:w="737" w:type="dxa"/>
            <w:tcBorders>
              <w:top w:val="nil"/>
              <w:left w:val="nil"/>
              <w:bottom w:val="nil"/>
              <w:right w:val="nil"/>
            </w:tcBorders>
            <w:shd w:val="clear" w:color="auto" w:fill="auto"/>
            <w:vAlign w:val="center"/>
            <w:hideMark/>
          </w:tcPr>
          <w:p w14:paraId="575536A1"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14,4</w:t>
            </w:r>
          </w:p>
        </w:tc>
        <w:tc>
          <w:tcPr>
            <w:tcW w:w="737" w:type="dxa"/>
            <w:tcBorders>
              <w:top w:val="nil"/>
              <w:left w:val="nil"/>
              <w:bottom w:val="nil"/>
              <w:right w:val="nil"/>
            </w:tcBorders>
            <w:shd w:val="clear" w:color="auto" w:fill="auto"/>
            <w:vAlign w:val="center"/>
            <w:hideMark/>
          </w:tcPr>
          <w:p w14:paraId="7B1D9554"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10,2</w:t>
            </w:r>
          </w:p>
        </w:tc>
      </w:tr>
    </w:tbl>
    <w:p w14:paraId="69329F59" w14:textId="77777777" w:rsidR="008924EC" w:rsidRDefault="008924EC" w:rsidP="008924EC">
      <w:pPr>
        <w:spacing w:before="120" w:after="120"/>
        <w:rPr>
          <w:sz w:val="16"/>
        </w:rPr>
      </w:pPr>
      <w:r w:rsidRPr="00D92E20">
        <w:rPr>
          <w:sz w:val="16"/>
        </w:rPr>
        <w:t>Zdroj: ČSÚ</w:t>
      </w:r>
    </w:p>
    <w:p w14:paraId="56180CDF" w14:textId="77777777" w:rsidR="00BC2532" w:rsidRDefault="004C01F9" w:rsidP="004C01F9">
      <w:pPr>
        <w:pStyle w:val="Nadpis2"/>
      </w:pPr>
      <w:bookmarkStart w:id="18" w:name="_Toc104792912"/>
      <w:r>
        <w:lastRenderedPageBreak/>
        <w:t>4.3 Ukončené případy dočasné pracovní neschopnosti</w:t>
      </w:r>
      <w:bookmarkEnd w:id="18"/>
    </w:p>
    <w:p w14:paraId="73B2A44B" w14:textId="77777777" w:rsidR="004C01F9" w:rsidRPr="00D92E20" w:rsidRDefault="004C01F9" w:rsidP="004C01F9">
      <w:pPr>
        <w:spacing w:before="120" w:after="120"/>
        <w:jc w:val="both"/>
      </w:pPr>
      <w:r w:rsidRPr="00D92E20">
        <w:t xml:space="preserve">Zatímco doposud se analýza týkala nově hlášených případů dočasné pracovní neschopnosti (kapitola 4.2), které ČSÚ zpracovává z evidence ČSSZ, jiný pohled nabízí data o </w:t>
      </w:r>
      <w:r w:rsidRPr="00D92E20">
        <w:rPr>
          <w:b/>
        </w:rPr>
        <w:t>ukončených případech pracovní neschopnosti</w:t>
      </w:r>
      <w:r w:rsidRPr="00D92E20">
        <w:t xml:space="preserve"> přímo publikovaná ČSSZ. Rozdíly v počtech nově hlášených a ukončených případů dočasné pracovní neschopnosti jsou dány odlišnou metodikou sběru dat. Trendy vývoje těchto ukazatelů jsou však konzistentní.</w:t>
      </w:r>
    </w:p>
    <w:p w14:paraId="2755D6EC" w14:textId="77777777" w:rsidR="004C01F9" w:rsidRPr="00D92E20" w:rsidRDefault="004C01F9" w:rsidP="004C01F9">
      <w:pPr>
        <w:spacing w:before="120" w:after="120"/>
        <w:jc w:val="both"/>
      </w:pPr>
      <w:r w:rsidRPr="00D92E20">
        <w:t xml:space="preserve">Na rozdíl od statistik nově hlášených případů, ČSSZ publikuje údaje z hlediska </w:t>
      </w:r>
      <w:r w:rsidRPr="00D92E20">
        <w:rPr>
          <w:b/>
        </w:rPr>
        <w:t>případů ukončených ve</w:t>
      </w:r>
      <w:r>
        <w:rPr>
          <w:b/>
        </w:rPr>
        <w:t> </w:t>
      </w:r>
      <w:r w:rsidRPr="00D92E20">
        <w:rPr>
          <w:b/>
        </w:rPr>
        <w:t>sledovaném roce</w:t>
      </w:r>
      <w:r w:rsidRPr="00D92E20">
        <w:t xml:space="preserve">. Případy vzniklé na konci roku přesahující do roku dalšího jsou evidovány až ve zpracování dat roku následujícího. Pro dokreslení pohledu na statistiku nemocnosti byla vybraná data z tohoto zdroje využita v této kapitole. Data o ukončených případech jsou k dispozici v třídění z pohledu pojištěnce, nikoliv zaměstnavatele, jak tomu bylo </w:t>
      </w:r>
      <w:r>
        <w:t>u nově hlášených případů</w:t>
      </w:r>
      <w:r w:rsidRPr="00D92E20">
        <w:t>. ČSSZ třídí data např. podle věku dočasně práce neschopných, krajů či skupin diagnóz.</w:t>
      </w:r>
    </w:p>
    <w:p w14:paraId="2322D103" w14:textId="77777777" w:rsidR="004C01F9" w:rsidRPr="00D92E20" w:rsidRDefault="004C01F9" w:rsidP="004C01F9">
      <w:pPr>
        <w:pStyle w:val="Box1"/>
        <w:spacing w:before="120" w:after="120"/>
        <w:ind w:left="0"/>
        <w:contextualSpacing w:val="0"/>
        <w:jc w:val="both"/>
        <w:rPr>
          <w:i/>
        </w:rPr>
      </w:pPr>
      <w:r w:rsidRPr="00D92E20">
        <w:rPr>
          <w:b/>
          <w:i/>
        </w:rPr>
        <w:t xml:space="preserve">Ukončené případy pracovní neschopnosti </w:t>
      </w:r>
      <w:r w:rsidRPr="00D92E20">
        <w:rPr>
          <w:i/>
        </w:rPr>
        <w:t>– zahrnují veškerá onemocnění a úrazy, které zapříčinily alespoň jednodenní pracovní neschopnost u nemocensky pojištěných osob ukončenou v daném roce</w:t>
      </w:r>
      <w:r>
        <w:rPr>
          <w:i/>
        </w:rPr>
        <w:t>, resp. stav k určitému datu</w:t>
      </w:r>
      <w:r w:rsidRPr="00D92E20">
        <w:rPr>
          <w:i/>
        </w:rPr>
        <w:t>. Nezahrnuje tedy onemocnění a úrazy, u nichž pracovní neschopnost přesahovala do dalšího roku</w:t>
      </w:r>
      <w:r>
        <w:rPr>
          <w:i/>
        </w:rPr>
        <w:t>/období</w:t>
      </w:r>
      <w:r w:rsidRPr="00D92E20">
        <w:rPr>
          <w:i/>
        </w:rPr>
        <w:t>, ani ty případy, kdy nebylo vystaveno „Rozhodnutí o dočasné pracovní neschopnosti“.</w:t>
      </w:r>
    </w:p>
    <w:p w14:paraId="09B91930" w14:textId="77777777" w:rsidR="004C01F9" w:rsidRPr="00D92E20" w:rsidRDefault="004C01F9" w:rsidP="004C01F9">
      <w:pPr>
        <w:spacing w:before="120" w:after="120"/>
        <w:jc w:val="both"/>
      </w:pPr>
      <w:r w:rsidRPr="00D92E20">
        <w:t>ČSSZ za rok 202</w:t>
      </w:r>
      <w:r>
        <w:t>1</w:t>
      </w:r>
      <w:r w:rsidRPr="00D92E20">
        <w:t xml:space="preserve"> evidovala 2 </w:t>
      </w:r>
      <w:r>
        <w:t>718</w:t>
      </w:r>
      <w:r w:rsidRPr="00D92E20">
        <w:t xml:space="preserve"> tis. ukončených případů dočasné pracovní neschopnosti, což je </w:t>
      </w:r>
      <w:r>
        <w:t xml:space="preserve">téměř </w:t>
      </w:r>
      <w:r w:rsidRPr="00D92E20">
        <w:t>o </w:t>
      </w:r>
      <w:r>
        <w:t>polovinu</w:t>
      </w:r>
      <w:r w:rsidRPr="00D92E20">
        <w:t xml:space="preserve"> </w:t>
      </w:r>
      <w:r>
        <w:t xml:space="preserve">(48 %) </w:t>
      </w:r>
      <w:r w:rsidRPr="00D92E20">
        <w:t>více než v roce 2019</w:t>
      </w:r>
      <w:r>
        <w:t xml:space="preserve"> (tedy před vypuknutím pandemie)</w:t>
      </w:r>
      <w:r w:rsidRPr="00D92E20">
        <w:t>.</w:t>
      </w:r>
    </w:p>
    <w:p w14:paraId="1D0809A7" w14:textId="73B9AAD0" w:rsidR="004C01F9" w:rsidRDefault="004C01F9" w:rsidP="00E50F69">
      <w:pPr>
        <w:spacing w:after="0"/>
        <w:rPr>
          <w:b/>
        </w:rPr>
      </w:pPr>
      <w:r w:rsidRPr="004C01F9">
        <w:rPr>
          <w:b/>
        </w:rPr>
        <w:t>Tab. 3.1: Ukončené případy dočasné pracovní nes</w:t>
      </w:r>
      <w:r w:rsidR="00D50EF1">
        <w:rPr>
          <w:b/>
        </w:rPr>
        <w:t>chopnosti podle krajů ČR, 2019–</w:t>
      </w:r>
      <w:r w:rsidRPr="004C01F9">
        <w:rPr>
          <w:b/>
        </w:rPr>
        <w:t>2021</w:t>
      </w:r>
    </w:p>
    <w:tbl>
      <w:tblPr>
        <w:tblW w:w="9633" w:type="dxa"/>
        <w:tblCellMar>
          <w:left w:w="70" w:type="dxa"/>
          <w:right w:w="70" w:type="dxa"/>
        </w:tblCellMar>
        <w:tblLook w:val="04A0" w:firstRow="1" w:lastRow="0" w:firstColumn="1" w:lastColumn="0" w:noHBand="0" w:noVBand="1"/>
      </w:tblPr>
      <w:tblGrid>
        <w:gridCol w:w="1980"/>
        <w:gridCol w:w="850"/>
        <w:gridCol w:w="850"/>
        <w:gridCol w:w="851"/>
        <w:gridCol w:w="850"/>
        <w:gridCol w:w="850"/>
        <w:gridCol w:w="851"/>
        <w:gridCol w:w="850"/>
        <w:gridCol w:w="850"/>
        <w:gridCol w:w="851"/>
      </w:tblGrid>
      <w:tr w:rsidR="00D50EF1" w:rsidRPr="00D50EF1" w14:paraId="30E8AEA3" w14:textId="77777777" w:rsidTr="00D50EF1">
        <w:trPr>
          <w:trHeight w:val="615"/>
        </w:trPr>
        <w:tc>
          <w:tcPr>
            <w:tcW w:w="1980" w:type="dxa"/>
            <w:vMerge w:val="restart"/>
            <w:tcBorders>
              <w:top w:val="single" w:sz="4" w:space="0" w:color="auto"/>
              <w:left w:val="nil"/>
              <w:bottom w:val="single" w:sz="4" w:space="0" w:color="000000"/>
              <w:right w:val="single" w:sz="4" w:space="0" w:color="auto"/>
            </w:tcBorders>
            <w:shd w:val="clear" w:color="000000" w:fill="F2DCDB"/>
            <w:vAlign w:val="center"/>
            <w:hideMark/>
          </w:tcPr>
          <w:p w14:paraId="7DAA36EF"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Kraj ČR</w:t>
            </w:r>
          </w:p>
        </w:tc>
        <w:tc>
          <w:tcPr>
            <w:tcW w:w="2551" w:type="dxa"/>
            <w:gridSpan w:val="3"/>
            <w:tcBorders>
              <w:top w:val="single" w:sz="4" w:space="0" w:color="auto"/>
              <w:left w:val="nil"/>
              <w:bottom w:val="single" w:sz="4" w:space="0" w:color="auto"/>
              <w:right w:val="single" w:sz="4" w:space="0" w:color="000000"/>
            </w:tcBorders>
            <w:shd w:val="clear" w:color="000000" w:fill="F2DCDB"/>
            <w:vAlign w:val="center"/>
            <w:hideMark/>
          </w:tcPr>
          <w:p w14:paraId="060A599A"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Počet ukončených případů DPN (tis.)</w:t>
            </w:r>
          </w:p>
        </w:tc>
        <w:tc>
          <w:tcPr>
            <w:tcW w:w="2551" w:type="dxa"/>
            <w:gridSpan w:val="3"/>
            <w:tcBorders>
              <w:top w:val="single" w:sz="4" w:space="0" w:color="auto"/>
              <w:left w:val="nil"/>
              <w:bottom w:val="single" w:sz="4" w:space="0" w:color="auto"/>
              <w:right w:val="single" w:sz="4" w:space="0" w:color="000000"/>
            </w:tcBorders>
            <w:shd w:val="clear" w:color="000000" w:fill="F2DCDB"/>
            <w:vAlign w:val="center"/>
            <w:hideMark/>
          </w:tcPr>
          <w:p w14:paraId="561C1647"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Počet prostonaných dnů (tis.)</w:t>
            </w:r>
          </w:p>
        </w:tc>
        <w:tc>
          <w:tcPr>
            <w:tcW w:w="2551" w:type="dxa"/>
            <w:gridSpan w:val="3"/>
            <w:tcBorders>
              <w:top w:val="single" w:sz="4" w:space="0" w:color="auto"/>
              <w:left w:val="nil"/>
              <w:bottom w:val="single" w:sz="4" w:space="0" w:color="auto"/>
              <w:right w:val="nil"/>
            </w:tcBorders>
            <w:shd w:val="clear" w:color="000000" w:fill="F2DCDB"/>
            <w:vAlign w:val="center"/>
            <w:hideMark/>
          </w:tcPr>
          <w:p w14:paraId="0E8F7784" w14:textId="1755013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Prů</w:t>
            </w:r>
            <w:r w:rsidR="00E50F69">
              <w:rPr>
                <w:rFonts w:cs="Arial"/>
                <w:color w:val="000000"/>
                <w:sz w:val="16"/>
                <w:szCs w:val="16"/>
              </w:rPr>
              <w:t xml:space="preserve">měrná délka trvání případu DPN </w:t>
            </w:r>
            <w:r w:rsidRPr="00D50EF1">
              <w:rPr>
                <w:rFonts w:cs="Arial"/>
                <w:color w:val="000000"/>
                <w:sz w:val="16"/>
                <w:szCs w:val="16"/>
              </w:rPr>
              <w:t>ve dnech</w:t>
            </w:r>
          </w:p>
        </w:tc>
      </w:tr>
      <w:tr w:rsidR="00D50EF1" w:rsidRPr="00D50EF1" w14:paraId="3EB303FB" w14:textId="77777777" w:rsidTr="00D50EF1">
        <w:trPr>
          <w:trHeight w:val="390"/>
        </w:trPr>
        <w:tc>
          <w:tcPr>
            <w:tcW w:w="1980" w:type="dxa"/>
            <w:vMerge/>
            <w:tcBorders>
              <w:top w:val="single" w:sz="4" w:space="0" w:color="auto"/>
              <w:left w:val="nil"/>
              <w:bottom w:val="single" w:sz="4" w:space="0" w:color="000000"/>
              <w:right w:val="single" w:sz="4" w:space="0" w:color="auto"/>
            </w:tcBorders>
            <w:vAlign w:val="center"/>
            <w:hideMark/>
          </w:tcPr>
          <w:p w14:paraId="69807915" w14:textId="77777777" w:rsidR="00D50EF1" w:rsidRPr="00D50EF1" w:rsidRDefault="00D50EF1" w:rsidP="00D50EF1">
            <w:pPr>
              <w:spacing w:after="0" w:line="240" w:lineRule="auto"/>
              <w:rPr>
                <w:rFonts w:cs="Arial"/>
                <w:color w:val="000000"/>
                <w:sz w:val="16"/>
                <w:szCs w:val="16"/>
              </w:rPr>
            </w:pPr>
          </w:p>
        </w:tc>
        <w:tc>
          <w:tcPr>
            <w:tcW w:w="850" w:type="dxa"/>
            <w:tcBorders>
              <w:top w:val="nil"/>
              <w:left w:val="nil"/>
              <w:bottom w:val="single" w:sz="4" w:space="0" w:color="auto"/>
              <w:right w:val="single" w:sz="4" w:space="0" w:color="auto"/>
            </w:tcBorders>
            <w:shd w:val="clear" w:color="000000" w:fill="F2DCDB"/>
            <w:vAlign w:val="center"/>
            <w:hideMark/>
          </w:tcPr>
          <w:p w14:paraId="00B1FA9E"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2019</w:t>
            </w:r>
          </w:p>
        </w:tc>
        <w:tc>
          <w:tcPr>
            <w:tcW w:w="850" w:type="dxa"/>
            <w:tcBorders>
              <w:top w:val="nil"/>
              <w:left w:val="nil"/>
              <w:bottom w:val="single" w:sz="4" w:space="0" w:color="auto"/>
              <w:right w:val="single" w:sz="4" w:space="0" w:color="auto"/>
            </w:tcBorders>
            <w:shd w:val="clear" w:color="000000" w:fill="F2DCDB"/>
            <w:vAlign w:val="center"/>
            <w:hideMark/>
          </w:tcPr>
          <w:p w14:paraId="46E826A9"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2020</w:t>
            </w:r>
          </w:p>
        </w:tc>
        <w:tc>
          <w:tcPr>
            <w:tcW w:w="851" w:type="dxa"/>
            <w:tcBorders>
              <w:top w:val="nil"/>
              <w:left w:val="nil"/>
              <w:bottom w:val="single" w:sz="4" w:space="0" w:color="auto"/>
              <w:right w:val="single" w:sz="4" w:space="0" w:color="auto"/>
            </w:tcBorders>
            <w:shd w:val="clear" w:color="000000" w:fill="F2DCDB"/>
            <w:vAlign w:val="center"/>
            <w:hideMark/>
          </w:tcPr>
          <w:p w14:paraId="53200221"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2021</w:t>
            </w:r>
          </w:p>
        </w:tc>
        <w:tc>
          <w:tcPr>
            <w:tcW w:w="850" w:type="dxa"/>
            <w:tcBorders>
              <w:top w:val="nil"/>
              <w:left w:val="nil"/>
              <w:bottom w:val="single" w:sz="4" w:space="0" w:color="auto"/>
              <w:right w:val="single" w:sz="4" w:space="0" w:color="auto"/>
            </w:tcBorders>
            <w:shd w:val="clear" w:color="000000" w:fill="F2DCDB"/>
            <w:vAlign w:val="center"/>
            <w:hideMark/>
          </w:tcPr>
          <w:p w14:paraId="0DFE7E0A"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2019</w:t>
            </w:r>
          </w:p>
        </w:tc>
        <w:tc>
          <w:tcPr>
            <w:tcW w:w="850" w:type="dxa"/>
            <w:tcBorders>
              <w:top w:val="nil"/>
              <w:left w:val="nil"/>
              <w:bottom w:val="single" w:sz="4" w:space="0" w:color="auto"/>
              <w:right w:val="single" w:sz="4" w:space="0" w:color="auto"/>
            </w:tcBorders>
            <w:shd w:val="clear" w:color="000000" w:fill="F2DCDB"/>
            <w:vAlign w:val="center"/>
            <w:hideMark/>
          </w:tcPr>
          <w:p w14:paraId="7735F522"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2020</w:t>
            </w:r>
          </w:p>
        </w:tc>
        <w:tc>
          <w:tcPr>
            <w:tcW w:w="851" w:type="dxa"/>
            <w:tcBorders>
              <w:top w:val="nil"/>
              <w:left w:val="nil"/>
              <w:bottom w:val="single" w:sz="4" w:space="0" w:color="auto"/>
              <w:right w:val="single" w:sz="4" w:space="0" w:color="auto"/>
            </w:tcBorders>
            <w:shd w:val="clear" w:color="000000" w:fill="F2DCDB"/>
            <w:vAlign w:val="center"/>
            <w:hideMark/>
          </w:tcPr>
          <w:p w14:paraId="6C0A1FB2"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2021</w:t>
            </w:r>
          </w:p>
        </w:tc>
        <w:tc>
          <w:tcPr>
            <w:tcW w:w="850" w:type="dxa"/>
            <w:tcBorders>
              <w:top w:val="nil"/>
              <w:left w:val="nil"/>
              <w:bottom w:val="single" w:sz="4" w:space="0" w:color="auto"/>
              <w:right w:val="single" w:sz="4" w:space="0" w:color="auto"/>
            </w:tcBorders>
            <w:shd w:val="clear" w:color="000000" w:fill="F2DCDB"/>
            <w:vAlign w:val="center"/>
            <w:hideMark/>
          </w:tcPr>
          <w:p w14:paraId="5B6EE3BA"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2019</w:t>
            </w:r>
          </w:p>
        </w:tc>
        <w:tc>
          <w:tcPr>
            <w:tcW w:w="850" w:type="dxa"/>
            <w:tcBorders>
              <w:top w:val="nil"/>
              <w:left w:val="nil"/>
              <w:bottom w:val="single" w:sz="4" w:space="0" w:color="auto"/>
              <w:right w:val="nil"/>
            </w:tcBorders>
            <w:shd w:val="clear" w:color="000000" w:fill="F2DCDB"/>
            <w:vAlign w:val="center"/>
            <w:hideMark/>
          </w:tcPr>
          <w:p w14:paraId="48233E59"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2020</w:t>
            </w:r>
          </w:p>
        </w:tc>
        <w:tc>
          <w:tcPr>
            <w:tcW w:w="850" w:type="dxa"/>
            <w:tcBorders>
              <w:top w:val="nil"/>
              <w:left w:val="single" w:sz="4" w:space="0" w:color="auto"/>
              <w:bottom w:val="single" w:sz="4" w:space="0" w:color="auto"/>
              <w:right w:val="nil"/>
            </w:tcBorders>
            <w:shd w:val="clear" w:color="000000" w:fill="F2DCDB"/>
            <w:vAlign w:val="center"/>
            <w:hideMark/>
          </w:tcPr>
          <w:p w14:paraId="0B1BA5C4"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2021</w:t>
            </w:r>
          </w:p>
        </w:tc>
      </w:tr>
      <w:tr w:rsidR="00D50EF1" w:rsidRPr="00D50EF1" w14:paraId="17377071" w14:textId="77777777" w:rsidTr="00D50EF1">
        <w:trPr>
          <w:trHeight w:val="300"/>
        </w:trPr>
        <w:tc>
          <w:tcPr>
            <w:tcW w:w="1980" w:type="dxa"/>
            <w:tcBorders>
              <w:top w:val="single" w:sz="4" w:space="0" w:color="000000"/>
              <w:bottom w:val="nil"/>
              <w:right w:val="single" w:sz="4" w:space="0" w:color="auto"/>
            </w:tcBorders>
            <w:shd w:val="clear" w:color="auto" w:fill="auto"/>
            <w:noWrap/>
            <w:vAlign w:val="center"/>
            <w:hideMark/>
          </w:tcPr>
          <w:p w14:paraId="74AC7B5D" w14:textId="77777777" w:rsidR="00D50EF1" w:rsidRPr="00D50EF1" w:rsidRDefault="00D50EF1" w:rsidP="00D50EF1">
            <w:pPr>
              <w:spacing w:after="0" w:line="240" w:lineRule="auto"/>
              <w:rPr>
                <w:rFonts w:cs="Arial"/>
                <w:b/>
                <w:bCs/>
                <w:color w:val="000000"/>
                <w:sz w:val="16"/>
                <w:szCs w:val="16"/>
              </w:rPr>
            </w:pPr>
            <w:r w:rsidRPr="00D50EF1">
              <w:rPr>
                <w:rFonts w:cs="Arial"/>
                <w:b/>
                <w:bCs/>
                <w:color w:val="000000"/>
                <w:sz w:val="16"/>
                <w:szCs w:val="16"/>
              </w:rPr>
              <w:t>ČR celkem</w:t>
            </w:r>
          </w:p>
        </w:tc>
        <w:tc>
          <w:tcPr>
            <w:tcW w:w="850" w:type="dxa"/>
            <w:tcBorders>
              <w:top w:val="nil"/>
              <w:left w:val="single" w:sz="4" w:space="0" w:color="auto"/>
              <w:bottom w:val="nil"/>
              <w:right w:val="single" w:sz="4" w:space="0" w:color="auto"/>
            </w:tcBorders>
            <w:shd w:val="clear" w:color="auto" w:fill="auto"/>
            <w:noWrap/>
            <w:vAlign w:val="bottom"/>
            <w:hideMark/>
          </w:tcPr>
          <w:p w14:paraId="18058E0E"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1 832,4</w:t>
            </w:r>
          </w:p>
        </w:tc>
        <w:tc>
          <w:tcPr>
            <w:tcW w:w="850" w:type="dxa"/>
            <w:tcBorders>
              <w:top w:val="nil"/>
              <w:left w:val="nil"/>
              <w:bottom w:val="nil"/>
              <w:right w:val="nil"/>
            </w:tcBorders>
            <w:shd w:val="clear" w:color="auto" w:fill="auto"/>
            <w:noWrap/>
            <w:vAlign w:val="bottom"/>
            <w:hideMark/>
          </w:tcPr>
          <w:p w14:paraId="28277EE3"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2 293,7</w:t>
            </w:r>
          </w:p>
        </w:tc>
        <w:tc>
          <w:tcPr>
            <w:tcW w:w="851" w:type="dxa"/>
            <w:tcBorders>
              <w:top w:val="nil"/>
              <w:left w:val="single" w:sz="4" w:space="0" w:color="auto"/>
              <w:bottom w:val="nil"/>
              <w:right w:val="single" w:sz="4" w:space="0" w:color="auto"/>
            </w:tcBorders>
            <w:shd w:val="clear" w:color="auto" w:fill="auto"/>
            <w:noWrap/>
            <w:vAlign w:val="bottom"/>
            <w:hideMark/>
          </w:tcPr>
          <w:p w14:paraId="0E3B8F1A"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2 718,0</w:t>
            </w:r>
          </w:p>
        </w:tc>
        <w:tc>
          <w:tcPr>
            <w:tcW w:w="850" w:type="dxa"/>
            <w:tcBorders>
              <w:top w:val="nil"/>
              <w:left w:val="nil"/>
              <w:bottom w:val="nil"/>
              <w:right w:val="single" w:sz="4" w:space="0" w:color="auto"/>
            </w:tcBorders>
            <w:shd w:val="clear" w:color="auto" w:fill="auto"/>
            <w:noWrap/>
            <w:vAlign w:val="bottom"/>
            <w:hideMark/>
          </w:tcPr>
          <w:p w14:paraId="1DED9A9C"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75 058,7</w:t>
            </w:r>
          </w:p>
        </w:tc>
        <w:tc>
          <w:tcPr>
            <w:tcW w:w="850" w:type="dxa"/>
            <w:tcBorders>
              <w:top w:val="nil"/>
              <w:left w:val="nil"/>
              <w:bottom w:val="nil"/>
              <w:right w:val="single" w:sz="4" w:space="0" w:color="auto"/>
            </w:tcBorders>
            <w:shd w:val="clear" w:color="auto" w:fill="auto"/>
            <w:noWrap/>
            <w:vAlign w:val="bottom"/>
            <w:hideMark/>
          </w:tcPr>
          <w:p w14:paraId="3F51150F"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86 457,1</w:t>
            </w:r>
          </w:p>
        </w:tc>
        <w:tc>
          <w:tcPr>
            <w:tcW w:w="851" w:type="dxa"/>
            <w:tcBorders>
              <w:top w:val="nil"/>
              <w:left w:val="nil"/>
              <w:bottom w:val="nil"/>
              <w:right w:val="single" w:sz="4" w:space="0" w:color="auto"/>
            </w:tcBorders>
            <w:shd w:val="clear" w:color="auto" w:fill="auto"/>
            <w:noWrap/>
            <w:vAlign w:val="bottom"/>
            <w:hideMark/>
          </w:tcPr>
          <w:p w14:paraId="24A1B7BE"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93 699,2</w:t>
            </w:r>
          </w:p>
        </w:tc>
        <w:tc>
          <w:tcPr>
            <w:tcW w:w="850" w:type="dxa"/>
            <w:tcBorders>
              <w:top w:val="nil"/>
              <w:left w:val="nil"/>
              <w:bottom w:val="nil"/>
              <w:right w:val="single" w:sz="4" w:space="0" w:color="auto"/>
            </w:tcBorders>
            <w:shd w:val="clear" w:color="auto" w:fill="auto"/>
            <w:noWrap/>
            <w:vAlign w:val="bottom"/>
            <w:hideMark/>
          </w:tcPr>
          <w:p w14:paraId="6B12BEF3"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41,0</w:t>
            </w:r>
          </w:p>
        </w:tc>
        <w:tc>
          <w:tcPr>
            <w:tcW w:w="850" w:type="dxa"/>
            <w:tcBorders>
              <w:top w:val="nil"/>
              <w:left w:val="nil"/>
              <w:bottom w:val="nil"/>
              <w:right w:val="nil"/>
            </w:tcBorders>
            <w:shd w:val="clear" w:color="auto" w:fill="auto"/>
            <w:noWrap/>
            <w:vAlign w:val="bottom"/>
            <w:hideMark/>
          </w:tcPr>
          <w:p w14:paraId="493462B1"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37,7</w:t>
            </w:r>
          </w:p>
        </w:tc>
        <w:tc>
          <w:tcPr>
            <w:tcW w:w="850" w:type="dxa"/>
            <w:tcBorders>
              <w:top w:val="nil"/>
              <w:left w:val="single" w:sz="4" w:space="0" w:color="auto"/>
              <w:bottom w:val="nil"/>
              <w:right w:val="nil"/>
            </w:tcBorders>
            <w:shd w:val="clear" w:color="auto" w:fill="auto"/>
            <w:noWrap/>
            <w:vAlign w:val="bottom"/>
            <w:hideMark/>
          </w:tcPr>
          <w:p w14:paraId="79BB0839"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34,5</w:t>
            </w:r>
          </w:p>
        </w:tc>
      </w:tr>
      <w:tr w:rsidR="00D50EF1" w:rsidRPr="00D50EF1" w14:paraId="12B30072"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44E14ABC"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Hl. m. Praha</w:t>
            </w:r>
          </w:p>
        </w:tc>
        <w:tc>
          <w:tcPr>
            <w:tcW w:w="850" w:type="dxa"/>
            <w:tcBorders>
              <w:top w:val="nil"/>
              <w:left w:val="nil"/>
              <w:bottom w:val="nil"/>
              <w:right w:val="single" w:sz="4" w:space="0" w:color="auto"/>
            </w:tcBorders>
            <w:shd w:val="clear" w:color="auto" w:fill="auto"/>
            <w:noWrap/>
            <w:vAlign w:val="bottom"/>
            <w:hideMark/>
          </w:tcPr>
          <w:p w14:paraId="11FCE42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198,1</w:t>
            </w:r>
          </w:p>
        </w:tc>
        <w:tc>
          <w:tcPr>
            <w:tcW w:w="850" w:type="dxa"/>
            <w:tcBorders>
              <w:top w:val="nil"/>
              <w:left w:val="nil"/>
              <w:bottom w:val="nil"/>
              <w:right w:val="nil"/>
            </w:tcBorders>
            <w:shd w:val="clear" w:color="auto" w:fill="auto"/>
            <w:noWrap/>
            <w:vAlign w:val="bottom"/>
            <w:hideMark/>
          </w:tcPr>
          <w:p w14:paraId="2DC9FF3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254,8</w:t>
            </w:r>
          </w:p>
        </w:tc>
        <w:tc>
          <w:tcPr>
            <w:tcW w:w="851" w:type="dxa"/>
            <w:tcBorders>
              <w:top w:val="nil"/>
              <w:left w:val="single" w:sz="4" w:space="0" w:color="auto"/>
              <w:bottom w:val="nil"/>
              <w:right w:val="single" w:sz="4" w:space="0" w:color="auto"/>
            </w:tcBorders>
            <w:shd w:val="clear" w:color="auto" w:fill="auto"/>
            <w:noWrap/>
            <w:vAlign w:val="bottom"/>
            <w:hideMark/>
          </w:tcPr>
          <w:p w14:paraId="3951BB26"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294,8</w:t>
            </w:r>
          </w:p>
        </w:tc>
        <w:tc>
          <w:tcPr>
            <w:tcW w:w="850" w:type="dxa"/>
            <w:tcBorders>
              <w:top w:val="nil"/>
              <w:left w:val="nil"/>
              <w:bottom w:val="nil"/>
              <w:right w:val="single" w:sz="4" w:space="0" w:color="auto"/>
            </w:tcBorders>
            <w:shd w:val="clear" w:color="auto" w:fill="auto"/>
            <w:noWrap/>
            <w:vAlign w:val="bottom"/>
            <w:hideMark/>
          </w:tcPr>
          <w:p w14:paraId="0F85818A"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6 161,0</w:t>
            </w:r>
          </w:p>
        </w:tc>
        <w:tc>
          <w:tcPr>
            <w:tcW w:w="850" w:type="dxa"/>
            <w:tcBorders>
              <w:top w:val="nil"/>
              <w:left w:val="nil"/>
              <w:bottom w:val="nil"/>
              <w:right w:val="single" w:sz="4" w:space="0" w:color="auto"/>
            </w:tcBorders>
            <w:shd w:val="clear" w:color="auto" w:fill="auto"/>
            <w:noWrap/>
            <w:vAlign w:val="bottom"/>
            <w:hideMark/>
          </w:tcPr>
          <w:p w14:paraId="0FC751B8"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7 666,3</w:t>
            </w:r>
          </w:p>
        </w:tc>
        <w:tc>
          <w:tcPr>
            <w:tcW w:w="851" w:type="dxa"/>
            <w:tcBorders>
              <w:top w:val="nil"/>
              <w:left w:val="nil"/>
              <w:bottom w:val="nil"/>
              <w:right w:val="single" w:sz="4" w:space="0" w:color="auto"/>
            </w:tcBorders>
            <w:shd w:val="clear" w:color="auto" w:fill="auto"/>
            <w:noWrap/>
            <w:vAlign w:val="bottom"/>
            <w:hideMark/>
          </w:tcPr>
          <w:p w14:paraId="6C96B75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8 637,3</w:t>
            </w:r>
          </w:p>
        </w:tc>
        <w:tc>
          <w:tcPr>
            <w:tcW w:w="850" w:type="dxa"/>
            <w:tcBorders>
              <w:top w:val="nil"/>
              <w:left w:val="nil"/>
              <w:bottom w:val="nil"/>
              <w:right w:val="single" w:sz="4" w:space="0" w:color="auto"/>
            </w:tcBorders>
            <w:shd w:val="clear" w:color="auto" w:fill="auto"/>
            <w:noWrap/>
            <w:vAlign w:val="bottom"/>
            <w:hideMark/>
          </w:tcPr>
          <w:p w14:paraId="6D055B7A"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31,1</w:t>
            </w:r>
          </w:p>
        </w:tc>
        <w:tc>
          <w:tcPr>
            <w:tcW w:w="850" w:type="dxa"/>
            <w:tcBorders>
              <w:top w:val="nil"/>
              <w:left w:val="nil"/>
              <w:bottom w:val="nil"/>
              <w:right w:val="nil"/>
            </w:tcBorders>
            <w:shd w:val="clear" w:color="auto" w:fill="auto"/>
            <w:noWrap/>
            <w:vAlign w:val="bottom"/>
            <w:hideMark/>
          </w:tcPr>
          <w:p w14:paraId="0193385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30,1</w:t>
            </w:r>
          </w:p>
        </w:tc>
        <w:tc>
          <w:tcPr>
            <w:tcW w:w="850" w:type="dxa"/>
            <w:tcBorders>
              <w:top w:val="nil"/>
              <w:left w:val="single" w:sz="4" w:space="0" w:color="auto"/>
              <w:bottom w:val="nil"/>
              <w:right w:val="nil"/>
            </w:tcBorders>
            <w:shd w:val="clear" w:color="auto" w:fill="auto"/>
            <w:noWrap/>
            <w:vAlign w:val="bottom"/>
            <w:hideMark/>
          </w:tcPr>
          <w:p w14:paraId="07E5B73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29,3</w:t>
            </w:r>
          </w:p>
        </w:tc>
      </w:tr>
      <w:tr w:rsidR="00D50EF1" w:rsidRPr="00D50EF1" w14:paraId="50BB2A14"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7824C241"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Středočeský kraj</w:t>
            </w:r>
          </w:p>
        </w:tc>
        <w:tc>
          <w:tcPr>
            <w:tcW w:w="850" w:type="dxa"/>
            <w:tcBorders>
              <w:top w:val="nil"/>
              <w:left w:val="nil"/>
              <w:bottom w:val="nil"/>
              <w:right w:val="single" w:sz="4" w:space="0" w:color="auto"/>
            </w:tcBorders>
            <w:shd w:val="clear" w:color="auto" w:fill="auto"/>
            <w:noWrap/>
            <w:vAlign w:val="bottom"/>
            <w:hideMark/>
          </w:tcPr>
          <w:p w14:paraId="353D3FF2"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219,5</w:t>
            </w:r>
          </w:p>
        </w:tc>
        <w:tc>
          <w:tcPr>
            <w:tcW w:w="850" w:type="dxa"/>
            <w:tcBorders>
              <w:top w:val="nil"/>
              <w:left w:val="nil"/>
              <w:bottom w:val="nil"/>
              <w:right w:val="nil"/>
            </w:tcBorders>
            <w:shd w:val="clear" w:color="auto" w:fill="auto"/>
            <w:noWrap/>
            <w:vAlign w:val="bottom"/>
            <w:hideMark/>
          </w:tcPr>
          <w:p w14:paraId="09CB009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248,1</w:t>
            </w:r>
          </w:p>
        </w:tc>
        <w:tc>
          <w:tcPr>
            <w:tcW w:w="851" w:type="dxa"/>
            <w:tcBorders>
              <w:top w:val="nil"/>
              <w:left w:val="single" w:sz="4" w:space="0" w:color="auto"/>
              <w:bottom w:val="nil"/>
              <w:right w:val="single" w:sz="4" w:space="0" w:color="auto"/>
            </w:tcBorders>
            <w:shd w:val="clear" w:color="auto" w:fill="auto"/>
            <w:noWrap/>
            <w:vAlign w:val="bottom"/>
            <w:hideMark/>
          </w:tcPr>
          <w:p w14:paraId="4BE2FE0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304,4</w:t>
            </w:r>
          </w:p>
        </w:tc>
        <w:tc>
          <w:tcPr>
            <w:tcW w:w="850" w:type="dxa"/>
            <w:tcBorders>
              <w:top w:val="nil"/>
              <w:left w:val="nil"/>
              <w:bottom w:val="nil"/>
              <w:right w:val="single" w:sz="4" w:space="0" w:color="auto"/>
            </w:tcBorders>
            <w:shd w:val="clear" w:color="auto" w:fill="auto"/>
            <w:noWrap/>
            <w:vAlign w:val="bottom"/>
            <w:hideMark/>
          </w:tcPr>
          <w:p w14:paraId="5E38CDA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8 152,9</w:t>
            </w:r>
          </w:p>
        </w:tc>
        <w:tc>
          <w:tcPr>
            <w:tcW w:w="850" w:type="dxa"/>
            <w:tcBorders>
              <w:top w:val="nil"/>
              <w:left w:val="nil"/>
              <w:bottom w:val="nil"/>
              <w:right w:val="single" w:sz="4" w:space="0" w:color="auto"/>
            </w:tcBorders>
            <w:shd w:val="clear" w:color="auto" w:fill="auto"/>
            <w:noWrap/>
            <w:vAlign w:val="bottom"/>
            <w:hideMark/>
          </w:tcPr>
          <w:p w14:paraId="443566F7"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8 523,1</w:t>
            </w:r>
          </w:p>
        </w:tc>
        <w:tc>
          <w:tcPr>
            <w:tcW w:w="851" w:type="dxa"/>
            <w:tcBorders>
              <w:top w:val="nil"/>
              <w:left w:val="nil"/>
              <w:bottom w:val="nil"/>
              <w:right w:val="single" w:sz="4" w:space="0" w:color="auto"/>
            </w:tcBorders>
            <w:shd w:val="clear" w:color="auto" w:fill="auto"/>
            <w:noWrap/>
            <w:vAlign w:val="bottom"/>
            <w:hideMark/>
          </w:tcPr>
          <w:p w14:paraId="4FBBE487"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9 633,1</w:t>
            </w:r>
          </w:p>
        </w:tc>
        <w:tc>
          <w:tcPr>
            <w:tcW w:w="850" w:type="dxa"/>
            <w:tcBorders>
              <w:top w:val="nil"/>
              <w:left w:val="nil"/>
              <w:bottom w:val="nil"/>
              <w:right w:val="single" w:sz="4" w:space="0" w:color="auto"/>
            </w:tcBorders>
            <w:shd w:val="clear" w:color="auto" w:fill="auto"/>
            <w:noWrap/>
            <w:vAlign w:val="bottom"/>
            <w:hideMark/>
          </w:tcPr>
          <w:p w14:paraId="763ADDD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37,2</w:t>
            </w:r>
          </w:p>
        </w:tc>
        <w:tc>
          <w:tcPr>
            <w:tcW w:w="850" w:type="dxa"/>
            <w:tcBorders>
              <w:top w:val="nil"/>
              <w:left w:val="nil"/>
              <w:bottom w:val="nil"/>
              <w:right w:val="nil"/>
            </w:tcBorders>
            <w:shd w:val="clear" w:color="auto" w:fill="auto"/>
            <w:noWrap/>
            <w:vAlign w:val="bottom"/>
            <w:hideMark/>
          </w:tcPr>
          <w:p w14:paraId="4B5E6AC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34,4</w:t>
            </w:r>
          </w:p>
        </w:tc>
        <w:tc>
          <w:tcPr>
            <w:tcW w:w="850" w:type="dxa"/>
            <w:tcBorders>
              <w:top w:val="nil"/>
              <w:left w:val="single" w:sz="4" w:space="0" w:color="auto"/>
              <w:bottom w:val="nil"/>
              <w:right w:val="nil"/>
            </w:tcBorders>
            <w:shd w:val="clear" w:color="auto" w:fill="auto"/>
            <w:noWrap/>
            <w:vAlign w:val="bottom"/>
            <w:hideMark/>
          </w:tcPr>
          <w:p w14:paraId="0033727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31,6</w:t>
            </w:r>
          </w:p>
        </w:tc>
      </w:tr>
      <w:tr w:rsidR="00D50EF1" w:rsidRPr="00D50EF1" w14:paraId="1032B309"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374A1BDB"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Jihočeský kraj</w:t>
            </w:r>
          </w:p>
        </w:tc>
        <w:tc>
          <w:tcPr>
            <w:tcW w:w="850" w:type="dxa"/>
            <w:tcBorders>
              <w:top w:val="nil"/>
              <w:left w:val="nil"/>
              <w:bottom w:val="nil"/>
              <w:right w:val="single" w:sz="4" w:space="0" w:color="auto"/>
            </w:tcBorders>
            <w:shd w:val="clear" w:color="auto" w:fill="auto"/>
            <w:noWrap/>
            <w:vAlign w:val="bottom"/>
            <w:hideMark/>
          </w:tcPr>
          <w:p w14:paraId="311B7993"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117,3</w:t>
            </w:r>
          </w:p>
        </w:tc>
        <w:tc>
          <w:tcPr>
            <w:tcW w:w="850" w:type="dxa"/>
            <w:tcBorders>
              <w:top w:val="nil"/>
              <w:left w:val="nil"/>
              <w:bottom w:val="nil"/>
              <w:right w:val="nil"/>
            </w:tcBorders>
            <w:shd w:val="clear" w:color="auto" w:fill="auto"/>
            <w:noWrap/>
            <w:vAlign w:val="bottom"/>
            <w:hideMark/>
          </w:tcPr>
          <w:p w14:paraId="0613CE27"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143,7</w:t>
            </w:r>
          </w:p>
        </w:tc>
        <w:tc>
          <w:tcPr>
            <w:tcW w:w="851" w:type="dxa"/>
            <w:tcBorders>
              <w:top w:val="nil"/>
              <w:left w:val="single" w:sz="4" w:space="0" w:color="auto"/>
              <w:bottom w:val="nil"/>
              <w:right w:val="single" w:sz="4" w:space="0" w:color="auto"/>
            </w:tcBorders>
            <w:shd w:val="clear" w:color="auto" w:fill="auto"/>
            <w:noWrap/>
            <w:vAlign w:val="bottom"/>
            <w:hideMark/>
          </w:tcPr>
          <w:p w14:paraId="40D8682A"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170,3</w:t>
            </w:r>
          </w:p>
        </w:tc>
        <w:tc>
          <w:tcPr>
            <w:tcW w:w="850" w:type="dxa"/>
            <w:tcBorders>
              <w:top w:val="nil"/>
              <w:left w:val="nil"/>
              <w:bottom w:val="nil"/>
              <w:right w:val="single" w:sz="4" w:space="0" w:color="auto"/>
            </w:tcBorders>
            <w:shd w:val="clear" w:color="auto" w:fill="auto"/>
            <w:noWrap/>
            <w:vAlign w:val="bottom"/>
            <w:hideMark/>
          </w:tcPr>
          <w:p w14:paraId="4920DD5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5 060,8</w:t>
            </w:r>
          </w:p>
        </w:tc>
        <w:tc>
          <w:tcPr>
            <w:tcW w:w="850" w:type="dxa"/>
            <w:tcBorders>
              <w:top w:val="nil"/>
              <w:left w:val="nil"/>
              <w:bottom w:val="nil"/>
              <w:right w:val="single" w:sz="4" w:space="0" w:color="auto"/>
            </w:tcBorders>
            <w:shd w:val="clear" w:color="auto" w:fill="auto"/>
            <w:noWrap/>
            <w:vAlign w:val="bottom"/>
            <w:hideMark/>
          </w:tcPr>
          <w:p w14:paraId="0CD904EA"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5 597,3</w:t>
            </w:r>
          </w:p>
        </w:tc>
        <w:tc>
          <w:tcPr>
            <w:tcW w:w="851" w:type="dxa"/>
            <w:tcBorders>
              <w:top w:val="nil"/>
              <w:left w:val="nil"/>
              <w:bottom w:val="nil"/>
              <w:right w:val="single" w:sz="4" w:space="0" w:color="auto"/>
            </w:tcBorders>
            <w:shd w:val="clear" w:color="auto" w:fill="auto"/>
            <w:noWrap/>
            <w:vAlign w:val="bottom"/>
            <w:hideMark/>
          </w:tcPr>
          <w:p w14:paraId="7C9E4D76"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6 069,7</w:t>
            </w:r>
          </w:p>
        </w:tc>
        <w:tc>
          <w:tcPr>
            <w:tcW w:w="850" w:type="dxa"/>
            <w:tcBorders>
              <w:top w:val="nil"/>
              <w:left w:val="nil"/>
              <w:bottom w:val="nil"/>
              <w:right w:val="single" w:sz="4" w:space="0" w:color="auto"/>
            </w:tcBorders>
            <w:shd w:val="clear" w:color="auto" w:fill="auto"/>
            <w:noWrap/>
            <w:vAlign w:val="bottom"/>
            <w:hideMark/>
          </w:tcPr>
          <w:p w14:paraId="600E9A8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43,2</w:t>
            </w:r>
          </w:p>
        </w:tc>
        <w:tc>
          <w:tcPr>
            <w:tcW w:w="850" w:type="dxa"/>
            <w:tcBorders>
              <w:top w:val="nil"/>
              <w:left w:val="nil"/>
              <w:bottom w:val="nil"/>
              <w:right w:val="nil"/>
            </w:tcBorders>
            <w:shd w:val="clear" w:color="auto" w:fill="auto"/>
            <w:noWrap/>
            <w:vAlign w:val="bottom"/>
            <w:hideMark/>
          </w:tcPr>
          <w:p w14:paraId="2B4A43C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39,0</w:t>
            </w:r>
          </w:p>
        </w:tc>
        <w:tc>
          <w:tcPr>
            <w:tcW w:w="850" w:type="dxa"/>
            <w:tcBorders>
              <w:top w:val="nil"/>
              <w:left w:val="single" w:sz="4" w:space="0" w:color="auto"/>
              <w:bottom w:val="nil"/>
              <w:right w:val="nil"/>
            </w:tcBorders>
            <w:shd w:val="clear" w:color="auto" w:fill="auto"/>
            <w:noWrap/>
            <w:vAlign w:val="bottom"/>
            <w:hideMark/>
          </w:tcPr>
          <w:p w14:paraId="5B16AE8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35,6</w:t>
            </w:r>
          </w:p>
        </w:tc>
      </w:tr>
      <w:tr w:rsidR="00D50EF1" w:rsidRPr="00D50EF1" w14:paraId="45CF5305"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040B1E04"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Plzeňský kraj</w:t>
            </w:r>
          </w:p>
        </w:tc>
        <w:tc>
          <w:tcPr>
            <w:tcW w:w="850" w:type="dxa"/>
            <w:tcBorders>
              <w:top w:val="nil"/>
              <w:left w:val="nil"/>
              <w:bottom w:val="nil"/>
              <w:right w:val="single" w:sz="4" w:space="0" w:color="auto"/>
            </w:tcBorders>
            <w:shd w:val="clear" w:color="auto" w:fill="auto"/>
            <w:noWrap/>
            <w:vAlign w:val="bottom"/>
            <w:hideMark/>
          </w:tcPr>
          <w:p w14:paraId="398B2657"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120,2</w:t>
            </w:r>
          </w:p>
        </w:tc>
        <w:tc>
          <w:tcPr>
            <w:tcW w:w="850" w:type="dxa"/>
            <w:tcBorders>
              <w:top w:val="nil"/>
              <w:left w:val="nil"/>
              <w:bottom w:val="nil"/>
              <w:right w:val="nil"/>
            </w:tcBorders>
            <w:shd w:val="clear" w:color="auto" w:fill="auto"/>
            <w:noWrap/>
            <w:vAlign w:val="bottom"/>
            <w:hideMark/>
          </w:tcPr>
          <w:p w14:paraId="2A4ABBDC"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136,8</w:t>
            </w:r>
          </w:p>
        </w:tc>
        <w:tc>
          <w:tcPr>
            <w:tcW w:w="851" w:type="dxa"/>
            <w:tcBorders>
              <w:top w:val="nil"/>
              <w:left w:val="single" w:sz="4" w:space="0" w:color="auto"/>
              <w:bottom w:val="nil"/>
              <w:right w:val="single" w:sz="4" w:space="0" w:color="auto"/>
            </w:tcBorders>
            <w:shd w:val="clear" w:color="auto" w:fill="auto"/>
            <w:noWrap/>
            <w:vAlign w:val="bottom"/>
            <w:hideMark/>
          </w:tcPr>
          <w:p w14:paraId="1015C21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170,3</w:t>
            </w:r>
          </w:p>
        </w:tc>
        <w:tc>
          <w:tcPr>
            <w:tcW w:w="850" w:type="dxa"/>
            <w:tcBorders>
              <w:top w:val="nil"/>
              <w:left w:val="nil"/>
              <w:bottom w:val="nil"/>
              <w:right w:val="single" w:sz="4" w:space="0" w:color="auto"/>
            </w:tcBorders>
            <w:shd w:val="clear" w:color="auto" w:fill="auto"/>
            <w:noWrap/>
            <w:vAlign w:val="bottom"/>
            <w:hideMark/>
          </w:tcPr>
          <w:p w14:paraId="2DC4882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4 645,1</w:t>
            </w:r>
          </w:p>
        </w:tc>
        <w:tc>
          <w:tcPr>
            <w:tcW w:w="850" w:type="dxa"/>
            <w:tcBorders>
              <w:top w:val="nil"/>
              <w:left w:val="nil"/>
              <w:bottom w:val="nil"/>
              <w:right w:val="single" w:sz="4" w:space="0" w:color="auto"/>
            </w:tcBorders>
            <w:shd w:val="clear" w:color="auto" w:fill="auto"/>
            <w:noWrap/>
            <w:vAlign w:val="bottom"/>
            <w:hideMark/>
          </w:tcPr>
          <w:p w14:paraId="67A94F02"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5 041,9</w:t>
            </w:r>
          </w:p>
        </w:tc>
        <w:tc>
          <w:tcPr>
            <w:tcW w:w="851" w:type="dxa"/>
            <w:tcBorders>
              <w:top w:val="nil"/>
              <w:left w:val="nil"/>
              <w:bottom w:val="nil"/>
              <w:right w:val="single" w:sz="4" w:space="0" w:color="auto"/>
            </w:tcBorders>
            <w:shd w:val="clear" w:color="auto" w:fill="auto"/>
            <w:noWrap/>
            <w:vAlign w:val="bottom"/>
            <w:hideMark/>
          </w:tcPr>
          <w:p w14:paraId="6548FB0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5 713,5</w:t>
            </w:r>
          </w:p>
        </w:tc>
        <w:tc>
          <w:tcPr>
            <w:tcW w:w="850" w:type="dxa"/>
            <w:tcBorders>
              <w:top w:val="nil"/>
              <w:left w:val="nil"/>
              <w:bottom w:val="nil"/>
              <w:right w:val="single" w:sz="4" w:space="0" w:color="auto"/>
            </w:tcBorders>
            <w:shd w:val="clear" w:color="auto" w:fill="auto"/>
            <w:noWrap/>
            <w:vAlign w:val="bottom"/>
            <w:hideMark/>
          </w:tcPr>
          <w:p w14:paraId="3BD4478A"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38,6</w:t>
            </w:r>
          </w:p>
        </w:tc>
        <w:tc>
          <w:tcPr>
            <w:tcW w:w="850" w:type="dxa"/>
            <w:tcBorders>
              <w:top w:val="nil"/>
              <w:left w:val="nil"/>
              <w:bottom w:val="nil"/>
              <w:right w:val="nil"/>
            </w:tcBorders>
            <w:shd w:val="clear" w:color="auto" w:fill="auto"/>
            <w:noWrap/>
            <w:vAlign w:val="bottom"/>
            <w:hideMark/>
          </w:tcPr>
          <w:p w14:paraId="59C951D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36,9</w:t>
            </w:r>
          </w:p>
        </w:tc>
        <w:tc>
          <w:tcPr>
            <w:tcW w:w="850" w:type="dxa"/>
            <w:tcBorders>
              <w:top w:val="nil"/>
              <w:left w:val="single" w:sz="4" w:space="0" w:color="auto"/>
              <w:bottom w:val="nil"/>
              <w:right w:val="nil"/>
            </w:tcBorders>
            <w:shd w:val="clear" w:color="auto" w:fill="auto"/>
            <w:noWrap/>
            <w:vAlign w:val="bottom"/>
            <w:hideMark/>
          </w:tcPr>
          <w:p w14:paraId="1B55CE12"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33,5</w:t>
            </w:r>
          </w:p>
        </w:tc>
      </w:tr>
      <w:tr w:rsidR="00D50EF1" w:rsidRPr="00D50EF1" w14:paraId="349FD055"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3DB0AF6C"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Karlovarský kraj</w:t>
            </w:r>
          </w:p>
        </w:tc>
        <w:tc>
          <w:tcPr>
            <w:tcW w:w="850" w:type="dxa"/>
            <w:tcBorders>
              <w:top w:val="nil"/>
              <w:left w:val="nil"/>
              <w:bottom w:val="nil"/>
              <w:right w:val="single" w:sz="4" w:space="0" w:color="auto"/>
            </w:tcBorders>
            <w:shd w:val="clear" w:color="auto" w:fill="auto"/>
            <w:noWrap/>
            <w:vAlign w:val="bottom"/>
            <w:hideMark/>
          </w:tcPr>
          <w:p w14:paraId="3E469C73"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49,4</w:t>
            </w:r>
          </w:p>
        </w:tc>
        <w:tc>
          <w:tcPr>
            <w:tcW w:w="850" w:type="dxa"/>
            <w:tcBorders>
              <w:top w:val="nil"/>
              <w:left w:val="nil"/>
              <w:bottom w:val="nil"/>
              <w:right w:val="nil"/>
            </w:tcBorders>
            <w:shd w:val="clear" w:color="auto" w:fill="auto"/>
            <w:noWrap/>
            <w:vAlign w:val="bottom"/>
            <w:hideMark/>
          </w:tcPr>
          <w:p w14:paraId="35ECB5E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53,4</w:t>
            </w:r>
          </w:p>
        </w:tc>
        <w:tc>
          <w:tcPr>
            <w:tcW w:w="851" w:type="dxa"/>
            <w:tcBorders>
              <w:top w:val="nil"/>
              <w:left w:val="single" w:sz="4" w:space="0" w:color="auto"/>
              <w:bottom w:val="nil"/>
              <w:right w:val="single" w:sz="4" w:space="0" w:color="auto"/>
            </w:tcBorders>
            <w:shd w:val="clear" w:color="auto" w:fill="auto"/>
            <w:noWrap/>
            <w:vAlign w:val="bottom"/>
            <w:hideMark/>
          </w:tcPr>
          <w:p w14:paraId="550C303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65,2</w:t>
            </w:r>
          </w:p>
        </w:tc>
        <w:tc>
          <w:tcPr>
            <w:tcW w:w="850" w:type="dxa"/>
            <w:tcBorders>
              <w:top w:val="nil"/>
              <w:left w:val="nil"/>
              <w:bottom w:val="nil"/>
              <w:right w:val="single" w:sz="4" w:space="0" w:color="auto"/>
            </w:tcBorders>
            <w:shd w:val="clear" w:color="auto" w:fill="auto"/>
            <w:noWrap/>
            <w:vAlign w:val="bottom"/>
            <w:hideMark/>
          </w:tcPr>
          <w:p w14:paraId="4FA3B0FC"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1 891,6</w:t>
            </w:r>
          </w:p>
        </w:tc>
        <w:tc>
          <w:tcPr>
            <w:tcW w:w="850" w:type="dxa"/>
            <w:tcBorders>
              <w:top w:val="nil"/>
              <w:left w:val="nil"/>
              <w:bottom w:val="nil"/>
              <w:right w:val="single" w:sz="4" w:space="0" w:color="auto"/>
            </w:tcBorders>
            <w:shd w:val="clear" w:color="auto" w:fill="auto"/>
            <w:noWrap/>
            <w:vAlign w:val="bottom"/>
            <w:hideMark/>
          </w:tcPr>
          <w:p w14:paraId="55C9940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2 049,4</w:t>
            </w:r>
          </w:p>
        </w:tc>
        <w:tc>
          <w:tcPr>
            <w:tcW w:w="851" w:type="dxa"/>
            <w:tcBorders>
              <w:top w:val="nil"/>
              <w:left w:val="nil"/>
              <w:bottom w:val="nil"/>
              <w:right w:val="single" w:sz="4" w:space="0" w:color="auto"/>
            </w:tcBorders>
            <w:shd w:val="clear" w:color="auto" w:fill="auto"/>
            <w:noWrap/>
            <w:vAlign w:val="bottom"/>
            <w:hideMark/>
          </w:tcPr>
          <w:p w14:paraId="3141B52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2 258,1</w:t>
            </w:r>
          </w:p>
        </w:tc>
        <w:tc>
          <w:tcPr>
            <w:tcW w:w="850" w:type="dxa"/>
            <w:tcBorders>
              <w:top w:val="nil"/>
              <w:left w:val="nil"/>
              <w:bottom w:val="nil"/>
              <w:right w:val="single" w:sz="4" w:space="0" w:color="auto"/>
            </w:tcBorders>
            <w:shd w:val="clear" w:color="auto" w:fill="auto"/>
            <w:noWrap/>
            <w:vAlign w:val="bottom"/>
            <w:hideMark/>
          </w:tcPr>
          <w:p w14:paraId="40CE76E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38,3</w:t>
            </w:r>
          </w:p>
        </w:tc>
        <w:tc>
          <w:tcPr>
            <w:tcW w:w="850" w:type="dxa"/>
            <w:tcBorders>
              <w:top w:val="nil"/>
              <w:left w:val="nil"/>
              <w:bottom w:val="nil"/>
              <w:right w:val="nil"/>
            </w:tcBorders>
            <w:shd w:val="clear" w:color="auto" w:fill="auto"/>
            <w:noWrap/>
            <w:vAlign w:val="bottom"/>
            <w:hideMark/>
          </w:tcPr>
          <w:p w14:paraId="4BB33894"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38,4</w:t>
            </w:r>
          </w:p>
        </w:tc>
        <w:tc>
          <w:tcPr>
            <w:tcW w:w="850" w:type="dxa"/>
            <w:tcBorders>
              <w:top w:val="nil"/>
              <w:left w:val="single" w:sz="4" w:space="0" w:color="auto"/>
              <w:bottom w:val="nil"/>
              <w:right w:val="nil"/>
            </w:tcBorders>
            <w:shd w:val="clear" w:color="auto" w:fill="auto"/>
            <w:noWrap/>
            <w:vAlign w:val="bottom"/>
            <w:hideMark/>
          </w:tcPr>
          <w:p w14:paraId="358E715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34,6</w:t>
            </w:r>
          </w:p>
        </w:tc>
      </w:tr>
      <w:tr w:rsidR="00D50EF1" w:rsidRPr="00D50EF1" w14:paraId="1501EFA0"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720814A8"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Ústecký kraj</w:t>
            </w:r>
          </w:p>
        </w:tc>
        <w:tc>
          <w:tcPr>
            <w:tcW w:w="850" w:type="dxa"/>
            <w:tcBorders>
              <w:top w:val="nil"/>
              <w:left w:val="nil"/>
              <w:bottom w:val="nil"/>
              <w:right w:val="single" w:sz="4" w:space="0" w:color="auto"/>
            </w:tcBorders>
            <w:shd w:val="clear" w:color="auto" w:fill="auto"/>
            <w:noWrap/>
            <w:vAlign w:val="bottom"/>
            <w:hideMark/>
          </w:tcPr>
          <w:p w14:paraId="3B0D71A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146,6</w:t>
            </w:r>
          </w:p>
        </w:tc>
        <w:tc>
          <w:tcPr>
            <w:tcW w:w="850" w:type="dxa"/>
            <w:tcBorders>
              <w:top w:val="nil"/>
              <w:left w:val="nil"/>
              <w:bottom w:val="nil"/>
              <w:right w:val="nil"/>
            </w:tcBorders>
            <w:shd w:val="clear" w:color="auto" w:fill="auto"/>
            <w:noWrap/>
            <w:vAlign w:val="bottom"/>
            <w:hideMark/>
          </w:tcPr>
          <w:p w14:paraId="0DCF1BC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171,4</w:t>
            </w:r>
          </w:p>
        </w:tc>
        <w:tc>
          <w:tcPr>
            <w:tcW w:w="851" w:type="dxa"/>
            <w:tcBorders>
              <w:top w:val="nil"/>
              <w:left w:val="single" w:sz="4" w:space="0" w:color="auto"/>
              <w:bottom w:val="nil"/>
              <w:right w:val="single" w:sz="4" w:space="0" w:color="auto"/>
            </w:tcBorders>
            <w:shd w:val="clear" w:color="auto" w:fill="auto"/>
            <w:noWrap/>
            <w:vAlign w:val="bottom"/>
            <w:hideMark/>
          </w:tcPr>
          <w:p w14:paraId="5D691C32"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211,4</w:t>
            </w:r>
          </w:p>
        </w:tc>
        <w:tc>
          <w:tcPr>
            <w:tcW w:w="850" w:type="dxa"/>
            <w:tcBorders>
              <w:top w:val="nil"/>
              <w:left w:val="nil"/>
              <w:bottom w:val="nil"/>
              <w:right w:val="single" w:sz="4" w:space="0" w:color="auto"/>
            </w:tcBorders>
            <w:shd w:val="clear" w:color="auto" w:fill="auto"/>
            <w:noWrap/>
            <w:vAlign w:val="bottom"/>
            <w:hideMark/>
          </w:tcPr>
          <w:p w14:paraId="246B9CE2"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5 862,2</w:t>
            </w:r>
          </w:p>
        </w:tc>
        <w:tc>
          <w:tcPr>
            <w:tcW w:w="850" w:type="dxa"/>
            <w:tcBorders>
              <w:top w:val="nil"/>
              <w:left w:val="nil"/>
              <w:bottom w:val="nil"/>
              <w:right w:val="single" w:sz="4" w:space="0" w:color="auto"/>
            </w:tcBorders>
            <w:shd w:val="clear" w:color="auto" w:fill="auto"/>
            <w:noWrap/>
            <w:vAlign w:val="bottom"/>
            <w:hideMark/>
          </w:tcPr>
          <w:p w14:paraId="4F6E411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6 419,8</w:t>
            </w:r>
          </w:p>
        </w:tc>
        <w:tc>
          <w:tcPr>
            <w:tcW w:w="851" w:type="dxa"/>
            <w:tcBorders>
              <w:top w:val="nil"/>
              <w:left w:val="nil"/>
              <w:bottom w:val="nil"/>
              <w:right w:val="single" w:sz="4" w:space="0" w:color="auto"/>
            </w:tcBorders>
            <w:shd w:val="clear" w:color="auto" w:fill="auto"/>
            <w:noWrap/>
            <w:vAlign w:val="bottom"/>
            <w:hideMark/>
          </w:tcPr>
          <w:p w14:paraId="53C4425C"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7 058,8</w:t>
            </w:r>
          </w:p>
        </w:tc>
        <w:tc>
          <w:tcPr>
            <w:tcW w:w="850" w:type="dxa"/>
            <w:tcBorders>
              <w:top w:val="nil"/>
              <w:left w:val="nil"/>
              <w:bottom w:val="nil"/>
              <w:right w:val="single" w:sz="4" w:space="0" w:color="auto"/>
            </w:tcBorders>
            <w:shd w:val="clear" w:color="auto" w:fill="auto"/>
            <w:noWrap/>
            <w:vAlign w:val="bottom"/>
            <w:hideMark/>
          </w:tcPr>
          <w:p w14:paraId="2B329AF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40,0</w:t>
            </w:r>
          </w:p>
        </w:tc>
        <w:tc>
          <w:tcPr>
            <w:tcW w:w="850" w:type="dxa"/>
            <w:tcBorders>
              <w:top w:val="nil"/>
              <w:left w:val="nil"/>
              <w:bottom w:val="nil"/>
              <w:right w:val="nil"/>
            </w:tcBorders>
            <w:shd w:val="clear" w:color="auto" w:fill="auto"/>
            <w:noWrap/>
            <w:vAlign w:val="bottom"/>
            <w:hideMark/>
          </w:tcPr>
          <w:p w14:paraId="4F6EC90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37,5</w:t>
            </w:r>
          </w:p>
        </w:tc>
        <w:tc>
          <w:tcPr>
            <w:tcW w:w="850" w:type="dxa"/>
            <w:tcBorders>
              <w:top w:val="nil"/>
              <w:left w:val="single" w:sz="4" w:space="0" w:color="auto"/>
              <w:bottom w:val="nil"/>
              <w:right w:val="nil"/>
            </w:tcBorders>
            <w:shd w:val="clear" w:color="auto" w:fill="auto"/>
            <w:noWrap/>
            <w:vAlign w:val="bottom"/>
            <w:hideMark/>
          </w:tcPr>
          <w:p w14:paraId="6822AAD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33,4</w:t>
            </w:r>
          </w:p>
        </w:tc>
      </w:tr>
      <w:tr w:rsidR="00D50EF1" w:rsidRPr="00D50EF1" w14:paraId="3A206682"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065292F6"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Liberecký kraj</w:t>
            </w:r>
          </w:p>
        </w:tc>
        <w:tc>
          <w:tcPr>
            <w:tcW w:w="850" w:type="dxa"/>
            <w:tcBorders>
              <w:top w:val="nil"/>
              <w:left w:val="nil"/>
              <w:bottom w:val="nil"/>
              <w:right w:val="single" w:sz="4" w:space="0" w:color="auto"/>
            </w:tcBorders>
            <w:shd w:val="clear" w:color="auto" w:fill="auto"/>
            <w:noWrap/>
            <w:vAlign w:val="bottom"/>
            <w:hideMark/>
          </w:tcPr>
          <w:p w14:paraId="28DCA5E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89,8</w:t>
            </w:r>
          </w:p>
        </w:tc>
        <w:tc>
          <w:tcPr>
            <w:tcW w:w="850" w:type="dxa"/>
            <w:tcBorders>
              <w:top w:val="nil"/>
              <w:left w:val="nil"/>
              <w:bottom w:val="nil"/>
              <w:right w:val="nil"/>
            </w:tcBorders>
            <w:shd w:val="clear" w:color="auto" w:fill="auto"/>
            <w:noWrap/>
            <w:vAlign w:val="bottom"/>
            <w:hideMark/>
          </w:tcPr>
          <w:p w14:paraId="33D68F0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107,3</w:t>
            </w:r>
          </w:p>
        </w:tc>
        <w:tc>
          <w:tcPr>
            <w:tcW w:w="851" w:type="dxa"/>
            <w:tcBorders>
              <w:top w:val="nil"/>
              <w:left w:val="single" w:sz="4" w:space="0" w:color="auto"/>
              <w:bottom w:val="nil"/>
              <w:right w:val="single" w:sz="4" w:space="0" w:color="auto"/>
            </w:tcBorders>
            <w:shd w:val="clear" w:color="auto" w:fill="auto"/>
            <w:noWrap/>
            <w:vAlign w:val="bottom"/>
            <w:hideMark/>
          </w:tcPr>
          <w:p w14:paraId="4938D04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131,3</w:t>
            </w:r>
          </w:p>
        </w:tc>
        <w:tc>
          <w:tcPr>
            <w:tcW w:w="850" w:type="dxa"/>
            <w:tcBorders>
              <w:top w:val="nil"/>
              <w:left w:val="nil"/>
              <w:bottom w:val="nil"/>
              <w:right w:val="single" w:sz="4" w:space="0" w:color="auto"/>
            </w:tcBorders>
            <w:shd w:val="clear" w:color="auto" w:fill="auto"/>
            <w:noWrap/>
            <w:vAlign w:val="bottom"/>
            <w:hideMark/>
          </w:tcPr>
          <w:p w14:paraId="239B5FD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3 438,9</w:t>
            </w:r>
          </w:p>
        </w:tc>
        <w:tc>
          <w:tcPr>
            <w:tcW w:w="850" w:type="dxa"/>
            <w:tcBorders>
              <w:top w:val="nil"/>
              <w:left w:val="nil"/>
              <w:bottom w:val="nil"/>
              <w:right w:val="single" w:sz="4" w:space="0" w:color="auto"/>
            </w:tcBorders>
            <w:shd w:val="clear" w:color="auto" w:fill="auto"/>
            <w:noWrap/>
            <w:vAlign w:val="bottom"/>
            <w:hideMark/>
          </w:tcPr>
          <w:p w14:paraId="1AB823A8"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3 897,4</w:t>
            </w:r>
          </w:p>
        </w:tc>
        <w:tc>
          <w:tcPr>
            <w:tcW w:w="851" w:type="dxa"/>
            <w:tcBorders>
              <w:top w:val="nil"/>
              <w:left w:val="nil"/>
              <w:bottom w:val="nil"/>
              <w:right w:val="single" w:sz="4" w:space="0" w:color="auto"/>
            </w:tcBorders>
            <w:shd w:val="clear" w:color="auto" w:fill="auto"/>
            <w:noWrap/>
            <w:vAlign w:val="bottom"/>
            <w:hideMark/>
          </w:tcPr>
          <w:p w14:paraId="253C9D2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4 298,9</w:t>
            </w:r>
          </w:p>
        </w:tc>
        <w:tc>
          <w:tcPr>
            <w:tcW w:w="850" w:type="dxa"/>
            <w:tcBorders>
              <w:top w:val="nil"/>
              <w:left w:val="nil"/>
              <w:bottom w:val="nil"/>
              <w:right w:val="single" w:sz="4" w:space="0" w:color="auto"/>
            </w:tcBorders>
            <w:shd w:val="clear" w:color="auto" w:fill="auto"/>
            <w:noWrap/>
            <w:vAlign w:val="bottom"/>
            <w:hideMark/>
          </w:tcPr>
          <w:p w14:paraId="2164BE33"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38,3</w:t>
            </w:r>
          </w:p>
        </w:tc>
        <w:tc>
          <w:tcPr>
            <w:tcW w:w="850" w:type="dxa"/>
            <w:tcBorders>
              <w:top w:val="nil"/>
              <w:left w:val="nil"/>
              <w:bottom w:val="nil"/>
              <w:right w:val="nil"/>
            </w:tcBorders>
            <w:shd w:val="clear" w:color="auto" w:fill="auto"/>
            <w:noWrap/>
            <w:vAlign w:val="bottom"/>
            <w:hideMark/>
          </w:tcPr>
          <w:p w14:paraId="30E181B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36,3</w:t>
            </w:r>
          </w:p>
        </w:tc>
        <w:tc>
          <w:tcPr>
            <w:tcW w:w="850" w:type="dxa"/>
            <w:tcBorders>
              <w:top w:val="nil"/>
              <w:left w:val="single" w:sz="4" w:space="0" w:color="auto"/>
              <w:bottom w:val="nil"/>
              <w:right w:val="nil"/>
            </w:tcBorders>
            <w:shd w:val="clear" w:color="auto" w:fill="auto"/>
            <w:noWrap/>
            <w:vAlign w:val="bottom"/>
            <w:hideMark/>
          </w:tcPr>
          <w:p w14:paraId="563B4058"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32,7</w:t>
            </w:r>
          </w:p>
        </w:tc>
      </w:tr>
      <w:tr w:rsidR="00D50EF1" w:rsidRPr="00D50EF1" w14:paraId="5EFA27B6"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08094A58"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Královéhradecký kraj</w:t>
            </w:r>
          </w:p>
        </w:tc>
        <w:tc>
          <w:tcPr>
            <w:tcW w:w="850" w:type="dxa"/>
            <w:tcBorders>
              <w:top w:val="nil"/>
              <w:left w:val="nil"/>
              <w:bottom w:val="nil"/>
              <w:right w:val="single" w:sz="4" w:space="0" w:color="auto"/>
            </w:tcBorders>
            <w:shd w:val="clear" w:color="auto" w:fill="auto"/>
            <w:noWrap/>
            <w:vAlign w:val="bottom"/>
            <w:hideMark/>
          </w:tcPr>
          <w:p w14:paraId="6775BF86"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100,2</w:t>
            </w:r>
          </w:p>
        </w:tc>
        <w:tc>
          <w:tcPr>
            <w:tcW w:w="850" w:type="dxa"/>
            <w:tcBorders>
              <w:top w:val="nil"/>
              <w:left w:val="nil"/>
              <w:bottom w:val="nil"/>
              <w:right w:val="nil"/>
            </w:tcBorders>
            <w:shd w:val="clear" w:color="auto" w:fill="auto"/>
            <w:noWrap/>
            <w:vAlign w:val="bottom"/>
            <w:hideMark/>
          </w:tcPr>
          <w:p w14:paraId="2B41624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129,8</w:t>
            </w:r>
          </w:p>
        </w:tc>
        <w:tc>
          <w:tcPr>
            <w:tcW w:w="851" w:type="dxa"/>
            <w:tcBorders>
              <w:top w:val="nil"/>
              <w:left w:val="single" w:sz="4" w:space="0" w:color="auto"/>
              <w:bottom w:val="nil"/>
              <w:right w:val="single" w:sz="4" w:space="0" w:color="auto"/>
            </w:tcBorders>
            <w:shd w:val="clear" w:color="auto" w:fill="auto"/>
            <w:noWrap/>
            <w:vAlign w:val="bottom"/>
            <w:hideMark/>
          </w:tcPr>
          <w:p w14:paraId="06651006"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158,9</w:t>
            </w:r>
          </w:p>
        </w:tc>
        <w:tc>
          <w:tcPr>
            <w:tcW w:w="850" w:type="dxa"/>
            <w:tcBorders>
              <w:top w:val="nil"/>
              <w:left w:val="nil"/>
              <w:bottom w:val="nil"/>
              <w:right w:val="single" w:sz="4" w:space="0" w:color="auto"/>
            </w:tcBorders>
            <w:shd w:val="clear" w:color="auto" w:fill="auto"/>
            <w:noWrap/>
            <w:vAlign w:val="bottom"/>
            <w:hideMark/>
          </w:tcPr>
          <w:p w14:paraId="6E2466C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3 924,4</w:t>
            </w:r>
          </w:p>
        </w:tc>
        <w:tc>
          <w:tcPr>
            <w:tcW w:w="850" w:type="dxa"/>
            <w:tcBorders>
              <w:top w:val="nil"/>
              <w:left w:val="nil"/>
              <w:bottom w:val="nil"/>
              <w:right w:val="single" w:sz="4" w:space="0" w:color="auto"/>
            </w:tcBorders>
            <w:shd w:val="clear" w:color="auto" w:fill="auto"/>
            <w:noWrap/>
            <w:vAlign w:val="bottom"/>
            <w:hideMark/>
          </w:tcPr>
          <w:p w14:paraId="0588E89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4 741,2</w:t>
            </w:r>
          </w:p>
        </w:tc>
        <w:tc>
          <w:tcPr>
            <w:tcW w:w="851" w:type="dxa"/>
            <w:tcBorders>
              <w:top w:val="nil"/>
              <w:left w:val="nil"/>
              <w:bottom w:val="nil"/>
              <w:right w:val="single" w:sz="4" w:space="0" w:color="auto"/>
            </w:tcBorders>
            <w:shd w:val="clear" w:color="auto" w:fill="auto"/>
            <w:noWrap/>
            <w:vAlign w:val="bottom"/>
            <w:hideMark/>
          </w:tcPr>
          <w:p w14:paraId="7050D1E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5 234,9</w:t>
            </w:r>
          </w:p>
        </w:tc>
        <w:tc>
          <w:tcPr>
            <w:tcW w:w="850" w:type="dxa"/>
            <w:tcBorders>
              <w:top w:val="nil"/>
              <w:left w:val="nil"/>
              <w:bottom w:val="nil"/>
              <w:right w:val="single" w:sz="4" w:space="0" w:color="auto"/>
            </w:tcBorders>
            <w:shd w:val="clear" w:color="auto" w:fill="auto"/>
            <w:noWrap/>
            <w:vAlign w:val="bottom"/>
            <w:hideMark/>
          </w:tcPr>
          <w:p w14:paraId="6792A42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39,2</w:t>
            </w:r>
          </w:p>
        </w:tc>
        <w:tc>
          <w:tcPr>
            <w:tcW w:w="850" w:type="dxa"/>
            <w:tcBorders>
              <w:top w:val="nil"/>
              <w:left w:val="nil"/>
              <w:bottom w:val="nil"/>
              <w:right w:val="nil"/>
            </w:tcBorders>
            <w:shd w:val="clear" w:color="auto" w:fill="auto"/>
            <w:noWrap/>
            <w:vAlign w:val="bottom"/>
            <w:hideMark/>
          </w:tcPr>
          <w:p w14:paraId="7FB130F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36,5</w:t>
            </w:r>
          </w:p>
        </w:tc>
        <w:tc>
          <w:tcPr>
            <w:tcW w:w="850" w:type="dxa"/>
            <w:tcBorders>
              <w:top w:val="nil"/>
              <w:left w:val="single" w:sz="4" w:space="0" w:color="auto"/>
              <w:bottom w:val="nil"/>
              <w:right w:val="nil"/>
            </w:tcBorders>
            <w:shd w:val="clear" w:color="auto" w:fill="auto"/>
            <w:noWrap/>
            <w:vAlign w:val="bottom"/>
            <w:hideMark/>
          </w:tcPr>
          <w:p w14:paraId="4BB0F6D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32,9</w:t>
            </w:r>
          </w:p>
        </w:tc>
      </w:tr>
      <w:tr w:rsidR="00D50EF1" w:rsidRPr="00D50EF1" w14:paraId="3AA44D91"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3DD26542"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Pardubický kraj</w:t>
            </w:r>
          </w:p>
        </w:tc>
        <w:tc>
          <w:tcPr>
            <w:tcW w:w="850" w:type="dxa"/>
            <w:tcBorders>
              <w:top w:val="nil"/>
              <w:left w:val="nil"/>
              <w:bottom w:val="nil"/>
              <w:right w:val="single" w:sz="4" w:space="0" w:color="auto"/>
            </w:tcBorders>
            <w:shd w:val="clear" w:color="auto" w:fill="auto"/>
            <w:noWrap/>
            <w:vAlign w:val="bottom"/>
            <w:hideMark/>
          </w:tcPr>
          <w:p w14:paraId="4B835D48"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94,1</w:t>
            </w:r>
          </w:p>
        </w:tc>
        <w:tc>
          <w:tcPr>
            <w:tcW w:w="850" w:type="dxa"/>
            <w:tcBorders>
              <w:top w:val="nil"/>
              <w:left w:val="nil"/>
              <w:bottom w:val="nil"/>
              <w:right w:val="nil"/>
            </w:tcBorders>
            <w:shd w:val="clear" w:color="auto" w:fill="auto"/>
            <w:noWrap/>
            <w:vAlign w:val="bottom"/>
            <w:hideMark/>
          </w:tcPr>
          <w:p w14:paraId="099E77D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116,4</w:t>
            </w:r>
          </w:p>
        </w:tc>
        <w:tc>
          <w:tcPr>
            <w:tcW w:w="851" w:type="dxa"/>
            <w:tcBorders>
              <w:top w:val="nil"/>
              <w:left w:val="single" w:sz="4" w:space="0" w:color="auto"/>
              <w:bottom w:val="nil"/>
              <w:right w:val="single" w:sz="4" w:space="0" w:color="auto"/>
            </w:tcBorders>
            <w:shd w:val="clear" w:color="auto" w:fill="auto"/>
            <w:noWrap/>
            <w:vAlign w:val="bottom"/>
            <w:hideMark/>
          </w:tcPr>
          <w:p w14:paraId="1F69118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147,7</w:t>
            </w:r>
          </w:p>
        </w:tc>
        <w:tc>
          <w:tcPr>
            <w:tcW w:w="850" w:type="dxa"/>
            <w:tcBorders>
              <w:top w:val="nil"/>
              <w:left w:val="nil"/>
              <w:bottom w:val="nil"/>
              <w:right w:val="single" w:sz="4" w:space="0" w:color="auto"/>
            </w:tcBorders>
            <w:shd w:val="clear" w:color="auto" w:fill="auto"/>
            <w:noWrap/>
            <w:vAlign w:val="bottom"/>
            <w:hideMark/>
          </w:tcPr>
          <w:p w14:paraId="1CD35E3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3 797,2</w:t>
            </w:r>
          </w:p>
        </w:tc>
        <w:tc>
          <w:tcPr>
            <w:tcW w:w="850" w:type="dxa"/>
            <w:tcBorders>
              <w:top w:val="nil"/>
              <w:left w:val="nil"/>
              <w:bottom w:val="nil"/>
              <w:right w:val="single" w:sz="4" w:space="0" w:color="auto"/>
            </w:tcBorders>
            <w:shd w:val="clear" w:color="auto" w:fill="auto"/>
            <w:noWrap/>
            <w:vAlign w:val="bottom"/>
            <w:hideMark/>
          </w:tcPr>
          <w:p w14:paraId="73D301F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4 359,7</w:t>
            </w:r>
          </w:p>
        </w:tc>
        <w:tc>
          <w:tcPr>
            <w:tcW w:w="851" w:type="dxa"/>
            <w:tcBorders>
              <w:top w:val="nil"/>
              <w:left w:val="nil"/>
              <w:bottom w:val="nil"/>
              <w:right w:val="single" w:sz="4" w:space="0" w:color="auto"/>
            </w:tcBorders>
            <w:shd w:val="clear" w:color="auto" w:fill="auto"/>
            <w:noWrap/>
            <w:vAlign w:val="bottom"/>
            <w:hideMark/>
          </w:tcPr>
          <w:p w14:paraId="00FFE064"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4 774,0</w:t>
            </w:r>
          </w:p>
        </w:tc>
        <w:tc>
          <w:tcPr>
            <w:tcW w:w="850" w:type="dxa"/>
            <w:tcBorders>
              <w:top w:val="nil"/>
              <w:left w:val="nil"/>
              <w:bottom w:val="nil"/>
              <w:right w:val="single" w:sz="4" w:space="0" w:color="auto"/>
            </w:tcBorders>
            <w:shd w:val="clear" w:color="auto" w:fill="auto"/>
            <w:noWrap/>
            <w:vAlign w:val="bottom"/>
            <w:hideMark/>
          </w:tcPr>
          <w:p w14:paraId="73500683"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40,3</w:t>
            </w:r>
          </w:p>
        </w:tc>
        <w:tc>
          <w:tcPr>
            <w:tcW w:w="850" w:type="dxa"/>
            <w:tcBorders>
              <w:top w:val="nil"/>
              <w:left w:val="nil"/>
              <w:bottom w:val="nil"/>
              <w:right w:val="nil"/>
            </w:tcBorders>
            <w:shd w:val="clear" w:color="auto" w:fill="auto"/>
            <w:noWrap/>
            <w:vAlign w:val="bottom"/>
            <w:hideMark/>
          </w:tcPr>
          <w:p w14:paraId="6016B38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37,5</w:t>
            </w:r>
          </w:p>
        </w:tc>
        <w:tc>
          <w:tcPr>
            <w:tcW w:w="850" w:type="dxa"/>
            <w:tcBorders>
              <w:top w:val="nil"/>
              <w:left w:val="single" w:sz="4" w:space="0" w:color="auto"/>
              <w:bottom w:val="nil"/>
              <w:right w:val="nil"/>
            </w:tcBorders>
            <w:shd w:val="clear" w:color="auto" w:fill="auto"/>
            <w:noWrap/>
            <w:vAlign w:val="bottom"/>
            <w:hideMark/>
          </w:tcPr>
          <w:p w14:paraId="61F2CCB6"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32,3</w:t>
            </w:r>
          </w:p>
        </w:tc>
      </w:tr>
      <w:tr w:rsidR="00D50EF1" w:rsidRPr="00D50EF1" w14:paraId="50369619"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4C407949" w14:textId="0CA98C8B" w:rsidR="00D50EF1" w:rsidRPr="00D50EF1" w:rsidRDefault="00E50F69" w:rsidP="00D50EF1">
            <w:pPr>
              <w:spacing w:after="0" w:line="240" w:lineRule="auto"/>
              <w:ind w:firstLineChars="100" w:firstLine="160"/>
              <w:rPr>
                <w:rFonts w:cs="Arial"/>
                <w:color w:val="000000"/>
                <w:sz w:val="16"/>
                <w:szCs w:val="16"/>
              </w:rPr>
            </w:pPr>
            <w:r>
              <w:rPr>
                <w:rFonts w:cs="Arial"/>
                <w:color w:val="000000"/>
                <w:sz w:val="16"/>
                <w:szCs w:val="16"/>
              </w:rPr>
              <w:t xml:space="preserve">Kraj </w:t>
            </w:r>
            <w:r w:rsidR="00D50EF1" w:rsidRPr="00D50EF1">
              <w:rPr>
                <w:rFonts w:cs="Arial"/>
                <w:color w:val="000000"/>
                <w:sz w:val="16"/>
                <w:szCs w:val="16"/>
              </w:rPr>
              <w:t>Vysočina</w:t>
            </w:r>
          </w:p>
        </w:tc>
        <w:tc>
          <w:tcPr>
            <w:tcW w:w="850" w:type="dxa"/>
            <w:tcBorders>
              <w:top w:val="nil"/>
              <w:left w:val="nil"/>
              <w:bottom w:val="nil"/>
              <w:right w:val="single" w:sz="4" w:space="0" w:color="auto"/>
            </w:tcBorders>
            <w:shd w:val="clear" w:color="auto" w:fill="auto"/>
            <w:noWrap/>
            <w:vAlign w:val="bottom"/>
            <w:hideMark/>
          </w:tcPr>
          <w:p w14:paraId="6079B58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92,4</w:t>
            </w:r>
          </w:p>
        </w:tc>
        <w:tc>
          <w:tcPr>
            <w:tcW w:w="850" w:type="dxa"/>
            <w:tcBorders>
              <w:top w:val="nil"/>
              <w:left w:val="nil"/>
              <w:bottom w:val="nil"/>
              <w:right w:val="nil"/>
            </w:tcBorders>
            <w:shd w:val="clear" w:color="auto" w:fill="auto"/>
            <w:noWrap/>
            <w:vAlign w:val="bottom"/>
            <w:hideMark/>
          </w:tcPr>
          <w:p w14:paraId="38366F0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116,5</w:t>
            </w:r>
          </w:p>
        </w:tc>
        <w:tc>
          <w:tcPr>
            <w:tcW w:w="851" w:type="dxa"/>
            <w:tcBorders>
              <w:top w:val="nil"/>
              <w:left w:val="single" w:sz="4" w:space="0" w:color="auto"/>
              <w:bottom w:val="nil"/>
              <w:right w:val="single" w:sz="4" w:space="0" w:color="auto"/>
            </w:tcBorders>
            <w:shd w:val="clear" w:color="auto" w:fill="auto"/>
            <w:noWrap/>
            <w:vAlign w:val="bottom"/>
            <w:hideMark/>
          </w:tcPr>
          <w:p w14:paraId="1B4E886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127,2</w:t>
            </w:r>
          </w:p>
        </w:tc>
        <w:tc>
          <w:tcPr>
            <w:tcW w:w="850" w:type="dxa"/>
            <w:tcBorders>
              <w:top w:val="nil"/>
              <w:left w:val="nil"/>
              <w:bottom w:val="nil"/>
              <w:right w:val="single" w:sz="4" w:space="0" w:color="auto"/>
            </w:tcBorders>
            <w:shd w:val="clear" w:color="auto" w:fill="auto"/>
            <w:noWrap/>
            <w:vAlign w:val="bottom"/>
            <w:hideMark/>
          </w:tcPr>
          <w:p w14:paraId="2ED4CDD6"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4 095,4</w:t>
            </w:r>
          </w:p>
        </w:tc>
        <w:tc>
          <w:tcPr>
            <w:tcW w:w="850" w:type="dxa"/>
            <w:tcBorders>
              <w:top w:val="nil"/>
              <w:left w:val="nil"/>
              <w:bottom w:val="nil"/>
              <w:right w:val="single" w:sz="4" w:space="0" w:color="auto"/>
            </w:tcBorders>
            <w:shd w:val="clear" w:color="auto" w:fill="auto"/>
            <w:noWrap/>
            <w:vAlign w:val="bottom"/>
            <w:hideMark/>
          </w:tcPr>
          <w:p w14:paraId="34E95778"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4 629,6</w:t>
            </w:r>
          </w:p>
        </w:tc>
        <w:tc>
          <w:tcPr>
            <w:tcW w:w="851" w:type="dxa"/>
            <w:tcBorders>
              <w:top w:val="nil"/>
              <w:left w:val="nil"/>
              <w:bottom w:val="nil"/>
              <w:right w:val="single" w:sz="4" w:space="0" w:color="auto"/>
            </w:tcBorders>
            <w:shd w:val="clear" w:color="auto" w:fill="auto"/>
            <w:noWrap/>
            <w:vAlign w:val="bottom"/>
            <w:hideMark/>
          </w:tcPr>
          <w:p w14:paraId="76CD706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4 682,8</w:t>
            </w:r>
          </w:p>
        </w:tc>
        <w:tc>
          <w:tcPr>
            <w:tcW w:w="850" w:type="dxa"/>
            <w:tcBorders>
              <w:top w:val="nil"/>
              <w:left w:val="nil"/>
              <w:bottom w:val="nil"/>
              <w:right w:val="single" w:sz="4" w:space="0" w:color="auto"/>
            </w:tcBorders>
            <w:shd w:val="clear" w:color="auto" w:fill="auto"/>
            <w:noWrap/>
            <w:vAlign w:val="bottom"/>
            <w:hideMark/>
          </w:tcPr>
          <w:p w14:paraId="425F23F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44,3</w:t>
            </w:r>
          </w:p>
        </w:tc>
        <w:tc>
          <w:tcPr>
            <w:tcW w:w="850" w:type="dxa"/>
            <w:tcBorders>
              <w:top w:val="nil"/>
              <w:left w:val="nil"/>
              <w:bottom w:val="nil"/>
              <w:right w:val="nil"/>
            </w:tcBorders>
            <w:shd w:val="clear" w:color="auto" w:fill="auto"/>
            <w:noWrap/>
            <w:vAlign w:val="bottom"/>
            <w:hideMark/>
          </w:tcPr>
          <w:p w14:paraId="56F4C72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39,8</w:t>
            </w:r>
          </w:p>
        </w:tc>
        <w:tc>
          <w:tcPr>
            <w:tcW w:w="850" w:type="dxa"/>
            <w:tcBorders>
              <w:top w:val="nil"/>
              <w:left w:val="single" w:sz="4" w:space="0" w:color="auto"/>
              <w:bottom w:val="nil"/>
              <w:right w:val="nil"/>
            </w:tcBorders>
            <w:shd w:val="clear" w:color="auto" w:fill="auto"/>
            <w:noWrap/>
            <w:vAlign w:val="bottom"/>
            <w:hideMark/>
          </w:tcPr>
          <w:p w14:paraId="0789E583"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36,8</w:t>
            </w:r>
          </w:p>
        </w:tc>
      </w:tr>
      <w:tr w:rsidR="00D50EF1" w:rsidRPr="00D50EF1" w14:paraId="59F7E0B4"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5929302C"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Jihomoravský kraj</w:t>
            </w:r>
          </w:p>
        </w:tc>
        <w:tc>
          <w:tcPr>
            <w:tcW w:w="850" w:type="dxa"/>
            <w:tcBorders>
              <w:top w:val="nil"/>
              <w:left w:val="nil"/>
              <w:bottom w:val="nil"/>
              <w:right w:val="single" w:sz="4" w:space="0" w:color="auto"/>
            </w:tcBorders>
            <w:shd w:val="clear" w:color="auto" w:fill="auto"/>
            <w:noWrap/>
            <w:vAlign w:val="bottom"/>
            <w:hideMark/>
          </w:tcPr>
          <w:p w14:paraId="1C29E1D3"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189,7</w:t>
            </w:r>
          </w:p>
        </w:tc>
        <w:tc>
          <w:tcPr>
            <w:tcW w:w="850" w:type="dxa"/>
            <w:tcBorders>
              <w:top w:val="nil"/>
              <w:left w:val="nil"/>
              <w:bottom w:val="nil"/>
              <w:right w:val="nil"/>
            </w:tcBorders>
            <w:shd w:val="clear" w:color="auto" w:fill="auto"/>
            <w:noWrap/>
            <w:vAlign w:val="bottom"/>
            <w:hideMark/>
          </w:tcPr>
          <w:p w14:paraId="0DC92D54"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247,2</w:t>
            </w:r>
          </w:p>
        </w:tc>
        <w:tc>
          <w:tcPr>
            <w:tcW w:w="851" w:type="dxa"/>
            <w:tcBorders>
              <w:top w:val="nil"/>
              <w:left w:val="single" w:sz="4" w:space="0" w:color="auto"/>
              <w:bottom w:val="nil"/>
              <w:right w:val="single" w:sz="4" w:space="0" w:color="auto"/>
            </w:tcBorders>
            <w:shd w:val="clear" w:color="auto" w:fill="auto"/>
            <w:noWrap/>
            <w:vAlign w:val="bottom"/>
            <w:hideMark/>
          </w:tcPr>
          <w:p w14:paraId="79DCA28A"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295,3</w:t>
            </w:r>
          </w:p>
        </w:tc>
        <w:tc>
          <w:tcPr>
            <w:tcW w:w="850" w:type="dxa"/>
            <w:tcBorders>
              <w:top w:val="nil"/>
              <w:left w:val="nil"/>
              <w:bottom w:val="nil"/>
              <w:right w:val="single" w:sz="4" w:space="0" w:color="auto"/>
            </w:tcBorders>
            <w:shd w:val="clear" w:color="auto" w:fill="auto"/>
            <w:noWrap/>
            <w:vAlign w:val="bottom"/>
            <w:hideMark/>
          </w:tcPr>
          <w:p w14:paraId="20547CB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8 165,9</w:t>
            </w:r>
          </w:p>
        </w:tc>
        <w:tc>
          <w:tcPr>
            <w:tcW w:w="850" w:type="dxa"/>
            <w:tcBorders>
              <w:top w:val="nil"/>
              <w:left w:val="nil"/>
              <w:bottom w:val="nil"/>
              <w:right w:val="single" w:sz="4" w:space="0" w:color="auto"/>
            </w:tcBorders>
            <w:shd w:val="clear" w:color="auto" w:fill="auto"/>
            <w:noWrap/>
            <w:vAlign w:val="bottom"/>
            <w:hideMark/>
          </w:tcPr>
          <w:p w14:paraId="644190F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9 766,7</w:t>
            </w:r>
          </w:p>
        </w:tc>
        <w:tc>
          <w:tcPr>
            <w:tcW w:w="851" w:type="dxa"/>
            <w:tcBorders>
              <w:top w:val="nil"/>
              <w:left w:val="nil"/>
              <w:bottom w:val="nil"/>
              <w:right w:val="single" w:sz="4" w:space="0" w:color="auto"/>
            </w:tcBorders>
            <w:shd w:val="clear" w:color="auto" w:fill="auto"/>
            <w:noWrap/>
            <w:vAlign w:val="bottom"/>
            <w:hideMark/>
          </w:tcPr>
          <w:p w14:paraId="4262F958"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10 611,7</w:t>
            </w:r>
          </w:p>
        </w:tc>
        <w:tc>
          <w:tcPr>
            <w:tcW w:w="850" w:type="dxa"/>
            <w:tcBorders>
              <w:top w:val="nil"/>
              <w:left w:val="nil"/>
              <w:bottom w:val="nil"/>
              <w:right w:val="single" w:sz="4" w:space="0" w:color="auto"/>
            </w:tcBorders>
            <w:shd w:val="clear" w:color="auto" w:fill="auto"/>
            <w:noWrap/>
            <w:vAlign w:val="bottom"/>
            <w:hideMark/>
          </w:tcPr>
          <w:p w14:paraId="6A0485D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43,1</w:t>
            </w:r>
          </w:p>
        </w:tc>
        <w:tc>
          <w:tcPr>
            <w:tcW w:w="850" w:type="dxa"/>
            <w:tcBorders>
              <w:top w:val="nil"/>
              <w:left w:val="nil"/>
              <w:bottom w:val="nil"/>
              <w:right w:val="nil"/>
            </w:tcBorders>
            <w:shd w:val="clear" w:color="auto" w:fill="auto"/>
            <w:noWrap/>
            <w:vAlign w:val="bottom"/>
            <w:hideMark/>
          </w:tcPr>
          <w:p w14:paraId="4A8FD0B7"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39,5</w:t>
            </w:r>
          </w:p>
        </w:tc>
        <w:tc>
          <w:tcPr>
            <w:tcW w:w="850" w:type="dxa"/>
            <w:tcBorders>
              <w:top w:val="nil"/>
              <w:left w:val="single" w:sz="4" w:space="0" w:color="auto"/>
              <w:bottom w:val="nil"/>
              <w:right w:val="nil"/>
            </w:tcBorders>
            <w:shd w:val="clear" w:color="auto" w:fill="auto"/>
            <w:noWrap/>
            <w:vAlign w:val="bottom"/>
            <w:hideMark/>
          </w:tcPr>
          <w:p w14:paraId="0A46D22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35,9</w:t>
            </w:r>
          </w:p>
        </w:tc>
      </w:tr>
      <w:tr w:rsidR="00D50EF1" w:rsidRPr="00D50EF1" w14:paraId="5FA85140"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15743362"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Olomoucký kraj</w:t>
            </w:r>
          </w:p>
        </w:tc>
        <w:tc>
          <w:tcPr>
            <w:tcW w:w="850" w:type="dxa"/>
            <w:tcBorders>
              <w:top w:val="nil"/>
              <w:left w:val="nil"/>
              <w:bottom w:val="nil"/>
              <w:right w:val="single" w:sz="4" w:space="0" w:color="auto"/>
            </w:tcBorders>
            <w:shd w:val="clear" w:color="auto" w:fill="auto"/>
            <w:noWrap/>
            <w:vAlign w:val="bottom"/>
            <w:hideMark/>
          </w:tcPr>
          <w:p w14:paraId="25E3EFD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107,9</w:t>
            </w:r>
          </w:p>
        </w:tc>
        <w:tc>
          <w:tcPr>
            <w:tcW w:w="850" w:type="dxa"/>
            <w:tcBorders>
              <w:top w:val="nil"/>
              <w:left w:val="nil"/>
              <w:bottom w:val="nil"/>
              <w:right w:val="nil"/>
            </w:tcBorders>
            <w:shd w:val="clear" w:color="auto" w:fill="auto"/>
            <w:noWrap/>
            <w:vAlign w:val="bottom"/>
            <w:hideMark/>
          </w:tcPr>
          <w:p w14:paraId="347528F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154,8</w:t>
            </w:r>
          </w:p>
        </w:tc>
        <w:tc>
          <w:tcPr>
            <w:tcW w:w="851" w:type="dxa"/>
            <w:tcBorders>
              <w:top w:val="nil"/>
              <w:left w:val="single" w:sz="4" w:space="0" w:color="auto"/>
              <w:bottom w:val="nil"/>
              <w:right w:val="single" w:sz="4" w:space="0" w:color="auto"/>
            </w:tcBorders>
            <w:shd w:val="clear" w:color="auto" w:fill="auto"/>
            <w:noWrap/>
            <w:vAlign w:val="bottom"/>
            <w:hideMark/>
          </w:tcPr>
          <w:p w14:paraId="0DB1F42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176,4</w:t>
            </w:r>
          </w:p>
        </w:tc>
        <w:tc>
          <w:tcPr>
            <w:tcW w:w="850" w:type="dxa"/>
            <w:tcBorders>
              <w:top w:val="nil"/>
              <w:left w:val="nil"/>
              <w:bottom w:val="nil"/>
              <w:right w:val="single" w:sz="4" w:space="0" w:color="auto"/>
            </w:tcBorders>
            <w:shd w:val="clear" w:color="auto" w:fill="auto"/>
            <w:noWrap/>
            <w:vAlign w:val="bottom"/>
            <w:hideMark/>
          </w:tcPr>
          <w:p w14:paraId="7EF08D9A"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4 656,8</w:t>
            </w:r>
          </w:p>
        </w:tc>
        <w:tc>
          <w:tcPr>
            <w:tcW w:w="850" w:type="dxa"/>
            <w:tcBorders>
              <w:top w:val="nil"/>
              <w:left w:val="nil"/>
              <w:bottom w:val="nil"/>
              <w:right w:val="single" w:sz="4" w:space="0" w:color="auto"/>
            </w:tcBorders>
            <w:shd w:val="clear" w:color="auto" w:fill="auto"/>
            <w:noWrap/>
            <w:vAlign w:val="bottom"/>
            <w:hideMark/>
          </w:tcPr>
          <w:p w14:paraId="6D753C7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5 962,1</w:t>
            </w:r>
          </w:p>
        </w:tc>
        <w:tc>
          <w:tcPr>
            <w:tcW w:w="851" w:type="dxa"/>
            <w:tcBorders>
              <w:top w:val="nil"/>
              <w:left w:val="nil"/>
              <w:bottom w:val="nil"/>
              <w:right w:val="single" w:sz="4" w:space="0" w:color="auto"/>
            </w:tcBorders>
            <w:shd w:val="clear" w:color="auto" w:fill="auto"/>
            <w:noWrap/>
            <w:vAlign w:val="bottom"/>
            <w:hideMark/>
          </w:tcPr>
          <w:p w14:paraId="459C795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6 276,3</w:t>
            </w:r>
          </w:p>
        </w:tc>
        <w:tc>
          <w:tcPr>
            <w:tcW w:w="850" w:type="dxa"/>
            <w:tcBorders>
              <w:top w:val="nil"/>
              <w:left w:val="nil"/>
              <w:bottom w:val="nil"/>
              <w:right w:val="single" w:sz="4" w:space="0" w:color="auto"/>
            </w:tcBorders>
            <w:shd w:val="clear" w:color="auto" w:fill="auto"/>
            <w:noWrap/>
            <w:vAlign w:val="bottom"/>
            <w:hideMark/>
          </w:tcPr>
          <w:p w14:paraId="1EE6F02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43,2</w:t>
            </w:r>
          </w:p>
        </w:tc>
        <w:tc>
          <w:tcPr>
            <w:tcW w:w="850" w:type="dxa"/>
            <w:tcBorders>
              <w:top w:val="nil"/>
              <w:left w:val="nil"/>
              <w:bottom w:val="nil"/>
              <w:right w:val="nil"/>
            </w:tcBorders>
            <w:shd w:val="clear" w:color="auto" w:fill="auto"/>
            <w:noWrap/>
            <w:vAlign w:val="bottom"/>
            <w:hideMark/>
          </w:tcPr>
          <w:p w14:paraId="1C98700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38,5</w:t>
            </w:r>
          </w:p>
        </w:tc>
        <w:tc>
          <w:tcPr>
            <w:tcW w:w="850" w:type="dxa"/>
            <w:tcBorders>
              <w:top w:val="nil"/>
              <w:left w:val="single" w:sz="4" w:space="0" w:color="auto"/>
              <w:bottom w:val="nil"/>
              <w:right w:val="nil"/>
            </w:tcBorders>
            <w:shd w:val="clear" w:color="auto" w:fill="auto"/>
            <w:noWrap/>
            <w:vAlign w:val="bottom"/>
            <w:hideMark/>
          </w:tcPr>
          <w:p w14:paraId="1F0D6354"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35,6</w:t>
            </w:r>
          </w:p>
        </w:tc>
      </w:tr>
      <w:tr w:rsidR="00D50EF1" w:rsidRPr="00D50EF1" w14:paraId="1EAAEC94"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5741E5E1"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Zlínský kraj</w:t>
            </w:r>
          </w:p>
        </w:tc>
        <w:tc>
          <w:tcPr>
            <w:tcW w:w="850" w:type="dxa"/>
            <w:tcBorders>
              <w:top w:val="nil"/>
              <w:left w:val="nil"/>
              <w:bottom w:val="nil"/>
              <w:right w:val="single" w:sz="4" w:space="0" w:color="auto"/>
            </w:tcBorders>
            <w:shd w:val="clear" w:color="auto" w:fill="auto"/>
            <w:noWrap/>
            <w:vAlign w:val="bottom"/>
            <w:hideMark/>
          </w:tcPr>
          <w:p w14:paraId="161CDC9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101,0</w:t>
            </w:r>
          </w:p>
        </w:tc>
        <w:tc>
          <w:tcPr>
            <w:tcW w:w="850" w:type="dxa"/>
            <w:tcBorders>
              <w:top w:val="nil"/>
              <w:left w:val="nil"/>
              <w:bottom w:val="nil"/>
              <w:right w:val="nil"/>
            </w:tcBorders>
            <w:shd w:val="clear" w:color="auto" w:fill="auto"/>
            <w:noWrap/>
            <w:vAlign w:val="bottom"/>
            <w:hideMark/>
          </w:tcPr>
          <w:p w14:paraId="6C46EC8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139,6</w:t>
            </w:r>
          </w:p>
        </w:tc>
        <w:tc>
          <w:tcPr>
            <w:tcW w:w="851" w:type="dxa"/>
            <w:tcBorders>
              <w:top w:val="nil"/>
              <w:left w:val="single" w:sz="4" w:space="0" w:color="auto"/>
              <w:bottom w:val="nil"/>
              <w:right w:val="single" w:sz="4" w:space="0" w:color="auto"/>
            </w:tcBorders>
            <w:shd w:val="clear" w:color="auto" w:fill="auto"/>
            <w:noWrap/>
            <w:vAlign w:val="bottom"/>
            <w:hideMark/>
          </w:tcPr>
          <w:p w14:paraId="77EE1F22"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150,2</w:t>
            </w:r>
          </w:p>
        </w:tc>
        <w:tc>
          <w:tcPr>
            <w:tcW w:w="850" w:type="dxa"/>
            <w:tcBorders>
              <w:top w:val="nil"/>
              <w:left w:val="nil"/>
              <w:bottom w:val="nil"/>
              <w:right w:val="single" w:sz="4" w:space="0" w:color="auto"/>
            </w:tcBorders>
            <w:shd w:val="clear" w:color="auto" w:fill="auto"/>
            <w:noWrap/>
            <w:vAlign w:val="bottom"/>
            <w:hideMark/>
          </w:tcPr>
          <w:p w14:paraId="052D5ED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4 964,4</w:t>
            </w:r>
          </w:p>
        </w:tc>
        <w:tc>
          <w:tcPr>
            <w:tcW w:w="850" w:type="dxa"/>
            <w:tcBorders>
              <w:top w:val="nil"/>
              <w:left w:val="nil"/>
              <w:bottom w:val="nil"/>
              <w:right w:val="single" w:sz="4" w:space="0" w:color="auto"/>
            </w:tcBorders>
            <w:shd w:val="clear" w:color="auto" w:fill="auto"/>
            <w:noWrap/>
            <w:vAlign w:val="bottom"/>
            <w:hideMark/>
          </w:tcPr>
          <w:p w14:paraId="389CA2A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5 914,1</w:t>
            </w:r>
          </w:p>
        </w:tc>
        <w:tc>
          <w:tcPr>
            <w:tcW w:w="851" w:type="dxa"/>
            <w:tcBorders>
              <w:top w:val="nil"/>
              <w:left w:val="nil"/>
              <w:bottom w:val="nil"/>
              <w:right w:val="single" w:sz="4" w:space="0" w:color="auto"/>
            </w:tcBorders>
            <w:shd w:val="clear" w:color="auto" w:fill="auto"/>
            <w:noWrap/>
            <w:vAlign w:val="bottom"/>
            <w:hideMark/>
          </w:tcPr>
          <w:p w14:paraId="6C18586C"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6 044,3</w:t>
            </w:r>
          </w:p>
        </w:tc>
        <w:tc>
          <w:tcPr>
            <w:tcW w:w="850" w:type="dxa"/>
            <w:tcBorders>
              <w:top w:val="nil"/>
              <w:left w:val="nil"/>
              <w:bottom w:val="nil"/>
              <w:right w:val="single" w:sz="4" w:space="0" w:color="auto"/>
            </w:tcBorders>
            <w:shd w:val="clear" w:color="auto" w:fill="auto"/>
            <w:noWrap/>
            <w:vAlign w:val="bottom"/>
            <w:hideMark/>
          </w:tcPr>
          <w:p w14:paraId="7D05282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49,1</w:t>
            </w:r>
          </w:p>
        </w:tc>
        <w:tc>
          <w:tcPr>
            <w:tcW w:w="850" w:type="dxa"/>
            <w:tcBorders>
              <w:top w:val="nil"/>
              <w:left w:val="nil"/>
              <w:bottom w:val="nil"/>
              <w:right w:val="nil"/>
            </w:tcBorders>
            <w:shd w:val="clear" w:color="auto" w:fill="auto"/>
            <w:noWrap/>
            <w:vAlign w:val="bottom"/>
            <w:hideMark/>
          </w:tcPr>
          <w:p w14:paraId="49E38424"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42,4</w:t>
            </w:r>
          </w:p>
        </w:tc>
        <w:tc>
          <w:tcPr>
            <w:tcW w:w="850" w:type="dxa"/>
            <w:tcBorders>
              <w:top w:val="nil"/>
              <w:left w:val="single" w:sz="4" w:space="0" w:color="auto"/>
              <w:bottom w:val="nil"/>
              <w:right w:val="nil"/>
            </w:tcBorders>
            <w:shd w:val="clear" w:color="auto" w:fill="auto"/>
            <w:noWrap/>
            <w:vAlign w:val="bottom"/>
            <w:hideMark/>
          </w:tcPr>
          <w:p w14:paraId="385136AA"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40,2</w:t>
            </w:r>
          </w:p>
        </w:tc>
      </w:tr>
      <w:tr w:rsidR="00D50EF1" w:rsidRPr="00D50EF1" w14:paraId="62F99EDC"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1E42B4EC"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Moravskoslezský kraj</w:t>
            </w:r>
          </w:p>
        </w:tc>
        <w:tc>
          <w:tcPr>
            <w:tcW w:w="850" w:type="dxa"/>
            <w:tcBorders>
              <w:top w:val="nil"/>
              <w:left w:val="nil"/>
              <w:bottom w:val="nil"/>
              <w:right w:val="single" w:sz="4" w:space="0" w:color="auto"/>
            </w:tcBorders>
            <w:shd w:val="clear" w:color="auto" w:fill="auto"/>
            <w:noWrap/>
            <w:vAlign w:val="bottom"/>
            <w:hideMark/>
          </w:tcPr>
          <w:p w14:paraId="00237C5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206,2</w:t>
            </w:r>
          </w:p>
        </w:tc>
        <w:tc>
          <w:tcPr>
            <w:tcW w:w="850" w:type="dxa"/>
            <w:tcBorders>
              <w:top w:val="nil"/>
              <w:left w:val="nil"/>
              <w:bottom w:val="nil"/>
              <w:right w:val="nil"/>
            </w:tcBorders>
            <w:shd w:val="clear" w:color="auto" w:fill="auto"/>
            <w:noWrap/>
            <w:vAlign w:val="bottom"/>
            <w:hideMark/>
          </w:tcPr>
          <w:p w14:paraId="6C657E0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274,1</w:t>
            </w:r>
          </w:p>
        </w:tc>
        <w:tc>
          <w:tcPr>
            <w:tcW w:w="851" w:type="dxa"/>
            <w:tcBorders>
              <w:top w:val="nil"/>
              <w:left w:val="single" w:sz="4" w:space="0" w:color="auto"/>
              <w:bottom w:val="nil"/>
              <w:right w:val="single" w:sz="4" w:space="0" w:color="auto"/>
            </w:tcBorders>
            <w:shd w:val="clear" w:color="auto" w:fill="auto"/>
            <w:noWrap/>
            <w:vAlign w:val="bottom"/>
            <w:hideMark/>
          </w:tcPr>
          <w:p w14:paraId="0C9FBDE4"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314,5</w:t>
            </w:r>
          </w:p>
        </w:tc>
        <w:tc>
          <w:tcPr>
            <w:tcW w:w="850" w:type="dxa"/>
            <w:tcBorders>
              <w:top w:val="nil"/>
              <w:left w:val="nil"/>
              <w:bottom w:val="nil"/>
              <w:right w:val="single" w:sz="4" w:space="0" w:color="auto"/>
            </w:tcBorders>
            <w:shd w:val="clear" w:color="auto" w:fill="auto"/>
            <w:noWrap/>
            <w:vAlign w:val="bottom"/>
            <w:hideMark/>
          </w:tcPr>
          <w:p w14:paraId="6744874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10 242,1</w:t>
            </w:r>
          </w:p>
        </w:tc>
        <w:tc>
          <w:tcPr>
            <w:tcW w:w="850" w:type="dxa"/>
            <w:tcBorders>
              <w:top w:val="nil"/>
              <w:left w:val="nil"/>
              <w:bottom w:val="nil"/>
              <w:right w:val="single" w:sz="4" w:space="0" w:color="auto"/>
            </w:tcBorders>
            <w:shd w:val="clear" w:color="auto" w:fill="auto"/>
            <w:noWrap/>
            <w:vAlign w:val="bottom"/>
            <w:hideMark/>
          </w:tcPr>
          <w:p w14:paraId="4B078D02"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11 888,7</w:t>
            </w:r>
          </w:p>
        </w:tc>
        <w:tc>
          <w:tcPr>
            <w:tcW w:w="851" w:type="dxa"/>
            <w:tcBorders>
              <w:top w:val="nil"/>
              <w:left w:val="nil"/>
              <w:bottom w:val="nil"/>
              <w:right w:val="single" w:sz="4" w:space="0" w:color="auto"/>
            </w:tcBorders>
            <w:shd w:val="clear" w:color="auto" w:fill="auto"/>
            <w:noWrap/>
            <w:vAlign w:val="bottom"/>
            <w:hideMark/>
          </w:tcPr>
          <w:p w14:paraId="7BB95F1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12 405,9</w:t>
            </w:r>
          </w:p>
        </w:tc>
        <w:tc>
          <w:tcPr>
            <w:tcW w:w="850" w:type="dxa"/>
            <w:tcBorders>
              <w:top w:val="nil"/>
              <w:left w:val="nil"/>
              <w:bottom w:val="nil"/>
              <w:right w:val="single" w:sz="4" w:space="0" w:color="auto"/>
            </w:tcBorders>
            <w:shd w:val="clear" w:color="auto" w:fill="auto"/>
            <w:noWrap/>
            <w:vAlign w:val="bottom"/>
            <w:hideMark/>
          </w:tcPr>
          <w:p w14:paraId="1182D02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49,7</w:t>
            </w:r>
          </w:p>
        </w:tc>
        <w:tc>
          <w:tcPr>
            <w:tcW w:w="850" w:type="dxa"/>
            <w:tcBorders>
              <w:top w:val="nil"/>
              <w:left w:val="nil"/>
              <w:bottom w:val="nil"/>
              <w:right w:val="nil"/>
            </w:tcBorders>
            <w:shd w:val="clear" w:color="auto" w:fill="auto"/>
            <w:noWrap/>
            <w:vAlign w:val="bottom"/>
            <w:hideMark/>
          </w:tcPr>
          <w:p w14:paraId="6277276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43,4</w:t>
            </w:r>
          </w:p>
        </w:tc>
        <w:tc>
          <w:tcPr>
            <w:tcW w:w="850" w:type="dxa"/>
            <w:tcBorders>
              <w:top w:val="nil"/>
              <w:left w:val="single" w:sz="4" w:space="0" w:color="auto"/>
              <w:bottom w:val="nil"/>
              <w:right w:val="nil"/>
            </w:tcBorders>
            <w:shd w:val="clear" w:color="auto" w:fill="auto"/>
            <w:noWrap/>
            <w:vAlign w:val="bottom"/>
            <w:hideMark/>
          </w:tcPr>
          <w:p w14:paraId="102E8038"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39,5</w:t>
            </w:r>
          </w:p>
        </w:tc>
      </w:tr>
    </w:tbl>
    <w:p w14:paraId="1EA079CA" w14:textId="1FD6D4F0" w:rsidR="004C01F9" w:rsidRPr="00D92E20" w:rsidRDefault="004C01F9" w:rsidP="004C01F9">
      <w:pPr>
        <w:spacing w:before="120"/>
        <w:rPr>
          <w:sz w:val="16"/>
        </w:rPr>
      </w:pPr>
      <w:r w:rsidRPr="00D92E20">
        <w:rPr>
          <w:sz w:val="16"/>
        </w:rPr>
        <w:t>Zdroj: ČSSZ</w:t>
      </w:r>
    </w:p>
    <w:p w14:paraId="0D6CFB80" w14:textId="77777777" w:rsidR="00021A3B" w:rsidRDefault="004C01F9" w:rsidP="004C01F9">
      <w:pPr>
        <w:jc w:val="both"/>
      </w:pPr>
      <w:r w:rsidRPr="00D92E20">
        <w:t xml:space="preserve">Celková </w:t>
      </w:r>
      <w:r w:rsidRPr="00D92E20">
        <w:rPr>
          <w:b/>
        </w:rPr>
        <w:t>prostonaná doba</w:t>
      </w:r>
      <w:r w:rsidRPr="00D92E20">
        <w:t xml:space="preserve"> v</w:t>
      </w:r>
      <w:r>
        <w:t> roce 2021</w:t>
      </w:r>
      <w:r w:rsidRPr="00D92E20">
        <w:t xml:space="preserve"> činila </w:t>
      </w:r>
      <w:r>
        <w:t>93 699</w:t>
      </w:r>
      <w:r w:rsidRPr="00D92E20">
        <w:t xml:space="preserve"> tis. dnů, což je o </w:t>
      </w:r>
      <w:r>
        <w:t>18,6</w:t>
      </w:r>
      <w:r w:rsidRPr="00D92E20">
        <w:t xml:space="preserve"> mil. dnů </w:t>
      </w:r>
      <w:r>
        <w:t xml:space="preserve">(o čtvrtinu) </w:t>
      </w:r>
      <w:r w:rsidRPr="00D92E20">
        <w:t>více než v</w:t>
      </w:r>
      <w:r>
        <w:t> roce 2019</w:t>
      </w:r>
      <w:r w:rsidRPr="00D92E20">
        <w:t xml:space="preserve">. </w:t>
      </w:r>
      <w:r>
        <w:t xml:space="preserve">V meziročním srovnání vzrostl počet prostonaných dnů o 7,2 mil. </w:t>
      </w:r>
      <w:r w:rsidRPr="00D92E20">
        <w:t xml:space="preserve">Jeden případ dočasné pracovní neschopnosti </w:t>
      </w:r>
      <w:r>
        <w:t xml:space="preserve">v roce 2021 </w:t>
      </w:r>
      <w:r w:rsidRPr="00D92E20">
        <w:t xml:space="preserve">trval průměrně </w:t>
      </w:r>
      <w:r>
        <w:t>34,5</w:t>
      </w:r>
      <w:r w:rsidRPr="00D92E20">
        <w:t xml:space="preserve"> dne. V průměru nejdelší pracovní neschopnost si vyžádaly nemoci a úrazy v</w:t>
      </w:r>
      <w:r>
        <w:t>e</w:t>
      </w:r>
      <w:r w:rsidRPr="00D92E20">
        <w:t xml:space="preserve"> Zlínském </w:t>
      </w:r>
      <w:r>
        <w:t xml:space="preserve">a Moravskoslezském </w:t>
      </w:r>
      <w:r w:rsidRPr="00D92E20">
        <w:t xml:space="preserve">kraji, a sice </w:t>
      </w:r>
      <w:r>
        <w:t>40</w:t>
      </w:r>
      <w:r w:rsidRPr="00D92E20">
        <w:t> </w:t>
      </w:r>
      <w:r>
        <w:t>dnů na jed</w:t>
      </w:r>
      <w:r w:rsidRPr="00D92E20">
        <w:t>n</w:t>
      </w:r>
      <w:r>
        <w:t>u</w:t>
      </w:r>
      <w:r w:rsidRPr="00D92E20">
        <w:t xml:space="preserve"> </w:t>
      </w:r>
      <w:r>
        <w:t>pracovní neschopnost.</w:t>
      </w:r>
    </w:p>
    <w:p w14:paraId="28F90B0F" w14:textId="77777777" w:rsidR="004229D4" w:rsidRDefault="004229D4">
      <w:pPr>
        <w:spacing w:after="0" w:line="240" w:lineRule="auto"/>
        <w:rPr>
          <w:b/>
        </w:rPr>
      </w:pPr>
      <w:r>
        <w:rPr>
          <w:b/>
        </w:rPr>
        <w:br w:type="page"/>
      </w:r>
    </w:p>
    <w:p w14:paraId="752A02B5" w14:textId="6CD65E30" w:rsidR="00D7583A" w:rsidRDefault="00D7583A" w:rsidP="00F77360">
      <w:pPr>
        <w:spacing w:after="0"/>
        <w:jc w:val="both"/>
        <w:rPr>
          <w:b/>
        </w:rPr>
      </w:pPr>
      <w:r w:rsidRPr="00D7583A">
        <w:rPr>
          <w:b/>
        </w:rPr>
        <w:lastRenderedPageBreak/>
        <w:t>Tab. 3.2: Ukončené případy dočasné pracovní neschopnosti a průměrná délka jejich trvání podle věkových skupin, 2019</w:t>
      </w:r>
      <w:r w:rsidR="00D50EF1">
        <w:rPr>
          <w:b/>
        </w:rPr>
        <w:t>–2021</w:t>
      </w:r>
    </w:p>
    <w:tbl>
      <w:tblPr>
        <w:tblW w:w="9723" w:type="dxa"/>
        <w:tblCellMar>
          <w:left w:w="70" w:type="dxa"/>
          <w:right w:w="70" w:type="dxa"/>
        </w:tblCellMar>
        <w:tblLook w:val="04A0" w:firstRow="1" w:lastRow="0" w:firstColumn="1" w:lastColumn="0" w:noHBand="0" w:noVBand="1"/>
      </w:tblPr>
      <w:tblGrid>
        <w:gridCol w:w="1474"/>
        <w:gridCol w:w="1609"/>
        <w:gridCol w:w="1252"/>
        <w:gridCol w:w="1254"/>
        <w:gridCol w:w="1610"/>
        <w:gridCol w:w="1252"/>
        <w:gridCol w:w="1254"/>
        <w:gridCol w:w="18"/>
      </w:tblGrid>
      <w:tr w:rsidR="00CC38CC" w:rsidRPr="00D50EF1" w14:paraId="07D731FD" w14:textId="77777777" w:rsidTr="00CC38CC">
        <w:trPr>
          <w:gridAfter w:val="1"/>
          <w:wAfter w:w="18" w:type="dxa"/>
          <w:trHeight w:val="525"/>
        </w:trPr>
        <w:tc>
          <w:tcPr>
            <w:tcW w:w="1474"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15DABE35"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Věková skupina</w:t>
            </w:r>
          </w:p>
        </w:tc>
        <w:tc>
          <w:tcPr>
            <w:tcW w:w="4115" w:type="dxa"/>
            <w:gridSpan w:val="3"/>
            <w:tcBorders>
              <w:top w:val="single" w:sz="4" w:space="0" w:color="auto"/>
              <w:left w:val="nil"/>
              <w:bottom w:val="single" w:sz="4" w:space="0" w:color="auto"/>
              <w:right w:val="single" w:sz="4" w:space="0" w:color="000000"/>
            </w:tcBorders>
            <w:shd w:val="clear" w:color="000000" w:fill="F2DBDB"/>
            <w:vAlign w:val="center"/>
            <w:hideMark/>
          </w:tcPr>
          <w:p w14:paraId="03BFB214"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Ukončené případy DPN</w:t>
            </w:r>
          </w:p>
        </w:tc>
        <w:tc>
          <w:tcPr>
            <w:tcW w:w="4116" w:type="dxa"/>
            <w:gridSpan w:val="3"/>
            <w:tcBorders>
              <w:top w:val="single" w:sz="4" w:space="0" w:color="auto"/>
              <w:left w:val="nil"/>
              <w:bottom w:val="single" w:sz="4" w:space="0" w:color="auto"/>
              <w:right w:val="nil"/>
            </w:tcBorders>
            <w:shd w:val="clear" w:color="000000" w:fill="F2DBDB"/>
            <w:vAlign w:val="center"/>
            <w:hideMark/>
          </w:tcPr>
          <w:p w14:paraId="6C1F4CEE"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Průměrná délka trvání 1 ukončeného případu DPN ve dnech</w:t>
            </w:r>
          </w:p>
        </w:tc>
      </w:tr>
      <w:tr w:rsidR="00CC38CC" w:rsidRPr="00D50EF1" w14:paraId="1D9C2720" w14:textId="77777777" w:rsidTr="00CC38CC">
        <w:trPr>
          <w:gridAfter w:val="1"/>
          <w:wAfter w:w="18" w:type="dxa"/>
          <w:trHeight w:val="300"/>
        </w:trPr>
        <w:tc>
          <w:tcPr>
            <w:tcW w:w="1474" w:type="dxa"/>
            <w:vMerge/>
            <w:tcBorders>
              <w:top w:val="single" w:sz="4" w:space="0" w:color="auto"/>
              <w:left w:val="nil"/>
              <w:bottom w:val="single" w:sz="4" w:space="0" w:color="000000"/>
              <w:right w:val="single" w:sz="4" w:space="0" w:color="auto"/>
            </w:tcBorders>
            <w:vAlign w:val="center"/>
            <w:hideMark/>
          </w:tcPr>
          <w:p w14:paraId="65A55D32" w14:textId="77777777" w:rsidR="00CC38CC" w:rsidRPr="00D50EF1" w:rsidRDefault="00CC38CC" w:rsidP="00D50EF1">
            <w:pPr>
              <w:spacing w:after="0" w:line="240" w:lineRule="auto"/>
              <w:rPr>
                <w:rFonts w:cs="Arial"/>
                <w:color w:val="000000"/>
                <w:sz w:val="16"/>
                <w:szCs w:val="16"/>
              </w:rPr>
            </w:pPr>
          </w:p>
        </w:tc>
        <w:tc>
          <w:tcPr>
            <w:tcW w:w="1609" w:type="dxa"/>
            <w:vMerge w:val="restart"/>
            <w:tcBorders>
              <w:top w:val="nil"/>
              <w:left w:val="single" w:sz="4" w:space="0" w:color="auto"/>
              <w:right w:val="nil"/>
            </w:tcBorders>
            <w:shd w:val="clear" w:color="000000" w:fill="F2DBDB"/>
            <w:vAlign w:val="center"/>
            <w:hideMark/>
          </w:tcPr>
          <w:p w14:paraId="13F54067" w14:textId="77777777" w:rsidR="00CC38CC" w:rsidRPr="00D50EF1" w:rsidRDefault="00CC38CC" w:rsidP="00D50EF1">
            <w:pPr>
              <w:spacing w:after="0" w:line="240" w:lineRule="auto"/>
              <w:jc w:val="center"/>
              <w:rPr>
                <w:rFonts w:cs="Arial"/>
                <w:b/>
                <w:bCs/>
                <w:color w:val="000000"/>
                <w:sz w:val="16"/>
                <w:szCs w:val="16"/>
              </w:rPr>
            </w:pPr>
            <w:r w:rsidRPr="00D50EF1">
              <w:rPr>
                <w:rFonts w:cs="Arial"/>
                <w:b/>
                <w:bCs/>
                <w:color w:val="000000"/>
                <w:sz w:val="16"/>
                <w:szCs w:val="16"/>
              </w:rPr>
              <w:t>Celkem</w:t>
            </w:r>
          </w:p>
        </w:tc>
        <w:tc>
          <w:tcPr>
            <w:tcW w:w="2506"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42B45ED9" w14:textId="77777777" w:rsidR="00CC38CC" w:rsidRPr="00D50EF1" w:rsidRDefault="00CC38CC" w:rsidP="00D50EF1">
            <w:pPr>
              <w:spacing w:after="0" w:line="240" w:lineRule="auto"/>
              <w:jc w:val="center"/>
              <w:rPr>
                <w:rFonts w:cs="Arial"/>
                <w:color w:val="000000"/>
                <w:sz w:val="16"/>
                <w:szCs w:val="16"/>
              </w:rPr>
            </w:pPr>
            <w:r w:rsidRPr="00D50EF1">
              <w:rPr>
                <w:rFonts w:cs="Arial"/>
                <w:color w:val="000000"/>
                <w:sz w:val="16"/>
                <w:szCs w:val="16"/>
              </w:rPr>
              <w:t>podle pohlaví</w:t>
            </w:r>
          </w:p>
        </w:tc>
        <w:tc>
          <w:tcPr>
            <w:tcW w:w="1610" w:type="dxa"/>
            <w:vMerge w:val="restart"/>
            <w:tcBorders>
              <w:top w:val="nil"/>
              <w:left w:val="single" w:sz="4" w:space="0" w:color="auto"/>
              <w:right w:val="nil"/>
            </w:tcBorders>
            <w:shd w:val="clear" w:color="000000" w:fill="F2DBDB"/>
            <w:vAlign w:val="center"/>
            <w:hideMark/>
          </w:tcPr>
          <w:p w14:paraId="1CA783D9" w14:textId="77777777" w:rsidR="00CC38CC" w:rsidRPr="00D50EF1" w:rsidRDefault="00CC38CC" w:rsidP="00D50EF1">
            <w:pPr>
              <w:spacing w:after="0" w:line="240" w:lineRule="auto"/>
              <w:jc w:val="center"/>
              <w:rPr>
                <w:rFonts w:cs="Arial"/>
                <w:b/>
                <w:bCs/>
                <w:color w:val="000000"/>
                <w:sz w:val="16"/>
                <w:szCs w:val="16"/>
              </w:rPr>
            </w:pPr>
            <w:r w:rsidRPr="00D50EF1">
              <w:rPr>
                <w:rFonts w:cs="Arial"/>
                <w:b/>
                <w:bCs/>
                <w:color w:val="000000"/>
                <w:sz w:val="16"/>
                <w:szCs w:val="16"/>
              </w:rPr>
              <w:t>Celkem</w:t>
            </w:r>
          </w:p>
        </w:tc>
        <w:tc>
          <w:tcPr>
            <w:tcW w:w="2506" w:type="dxa"/>
            <w:gridSpan w:val="2"/>
            <w:tcBorders>
              <w:top w:val="single" w:sz="4" w:space="0" w:color="auto"/>
              <w:left w:val="single" w:sz="4" w:space="0" w:color="auto"/>
              <w:bottom w:val="single" w:sz="4" w:space="0" w:color="auto"/>
            </w:tcBorders>
            <w:shd w:val="clear" w:color="000000" w:fill="F2DBDB"/>
            <w:vAlign w:val="center"/>
            <w:hideMark/>
          </w:tcPr>
          <w:p w14:paraId="6179ED94" w14:textId="77777777" w:rsidR="00CC38CC" w:rsidRPr="00D50EF1" w:rsidRDefault="00CC38CC" w:rsidP="00D50EF1">
            <w:pPr>
              <w:spacing w:after="0" w:line="240" w:lineRule="auto"/>
              <w:jc w:val="center"/>
              <w:rPr>
                <w:rFonts w:cs="Arial"/>
                <w:color w:val="000000"/>
                <w:sz w:val="16"/>
                <w:szCs w:val="16"/>
              </w:rPr>
            </w:pPr>
            <w:r w:rsidRPr="00D50EF1">
              <w:rPr>
                <w:rFonts w:cs="Arial"/>
                <w:color w:val="000000"/>
                <w:sz w:val="16"/>
                <w:szCs w:val="16"/>
              </w:rPr>
              <w:t>podle pohlaví</w:t>
            </w:r>
          </w:p>
        </w:tc>
      </w:tr>
      <w:tr w:rsidR="00CC38CC" w:rsidRPr="00D50EF1" w14:paraId="2B332651" w14:textId="77777777" w:rsidTr="00CC38CC">
        <w:trPr>
          <w:gridAfter w:val="1"/>
          <w:wAfter w:w="18" w:type="dxa"/>
          <w:trHeight w:val="300"/>
        </w:trPr>
        <w:tc>
          <w:tcPr>
            <w:tcW w:w="1474" w:type="dxa"/>
            <w:vMerge/>
            <w:tcBorders>
              <w:top w:val="single" w:sz="4" w:space="0" w:color="auto"/>
              <w:left w:val="nil"/>
              <w:bottom w:val="single" w:sz="4" w:space="0" w:color="000000"/>
              <w:right w:val="single" w:sz="4" w:space="0" w:color="auto"/>
            </w:tcBorders>
            <w:vAlign w:val="center"/>
            <w:hideMark/>
          </w:tcPr>
          <w:p w14:paraId="0A95C0BC" w14:textId="77777777" w:rsidR="00CC38CC" w:rsidRPr="00D50EF1" w:rsidRDefault="00CC38CC" w:rsidP="00D50EF1">
            <w:pPr>
              <w:spacing w:after="0" w:line="240" w:lineRule="auto"/>
              <w:rPr>
                <w:rFonts w:cs="Arial"/>
                <w:color w:val="000000"/>
                <w:sz w:val="16"/>
                <w:szCs w:val="16"/>
              </w:rPr>
            </w:pPr>
          </w:p>
        </w:tc>
        <w:tc>
          <w:tcPr>
            <w:tcW w:w="1609" w:type="dxa"/>
            <w:vMerge/>
            <w:tcBorders>
              <w:left w:val="single" w:sz="4" w:space="0" w:color="auto"/>
              <w:bottom w:val="single" w:sz="4" w:space="0" w:color="000000"/>
              <w:right w:val="nil"/>
            </w:tcBorders>
            <w:vAlign w:val="center"/>
            <w:hideMark/>
          </w:tcPr>
          <w:p w14:paraId="2E0F9210" w14:textId="77777777" w:rsidR="00CC38CC" w:rsidRPr="00D50EF1" w:rsidRDefault="00CC38CC" w:rsidP="00D50EF1">
            <w:pPr>
              <w:spacing w:after="0" w:line="240" w:lineRule="auto"/>
              <w:rPr>
                <w:rFonts w:cs="Arial"/>
                <w:b/>
                <w:bCs/>
                <w:color w:val="000000"/>
                <w:sz w:val="16"/>
                <w:szCs w:val="16"/>
              </w:rPr>
            </w:pPr>
          </w:p>
        </w:tc>
        <w:tc>
          <w:tcPr>
            <w:tcW w:w="1252" w:type="dxa"/>
            <w:tcBorders>
              <w:top w:val="nil"/>
              <w:left w:val="single" w:sz="4" w:space="0" w:color="auto"/>
              <w:bottom w:val="single" w:sz="4" w:space="0" w:color="auto"/>
              <w:right w:val="single" w:sz="4" w:space="0" w:color="auto"/>
            </w:tcBorders>
            <w:shd w:val="clear" w:color="000000" w:fill="F2DBDB"/>
            <w:vAlign w:val="center"/>
            <w:hideMark/>
          </w:tcPr>
          <w:p w14:paraId="26633845" w14:textId="77777777" w:rsidR="00CC38CC" w:rsidRPr="00D50EF1" w:rsidRDefault="00CC38CC" w:rsidP="00D50EF1">
            <w:pPr>
              <w:spacing w:after="0" w:line="240" w:lineRule="auto"/>
              <w:jc w:val="center"/>
              <w:rPr>
                <w:rFonts w:cs="Arial"/>
                <w:color w:val="000000"/>
                <w:sz w:val="16"/>
                <w:szCs w:val="16"/>
              </w:rPr>
            </w:pPr>
            <w:r w:rsidRPr="00D50EF1">
              <w:rPr>
                <w:rFonts w:cs="Arial"/>
                <w:color w:val="000000"/>
                <w:sz w:val="16"/>
                <w:szCs w:val="16"/>
              </w:rPr>
              <w:t>muži</w:t>
            </w:r>
          </w:p>
        </w:tc>
        <w:tc>
          <w:tcPr>
            <w:tcW w:w="1254" w:type="dxa"/>
            <w:tcBorders>
              <w:top w:val="nil"/>
              <w:left w:val="nil"/>
              <w:bottom w:val="single" w:sz="4" w:space="0" w:color="auto"/>
              <w:right w:val="single" w:sz="4" w:space="0" w:color="auto"/>
            </w:tcBorders>
            <w:shd w:val="clear" w:color="000000" w:fill="F2DBDB"/>
            <w:vAlign w:val="center"/>
            <w:hideMark/>
          </w:tcPr>
          <w:p w14:paraId="47727B58" w14:textId="77777777" w:rsidR="00CC38CC" w:rsidRPr="00D50EF1" w:rsidRDefault="00CC38CC" w:rsidP="00D50EF1">
            <w:pPr>
              <w:spacing w:after="0" w:line="240" w:lineRule="auto"/>
              <w:jc w:val="center"/>
              <w:rPr>
                <w:rFonts w:cs="Arial"/>
                <w:color w:val="000000"/>
                <w:sz w:val="16"/>
                <w:szCs w:val="16"/>
              </w:rPr>
            </w:pPr>
            <w:r w:rsidRPr="00D50EF1">
              <w:rPr>
                <w:rFonts w:cs="Arial"/>
                <w:color w:val="000000"/>
                <w:sz w:val="16"/>
                <w:szCs w:val="16"/>
              </w:rPr>
              <w:t>ženy</w:t>
            </w:r>
          </w:p>
        </w:tc>
        <w:tc>
          <w:tcPr>
            <w:tcW w:w="1610" w:type="dxa"/>
            <w:vMerge/>
            <w:tcBorders>
              <w:left w:val="single" w:sz="4" w:space="0" w:color="auto"/>
              <w:bottom w:val="single" w:sz="4" w:space="0" w:color="000000"/>
              <w:right w:val="nil"/>
            </w:tcBorders>
            <w:vAlign w:val="center"/>
            <w:hideMark/>
          </w:tcPr>
          <w:p w14:paraId="0DF2B55D" w14:textId="77777777" w:rsidR="00CC38CC" w:rsidRPr="00D50EF1" w:rsidRDefault="00CC38CC" w:rsidP="00D50EF1">
            <w:pPr>
              <w:spacing w:after="0" w:line="240" w:lineRule="auto"/>
              <w:rPr>
                <w:rFonts w:cs="Arial"/>
                <w:b/>
                <w:bCs/>
                <w:color w:val="000000"/>
                <w:sz w:val="16"/>
                <w:szCs w:val="16"/>
              </w:rPr>
            </w:pPr>
          </w:p>
        </w:tc>
        <w:tc>
          <w:tcPr>
            <w:tcW w:w="1252" w:type="dxa"/>
            <w:tcBorders>
              <w:top w:val="nil"/>
              <w:left w:val="single" w:sz="4" w:space="0" w:color="auto"/>
              <w:bottom w:val="single" w:sz="4" w:space="0" w:color="auto"/>
              <w:right w:val="single" w:sz="4" w:space="0" w:color="auto"/>
            </w:tcBorders>
            <w:shd w:val="clear" w:color="000000" w:fill="F2DBDB"/>
            <w:vAlign w:val="center"/>
            <w:hideMark/>
          </w:tcPr>
          <w:p w14:paraId="332474D2" w14:textId="77777777" w:rsidR="00CC38CC" w:rsidRPr="00D50EF1" w:rsidRDefault="00CC38CC" w:rsidP="00D50EF1">
            <w:pPr>
              <w:spacing w:after="0" w:line="240" w:lineRule="auto"/>
              <w:jc w:val="center"/>
              <w:rPr>
                <w:rFonts w:cs="Arial"/>
                <w:color w:val="000000"/>
                <w:sz w:val="16"/>
                <w:szCs w:val="16"/>
              </w:rPr>
            </w:pPr>
            <w:r w:rsidRPr="00D50EF1">
              <w:rPr>
                <w:rFonts w:cs="Arial"/>
                <w:color w:val="000000"/>
                <w:sz w:val="16"/>
                <w:szCs w:val="16"/>
              </w:rPr>
              <w:t>muži</w:t>
            </w:r>
          </w:p>
        </w:tc>
        <w:tc>
          <w:tcPr>
            <w:tcW w:w="1254" w:type="dxa"/>
            <w:tcBorders>
              <w:top w:val="nil"/>
              <w:left w:val="nil"/>
              <w:bottom w:val="single" w:sz="4" w:space="0" w:color="auto"/>
              <w:right w:val="nil"/>
            </w:tcBorders>
            <w:shd w:val="clear" w:color="000000" w:fill="F2DBDB"/>
            <w:vAlign w:val="center"/>
            <w:hideMark/>
          </w:tcPr>
          <w:p w14:paraId="18A2736F" w14:textId="77777777" w:rsidR="00CC38CC" w:rsidRPr="00D50EF1" w:rsidRDefault="00CC38CC" w:rsidP="00D50EF1">
            <w:pPr>
              <w:spacing w:after="0" w:line="240" w:lineRule="auto"/>
              <w:jc w:val="center"/>
              <w:rPr>
                <w:rFonts w:cs="Arial"/>
                <w:color w:val="000000"/>
                <w:sz w:val="16"/>
                <w:szCs w:val="16"/>
              </w:rPr>
            </w:pPr>
            <w:r w:rsidRPr="00D50EF1">
              <w:rPr>
                <w:rFonts w:cs="Arial"/>
                <w:color w:val="000000"/>
                <w:sz w:val="16"/>
                <w:szCs w:val="16"/>
              </w:rPr>
              <w:t>ženy</w:t>
            </w:r>
          </w:p>
        </w:tc>
      </w:tr>
      <w:tr w:rsidR="00CC38CC" w:rsidRPr="00D50EF1" w14:paraId="187FBD5C" w14:textId="77777777" w:rsidTr="00CC38CC">
        <w:trPr>
          <w:trHeight w:val="300"/>
        </w:trPr>
        <w:tc>
          <w:tcPr>
            <w:tcW w:w="1474" w:type="dxa"/>
            <w:vMerge/>
            <w:tcBorders>
              <w:top w:val="single" w:sz="4" w:space="0" w:color="auto"/>
              <w:left w:val="nil"/>
              <w:bottom w:val="single" w:sz="4" w:space="0" w:color="000000"/>
              <w:right w:val="single" w:sz="4" w:space="0" w:color="auto"/>
            </w:tcBorders>
            <w:vAlign w:val="center"/>
            <w:hideMark/>
          </w:tcPr>
          <w:p w14:paraId="6451C5B8" w14:textId="77777777" w:rsidR="00D50EF1" w:rsidRPr="00D50EF1" w:rsidRDefault="00D50EF1" w:rsidP="00D50EF1">
            <w:pPr>
              <w:spacing w:after="0" w:line="240" w:lineRule="auto"/>
              <w:rPr>
                <w:rFonts w:cs="Arial"/>
                <w:color w:val="000000"/>
                <w:sz w:val="16"/>
                <w:szCs w:val="16"/>
              </w:rPr>
            </w:pPr>
          </w:p>
        </w:tc>
        <w:tc>
          <w:tcPr>
            <w:tcW w:w="8249" w:type="dxa"/>
            <w:gridSpan w:val="7"/>
            <w:tcBorders>
              <w:top w:val="single" w:sz="4" w:space="0" w:color="auto"/>
              <w:left w:val="nil"/>
              <w:bottom w:val="single" w:sz="4" w:space="0" w:color="auto"/>
              <w:right w:val="nil"/>
            </w:tcBorders>
            <w:shd w:val="clear" w:color="000000" w:fill="F2DBDB"/>
            <w:vAlign w:val="center"/>
            <w:hideMark/>
          </w:tcPr>
          <w:p w14:paraId="301B0AF2"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2019</w:t>
            </w:r>
          </w:p>
        </w:tc>
      </w:tr>
      <w:tr w:rsidR="00CC38CC" w:rsidRPr="00D50EF1" w14:paraId="6CB0958C"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79024EC" w14:textId="77777777" w:rsidR="00D50EF1" w:rsidRPr="00D50EF1" w:rsidRDefault="00D50EF1" w:rsidP="00D50EF1">
            <w:pPr>
              <w:spacing w:after="0" w:line="240" w:lineRule="auto"/>
              <w:rPr>
                <w:rFonts w:cs="Arial"/>
                <w:b/>
                <w:bCs/>
                <w:color w:val="000000"/>
                <w:sz w:val="16"/>
                <w:szCs w:val="16"/>
              </w:rPr>
            </w:pPr>
            <w:r w:rsidRPr="00D50EF1">
              <w:rPr>
                <w:rFonts w:cs="Arial"/>
                <w:b/>
                <w:bCs/>
                <w:color w:val="000000"/>
                <w:sz w:val="16"/>
                <w:szCs w:val="16"/>
              </w:rPr>
              <w:t>Celkem</w:t>
            </w:r>
          </w:p>
        </w:tc>
        <w:tc>
          <w:tcPr>
            <w:tcW w:w="1609" w:type="dxa"/>
            <w:tcBorders>
              <w:top w:val="nil"/>
              <w:left w:val="nil"/>
              <w:bottom w:val="nil"/>
              <w:right w:val="nil"/>
            </w:tcBorders>
            <w:shd w:val="clear" w:color="auto" w:fill="auto"/>
            <w:vAlign w:val="center"/>
            <w:hideMark/>
          </w:tcPr>
          <w:p w14:paraId="6FE55BE8"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1 832,4</w:t>
            </w:r>
          </w:p>
        </w:tc>
        <w:tc>
          <w:tcPr>
            <w:tcW w:w="1252" w:type="dxa"/>
            <w:tcBorders>
              <w:top w:val="nil"/>
              <w:left w:val="nil"/>
              <w:bottom w:val="nil"/>
              <w:right w:val="nil"/>
            </w:tcBorders>
            <w:shd w:val="clear" w:color="auto" w:fill="auto"/>
            <w:vAlign w:val="center"/>
            <w:hideMark/>
          </w:tcPr>
          <w:p w14:paraId="4D03BBF5"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862,4</w:t>
            </w:r>
          </w:p>
        </w:tc>
        <w:tc>
          <w:tcPr>
            <w:tcW w:w="1254" w:type="dxa"/>
            <w:tcBorders>
              <w:top w:val="nil"/>
              <w:left w:val="nil"/>
              <w:bottom w:val="nil"/>
              <w:right w:val="single" w:sz="4" w:space="0" w:color="auto"/>
            </w:tcBorders>
            <w:shd w:val="clear" w:color="auto" w:fill="auto"/>
            <w:vAlign w:val="center"/>
            <w:hideMark/>
          </w:tcPr>
          <w:p w14:paraId="234E7667"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970,1</w:t>
            </w:r>
          </w:p>
        </w:tc>
        <w:tc>
          <w:tcPr>
            <w:tcW w:w="1610" w:type="dxa"/>
            <w:tcBorders>
              <w:top w:val="nil"/>
              <w:left w:val="nil"/>
              <w:bottom w:val="nil"/>
              <w:right w:val="nil"/>
            </w:tcBorders>
            <w:shd w:val="clear" w:color="auto" w:fill="auto"/>
            <w:vAlign w:val="center"/>
            <w:hideMark/>
          </w:tcPr>
          <w:p w14:paraId="14212370"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41,0</w:t>
            </w:r>
          </w:p>
        </w:tc>
        <w:tc>
          <w:tcPr>
            <w:tcW w:w="1252" w:type="dxa"/>
            <w:tcBorders>
              <w:top w:val="nil"/>
              <w:left w:val="nil"/>
              <w:bottom w:val="nil"/>
              <w:right w:val="nil"/>
            </w:tcBorders>
            <w:shd w:val="clear" w:color="auto" w:fill="auto"/>
            <w:vAlign w:val="center"/>
            <w:hideMark/>
          </w:tcPr>
          <w:p w14:paraId="5659473E"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39,1</w:t>
            </w:r>
          </w:p>
        </w:tc>
        <w:tc>
          <w:tcPr>
            <w:tcW w:w="1254" w:type="dxa"/>
            <w:tcBorders>
              <w:top w:val="nil"/>
              <w:left w:val="nil"/>
              <w:bottom w:val="nil"/>
              <w:right w:val="nil"/>
            </w:tcBorders>
            <w:shd w:val="clear" w:color="auto" w:fill="auto"/>
            <w:vAlign w:val="center"/>
            <w:hideMark/>
          </w:tcPr>
          <w:p w14:paraId="3A0F0145"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42,7</w:t>
            </w:r>
          </w:p>
        </w:tc>
      </w:tr>
      <w:tr w:rsidR="00CC38CC" w:rsidRPr="00D50EF1" w14:paraId="637B52B5"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4D6601C3"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mladší 20 let</w:t>
            </w:r>
          </w:p>
        </w:tc>
        <w:tc>
          <w:tcPr>
            <w:tcW w:w="1609" w:type="dxa"/>
            <w:tcBorders>
              <w:top w:val="nil"/>
              <w:left w:val="nil"/>
              <w:bottom w:val="nil"/>
              <w:right w:val="nil"/>
            </w:tcBorders>
            <w:shd w:val="clear" w:color="auto" w:fill="auto"/>
            <w:vAlign w:val="center"/>
            <w:hideMark/>
          </w:tcPr>
          <w:p w14:paraId="5D5E70E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25,1</w:t>
            </w:r>
          </w:p>
        </w:tc>
        <w:tc>
          <w:tcPr>
            <w:tcW w:w="1252" w:type="dxa"/>
            <w:tcBorders>
              <w:top w:val="nil"/>
              <w:left w:val="nil"/>
              <w:bottom w:val="nil"/>
              <w:right w:val="nil"/>
            </w:tcBorders>
            <w:shd w:val="clear" w:color="auto" w:fill="auto"/>
            <w:vAlign w:val="center"/>
            <w:hideMark/>
          </w:tcPr>
          <w:p w14:paraId="0B1D35D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13,8</w:t>
            </w:r>
          </w:p>
        </w:tc>
        <w:tc>
          <w:tcPr>
            <w:tcW w:w="1254" w:type="dxa"/>
            <w:tcBorders>
              <w:top w:val="nil"/>
              <w:left w:val="nil"/>
              <w:bottom w:val="nil"/>
              <w:right w:val="single" w:sz="4" w:space="0" w:color="auto"/>
            </w:tcBorders>
            <w:shd w:val="clear" w:color="auto" w:fill="auto"/>
            <w:vAlign w:val="center"/>
            <w:hideMark/>
          </w:tcPr>
          <w:p w14:paraId="7AA650B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11,3</w:t>
            </w:r>
          </w:p>
        </w:tc>
        <w:tc>
          <w:tcPr>
            <w:tcW w:w="1610" w:type="dxa"/>
            <w:tcBorders>
              <w:top w:val="nil"/>
              <w:left w:val="nil"/>
              <w:bottom w:val="nil"/>
              <w:right w:val="nil"/>
            </w:tcBorders>
            <w:shd w:val="clear" w:color="auto" w:fill="auto"/>
            <w:vAlign w:val="center"/>
            <w:hideMark/>
          </w:tcPr>
          <w:p w14:paraId="59745D3E"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17,9</w:t>
            </w:r>
          </w:p>
        </w:tc>
        <w:tc>
          <w:tcPr>
            <w:tcW w:w="1252" w:type="dxa"/>
            <w:tcBorders>
              <w:top w:val="nil"/>
              <w:left w:val="nil"/>
              <w:bottom w:val="nil"/>
              <w:right w:val="nil"/>
            </w:tcBorders>
            <w:shd w:val="clear" w:color="auto" w:fill="auto"/>
            <w:vAlign w:val="center"/>
            <w:hideMark/>
          </w:tcPr>
          <w:p w14:paraId="6029F3A8"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15,7</w:t>
            </w:r>
          </w:p>
        </w:tc>
        <w:tc>
          <w:tcPr>
            <w:tcW w:w="1254" w:type="dxa"/>
            <w:tcBorders>
              <w:top w:val="nil"/>
              <w:left w:val="nil"/>
              <w:bottom w:val="nil"/>
              <w:right w:val="nil"/>
            </w:tcBorders>
            <w:shd w:val="clear" w:color="auto" w:fill="auto"/>
            <w:vAlign w:val="center"/>
            <w:hideMark/>
          </w:tcPr>
          <w:p w14:paraId="44754F98"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20,5</w:t>
            </w:r>
          </w:p>
        </w:tc>
      </w:tr>
      <w:tr w:rsidR="00CC38CC" w:rsidRPr="00D50EF1" w14:paraId="6136217F"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0D20D774"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20–29 let</w:t>
            </w:r>
          </w:p>
        </w:tc>
        <w:tc>
          <w:tcPr>
            <w:tcW w:w="1609" w:type="dxa"/>
            <w:tcBorders>
              <w:top w:val="nil"/>
              <w:left w:val="nil"/>
              <w:bottom w:val="nil"/>
              <w:right w:val="nil"/>
            </w:tcBorders>
            <w:shd w:val="clear" w:color="auto" w:fill="auto"/>
            <w:vAlign w:val="center"/>
            <w:hideMark/>
          </w:tcPr>
          <w:p w14:paraId="3FF62D9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398,9</w:t>
            </w:r>
          </w:p>
        </w:tc>
        <w:tc>
          <w:tcPr>
            <w:tcW w:w="1252" w:type="dxa"/>
            <w:tcBorders>
              <w:top w:val="nil"/>
              <w:left w:val="nil"/>
              <w:bottom w:val="nil"/>
              <w:right w:val="nil"/>
            </w:tcBorders>
            <w:shd w:val="clear" w:color="auto" w:fill="auto"/>
            <w:vAlign w:val="center"/>
            <w:hideMark/>
          </w:tcPr>
          <w:p w14:paraId="6240F43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210,1</w:t>
            </w:r>
          </w:p>
        </w:tc>
        <w:tc>
          <w:tcPr>
            <w:tcW w:w="1254" w:type="dxa"/>
            <w:tcBorders>
              <w:top w:val="nil"/>
              <w:left w:val="nil"/>
              <w:bottom w:val="nil"/>
              <w:right w:val="single" w:sz="4" w:space="0" w:color="auto"/>
            </w:tcBorders>
            <w:shd w:val="clear" w:color="auto" w:fill="auto"/>
            <w:vAlign w:val="center"/>
            <w:hideMark/>
          </w:tcPr>
          <w:p w14:paraId="70E6D34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188,9</w:t>
            </w:r>
          </w:p>
        </w:tc>
        <w:tc>
          <w:tcPr>
            <w:tcW w:w="1610" w:type="dxa"/>
            <w:tcBorders>
              <w:top w:val="nil"/>
              <w:left w:val="nil"/>
              <w:bottom w:val="nil"/>
              <w:right w:val="nil"/>
            </w:tcBorders>
            <w:shd w:val="clear" w:color="auto" w:fill="auto"/>
            <w:vAlign w:val="center"/>
            <w:hideMark/>
          </w:tcPr>
          <w:p w14:paraId="62451693"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25,8</w:t>
            </w:r>
          </w:p>
        </w:tc>
        <w:tc>
          <w:tcPr>
            <w:tcW w:w="1252" w:type="dxa"/>
            <w:tcBorders>
              <w:top w:val="nil"/>
              <w:left w:val="nil"/>
              <w:bottom w:val="nil"/>
              <w:right w:val="nil"/>
            </w:tcBorders>
            <w:shd w:val="clear" w:color="auto" w:fill="auto"/>
            <w:vAlign w:val="center"/>
            <w:hideMark/>
          </w:tcPr>
          <w:p w14:paraId="0F7FEAEF"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20,9</w:t>
            </w:r>
          </w:p>
        </w:tc>
        <w:tc>
          <w:tcPr>
            <w:tcW w:w="1254" w:type="dxa"/>
            <w:tcBorders>
              <w:top w:val="nil"/>
              <w:left w:val="nil"/>
              <w:bottom w:val="nil"/>
              <w:right w:val="nil"/>
            </w:tcBorders>
            <w:shd w:val="clear" w:color="auto" w:fill="auto"/>
            <w:vAlign w:val="center"/>
            <w:hideMark/>
          </w:tcPr>
          <w:p w14:paraId="39648B05"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31,2</w:t>
            </w:r>
          </w:p>
        </w:tc>
      </w:tr>
      <w:tr w:rsidR="00CC38CC" w:rsidRPr="00D50EF1" w14:paraId="11C49F06"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4AFE771"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30–39 let</w:t>
            </w:r>
          </w:p>
        </w:tc>
        <w:tc>
          <w:tcPr>
            <w:tcW w:w="1609" w:type="dxa"/>
            <w:tcBorders>
              <w:top w:val="nil"/>
              <w:left w:val="nil"/>
              <w:bottom w:val="nil"/>
              <w:right w:val="nil"/>
            </w:tcBorders>
            <w:shd w:val="clear" w:color="auto" w:fill="auto"/>
            <w:vAlign w:val="center"/>
            <w:hideMark/>
          </w:tcPr>
          <w:p w14:paraId="1B4EBFE2"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397,5</w:t>
            </w:r>
          </w:p>
        </w:tc>
        <w:tc>
          <w:tcPr>
            <w:tcW w:w="1252" w:type="dxa"/>
            <w:tcBorders>
              <w:top w:val="nil"/>
              <w:left w:val="nil"/>
              <w:bottom w:val="nil"/>
              <w:right w:val="nil"/>
            </w:tcBorders>
            <w:shd w:val="clear" w:color="auto" w:fill="auto"/>
            <w:vAlign w:val="center"/>
            <w:hideMark/>
          </w:tcPr>
          <w:p w14:paraId="3723EEE2"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200,4</w:t>
            </w:r>
          </w:p>
        </w:tc>
        <w:tc>
          <w:tcPr>
            <w:tcW w:w="1254" w:type="dxa"/>
            <w:tcBorders>
              <w:top w:val="nil"/>
              <w:left w:val="nil"/>
              <w:bottom w:val="nil"/>
              <w:right w:val="single" w:sz="4" w:space="0" w:color="auto"/>
            </w:tcBorders>
            <w:shd w:val="clear" w:color="auto" w:fill="auto"/>
            <w:vAlign w:val="center"/>
            <w:hideMark/>
          </w:tcPr>
          <w:p w14:paraId="78902D43"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197,2</w:t>
            </w:r>
          </w:p>
        </w:tc>
        <w:tc>
          <w:tcPr>
            <w:tcW w:w="1610" w:type="dxa"/>
            <w:tcBorders>
              <w:top w:val="nil"/>
              <w:left w:val="nil"/>
              <w:bottom w:val="nil"/>
              <w:right w:val="nil"/>
            </w:tcBorders>
            <w:shd w:val="clear" w:color="auto" w:fill="auto"/>
            <w:vAlign w:val="center"/>
            <w:hideMark/>
          </w:tcPr>
          <w:p w14:paraId="4E256963"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33,7</w:t>
            </w:r>
          </w:p>
        </w:tc>
        <w:tc>
          <w:tcPr>
            <w:tcW w:w="1252" w:type="dxa"/>
            <w:tcBorders>
              <w:top w:val="nil"/>
              <w:left w:val="nil"/>
              <w:bottom w:val="nil"/>
              <w:right w:val="nil"/>
            </w:tcBorders>
            <w:shd w:val="clear" w:color="auto" w:fill="auto"/>
            <w:vAlign w:val="center"/>
            <w:hideMark/>
          </w:tcPr>
          <w:p w14:paraId="0C48D329"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28,7</w:t>
            </w:r>
          </w:p>
        </w:tc>
        <w:tc>
          <w:tcPr>
            <w:tcW w:w="1254" w:type="dxa"/>
            <w:tcBorders>
              <w:top w:val="nil"/>
              <w:left w:val="nil"/>
              <w:bottom w:val="nil"/>
              <w:right w:val="nil"/>
            </w:tcBorders>
            <w:shd w:val="clear" w:color="auto" w:fill="auto"/>
            <w:vAlign w:val="center"/>
            <w:hideMark/>
          </w:tcPr>
          <w:p w14:paraId="60D9775A"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38,8</w:t>
            </w:r>
          </w:p>
        </w:tc>
      </w:tr>
      <w:tr w:rsidR="00CC38CC" w:rsidRPr="00D50EF1" w14:paraId="49B4C779"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3F156F2A"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40–49 let</w:t>
            </w:r>
          </w:p>
        </w:tc>
        <w:tc>
          <w:tcPr>
            <w:tcW w:w="1609" w:type="dxa"/>
            <w:tcBorders>
              <w:top w:val="nil"/>
              <w:left w:val="nil"/>
              <w:bottom w:val="nil"/>
              <w:right w:val="nil"/>
            </w:tcBorders>
            <w:shd w:val="clear" w:color="auto" w:fill="auto"/>
            <w:vAlign w:val="center"/>
            <w:hideMark/>
          </w:tcPr>
          <w:p w14:paraId="34566AC3"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469,8</w:t>
            </w:r>
          </w:p>
        </w:tc>
        <w:tc>
          <w:tcPr>
            <w:tcW w:w="1252" w:type="dxa"/>
            <w:tcBorders>
              <w:top w:val="nil"/>
              <w:left w:val="nil"/>
              <w:bottom w:val="nil"/>
              <w:right w:val="nil"/>
            </w:tcBorders>
            <w:shd w:val="clear" w:color="auto" w:fill="auto"/>
            <w:vAlign w:val="center"/>
            <w:hideMark/>
          </w:tcPr>
          <w:p w14:paraId="724A7FC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195,8</w:t>
            </w:r>
          </w:p>
        </w:tc>
        <w:tc>
          <w:tcPr>
            <w:tcW w:w="1254" w:type="dxa"/>
            <w:tcBorders>
              <w:top w:val="nil"/>
              <w:left w:val="nil"/>
              <w:bottom w:val="nil"/>
              <w:right w:val="single" w:sz="4" w:space="0" w:color="auto"/>
            </w:tcBorders>
            <w:shd w:val="clear" w:color="auto" w:fill="auto"/>
            <w:vAlign w:val="center"/>
            <w:hideMark/>
          </w:tcPr>
          <w:p w14:paraId="2F14ACF7"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274,0</w:t>
            </w:r>
          </w:p>
        </w:tc>
        <w:tc>
          <w:tcPr>
            <w:tcW w:w="1610" w:type="dxa"/>
            <w:tcBorders>
              <w:top w:val="nil"/>
              <w:left w:val="nil"/>
              <w:bottom w:val="nil"/>
              <w:right w:val="nil"/>
            </w:tcBorders>
            <w:shd w:val="clear" w:color="auto" w:fill="auto"/>
            <w:vAlign w:val="center"/>
            <w:hideMark/>
          </w:tcPr>
          <w:p w14:paraId="473C5812"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42,2</w:t>
            </w:r>
          </w:p>
        </w:tc>
        <w:tc>
          <w:tcPr>
            <w:tcW w:w="1252" w:type="dxa"/>
            <w:tcBorders>
              <w:top w:val="nil"/>
              <w:left w:val="nil"/>
              <w:bottom w:val="nil"/>
              <w:right w:val="nil"/>
            </w:tcBorders>
            <w:shd w:val="clear" w:color="auto" w:fill="auto"/>
            <w:vAlign w:val="center"/>
            <w:hideMark/>
          </w:tcPr>
          <w:p w14:paraId="710B8A4B"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41,7</w:t>
            </w:r>
          </w:p>
        </w:tc>
        <w:tc>
          <w:tcPr>
            <w:tcW w:w="1254" w:type="dxa"/>
            <w:tcBorders>
              <w:top w:val="nil"/>
              <w:left w:val="nil"/>
              <w:bottom w:val="nil"/>
              <w:right w:val="nil"/>
            </w:tcBorders>
            <w:shd w:val="clear" w:color="auto" w:fill="auto"/>
            <w:vAlign w:val="center"/>
            <w:hideMark/>
          </w:tcPr>
          <w:p w14:paraId="62C564B1"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42,6</w:t>
            </w:r>
          </w:p>
        </w:tc>
      </w:tr>
      <w:tr w:rsidR="00CC38CC" w:rsidRPr="00D50EF1" w14:paraId="4E1E571C"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37553962"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50–59 let</w:t>
            </w:r>
          </w:p>
        </w:tc>
        <w:tc>
          <w:tcPr>
            <w:tcW w:w="1609" w:type="dxa"/>
            <w:tcBorders>
              <w:top w:val="nil"/>
              <w:left w:val="nil"/>
              <w:bottom w:val="nil"/>
              <w:right w:val="nil"/>
            </w:tcBorders>
            <w:shd w:val="clear" w:color="auto" w:fill="auto"/>
            <w:vAlign w:val="center"/>
            <w:hideMark/>
          </w:tcPr>
          <w:p w14:paraId="5B8748E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411,8</w:t>
            </w:r>
          </w:p>
        </w:tc>
        <w:tc>
          <w:tcPr>
            <w:tcW w:w="1252" w:type="dxa"/>
            <w:tcBorders>
              <w:top w:val="nil"/>
              <w:left w:val="nil"/>
              <w:bottom w:val="nil"/>
              <w:right w:val="nil"/>
            </w:tcBorders>
            <w:shd w:val="clear" w:color="auto" w:fill="auto"/>
            <w:vAlign w:val="center"/>
            <w:hideMark/>
          </w:tcPr>
          <w:p w14:paraId="7005B49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167,0</w:t>
            </w:r>
          </w:p>
        </w:tc>
        <w:tc>
          <w:tcPr>
            <w:tcW w:w="1254" w:type="dxa"/>
            <w:tcBorders>
              <w:top w:val="nil"/>
              <w:left w:val="nil"/>
              <w:bottom w:val="nil"/>
              <w:right w:val="single" w:sz="4" w:space="0" w:color="auto"/>
            </w:tcBorders>
            <w:shd w:val="clear" w:color="auto" w:fill="auto"/>
            <w:vAlign w:val="center"/>
            <w:hideMark/>
          </w:tcPr>
          <w:p w14:paraId="25EEE94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244,7</w:t>
            </w:r>
          </w:p>
        </w:tc>
        <w:tc>
          <w:tcPr>
            <w:tcW w:w="1610" w:type="dxa"/>
            <w:tcBorders>
              <w:top w:val="nil"/>
              <w:left w:val="nil"/>
              <w:bottom w:val="nil"/>
              <w:right w:val="nil"/>
            </w:tcBorders>
            <w:shd w:val="clear" w:color="auto" w:fill="auto"/>
            <w:vAlign w:val="center"/>
            <w:hideMark/>
          </w:tcPr>
          <w:p w14:paraId="59789845"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54,5</w:t>
            </w:r>
          </w:p>
        </w:tc>
        <w:tc>
          <w:tcPr>
            <w:tcW w:w="1252" w:type="dxa"/>
            <w:tcBorders>
              <w:top w:val="nil"/>
              <w:left w:val="nil"/>
              <w:bottom w:val="nil"/>
              <w:right w:val="nil"/>
            </w:tcBorders>
            <w:shd w:val="clear" w:color="auto" w:fill="auto"/>
            <w:vAlign w:val="center"/>
            <w:hideMark/>
          </w:tcPr>
          <w:p w14:paraId="0276677C"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56,9</w:t>
            </w:r>
          </w:p>
        </w:tc>
        <w:tc>
          <w:tcPr>
            <w:tcW w:w="1254" w:type="dxa"/>
            <w:tcBorders>
              <w:top w:val="nil"/>
              <w:left w:val="nil"/>
              <w:bottom w:val="nil"/>
              <w:right w:val="nil"/>
            </w:tcBorders>
            <w:shd w:val="clear" w:color="auto" w:fill="auto"/>
            <w:vAlign w:val="center"/>
            <w:hideMark/>
          </w:tcPr>
          <w:p w14:paraId="136CC06A"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52,9</w:t>
            </w:r>
          </w:p>
        </w:tc>
      </w:tr>
      <w:tr w:rsidR="00CC38CC" w:rsidRPr="00D50EF1" w14:paraId="49EBA82E"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D00AB47"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60 a více let</w:t>
            </w:r>
          </w:p>
        </w:tc>
        <w:tc>
          <w:tcPr>
            <w:tcW w:w="1609" w:type="dxa"/>
            <w:tcBorders>
              <w:top w:val="nil"/>
              <w:left w:val="nil"/>
              <w:bottom w:val="nil"/>
              <w:right w:val="nil"/>
            </w:tcBorders>
            <w:shd w:val="clear" w:color="auto" w:fill="auto"/>
            <w:vAlign w:val="center"/>
            <w:hideMark/>
          </w:tcPr>
          <w:p w14:paraId="1DB7C864"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129,2</w:t>
            </w:r>
          </w:p>
        </w:tc>
        <w:tc>
          <w:tcPr>
            <w:tcW w:w="1252" w:type="dxa"/>
            <w:tcBorders>
              <w:top w:val="nil"/>
              <w:left w:val="nil"/>
              <w:bottom w:val="nil"/>
              <w:right w:val="nil"/>
            </w:tcBorders>
            <w:shd w:val="clear" w:color="auto" w:fill="auto"/>
            <w:vAlign w:val="center"/>
            <w:hideMark/>
          </w:tcPr>
          <w:p w14:paraId="2E8F7913"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75,3</w:t>
            </w:r>
          </w:p>
        </w:tc>
        <w:tc>
          <w:tcPr>
            <w:tcW w:w="1254" w:type="dxa"/>
            <w:tcBorders>
              <w:top w:val="nil"/>
              <w:left w:val="nil"/>
              <w:bottom w:val="nil"/>
              <w:right w:val="single" w:sz="4" w:space="0" w:color="auto"/>
            </w:tcBorders>
            <w:shd w:val="clear" w:color="auto" w:fill="auto"/>
            <w:vAlign w:val="center"/>
            <w:hideMark/>
          </w:tcPr>
          <w:p w14:paraId="51249216"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53,9</w:t>
            </w:r>
          </w:p>
        </w:tc>
        <w:tc>
          <w:tcPr>
            <w:tcW w:w="1610" w:type="dxa"/>
            <w:tcBorders>
              <w:top w:val="nil"/>
              <w:left w:val="nil"/>
              <w:bottom w:val="nil"/>
              <w:right w:val="nil"/>
            </w:tcBorders>
            <w:shd w:val="clear" w:color="auto" w:fill="auto"/>
            <w:vAlign w:val="center"/>
            <w:hideMark/>
          </w:tcPr>
          <w:p w14:paraId="03053B13"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66,9</w:t>
            </w:r>
          </w:p>
        </w:tc>
        <w:tc>
          <w:tcPr>
            <w:tcW w:w="1252" w:type="dxa"/>
            <w:tcBorders>
              <w:top w:val="nil"/>
              <w:left w:val="nil"/>
              <w:bottom w:val="nil"/>
              <w:right w:val="nil"/>
            </w:tcBorders>
            <w:shd w:val="clear" w:color="auto" w:fill="auto"/>
            <w:vAlign w:val="center"/>
            <w:hideMark/>
          </w:tcPr>
          <w:p w14:paraId="7AB7FCA6"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75,2</w:t>
            </w:r>
          </w:p>
        </w:tc>
        <w:tc>
          <w:tcPr>
            <w:tcW w:w="1254" w:type="dxa"/>
            <w:tcBorders>
              <w:top w:val="nil"/>
              <w:left w:val="nil"/>
              <w:bottom w:val="nil"/>
              <w:right w:val="nil"/>
            </w:tcBorders>
            <w:shd w:val="clear" w:color="auto" w:fill="auto"/>
            <w:vAlign w:val="center"/>
            <w:hideMark/>
          </w:tcPr>
          <w:p w14:paraId="7F6467B6"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55,5</w:t>
            </w:r>
          </w:p>
        </w:tc>
      </w:tr>
      <w:tr w:rsidR="00D50EF1" w:rsidRPr="00D50EF1" w14:paraId="44CDF35B" w14:textId="77777777" w:rsidTr="00CC38CC">
        <w:trPr>
          <w:trHeight w:val="300"/>
        </w:trPr>
        <w:tc>
          <w:tcPr>
            <w:tcW w:w="1474" w:type="dxa"/>
            <w:tcBorders>
              <w:top w:val="single" w:sz="4" w:space="0" w:color="auto"/>
              <w:left w:val="nil"/>
              <w:bottom w:val="single" w:sz="4" w:space="0" w:color="auto"/>
              <w:right w:val="single" w:sz="4" w:space="0" w:color="auto"/>
            </w:tcBorders>
            <w:shd w:val="clear" w:color="000000" w:fill="F5DADD"/>
            <w:vAlign w:val="center"/>
            <w:hideMark/>
          </w:tcPr>
          <w:p w14:paraId="709FB850"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 </w:t>
            </w:r>
          </w:p>
        </w:tc>
        <w:tc>
          <w:tcPr>
            <w:tcW w:w="8249" w:type="dxa"/>
            <w:gridSpan w:val="7"/>
            <w:tcBorders>
              <w:top w:val="single" w:sz="4" w:space="0" w:color="auto"/>
              <w:left w:val="nil"/>
              <w:bottom w:val="single" w:sz="4" w:space="0" w:color="auto"/>
              <w:right w:val="nil"/>
            </w:tcBorders>
            <w:shd w:val="clear" w:color="000000" w:fill="F2DBDB"/>
            <w:vAlign w:val="center"/>
            <w:hideMark/>
          </w:tcPr>
          <w:p w14:paraId="3A6EB978"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2020</w:t>
            </w:r>
          </w:p>
        </w:tc>
      </w:tr>
      <w:tr w:rsidR="00CC38CC" w:rsidRPr="00D50EF1" w14:paraId="518BD2B4"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2BFDBDD4" w14:textId="77777777" w:rsidR="00D50EF1" w:rsidRPr="00D50EF1" w:rsidRDefault="00D50EF1" w:rsidP="00D50EF1">
            <w:pPr>
              <w:spacing w:after="0" w:line="240" w:lineRule="auto"/>
              <w:rPr>
                <w:rFonts w:cs="Arial"/>
                <w:b/>
                <w:bCs/>
                <w:color w:val="000000"/>
                <w:sz w:val="16"/>
                <w:szCs w:val="16"/>
              </w:rPr>
            </w:pPr>
            <w:r w:rsidRPr="00D50EF1">
              <w:rPr>
                <w:rFonts w:cs="Arial"/>
                <w:b/>
                <w:bCs/>
                <w:color w:val="000000"/>
                <w:sz w:val="16"/>
                <w:szCs w:val="16"/>
              </w:rPr>
              <w:t>Celkem</w:t>
            </w:r>
          </w:p>
        </w:tc>
        <w:tc>
          <w:tcPr>
            <w:tcW w:w="1609" w:type="dxa"/>
            <w:tcBorders>
              <w:top w:val="nil"/>
              <w:left w:val="nil"/>
              <w:bottom w:val="nil"/>
              <w:right w:val="nil"/>
            </w:tcBorders>
            <w:shd w:val="clear" w:color="auto" w:fill="auto"/>
            <w:vAlign w:val="center"/>
            <w:hideMark/>
          </w:tcPr>
          <w:p w14:paraId="40684AB4"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2 293,7</w:t>
            </w:r>
          </w:p>
        </w:tc>
        <w:tc>
          <w:tcPr>
            <w:tcW w:w="1252" w:type="dxa"/>
            <w:tcBorders>
              <w:top w:val="nil"/>
              <w:left w:val="nil"/>
              <w:bottom w:val="nil"/>
              <w:right w:val="nil"/>
            </w:tcBorders>
            <w:shd w:val="clear" w:color="auto" w:fill="auto"/>
            <w:vAlign w:val="center"/>
            <w:hideMark/>
          </w:tcPr>
          <w:p w14:paraId="7C06A950"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1 095,5</w:t>
            </w:r>
          </w:p>
        </w:tc>
        <w:tc>
          <w:tcPr>
            <w:tcW w:w="1254" w:type="dxa"/>
            <w:tcBorders>
              <w:top w:val="nil"/>
              <w:left w:val="nil"/>
              <w:bottom w:val="nil"/>
              <w:right w:val="single" w:sz="4" w:space="0" w:color="auto"/>
            </w:tcBorders>
            <w:shd w:val="clear" w:color="auto" w:fill="auto"/>
            <w:vAlign w:val="center"/>
            <w:hideMark/>
          </w:tcPr>
          <w:p w14:paraId="269A5EAC"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1 198,2</w:t>
            </w:r>
          </w:p>
        </w:tc>
        <w:tc>
          <w:tcPr>
            <w:tcW w:w="1610" w:type="dxa"/>
            <w:tcBorders>
              <w:top w:val="nil"/>
              <w:left w:val="nil"/>
              <w:bottom w:val="nil"/>
              <w:right w:val="nil"/>
            </w:tcBorders>
            <w:shd w:val="clear" w:color="auto" w:fill="auto"/>
            <w:vAlign w:val="center"/>
            <w:hideMark/>
          </w:tcPr>
          <w:p w14:paraId="0B2EA2A9"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37,7</w:t>
            </w:r>
          </w:p>
        </w:tc>
        <w:tc>
          <w:tcPr>
            <w:tcW w:w="1252" w:type="dxa"/>
            <w:tcBorders>
              <w:top w:val="nil"/>
              <w:left w:val="nil"/>
              <w:bottom w:val="nil"/>
              <w:right w:val="nil"/>
            </w:tcBorders>
            <w:shd w:val="clear" w:color="auto" w:fill="auto"/>
            <w:vAlign w:val="center"/>
            <w:hideMark/>
          </w:tcPr>
          <w:p w14:paraId="1722ED63"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35,8</w:t>
            </w:r>
          </w:p>
        </w:tc>
        <w:tc>
          <w:tcPr>
            <w:tcW w:w="1254" w:type="dxa"/>
            <w:tcBorders>
              <w:top w:val="nil"/>
              <w:left w:val="nil"/>
              <w:bottom w:val="nil"/>
              <w:right w:val="nil"/>
            </w:tcBorders>
            <w:shd w:val="clear" w:color="auto" w:fill="auto"/>
            <w:vAlign w:val="center"/>
            <w:hideMark/>
          </w:tcPr>
          <w:p w14:paraId="31F9A716"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39,4</w:t>
            </w:r>
          </w:p>
        </w:tc>
      </w:tr>
      <w:tr w:rsidR="00CC38CC" w:rsidRPr="00D50EF1" w14:paraId="0618C925"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C1F29D0"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mladší 20 let</w:t>
            </w:r>
          </w:p>
        </w:tc>
        <w:tc>
          <w:tcPr>
            <w:tcW w:w="1609" w:type="dxa"/>
            <w:tcBorders>
              <w:top w:val="nil"/>
              <w:left w:val="nil"/>
              <w:bottom w:val="nil"/>
              <w:right w:val="nil"/>
            </w:tcBorders>
            <w:shd w:val="clear" w:color="auto" w:fill="auto"/>
            <w:vAlign w:val="center"/>
            <w:hideMark/>
          </w:tcPr>
          <w:p w14:paraId="52941C6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25,0</w:t>
            </w:r>
          </w:p>
        </w:tc>
        <w:tc>
          <w:tcPr>
            <w:tcW w:w="1252" w:type="dxa"/>
            <w:tcBorders>
              <w:top w:val="nil"/>
              <w:left w:val="nil"/>
              <w:bottom w:val="nil"/>
              <w:right w:val="nil"/>
            </w:tcBorders>
            <w:shd w:val="clear" w:color="auto" w:fill="auto"/>
            <w:vAlign w:val="center"/>
            <w:hideMark/>
          </w:tcPr>
          <w:p w14:paraId="17118CF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14,0</w:t>
            </w:r>
          </w:p>
        </w:tc>
        <w:tc>
          <w:tcPr>
            <w:tcW w:w="1254" w:type="dxa"/>
            <w:tcBorders>
              <w:top w:val="nil"/>
              <w:left w:val="nil"/>
              <w:bottom w:val="nil"/>
              <w:right w:val="single" w:sz="4" w:space="0" w:color="auto"/>
            </w:tcBorders>
            <w:shd w:val="clear" w:color="auto" w:fill="auto"/>
            <w:vAlign w:val="center"/>
            <w:hideMark/>
          </w:tcPr>
          <w:p w14:paraId="175A479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11,0</w:t>
            </w:r>
          </w:p>
        </w:tc>
        <w:tc>
          <w:tcPr>
            <w:tcW w:w="1610" w:type="dxa"/>
            <w:tcBorders>
              <w:top w:val="nil"/>
              <w:left w:val="nil"/>
              <w:bottom w:val="nil"/>
              <w:right w:val="nil"/>
            </w:tcBorders>
            <w:shd w:val="clear" w:color="auto" w:fill="auto"/>
            <w:vAlign w:val="center"/>
            <w:hideMark/>
          </w:tcPr>
          <w:p w14:paraId="7D7812A3"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18,6</w:t>
            </w:r>
          </w:p>
        </w:tc>
        <w:tc>
          <w:tcPr>
            <w:tcW w:w="1252" w:type="dxa"/>
            <w:tcBorders>
              <w:top w:val="nil"/>
              <w:left w:val="nil"/>
              <w:bottom w:val="nil"/>
              <w:right w:val="nil"/>
            </w:tcBorders>
            <w:shd w:val="clear" w:color="auto" w:fill="auto"/>
            <w:vAlign w:val="center"/>
            <w:hideMark/>
          </w:tcPr>
          <w:p w14:paraId="026FE151"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16,5</w:t>
            </w:r>
          </w:p>
        </w:tc>
        <w:tc>
          <w:tcPr>
            <w:tcW w:w="1254" w:type="dxa"/>
            <w:tcBorders>
              <w:top w:val="nil"/>
              <w:left w:val="nil"/>
              <w:bottom w:val="nil"/>
              <w:right w:val="nil"/>
            </w:tcBorders>
            <w:shd w:val="clear" w:color="auto" w:fill="auto"/>
            <w:vAlign w:val="center"/>
            <w:hideMark/>
          </w:tcPr>
          <w:p w14:paraId="19239BB2"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21,4</w:t>
            </w:r>
          </w:p>
        </w:tc>
      </w:tr>
      <w:tr w:rsidR="00CC38CC" w:rsidRPr="00D50EF1" w14:paraId="2F92089E"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FE953E0"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20–29 let</w:t>
            </w:r>
          </w:p>
        </w:tc>
        <w:tc>
          <w:tcPr>
            <w:tcW w:w="1609" w:type="dxa"/>
            <w:tcBorders>
              <w:top w:val="nil"/>
              <w:left w:val="nil"/>
              <w:bottom w:val="nil"/>
              <w:right w:val="nil"/>
            </w:tcBorders>
            <w:shd w:val="clear" w:color="auto" w:fill="auto"/>
            <w:vAlign w:val="center"/>
            <w:hideMark/>
          </w:tcPr>
          <w:p w14:paraId="3543A47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463,1</w:t>
            </w:r>
          </w:p>
        </w:tc>
        <w:tc>
          <w:tcPr>
            <w:tcW w:w="1252" w:type="dxa"/>
            <w:tcBorders>
              <w:top w:val="nil"/>
              <w:left w:val="nil"/>
              <w:bottom w:val="nil"/>
              <w:right w:val="nil"/>
            </w:tcBorders>
            <w:shd w:val="clear" w:color="auto" w:fill="auto"/>
            <w:vAlign w:val="center"/>
            <w:hideMark/>
          </w:tcPr>
          <w:p w14:paraId="7F0A7A2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248,2</w:t>
            </w:r>
          </w:p>
        </w:tc>
        <w:tc>
          <w:tcPr>
            <w:tcW w:w="1254" w:type="dxa"/>
            <w:tcBorders>
              <w:top w:val="nil"/>
              <w:left w:val="nil"/>
              <w:bottom w:val="nil"/>
              <w:right w:val="single" w:sz="4" w:space="0" w:color="auto"/>
            </w:tcBorders>
            <w:shd w:val="clear" w:color="auto" w:fill="auto"/>
            <w:vAlign w:val="center"/>
            <w:hideMark/>
          </w:tcPr>
          <w:p w14:paraId="4FFDC24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214,9</w:t>
            </w:r>
          </w:p>
        </w:tc>
        <w:tc>
          <w:tcPr>
            <w:tcW w:w="1610" w:type="dxa"/>
            <w:tcBorders>
              <w:top w:val="nil"/>
              <w:left w:val="nil"/>
              <w:bottom w:val="nil"/>
              <w:right w:val="nil"/>
            </w:tcBorders>
            <w:shd w:val="clear" w:color="auto" w:fill="auto"/>
            <w:vAlign w:val="center"/>
            <w:hideMark/>
          </w:tcPr>
          <w:p w14:paraId="5511EA30"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25,2</w:t>
            </w:r>
          </w:p>
        </w:tc>
        <w:tc>
          <w:tcPr>
            <w:tcW w:w="1252" w:type="dxa"/>
            <w:tcBorders>
              <w:top w:val="nil"/>
              <w:left w:val="nil"/>
              <w:bottom w:val="nil"/>
              <w:right w:val="nil"/>
            </w:tcBorders>
            <w:shd w:val="clear" w:color="auto" w:fill="auto"/>
            <w:vAlign w:val="center"/>
            <w:hideMark/>
          </w:tcPr>
          <w:p w14:paraId="2B522495"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20,8</w:t>
            </w:r>
          </w:p>
        </w:tc>
        <w:tc>
          <w:tcPr>
            <w:tcW w:w="1254" w:type="dxa"/>
            <w:tcBorders>
              <w:top w:val="nil"/>
              <w:left w:val="nil"/>
              <w:bottom w:val="nil"/>
              <w:right w:val="nil"/>
            </w:tcBorders>
            <w:shd w:val="clear" w:color="auto" w:fill="auto"/>
            <w:vAlign w:val="center"/>
            <w:hideMark/>
          </w:tcPr>
          <w:p w14:paraId="09522640"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30,2</w:t>
            </w:r>
          </w:p>
        </w:tc>
      </w:tr>
      <w:tr w:rsidR="00CC38CC" w:rsidRPr="00D50EF1" w14:paraId="4674029C"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1061650D"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30–39 let</w:t>
            </w:r>
          </w:p>
        </w:tc>
        <w:tc>
          <w:tcPr>
            <w:tcW w:w="1609" w:type="dxa"/>
            <w:tcBorders>
              <w:top w:val="nil"/>
              <w:left w:val="nil"/>
              <w:bottom w:val="nil"/>
              <w:right w:val="nil"/>
            </w:tcBorders>
            <w:shd w:val="clear" w:color="auto" w:fill="auto"/>
            <w:vAlign w:val="center"/>
            <w:hideMark/>
          </w:tcPr>
          <w:p w14:paraId="036E5A6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467,4</w:t>
            </w:r>
          </w:p>
        </w:tc>
        <w:tc>
          <w:tcPr>
            <w:tcW w:w="1252" w:type="dxa"/>
            <w:tcBorders>
              <w:top w:val="nil"/>
              <w:left w:val="nil"/>
              <w:bottom w:val="nil"/>
              <w:right w:val="nil"/>
            </w:tcBorders>
            <w:shd w:val="clear" w:color="auto" w:fill="auto"/>
            <w:vAlign w:val="center"/>
            <w:hideMark/>
          </w:tcPr>
          <w:p w14:paraId="3B8FABA4"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248,0</w:t>
            </w:r>
          </w:p>
        </w:tc>
        <w:tc>
          <w:tcPr>
            <w:tcW w:w="1254" w:type="dxa"/>
            <w:tcBorders>
              <w:top w:val="nil"/>
              <w:left w:val="nil"/>
              <w:bottom w:val="nil"/>
              <w:right w:val="single" w:sz="4" w:space="0" w:color="auto"/>
            </w:tcBorders>
            <w:shd w:val="clear" w:color="auto" w:fill="auto"/>
            <w:vAlign w:val="center"/>
            <w:hideMark/>
          </w:tcPr>
          <w:p w14:paraId="11B87438"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219,3</w:t>
            </w:r>
          </w:p>
        </w:tc>
        <w:tc>
          <w:tcPr>
            <w:tcW w:w="1610" w:type="dxa"/>
            <w:tcBorders>
              <w:top w:val="nil"/>
              <w:left w:val="nil"/>
              <w:bottom w:val="nil"/>
              <w:right w:val="nil"/>
            </w:tcBorders>
            <w:shd w:val="clear" w:color="auto" w:fill="auto"/>
            <w:vAlign w:val="center"/>
            <w:hideMark/>
          </w:tcPr>
          <w:p w14:paraId="6C4F4050"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31,5</w:t>
            </w:r>
          </w:p>
        </w:tc>
        <w:tc>
          <w:tcPr>
            <w:tcW w:w="1252" w:type="dxa"/>
            <w:tcBorders>
              <w:top w:val="nil"/>
              <w:left w:val="nil"/>
              <w:bottom w:val="nil"/>
              <w:right w:val="nil"/>
            </w:tcBorders>
            <w:shd w:val="clear" w:color="auto" w:fill="auto"/>
            <w:vAlign w:val="center"/>
            <w:hideMark/>
          </w:tcPr>
          <w:p w14:paraId="37633134"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26,9</w:t>
            </w:r>
          </w:p>
        </w:tc>
        <w:tc>
          <w:tcPr>
            <w:tcW w:w="1254" w:type="dxa"/>
            <w:tcBorders>
              <w:top w:val="nil"/>
              <w:left w:val="nil"/>
              <w:bottom w:val="nil"/>
              <w:right w:val="nil"/>
            </w:tcBorders>
            <w:shd w:val="clear" w:color="auto" w:fill="auto"/>
            <w:vAlign w:val="center"/>
            <w:hideMark/>
          </w:tcPr>
          <w:p w14:paraId="73636058"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36,6</w:t>
            </w:r>
          </w:p>
        </w:tc>
      </w:tr>
      <w:tr w:rsidR="00CC38CC" w:rsidRPr="00D50EF1" w14:paraId="0B37765A"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6B94F136"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40–49 let</w:t>
            </w:r>
          </w:p>
        </w:tc>
        <w:tc>
          <w:tcPr>
            <w:tcW w:w="1609" w:type="dxa"/>
            <w:tcBorders>
              <w:top w:val="nil"/>
              <w:left w:val="nil"/>
              <w:bottom w:val="nil"/>
              <w:right w:val="nil"/>
            </w:tcBorders>
            <w:shd w:val="clear" w:color="auto" w:fill="auto"/>
            <w:vAlign w:val="center"/>
            <w:hideMark/>
          </w:tcPr>
          <w:p w14:paraId="4BF69CF4"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627,2</w:t>
            </w:r>
          </w:p>
        </w:tc>
        <w:tc>
          <w:tcPr>
            <w:tcW w:w="1252" w:type="dxa"/>
            <w:tcBorders>
              <w:top w:val="nil"/>
              <w:left w:val="nil"/>
              <w:bottom w:val="nil"/>
              <w:right w:val="nil"/>
            </w:tcBorders>
            <w:shd w:val="clear" w:color="auto" w:fill="auto"/>
            <w:vAlign w:val="center"/>
            <w:hideMark/>
          </w:tcPr>
          <w:p w14:paraId="4EF00BB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264,7</w:t>
            </w:r>
          </w:p>
        </w:tc>
        <w:tc>
          <w:tcPr>
            <w:tcW w:w="1254" w:type="dxa"/>
            <w:tcBorders>
              <w:top w:val="nil"/>
              <w:left w:val="nil"/>
              <w:bottom w:val="nil"/>
              <w:right w:val="single" w:sz="4" w:space="0" w:color="auto"/>
            </w:tcBorders>
            <w:shd w:val="clear" w:color="auto" w:fill="auto"/>
            <w:vAlign w:val="center"/>
            <w:hideMark/>
          </w:tcPr>
          <w:p w14:paraId="69FD50FA"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362,5</w:t>
            </w:r>
          </w:p>
        </w:tc>
        <w:tc>
          <w:tcPr>
            <w:tcW w:w="1610" w:type="dxa"/>
            <w:tcBorders>
              <w:top w:val="nil"/>
              <w:left w:val="nil"/>
              <w:bottom w:val="nil"/>
              <w:right w:val="nil"/>
            </w:tcBorders>
            <w:shd w:val="clear" w:color="auto" w:fill="auto"/>
            <w:vAlign w:val="center"/>
            <w:hideMark/>
          </w:tcPr>
          <w:p w14:paraId="36187232"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37,1</w:t>
            </w:r>
          </w:p>
        </w:tc>
        <w:tc>
          <w:tcPr>
            <w:tcW w:w="1252" w:type="dxa"/>
            <w:tcBorders>
              <w:top w:val="nil"/>
              <w:left w:val="nil"/>
              <w:bottom w:val="nil"/>
              <w:right w:val="nil"/>
            </w:tcBorders>
            <w:shd w:val="clear" w:color="auto" w:fill="auto"/>
            <w:vAlign w:val="center"/>
            <w:hideMark/>
          </w:tcPr>
          <w:p w14:paraId="62E1A6CD"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36,5</w:t>
            </w:r>
          </w:p>
        </w:tc>
        <w:tc>
          <w:tcPr>
            <w:tcW w:w="1254" w:type="dxa"/>
            <w:tcBorders>
              <w:top w:val="nil"/>
              <w:left w:val="nil"/>
              <w:bottom w:val="nil"/>
              <w:right w:val="nil"/>
            </w:tcBorders>
            <w:shd w:val="clear" w:color="auto" w:fill="auto"/>
            <w:vAlign w:val="center"/>
            <w:hideMark/>
          </w:tcPr>
          <w:p w14:paraId="05C900FC"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37,5</w:t>
            </w:r>
          </w:p>
        </w:tc>
      </w:tr>
      <w:tr w:rsidR="00CC38CC" w:rsidRPr="00D50EF1" w14:paraId="082B9B05"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69C41403"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50–59 let</w:t>
            </w:r>
          </w:p>
        </w:tc>
        <w:tc>
          <w:tcPr>
            <w:tcW w:w="1609" w:type="dxa"/>
            <w:tcBorders>
              <w:top w:val="nil"/>
              <w:left w:val="nil"/>
              <w:bottom w:val="nil"/>
              <w:right w:val="nil"/>
            </w:tcBorders>
            <w:shd w:val="clear" w:color="auto" w:fill="auto"/>
            <w:vAlign w:val="center"/>
            <w:hideMark/>
          </w:tcPr>
          <w:p w14:paraId="2240B592"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541,1</w:t>
            </w:r>
          </w:p>
        </w:tc>
        <w:tc>
          <w:tcPr>
            <w:tcW w:w="1252" w:type="dxa"/>
            <w:tcBorders>
              <w:top w:val="nil"/>
              <w:left w:val="nil"/>
              <w:bottom w:val="nil"/>
              <w:right w:val="nil"/>
            </w:tcBorders>
            <w:shd w:val="clear" w:color="auto" w:fill="auto"/>
            <w:vAlign w:val="center"/>
            <w:hideMark/>
          </w:tcPr>
          <w:p w14:paraId="27826CE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225,0</w:t>
            </w:r>
          </w:p>
        </w:tc>
        <w:tc>
          <w:tcPr>
            <w:tcW w:w="1254" w:type="dxa"/>
            <w:tcBorders>
              <w:top w:val="nil"/>
              <w:left w:val="nil"/>
              <w:bottom w:val="nil"/>
              <w:right w:val="single" w:sz="4" w:space="0" w:color="auto"/>
            </w:tcBorders>
            <w:shd w:val="clear" w:color="auto" w:fill="auto"/>
            <w:vAlign w:val="center"/>
            <w:hideMark/>
          </w:tcPr>
          <w:p w14:paraId="51985246"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316,0</w:t>
            </w:r>
          </w:p>
        </w:tc>
        <w:tc>
          <w:tcPr>
            <w:tcW w:w="1610" w:type="dxa"/>
            <w:tcBorders>
              <w:top w:val="nil"/>
              <w:left w:val="nil"/>
              <w:bottom w:val="nil"/>
              <w:right w:val="nil"/>
            </w:tcBorders>
            <w:shd w:val="clear" w:color="auto" w:fill="auto"/>
            <w:vAlign w:val="center"/>
            <w:hideMark/>
          </w:tcPr>
          <w:p w14:paraId="5B993366"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48,4</w:t>
            </w:r>
          </w:p>
        </w:tc>
        <w:tc>
          <w:tcPr>
            <w:tcW w:w="1252" w:type="dxa"/>
            <w:tcBorders>
              <w:top w:val="nil"/>
              <w:left w:val="nil"/>
              <w:bottom w:val="nil"/>
              <w:right w:val="nil"/>
            </w:tcBorders>
            <w:shd w:val="clear" w:color="auto" w:fill="auto"/>
            <w:vAlign w:val="center"/>
            <w:hideMark/>
          </w:tcPr>
          <w:p w14:paraId="1F55C672"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49,4</w:t>
            </w:r>
          </w:p>
        </w:tc>
        <w:tc>
          <w:tcPr>
            <w:tcW w:w="1254" w:type="dxa"/>
            <w:tcBorders>
              <w:top w:val="nil"/>
              <w:left w:val="nil"/>
              <w:bottom w:val="nil"/>
              <w:right w:val="nil"/>
            </w:tcBorders>
            <w:shd w:val="clear" w:color="auto" w:fill="auto"/>
            <w:vAlign w:val="center"/>
            <w:hideMark/>
          </w:tcPr>
          <w:p w14:paraId="38AAB697"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47,7</w:t>
            </w:r>
          </w:p>
        </w:tc>
      </w:tr>
      <w:tr w:rsidR="00CC38CC" w:rsidRPr="00D50EF1" w14:paraId="716DD02D"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0BE6D255"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60 a více let</w:t>
            </w:r>
          </w:p>
        </w:tc>
        <w:tc>
          <w:tcPr>
            <w:tcW w:w="1609" w:type="dxa"/>
            <w:tcBorders>
              <w:top w:val="nil"/>
              <w:left w:val="nil"/>
              <w:bottom w:val="nil"/>
              <w:right w:val="nil"/>
            </w:tcBorders>
            <w:shd w:val="clear" w:color="auto" w:fill="auto"/>
            <w:vAlign w:val="center"/>
            <w:hideMark/>
          </w:tcPr>
          <w:p w14:paraId="311FAD3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169,9</w:t>
            </w:r>
          </w:p>
        </w:tc>
        <w:tc>
          <w:tcPr>
            <w:tcW w:w="1252" w:type="dxa"/>
            <w:tcBorders>
              <w:top w:val="nil"/>
              <w:left w:val="nil"/>
              <w:bottom w:val="nil"/>
              <w:right w:val="nil"/>
            </w:tcBorders>
            <w:shd w:val="clear" w:color="auto" w:fill="auto"/>
            <w:vAlign w:val="center"/>
            <w:hideMark/>
          </w:tcPr>
          <w:p w14:paraId="2745FD5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95,5</w:t>
            </w:r>
          </w:p>
        </w:tc>
        <w:tc>
          <w:tcPr>
            <w:tcW w:w="1254" w:type="dxa"/>
            <w:tcBorders>
              <w:top w:val="nil"/>
              <w:left w:val="nil"/>
              <w:bottom w:val="nil"/>
              <w:right w:val="single" w:sz="4" w:space="0" w:color="auto"/>
            </w:tcBorders>
            <w:shd w:val="clear" w:color="auto" w:fill="auto"/>
            <w:vAlign w:val="center"/>
            <w:hideMark/>
          </w:tcPr>
          <w:p w14:paraId="4315AA7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74,5</w:t>
            </w:r>
          </w:p>
        </w:tc>
        <w:tc>
          <w:tcPr>
            <w:tcW w:w="1610" w:type="dxa"/>
            <w:tcBorders>
              <w:top w:val="nil"/>
              <w:left w:val="nil"/>
              <w:bottom w:val="nil"/>
              <w:right w:val="nil"/>
            </w:tcBorders>
            <w:shd w:val="clear" w:color="auto" w:fill="auto"/>
            <w:vAlign w:val="center"/>
            <w:hideMark/>
          </w:tcPr>
          <w:p w14:paraId="313923E5"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60,1</w:t>
            </w:r>
          </w:p>
        </w:tc>
        <w:tc>
          <w:tcPr>
            <w:tcW w:w="1252" w:type="dxa"/>
            <w:tcBorders>
              <w:top w:val="nil"/>
              <w:left w:val="nil"/>
              <w:bottom w:val="single" w:sz="4" w:space="0" w:color="auto"/>
              <w:right w:val="nil"/>
            </w:tcBorders>
            <w:shd w:val="clear" w:color="auto" w:fill="auto"/>
            <w:vAlign w:val="center"/>
            <w:hideMark/>
          </w:tcPr>
          <w:p w14:paraId="7822D66A"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66,7</w:t>
            </w:r>
          </w:p>
        </w:tc>
        <w:tc>
          <w:tcPr>
            <w:tcW w:w="1254" w:type="dxa"/>
            <w:tcBorders>
              <w:top w:val="nil"/>
              <w:left w:val="nil"/>
              <w:bottom w:val="nil"/>
              <w:right w:val="nil"/>
            </w:tcBorders>
            <w:shd w:val="clear" w:color="auto" w:fill="auto"/>
            <w:vAlign w:val="center"/>
            <w:hideMark/>
          </w:tcPr>
          <w:p w14:paraId="6B88929F"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51,6</w:t>
            </w:r>
          </w:p>
        </w:tc>
      </w:tr>
      <w:tr w:rsidR="00D50EF1" w:rsidRPr="00D50EF1" w14:paraId="78C02DE0" w14:textId="77777777" w:rsidTr="00CC38CC">
        <w:trPr>
          <w:trHeight w:val="300"/>
        </w:trPr>
        <w:tc>
          <w:tcPr>
            <w:tcW w:w="1474" w:type="dxa"/>
            <w:tcBorders>
              <w:top w:val="single" w:sz="4" w:space="0" w:color="auto"/>
              <w:left w:val="nil"/>
              <w:bottom w:val="single" w:sz="4" w:space="0" w:color="auto"/>
              <w:right w:val="single" w:sz="4" w:space="0" w:color="auto"/>
            </w:tcBorders>
            <w:shd w:val="clear" w:color="000000" w:fill="F5DADD"/>
            <w:vAlign w:val="center"/>
            <w:hideMark/>
          </w:tcPr>
          <w:p w14:paraId="1CD83647"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 </w:t>
            </w:r>
          </w:p>
        </w:tc>
        <w:tc>
          <w:tcPr>
            <w:tcW w:w="8249" w:type="dxa"/>
            <w:gridSpan w:val="7"/>
            <w:tcBorders>
              <w:top w:val="single" w:sz="4" w:space="0" w:color="auto"/>
              <w:left w:val="nil"/>
              <w:bottom w:val="single" w:sz="4" w:space="0" w:color="auto"/>
              <w:right w:val="nil"/>
            </w:tcBorders>
            <w:shd w:val="clear" w:color="000000" w:fill="F2DBDB"/>
            <w:vAlign w:val="center"/>
            <w:hideMark/>
          </w:tcPr>
          <w:p w14:paraId="2DA6F2DF"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2021</w:t>
            </w:r>
          </w:p>
        </w:tc>
      </w:tr>
      <w:tr w:rsidR="00CC38CC" w:rsidRPr="00D50EF1" w14:paraId="2512CCA3"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FACD48B" w14:textId="77777777" w:rsidR="00D50EF1" w:rsidRPr="00D50EF1" w:rsidRDefault="00D50EF1" w:rsidP="00D50EF1">
            <w:pPr>
              <w:spacing w:after="0" w:line="240" w:lineRule="auto"/>
              <w:rPr>
                <w:rFonts w:cs="Arial"/>
                <w:b/>
                <w:bCs/>
                <w:color w:val="000000"/>
                <w:sz w:val="16"/>
                <w:szCs w:val="16"/>
              </w:rPr>
            </w:pPr>
            <w:r w:rsidRPr="00D50EF1">
              <w:rPr>
                <w:rFonts w:cs="Arial"/>
                <w:b/>
                <w:bCs/>
                <w:color w:val="000000"/>
                <w:sz w:val="16"/>
                <w:szCs w:val="16"/>
              </w:rPr>
              <w:t>Celkem</w:t>
            </w:r>
          </w:p>
        </w:tc>
        <w:tc>
          <w:tcPr>
            <w:tcW w:w="1609" w:type="dxa"/>
            <w:tcBorders>
              <w:top w:val="nil"/>
              <w:left w:val="nil"/>
              <w:bottom w:val="nil"/>
              <w:right w:val="nil"/>
            </w:tcBorders>
            <w:shd w:val="clear" w:color="auto" w:fill="auto"/>
            <w:vAlign w:val="center"/>
            <w:hideMark/>
          </w:tcPr>
          <w:p w14:paraId="2462E789"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2 718,0</w:t>
            </w:r>
          </w:p>
        </w:tc>
        <w:tc>
          <w:tcPr>
            <w:tcW w:w="1252" w:type="dxa"/>
            <w:tcBorders>
              <w:top w:val="nil"/>
              <w:left w:val="nil"/>
              <w:bottom w:val="nil"/>
              <w:right w:val="nil"/>
            </w:tcBorders>
            <w:shd w:val="clear" w:color="auto" w:fill="auto"/>
            <w:vAlign w:val="center"/>
            <w:hideMark/>
          </w:tcPr>
          <w:p w14:paraId="0159432C"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1 320,2</w:t>
            </w:r>
          </w:p>
        </w:tc>
        <w:tc>
          <w:tcPr>
            <w:tcW w:w="1254" w:type="dxa"/>
            <w:tcBorders>
              <w:top w:val="nil"/>
              <w:left w:val="nil"/>
              <w:bottom w:val="nil"/>
              <w:right w:val="single" w:sz="4" w:space="0" w:color="auto"/>
            </w:tcBorders>
            <w:shd w:val="clear" w:color="auto" w:fill="auto"/>
            <w:vAlign w:val="center"/>
            <w:hideMark/>
          </w:tcPr>
          <w:p w14:paraId="58729EA3"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1 397,8</w:t>
            </w:r>
          </w:p>
        </w:tc>
        <w:tc>
          <w:tcPr>
            <w:tcW w:w="1610" w:type="dxa"/>
            <w:tcBorders>
              <w:top w:val="nil"/>
              <w:left w:val="nil"/>
              <w:bottom w:val="nil"/>
              <w:right w:val="nil"/>
            </w:tcBorders>
            <w:shd w:val="clear" w:color="auto" w:fill="auto"/>
            <w:vAlign w:val="center"/>
            <w:hideMark/>
          </w:tcPr>
          <w:p w14:paraId="403CC123"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34,5</w:t>
            </w:r>
          </w:p>
        </w:tc>
        <w:tc>
          <w:tcPr>
            <w:tcW w:w="1252" w:type="dxa"/>
            <w:tcBorders>
              <w:top w:val="nil"/>
              <w:left w:val="nil"/>
              <w:bottom w:val="nil"/>
              <w:right w:val="nil"/>
            </w:tcBorders>
            <w:shd w:val="clear" w:color="auto" w:fill="auto"/>
            <w:vAlign w:val="center"/>
            <w:hideMark/>
          </w:tcPr>
          <w:p w14:paraId="75CA2C8F"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32,7</w:t>
            </w:r>
          </w:p>
        </w:tc>
        <w:tc>
          <w:tcPr>
            <w:tcW w:w="1254" w:type="dxa"/>
            <w:tcBorders>
              <w:top w:val="nil"/>
              <w:left w:val="nil"/>
              <w:bottom w:val="nil"/>
              <w:right w:val="nil"/>
            </w:tcBorders>
            <w:shd w:val="clear" w:color="auto" w:fill="auto"/>
            <w:vAlign w:val="center"/>
            <w:hideMark/>
          </w:tcPr>
          <w:p w14:paraId="681C69C6"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36,2</w:t>
            </w:r>
          </w:p>
        </w:tc>
      </w:tr>
      <w:tr w:rsidR="00CC38CC" w:rsidRPr="00D50EF1" w14:paraId="3FAD6F37"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5D415EC8"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mladší 20 let</w:t>
            </w:r>
          </w:p>
        </w:tc>
        <w:tc>
          <w:tcPr>
            <w:tcW w:w="1609" w:type="dxa"/>
            <w:tcBorders>
              <w:top w:val="nil"/>
              <w:left w:val="nil"/>
              <w:bottom w:val="nil"/>
              <w:right w:val="nil"/>
            </w:tcBorders>
            <w:shd w:val="clear" w:color="auto" w:fill="auto"/>
            <w:vAlign w:val="center"/>
            <w:hideMark/>
          </w:tcPr>
          <w:p w14:paraId="2FDE092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29,3</w:t>
            </w:r>
          </w:p>
        </w:tc>
        <w:tc>
          <w:tcPr>
            <w:tcW w:w="1252" w:type="dxa"/>
            <w:tcBorders>
              <w:top w:val="nil"/>
              <w:left w:val="nil"/>
              <w:bottom w:val="nil"/>
              <w:right w:val="nil"/>
            </w:tcBorders>
            <w:shd w:val="clear" w:color="auto" w:fill="auto"/>
            <w:vAlign w:val="center"/>
            <w:hideMark/>
          </w:tcPr>
          <w:p w14:paraId="74111518"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16,9</w:t>
            </w:r>
          </w:p>
        </w:tc>
        <w:tc>
          <w:tcPr>
            <w:tcW w:w="1254" w:type="dxa"/>
            <w:tcBorders>
              <w:top w:val="nil"/>
              <w:left w:val="nil"/>
              <w:bottom w:val="nil"/>
              <w:right w:val="single" w:sz="4" w:space="0" w:color="auto"/>
            </w:tcBorders>
            <w:shd w:val="clear" w:color="auto" w:fill="auto"/>
            <w:vAlign w:val="center"/>
            <w:hideMark/>
          </w:tcPr>
          <w:p w14:paraId="4E633F5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12,4</w:t>
            </w:r>
          </w:p>
        </w:tc>
        <w:tc>
          <w:tcPr>
            <w:tcW w:w="1610" w:type="dxa"/>
            <w:tcBorders>
              <w:top w:val="nil"/>
              <w:left w:val="nil"/>
              <w:bottom w:val="nil"/>
              <w:right w:val="nil"/>
            </w:tcBorders>
            <w:shd w:val="clear" w:color="auto" w:fill="auto"/>
            <w:vAlign w:val="center"/>
            <w:hideMark/>
          </w:tcPr>
          <w:p w14:paraId="5080DB2B"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16,4</w:t>
            </w:r>
          </w:p>
        </w:tc>
        <w:tc>
          <w:tcPr>
            <w:tcW w:w="1252" w:type="dxa"/>
            <w:tcBorders>
              <w:top w:val="nil"/>
              <w:left w:val="nil"/>
              <w:bottom w:val="nil"/>
              <w:right w:val="nil"/>
            </w:tcBorders>
            <w:shd w:val="clear" w:color="auto" w:fill="auto"/>
            <w:vAlign w:val="center"/>
            <w:hideMark/>
          </w:tcPr>
          <w:p w14:paraId="7A64EB2A"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15,1</w:t>
            </w:r>
          </w:p>
        </w:tc>
        <w:tc>
          <w:tcPr>
            <w:tcW w:w="1254" w:type="dxa"/>
            <w:tcBorders>
              <w:top w:val="nil"/>
              <w:left w:val="nil"/>
              <w:bottom w:val="nil"/>
              <w:right w:val="nil"/>
            </w:tcBorders>
            <w:shd w:val="clear" w:color="auto" w:fill="auto"/>
            <w:vAlign w:val="center"/>
            <w:hideMark/>
          </w:tcPr>
          <w:p w14:paraId="0C9EB5B4"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18,2</w:t>
            </w:r>
          </w:p>
        </w:tc>
      </w:tr>
      <w:tr w:rsidR="00CC38CC" w:rsidRPr="00D50EF1" w14:paraId="688D6FAD"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B906CFD"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20–29 let</w:t>
            </w:r>
          </w:p>
        </w:tc>
        <w:tc>
          <w:tcPr>
            <w:tcW w:w="1609" w:type="dxa"/>
            <w:tcBorders>
              <w:top w:val="nil"/>
              <w:left w:val="nil"/>
              <w:bottom w:val="nil"/>
              <w:right w:val="nil"/>
            </w:tcBorders>
            <w:shd w:val="clear" w:color="auto" w:fill="auto"/>
            <w:vAlign w:val="center"/>
            <w:hideMark/>
          </w:tcPr>
          <w:p w14:paraId="6EB2283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526,2</w:t>
            </w:r>
          </w:p>
        </w:tc>
        <w:tc>
          <w:tcPr>
            <w:tcW w:w="1252" w:type="dxa"/>
            <w:tcBorders>
              <w:top w:val="nil"/>
              <w:left w:val="nil"/>
              <w:bottom w:val="nil"/>
              <w:right w:val="nil"/>
            </w:tcBorders>
            <w:shd w:val="clear" w:color="auto" w:fill="auto"/>
            <w:vAlign w:val="center"/>
            <w:hideMark/>
          </w:tcPr>
          <w:p w14:paraId="43BD74A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289,4</w:t>
            </w:r>
          </w:p>
        </w:tc>
        <w:tc>
          <w:tcPr>
            <w:tcW w:w="1254" w:type="dxa"/>
            <w:tcBorders>
              <w:top w:val="nil"/>
              <w:left w:val="nil"/>
              <w:bottom w:val="nil"/>
              <w:right w:val="single" w:sz="4" w:space="0" w:color="auto"/>
            </w:tcBorders>
            <w:shd w:val="clear" w:color="auto" w:fill="auto"/>
            <w:vAlign w:val="center"/>
            <w:hideMark/>
          </w:tcPr>
          <w:p w14:paraId="56315787"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236,8</w:t>
            </w:r>
          </w:p>
        </w:tc>
        <w:tc>
          <w:tcPr>
            <w:tcW w:w="1610" w:type="dxa"/>
            <w:tcBorders>
              <w:top w:val="nil"/>
              <w:left w:val="nil"/>
              <w:bottom w:val="nil"/>
              <w:right w:val="nil"/>
            </w:tcBorders>
            <w:shd w:val="clear" w:color="auto" w:fill="auto"/>
            <w:vAlign w:val="center"/>
            <w:hideMark/>
          </w:tcPr>
          <w:p w14:paraId="3DF7B19B"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22,4</w:t>
            </w:r>
          </w:p>
        </w:tc>
        <w:tc>
          <w:tcPr>
            <w:tcW w:w="1252" w:type="dxa"/>
            <w:tcBorders>
              <w:top w:val="nil"/>
              <w:left w:val="nil"/>
              <w:bottom w:val="nil"/>
              <w:right w:val="nil"/>
            </w:tcBorders>
            <w:shd w:val="clear" w:color="auto" w:fill="auto"/>
            <w:vAlign w:val="center"/>
            <w:hideMark/>
          </w:tcPr>
          <w:p w14:paraId="62655FCC"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18,9</w:t>
            </w:r>
          </w:p>
        </w:tc>
        <w:tc>
          <w:tcPr>
            <w:tcW w:w="1254" w:type="dxa"/>
            <w:tcBorders>
              <w:top w:val="nil"/>
              <w:left w:val="nil"/>
              <w:bottom w:val="nil"/>
              <w:right w:val="nil"/>
            </w:tcBorders>
            <w:shd w:val="clear" w:color="auto" w:fill="auto"/>
            <w:vAlign w:val="center"/>
            <w:hideMark/>
          </w:tcPr>
          <w:p w14:paraId="661902CD"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26,7</w:t>
            </w:r>
          </w:p>
        </w:tc>
      </w:tr>
      <w:tr w:rsidR="00CC38CC" w:rsidRPr="00D50EF1" w14:paraId="0DAF4385"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15022DB2"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30–39 let</w:t>
            </w:r>
          </w:p>
        </w:tc>
        <w:tc>
          <w:tcPr>
            <w:tcW w:w="1609" w:type="dxa"/>
            <w:tcBorders>
              <w:top w:val="nil"/>
              <w:left w:val="nil"/>
              <w:bottom w:val="nil"/>
              <w:right w:val="nil"/>
            </w:tcBorders>
            <w:shd w:val="clear" w:color="auto" w:fill="auto"/>
            <w:vAlign w:val="center"/>
            <w:hideMark/>
          </w:tcPr>
          <w:p w14:paraId="0F9FC41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576,3</w:t>
            </w:r>
          </w:p>
        </w:tc>
        <w:tc>
          <w:tcPr>
            <w:tcW w:w="1252" w:type="dxa"/>
            <w:tcBorders>
              <w:top w:val="nil"/>
              <w:left w:val="nil"/>
              <w:bottom w:val="nil"/>
              <w:right w:val="nil"/>
            </w:tcBorders>
            <w:shd w:val="clear" w:color="auto" w:fill="auto"/>
            <w:vAlign w:val="center"/>
            <w:hideMark/>
          </w:tcPr>
          <w:p w14:paraId="7F3218D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308,6</w:t>
            </w:r>
          </w:p>
        </w:tc>
        <w:tc>
          <w:tcPr>
            <w:tcW w:w="1254" w:type="dxa"/>
            <w:tcBorders>
              <w:top w:val="nil"/>
              <w:left w:val="nil"/>
              <w:bottom w:val="nil"/>
              <w:right w:val="single" w:sz="4" w:space="0" w:color="auto"/>
            </w:tcBorders>
            <w:shd w:val="clear" w:color="auto" w:fill="auto"/>
            <w:vAlign w:val="center"/>
            <w:hideMark/>
          </w:tcPr>
          <w:p w14:paraId="3FF0E22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267,7</w:t>
            </w:r>
          </w:p>
        </w:tc>
        <w:tc>
          <w:tcPr>
            <w:tcW w:w="1610" w:type="dxa"/>
            <w:tcBorders>
              <w:top w:val="nil"/>
              <w:left w:val="nil"/>
              <w:bottom w:val="nil"/>
              <w:right w:val="nil"/>
            </w:tcBorders>
            <w:shd w:val="clear" w:color="auto" w:fill="auto"/>
            <w:vAlign w:val="center"/>
            <w:hideMark/>
          </w:tcPr>
          <w:p w14:paraId="1721B6FC"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27,9</w:t>
            </w:r>
          </w:p>
        </w:tc>
        <w:tc>
          <w:tcPr>
            <w:tcW w:w="1252" w:type="dxa"/>
            <w:tcBorders>
              <w:top w:val="nil"/>
              <w:left w:val="nil"/>
              <w:bottom w:val="nil"/>
              <w:right w:val="nil"/>
            </w:tcBorders>
            <w:shd w:val="clear" w:color="auto" w:fill="auto"/>
            <w:vAlign w:val="center"/>
            <w:hideMark/>
          </w:tcPr>
          <w:p w14:paraId="0375A4D6"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24,1</w:t>
            </w:r>
          </w:p>
        </w:tc>
        <w:tc>
          <w:tcPr>
            <w:tcW w:w="1254" w:type="dxa"/>
            <w:tcBorders>
              <w:top w:val="nil"/>
              <w:left w:val="nil"/>
              <w:bottom w:val="nil"/>
              <w:right w:val="nil"/>
            </w:tcBorders>
            <w:shd w:val="clear" w:color="auto" w:fill="auto"/>
            <w:vAlign w:val="center"/>
            <w:hideMark/>
          </w:tcPr>
          <w:p w14:paraId="53415D90"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32,2</w:t>
            </w:r>
          </w:p>
        </w:tc>
      </w:tr>
      <w:tr w:rsidR="00CC38CC" w:rsidRPr="00D50EF1" w14:paraId="7FD54FF5"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17BDEF81"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40–49 let</w:t>
            </w:r>
          </w:p>
        </w:tc>
        <w:tc>
          <w:tcPr>
            <w:tcW w:w="1609" w:type="dxa"/>
            <w:tcBorders>
              <w:top w:val="nil"/>
              <w:left w:val="nil"/>
              <w:bottom w:val="nil"/>
              <w:right w:val="nil"/>
            </w:tcBorders>
            <w:shd w:val="clear" w:color="auto" w:fill="auto"/>
            <w:vAlign w:val="center"/>
            <w:hideMark/>
          </w:tcPr>
          <w:p w14:paraId="6C99E574"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763,7</w:t>
            </w:r>
          </w:p>
        </w:tc>
        <w:tc>
          <w:tcPr>
            <w:tcW w:w="1252" w:type="dxa"/>
            <w:tcBorders>
              <w:top w:val="nil"/>
              <w:left w:val="nil"/>
              <w:bottom w:val="nil"/>
              <w:right w:val="nil"/>
            </w:tcBorders>
            <w:shd w:val="clear" w:color="auto" w:fill="auto"/>
            <w:vAlign w:val="center"/>
            <w:hideMark/>
          </w:tcPr>
          <w:p w14:paraId="670478D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329,2</w:t>
            </w:r>
          </w:p>
        </w:tc>
        <w:tc>
          <w:tcPr>
            <w:tcW w:w="1254" w:type="dxa"/>
            <w:tcBorders>
              <w:top w:val="nil"/>
              <w:left w:val="nil"/>
              <w:bottom w:val="nil"/>
              <w:right w:val="single" w:sz="4" w:space="0" w:color="auto"/>
            </w:tcBorders>
            <w:shd w:val="clear" w:color="auto" w:fill="auto"/>
            <w:vAlign w:val="center"/>
            <w:hideMark/>
          </w:tcPr>
          <w:p w14:paraId="319BD68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434,5</w:t>
            </w:r>
          </w:p>
        </w:tc>
        <w:tc>
          <w:tcPr>
            <w:tcW w:w="1610" w:type="dxa"/>
            <w:tcBorders>
              <w:top w:val="nil"/>
              <w:left w:val="nil"/>
              <w:bottom w:val="nil"/>
              <w:right w:val="nil"/>
            </w:tcBorders>
            <w:shd w:val="clear" w:color="auto" w:fill="auto"/>
            <w:vAlign w:val="center"/>
            <w:hideMark/>
          </w:tcPr>
          <w:p w14:paraId="4280A78B"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33,5</w:t>
            </w:r>
          </w:p>
        </w:tc>
        <w:tc>
          <w:tcPr>
            <w:tcW w:w="1252" w:type="dxa"/>
            <w:tcBorders>
              <w:top w:val="nil"/>
              <w:left w:val="nil"/>
              <w:bottom w:val="nil"/>
              <w:right w:val="nil"/>
            </w:tcBorders>
            <w:shd w:val="clear" w:color="auto" w:fill="auto"/>
            <w:vAlign w:val="center"/>
            <w:hideMark/>
          </w:tcPr>
          <w:p w14:paraId="5CA85E6E"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32,9</w:t>
            </w:r>
          </w:p>
        </w:tc>
        <w:tc>
          <w:tcPr>
            <w:tcW w:w="1254" w:type="dxa"/>
            <w:tcBorders>
              <w:top w:val="nil"/>
              <w:left w:val="nil"/>
              <w:bottom w:val="nil"/>
              <w:right w:val="nil"/>
            </w:tcBorders>
            <w:shd w:val="clear" w:color="auto" w:fill="auto"/>
            <w:vAlign w:val="center"/>
            <w:hideMark/>
          </w:tcPr>
          <w:p w14:paraId="423B811F"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34,0</w:t>
            </w:r>
          </w:p>
        </w:tc>
      </w:tr>
      <w:tr w:rsidR="00CC38CC" w:rsidRPr="00D50EF1" w14:paraId="19303588"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35697812"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50–59 let</w:t>
            </w:r>
          </w:p>
        </w:tc>
        <w:tc>
          <w:tcPr>
            <w:tcW w:w="1609" w:type="dxa"/>
            <w:tcBorders>
              <w:top w:val="nil"/>
              <w:left w:val="nil"/>
              <w:right w:val="nil"/>
            </w:tcBorders>
            <w:shd w:val="clear" w:color="auto" w:fill="auto"/>
            <w:vAlign w:val="center"/>
            <w:hideMark/>
          </w:tcPr>
          <w:p w14:paraId="2A300D0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633,2</w:t>
            </w:r>
          </w:p>
        </w:tc>
        <w:tc>
          <w:tcPr>
            <w:tcW w:w="1252" w:type="dxa"/>
            <w:tcBorders>
              <w:top w:val="nil"/>
              <w:left w:val="nil"/>
              <w:right w:val="nil"/>
            </w:tcBorders>
            <w:shd w:val="clear" w:color="auto" w:fill="auto"/>
            <w:vAlign w:val="center"/>
            <w:hideMark/>
          </w:tcPr>
          <w:p w14:paraId="106F9743"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269,2</w:t>
            </w:r>
          </w:p>
        </w:tc>
        <w:tc>
          <w:tcPr>
            <w:tcW w:w="1254" w:type="dxa"/>
            <w:tcBorders>
              <w:top w:val="nil"/>
              <w:left w:val="nil"/>
              <w:right w:val="single" w:sz="4" w:space="0" w:color="auto"/>
            </w:tcBorders>
            <w:shd w:val="clear" w:color="auto" w:fill="auto"/>
            <w:vAlign w:val="center"/>
            <w:hideMark/>
          </w:tcPr>
          <w:p w14:paraId="240AAC26"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364,0</w:t>
            </w:r>
          </w:p>
        </w:tc>
        <w:tc>
          <w:tcPr>
            <w:tcW w:w="1610" w:type="dxa"/>
            <w:tcBorders>
              <w:top w:val="nil"/>
              <w:left w:val="nil"/>
              <w:right w:val="nil"/>
            </w:tcBorders>
            <w:shd w:val="clear" w:color="auto" w:fill="auto"/>
            <w:vAlign w:val="center"/>
            <w:hideMark/>
          </w:tcPr>
          <w:p w14:paraId="487AFA3B"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45,2</w:t>
            </w:r>
          </w:p>
        </w:tc>
        <w:tc>
          <w:tcPr>
            <w:tcW w:w="1252" w:type="dxa"/>
            <w:tcBorders>
              <w:top w:val="nil"/>
              <w:left w:val="nil"/>
              <w:right w:val="nil"/>
            </w:tcBorders>
            <w:shd w:val="clear" w:color="auto" w:fill="auto"/>
            <w:vAlign w:val="center"/>
            <w:hideMark/>
          </w:tcPr>
          <w:p w14:paraId="30DE8DC4"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45,8</w:t>
            </w:r>
          </w:p>
        </w:tc>
        <w:tc>
          <w:tcPr>
            <w:tcW w:w="1254" w:type="dxa"/>
            <w:tcBorders>
              <w:top w:val="nil"/>
              <w:left w:val="nil"/>
              <w:right w:val="nil"/>
            </w:tcBorders>
            <w:shd w:val="clear" w:color="auto" w:fill="auto"/>
            <w:vAlign w:val="center"/>
            <w:hideMark/>
          </w:tcPr>
          <w:p w14:paraId="64F153FE"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44,7</w:t>
            </w:r>
          </w:p>
        </w:tc>
      </w:tr>
      <w:tr w:rsidR="00CC38CC" w:rsidRPr="00D50EF1" w14:paraId="0A2A2148"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6982585A"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60 a více let</w:t>
            </w:r>
          </w:p>
        </w:tc>
        <w:tc>
          <w:tcPr>
            <w:tcW w:w="1609" w:type="dxa"/>
            <w:tcBorders>
              <w:top w:val="nil"/>
              <w:left w:val="nil"/>
              <w:right w:val="nil"/>
            </w:tcBorders>
            <w:shd w:val="clear" w:color="auto" w:fill="auto"/>
            <w:vAlign w:val="center"/>
            <w:hideMark/>
          </w:tcPr>
          <w:p w14:paraId="48846C8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189,3</w:t>
            </w:r>
          </w:p>
        </w:tc>
        <w:tc>
          <w:tcPr>
            <w:tcW w:w="1252" w:type="dxa"/>
            <w:tcBorders>
              <w:top w:val="nil"/>
              <w:left w:val="nil"/>
              <w:right w:val="nil"/>
            </w:tcBorders>
            <w:shd w:val="clear" w:color="auto" w:fill="auto"/>
            <w:vAlign w:val="center"/>
            <w:hideMark/>
          </w:tcPr>
          <w:p w14:paraId="1B437BB7"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106,9</w:t>
            </w:r>
          </w:p>
        </w:tc>
        <w:tc>
          <w:tcPr>
            <w:tcW w:w="1254" w:type="dxa"/>
            <w:tcBorders>
              <w:top w:val="nil"/>
              <w:left w:val="nil"/>
              <w:right w:val="single" w:sz="4" w:space="0" w:color="auto"/>
            </w:tcBorders>
            <w:shd w:val="clear" w:color="auto" w:fill="auto"/>
            <w:vAlign w:val="center"/>
            <w:hideMark/>
          </w:tcPr>
          <w:p w14:paraId="06EDCFB6"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82,5</w:t>
            </w:r>
          </w:p>
        </w:tc>
        <w:tc>
          <w:tcPr>
            <w:tcW w:w="1610" w:type="dxa"/>
            <w:tcBorders>
              <w:top w:val="nil"/>
              <w:left w:val="nil"/>
              <w:right w:val="nil"/>
            </w:tcBorders>
            <w:shd w:val="clear" w:color="auto" w:fill="auto"/>
            <w:vAlign w:val="center"/>
            <w:hideMark/>
          </w:tcPr>
          <w:p w14:paraId="6C461D61"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58,8</w:t>
            </w:r>
          </w:p>
        </w:tc>
        <w:tc>
          <w:tcPr>
            <w:tcW w:w="1252" w:type="dxa"/>
            <w:tcBorders>
              <w:top w:val="nil"/>
              <w:left w:val="nil"/>
              <w:right w:val="nil"/>
            </w:tcBorders>
            <w:shd w:val="clear" w:color="auto" w:fill="auto"/>
            <w:vAlign w:val="center"/>
            <w:hideMark/>
          </w:tcPr>
          <w:p w14:paraId="58E20F24"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63,7</w:t>
            </w:r>
          </w:p>
        </w:tc>
        <w:tc>
          <w:tcPr>
            <w:tcW w:w="1254" w:type="dxa"/>
            <w:tcBorders>
              <w:top w:val="nil"/>
              <w:left w:val="nil"/>
              <w:right w:val="nil"/>
            </w:tcBorders>
            <w:shd w:val="clear" w:color="auto" w:fill="auto"/>
            <w:vAlign w:val="center"/>
            <w:hideMark/>
          </w:tcPr>
          <w:p w14:paraId="736BD07C"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52,5</w:t>
            </w:r>
          </w:p>
        </w:tc>
      </w:tr>
    </w:tbl>
    <w:p w14:paraId="6B7C4445" w14:textId="164DF939" w:rsidR="00D7583A" w:rsidRPr="00D92E20" w:rsidRDefault="00D7583A" w:rsidP="00D7583A">
      <w:pPr>
        <w:spacing w:before="120"/>
        <w:rPr>
          <w:sz w:val="16"/>
        </w:rPr>
      </w:pPr>
      <w:r w:rsidRPr="00D92E20">
        <w:rPr>
          <w:sz w:val="16"/>
        </w:rPr>
        <w:t>Zdroj: ČSSZ</w:t>
      </w:r>
    </w:p>
    <w:p w14:paraId="1953F1CC" w14:textId="77777777" w:rsidR="00D7583A" w:rsidRPr="00D92E20" w:rsidRDefault="00D7583A" w:rsidP="00D7583A">
      <w:pPr>
        <w:spacing w:before="120" w:after="120"/>
        <w:jc w:val="both"/>
      </w:pPr>
      <w:r w:rsidRPr="00D92E20">
        <w:t>Doba, po kterou</w:t>
      </w:r>
      <w:r>
        <w:t xml:space="preserve"> průměrná</w:t>
      </w:r>
      <w:r w:rsidRPr="00D92E20">
        <w:t xml:space="preserve"> pracovní neschopnost trvala, rostla </w:t>
      </w:r>
      <w:r w:rsidRPr="00D92E20">
        <w:rPr>
          <w:b/>
        </w:rPr>
        <w:t>s věkem</w:t>
      </w:r>
      <w:r w:rsidRPr="00D92E20">
        <w:t xml:space="preserve"> (viz tab. 3.2), a to od </w:t>
      </w:r>
      <w:r>
        <w:t>16,4</w:t>
      </w:r>
      <w:r w:rsidRPr="00D92E20">
        <w:t xml:space="preserve"> dne ve</w:t>
      </w:r>
      <w:r>
        <w:t> </w:t>
      </w:r>
      <w:r w:rsidRPr="00D92E20">
        <w:t xml:space="preserve">věkové skupině osob mladších 20 let až po </w:t>
      </w:r>
      <w:r>
        <w:t>58,8</w:t>
      </w:r>
      <w:r w:rsidRPr="00D92E20">
        <w:t xml:space="preserve"> dne ve věkové skupině 60letých a starších. To je způsobeno zejména vyšším zastoupením krátkodobých případů pracovní neschopnosti pro nemoci dýchací soustavy v mladším věku</w:t>
      </w:r>
      <w:r w:rsidR="00074565">
        <w:t>,</w:t>
      </w:r>
      <w:r w:rsidRPr="00D92E20">
        <w:t xml:space="preserve"> a naopak nárůstem dlouhodobých případů pracovní neschopnosti pro nádorová onemocnění a nemoci oběhové soustavy se zvyšujícím se věkem.</w:t>
      </w:r>
    </w:p>
    <w:p w14:paraId="446FD3C9" w14:textId="77777777" w:rsidR="00D7583A" w:rsidRPr="002203FD" w:rsidRDefault="00D7583A" w:rsidP="00D7583A">
      <w:pPr>
        <w:spacing w:before="120" w:after="120"/>
        <w:jc w:val="both"/>
      </w:pPr>
      <w:r w:rsidRPr="002203FD">
        <w:t xml:space="preserve">Pracovní neschopnost plyne z různých příčin a statistiky ČSSZ nabízí přehled ukončených případů </w:t>
      </w:r>
      <w:r w:rsidRPr="002203FD">
        <w:rPr>
          <w:b/>
        </w:rPr>
        <w:t>podle diagnóz</w:t>
      </w:r>
      <w:r w:rsidRPr="002203FD">
        <w:t xml:space="preserve">. Pokud pomineme kategorii </w:t>
      </w:r>
      <w:r w:rsidRPr="002203FD">
        <w:rPr>
          <w:b/>
        </w:rPr>
        <w:t>ostatní nemoci</w:t>
      </w:r>
      <w:r w:rsidRPr="002203FD">
        <w:t>, kterou oproti předchozím rokům navyšují zejm</w:t>
      </w:r>
      <w:r>
        <w:t>éna</w:t>
      </w:r>
      <w:r w:rsidRPr="002203FD">
        <w:t xml:space="preserve"> neschopenky pro případ karantény</w:t>
      </w:r>
      <w:r>
        <w:t xml:space="preserve"> spojené s covidem</w:t>
      </w:r>
      <w:r w:rsidRPr="002203FD">
        <w:t xml:space="preserve">, nejčastějším důvodem jsou dlouhodobě </w:t>
      </w:r>
      <w:r w:rsidRPr="002203FD">
        <w:rPr>
          <w:b/>
        </w:rPr>
        <w:t>nemoci dýchací soustavy</w:t>
      </w:r>
      <w:r w:rsidRPr="002203FD">
        <w:t>, které v</w:t>
      </w:r>
      <w:r>
        <w:t xml:space="preserve"> roce </w:t>
      </w:r>
      <w:r w:rsidRPr="002203FD">
        <w:t>2021 způsobily</w:t>
      </w:r>
      <w:r>
        <w:t xml:space="preserve"> téměř čtvrtinu </w:t>
      </w:r>
      <w:r w:rsidRPr="002203FD">
        <w:t>všech případů pracovní neschopnost</w:t>
      </w:r>
      <w:r w:rsidR="00074565">
        <w:t>i</w:t>
      </w:r>
      <w:r w:rsidRPr="002203FD">
        <w:t xml:space="preserve">. Z nemocí této skupiny jsou neschopenky vystavovány </w:t>
      </w:r>
      <w:r>
        <w:t>především</w:t>
      </w:r>
      <w:r w:rsidRPr="002203FD">
        <w:t xml:space="preserve"> kvůli akutním infekcím dýchacích cest či chřipkám. Na</w:t>
      </w:r>
      <w:r>
        <w:t> </w:t>
      </w:r>
      <w:r w:rsidRPr="002203FD">
        <w:t xml:space="preserve">druhou stranu, onemocnění dýchací soustavy tvořila pouze </w:t>
      </w:r>
      <w:r>
        <w:t>11</w:t>
      </w:r>
      <w:r w:rsidRPr="002203FD">
        <w:t xml:space="preserve"> % (</w:t>
      </w:r>
      <w:r>
        <w:t>10</w:t>
      </w:r>
      <w:r w:rsidRPr="002203FD">
        <w:t xml:space="preserve"> mil. dnů) z celkového počtu prostonaných dnů. To </w:t>
      </w:r>
      <w:r>
        <w:t>znamená</w:t>
      </w:r>
      <w:r w:rsidRPr="002203FD">
        <w:t xml:space="preserve"> v průměru nejkratší dobu pracovní neschopnosti ze všech skupin diagnóz, a</w:t>
      </w:r>
      <w:r>
        <w:t> </w:t>
      </w:r>
      <w:r w:rsidRPr="002203FD">
        <w:t xml:space="preserve">sice </w:t>
      </w:r>
      <w:r>
        <w:t>15,6</w:t>
      </w:r>
      <w:r w:rsidRPr="002203FD">
        <w:t xml:space="preserve"> dne na 1</w:t>
      </w:r>
      <w:r>
        <w:t> </w:t>
      </w:r>
      <w:r w:rsidRPr="002203FD">
        <w:t>případ.</w:t>
      </w:r>
    </w:p>
    <w:p w14:paraId="111C9419" w14:textId="52B2922C" w:rsidR="00D7583A" w:rsidRPr="00867A29" w:rsidRDefault="00D7583A" w:rsidP="00D7583A">
      <w:pPr>
        <w:spacing w:before="120" w:after="120"/>
        <w:jc w:val="both"/>
      </w:pPr>
      <w:r w:rsidRPr="00867A29">
        <w:t xml:space="preserve">Již zmíněná kategorie </w:t>
      </w:r>
      <w:r w:rsidRPr="00867A29">
        <w:rPr>
          <w:b/>
        </w:rPr>
        <w:t>ostatní nemoci</w:t>
      </w:r>
      <w:r w:rsidRPr="00867A29">
        <w:t xml:space="preserve"> zaujímala v </w:t>
      </w:r>
      <w:r>
        <w:t>roce</w:t>
      </w:r>
      <w:r w:rsidRPr="00867A29">
        <w:t xml:space="preserve"> 2021 </w:t>
      </w:r>
      <w:r>
        <w:t>dvě pětiny</w:t>
      </w:r>
      <w:r w:rsidRPr="00867A29">
        <w:t xml:space="preserve"> všech pracovních neschopností. Dá se předpokládat, že jsou zde </w:t>
      </w:r>
      <w:r>
        <w:t xml:space="preserve">kromě karantén </w:t>
      </w:r>
      <w:r w:rsidRPr="00867A29">
        <w:t xml:space="preserve">zahrnuty i některé případy osob, u kterých </w:t>
      </w:r>
      <w:r>
        <w:t xml:space="preserve">v průběhu karantény vypuklo </w:t>
      </w:r>
      <w:r w:rsidRPr="00867A29">
        <w:t>samotné onemocnění</w:t>
      </w:r>
      <w:r>
        <w:t xml:space="preserve"> s vážnějšími příznaky</w:t>
      </w:r>
      <w:r w:rsidRPr="00867A29">
        <w:t xml:space="preserve">. Přesnější zachycení pandemie z těchto dat </w:t>
      </w:r>
      <w:r>
        <w:t xml:space="preserve">ovšem </w:t>
      </w:r>
      <w:r w:rsidRPr="00867A29">
        <w:t xml:space="preserve">není </w:t>
      </w:r>
      <w:r w:rsidRPr="00867A29">
        <w:lastRenderedPageBreak/>
        <w:t>možné.</w:t>
      </w:r>
      <w:r>
        <w:t xml:space="preserve"> V období let 2015 až 2019, tedy před epidemií covid</w:t>
      </w:r>
      <w:r w:rsidR="00E50F69">
        <w:t>u</w:t>
      </w:r>
      <w:r>
        <w:t xml:space="preserve">, se zastoupení ostatních nemocí jako příčiny pracovní neschopnosti pohybovalo mezi </w:t>
      </w:r>
      <w:r w:rsidR="00286733">
        <w:t>8</w:t>
      </w:r>
      <w:r>
        <w:t xml:space="preserve"> a 10 %.</w:t>
      </w:r>
    </w:p>
    <w:p w14:paraId="106A40E7" w14:textId="77777777" w:rsidR="00287133" w:rsidRPr="00921C1C" w:rsidRDefault="00287133" w:rsidP="00287133">
      <w:pPr>
        <w:spacing w:before="120" w:after="120"/>
        <w:jc w:val="both"/>
      </w:pPr>
      <w:r w:rsidRPr="00921C1C">
        <w:rPr>
          <w:b/>
        </w:rPr>
        <w:t xml:space="preserve">Nemoci pohybové soustavy </w:t>
      </w:r>
      <w:r w:rsidRPr="00921C1C">
        <w:t>zapříčinily 14 % pracovních neschopností.</w:t>
      </w:r>
      <w:r w:rsidRPr="00921C1C">
        <w:rPr>
          <w:b/>
        </w:rPr>
        <w:t xml:space="preserve"> </w:t>
      </w:r>
      <w:r w:rsidRPr="00921C1C">
        <w:t>Tyto nemoci se vyznačují poměrně dlouhou délkou trvání, v průměru déle než 2 kalendářní měsíce (7</w:t>
      </w:r>
      <w:r>
        <w:t>0,2</w:t>
      </w:r>
      <w:r w:rsidRPr="00921C1C">
        <w:t xml:space="preserve"> dne) na 1 případ. </w:t>
      </w:r>
      <w:r>
        <w:t>Počet</w:t>
      </w:r>
      <w:r w:rsidRPr="00921C1C">
        <w:t xml:space="preserve"> prostonaných dnů </w:t>
      </w:r>
      <w:r>
        <w:t>této</w:t>
      </w:r>
      <w:r w:rsidRPr="00921C1C">
        <w:t xml:space="preserve"> kategorie </w:t>
      </w:r>
      <w:r>
        <w:t xml:space="preserve">činil 26,7 mil. a tvoří </w:t>
      </w:r>
      <w:r w:rsidRPr="00921C1C">
        <w:t>dlouhodobě nejvyšší podíl</w:t>
      </w:r>
      <w:r>
        <w:t xml:space="preserve"> ze všech skupin diagnóz</w:t>
      </w:r>
      <w:r w:rsidRPr="00921C1C">
        <w:t xml:space="preserve">. Z nemocí pohybové soustavy zapříčiňují pracovní neschopnost nejčastěji </w:t>
      </w:r>
      <w:r>
        <w:t>nemoci</w:t>
      </w:r>
      <w:r w:rsidRPr="00921C1C">
        <w:t xml:space="preserve"> páteře.</w:t>
      </w:r>
    </w:p>
    <w:p w14:paraId="57488BC6" w14:textId="1CCB3E64" w:rsidR="00287133" w:rsidRPr="00921C1C" w:rsidRDefault="00287133" w:rsidP="00287133">
      <w:pPr>
        <w:spacing w:before="120" w:after="120"/>
        <w:jc w:val="both"/>
        <w:rPr>
          <w:b/>
        </w:rPr>
      </w:pPr>
      <w:r w:rsidRPr="00921C1C">
        <w:t xml:space="preserve">Další častou příčinu pracovní neschopnosti představovaly </w:t>
      </w:r>
      <w:r w:rsidRPr="00921C1C">
        <w:rPr>
          <w:b/>
        </w:rPr>
        <w:t>úrazy a otravy</w:t>
      </w:r>
      <w:r w:rsidRPr="00921C1C">
        <w:t xml:space="preserve">. Na všech neschopenkách se podílely </w:t>
      </w:r>
      <w:r>
        <w:t>7</w:t>
      </w:r>
      <w:r w:rsidRPr="00921C1C">
        <w:t xml:space="preserve"> %. Průměrná délka trvání pracovní neschopnosti byla v tomto případě 5</w:t>
      </w:r>
      <w:r>
        <w:t>3,5</w:t>
      </w:r>
      <w:r w:rsidRPr="00921C1C">
        <w:t xml:space="preserve"> dne a celkový počet prostonaných dnů činil </w:t>
      </w:r>
      <w:r w:rsidR="00286733">
        <w:t>10,2</w:t>
      </w:r>
      <w:r w:rsidRPr="00921C1C">
        <w:t xml:space="preserve"> mil.</w:t>
      </w:r>
    </w:p>
    <w:p w14:paraId="15270B11" w14:textId="77777777" w:rsidR="00287133" w:rsidRPr="00921C1C" w:rsidRDefault="00287133" w:rsidP="00287133">
      <w:pPr>
        <w:spacing w:before="120" w:after="120"/>
        <w:jc w:val="both"/>
      </w:pPr>
      <w:r w:rsidRPr="00921C1C">
        <w:t xml:space="preserve">Nejdelší </w:t>
      </w:r>
      <w:r w:rsidRPr="00921C1C">
        <w:rPr>
          <w:b/>
        </w:rPr>
        <w:t>průměrná délka</w:t>
      </w:r>
      <w:r w:rsidRPr="00921C1C">
        <w:t xml:space="preserve"> trvání pracovní neschopnosti byla v </w:t>
      </w:r>
      <w:r>
        <w:t>roce</w:t>
      </w:r>
      <w:r w:rsidRPr="00921C1C">
        <w:t xml:space="preserve"> 2021 evidována </w:t>
      </w:r>
      <w:r>
        <w:t xml:space="preserve">u </w:t>
      </w:r>
      <w:r w:rsidRPr="00921C1C">
        <w:t>zhoubných novotvarů (18</w:t>
      </w:r>
      <w:r>
        <w:t>7</w:t>
      </w:r>
      <w:r w:rsidRPr="00921C1C">
        <w:t xml:space="preserve"> dne). Neschopenka u této skupiny nemocí trvala 17</w:t>
      </w:r>
      <w:r>
        <w:t>7</w:t>
      </w:r>
      <w:r w:rsidRPr="00921C1C">
        <w:t xml:space="preserve"> dnů u mužů, zatímco u žen 19</w:t>
      </w:r>
      <w:r>
        <w:t>5</w:t>
      </w:r>
      <w:r w:rsidRPr="00921C1C">
        <w:t xml:space="preserve"> dn</w:t>
      </w:r>
      <w:r>
        <w:t>ů</w:t>
      </w:r>
      <w:r w:rsidRPr="00921C1C">
        <w:t>. Přes hranici 100 dnů se dostaly i nemoci spojené s těhotenstvím, mateřstvím a šestinedělím, které si vyžádaly v průměru 10</w:t>
      </w:r>
      <w:r>
        <w:t>3</w:t>
      </w:r>
      <w:r w:rsidRPr="00921C1C">
        <w:t xml:space="preserve"> dnů v pracovní neschopnosti.</w:t>
      </w:r>
    </w:p>
    <w:p w14:paraId="7B138C7A" w14:textId="77777777" w:rsidR="00287133" w:rsidRPr="00287133" w:rsidRDefault="00287133" w:rsidP="00287133">
      <w:pPr>
        <w:spacing w:after="0" w:line="240" w:lineRule="auto"/>
        <w:jc w:val="both"/>
        <w:rPr>
          <w:rFonts w:cs="Arial"/>
          <w:b/>
          <w:bCs/>
          <w:color w:val="000000"/>
          <w:szCs w:val="20"/>
        </w:rPr>
      </w:pPr>
      <w:r w:rsidRPr="00287133">
        <w:rPr>
          <w:rFonts w:cs="Arial"/>
          <w:b/>
          <w:bCs/>
          <w:color w:val="000000"/>
          <w:szCs w:val="20"/>
        </w:rPr>
        <w:t>Tab. 3.3: Ukončené případy dočasné pracovní neschopnosti podle skupin diagnóz a pohlaví, 2021</w:t>
      </w:r>
    </w:p>
    <w:tbl>
      <w:tblPr>
        <w:tblW w:w="9637" w:type="dxa"/>
        <w:tblCellMar>
          <w:left w:w="70" w:type="dxa"/>
          <w:right w:w="70" w:type="dxa"/>
        </w:tblCellMar>
        <w:tblLook w:val="04A0" w:firstRow="1" w:lastRow="0" w:firstColumn="1" w:lastColumn="0" w:noHBand="0" w:noVBand="1"/>
      </w:tblPr>
      <w:tblGrid>
        <w:gridCol w:w="4195"/>
        <w:gridCol w:w="907"/>
        <w:gridCol w:w="907"/>
        <w:gridCol w:w="907"/>
        <w:gridCol w:w="907"/>
        <w:gridCol w:w="907"/>
        <w:gridCol w:w="907"/>
      </w:tblGrid>
      <w:tr w:rsidR="00287133" w:rsidRPr="00287133" w14:paraId="1F878400" w14:textId="77777777" w:rsidTr="005E754B">
        <w:trPr>
          <w:trHeight w:val="525"/>
        </w:trPr>
        <w:tc>
          <w:tcPr>
            <w:tcW w:w="4195"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38012187" w14:textId="77777777" w:rsidR="00287133" w:rsidRPr="00287133" w:rsidRDefault="00287133" w:rsidP="00287133">
            <w:pPr>
              <w:spacing w:after="0" w:line="240" w:lineRule="auto"/>
              <w:jc w:val="center"/>
              <w:rPr>
                <w:rFonts w:cs="Arial"/>
                <w:color w:val="000000"/>
                <w:sz w:val="16"/>
                <w:szCs w:val="16"/>
              </w:rPr>
            </w:pPr>
            <w:r w:rsidRPr="00287133">
              <w:rPr>
                <w:rFonts w:cs="Arial"/>
                <w:color w:val="000000"/>
                <w:sz w:val="16"/>
                <w:szCs w:val="16"/>
              </w:rPr>
              <w:t>Skupiny diagnóz (kapitoly podle MKN-10)</w:t>
            </w:r>
          </w:p>
        </w:tc>
        <w:tc>
          <w:tcPr>
            <w:tcW w:w="2721" w:type="dxa"/>
            <w:gridSpan w:val="3"/>
            <w:tcBorders>
              <w:top w:val="single" w:sz="4" w:space="0" w:color="auto"/>
              <w:left w:val="nil"/>
              <w:bottom w:val="single" w:sz="4" w:space="0" w:color="auto"/>
              <w:right w:val="single" w:sz="4" w:space="0" w:color="000000"/>
            </w:tcBorders>
            <w:shd w:val="clear" w:color="000000" w:fill="F2DBDB"/>
            <w:vAlign w:val="center"/>
            <w:hideMark/>
          </w:tcPr>
          <w:p w14:paraId="1E6FFF9A" w14:textId="77777777" w:rsidR="00287133" w:rsidRPr="00287133" w:rsidRDefault="00287133" w:rsidP="00287133">
            <w:pPr>
              <w:spacing w:after="0" w:line="240" w:lineRule="auto"/>
              <w:jc w:val="center"/>
              <w:rPr>
                <w:rFonts w:cs="Arial"/>
                <w:color w:val="000000"/>
                <w:sz w:val="16"/>
                <w:szCs w:val="16"/>
              </w:rPr>
            </w:pPr>
            <w:r w:rsidRPr="00287133">
              <w:rPr>
                <w:rFonts w:cs="Arial"/>
                <w:color w:val="000000"/>
                <w:sz w:val="16"/>
                <w:szCs w:val="16"/>
              </w:rPr>
              <w:t>Počet případů DPN (tis.)</w:t>
            </w:r>
          </w:p>
        </w:tc>
        <w:tc>
          <w:tcPr>
            <w:tcW w:w="2721" w:type="dxa"/>
            <w:gridSpan w:val="3"/>
            <w:tcBorders>
              <w:top w:val="single" w:sz="4" w:space="0" w:color="auto"/>
              <w:left w:val="nil"/>
              <w:bottom w:val="single" w:sz="4" w:space="0" w:color="auto"/>
              <w:right w:val="nil"/>
            </w:tcBorders>
            <w:shd w:val="clear" w:color="000000" w:fill="F2DBDB"/>
            <w:vAlign w:val="center"/>
            <w:hideMark/>
          </w:tcPr>
          <w:p w14:paraId="49AD7C54" w14:textId="77777777" w:rsidR="00287133" w:rsidRPr="00287133" w:rsidRDefault="00287133" w:rsidP="00287133">
            <w:pPr>
              <w:spacing w:after="0" w:line="240" w:lineRule="auto"/>
              <w:jc w:val="center"/>
              <w:rPr>
                <w:rFonts w:cs="Arial"/>
                <w:color w:val="000000"/>
                <w:sz w:val="16"/>
                <w:szCs w:val="16"/>
              </w:rPr>
            </w:pPr>
            <w:r w:rsidRPr="00287133">
              <w:rPr>
                <w:rFonts w:cs="Arial"/>
                <w:color w:val="000000"/>
                <w:sz w:val="16"/>
                <w:szCs w:val="16"/>
              </w:rPr>
              <w:t>Průměrná délka trvání případu DPN ve dnech</w:t>
            </w:r>
          </w:p>
        </w:tc>
      </w:tr>
      <w:tr w:rsidR="005E754B" w:rsidRPr="00287133" w14:paraId="7EA3ACE2" w14:textId="77777777" w:rsidTr="00F40B8C">
        <w:trPr>
          <w:trHeight w:val="300"/>
        </w:trPr>
        <w:tc>
          <w:tcPr>
            <w:tcW w:w="4195" w:type="dxa"/>
            <w:vMerge/>
            <w:tcBorders>
              <w:top w:val="single" w:sz="4" w:space="0" w:color="auto"/>
              <w:left w:val="nil"/>
              <w:bottom w:val="single" w:sz="4" w:space="0" w:color="000000"/>
              <w:right w:val="single" w:sz="4" w:space="0" w:color="auto"/>
            </w:tcBorders>
            <w:vAlign w:val="center"/>
            <w:hideMark/>
          </w:tcPr>
          <w:p w14:paraId="2CDFB38A" w14:textId="77777777" w:rsidR="005E754B" w:rsidRPr="00287133" w:rsidRDefault="005E754B" w:rsidP="00287133">
            <w:pPr>
              <w:spacing w:after="0" w:line="240" w:lineRule="auto"/>
              <w:rPr>
                <w:rFonts w:cs="Arial"/>
                <w:color w:val="000000"/>
                <w:sz w:val="16"/>
                <w:szCs w:val="16"/>
              </w:rPr>
            </w:pPr>
          </w:p>
        </w:tc>
        <w:tc>
          <w:tcPr>
            <w:tcW w:w="907" w:type="dxa"/>
            <w:vMerge w:val="restart"/>
            <w:tcBorders>
              <w:top w:val="nil"/>
              <w:left w:val="single" w:sz="4" w:space="0" w:color="auto"/>
              <w:bottom w:val="single" w:sz="4" w:space="0" w:color="000000"/>
              <w:right w:val="nil"/>
            </w:tcBorders>
            <w:shd w:val="clear" w:color="000000" w:fill="F2DBDB"/>
            <w:vAlign w:val="center"/>
            <w:hideMark/>
          </w:tcPr>
          <w:p w14:paraId="1CF7902C" w14:textId="77777777" w:rsidR="005E754B" w:rsidRPr="00287133" w:rsidRDefault="005E754B" w:rsidP="00287133">
            <w:pPr>
              <w:spacing w:after="0" w:line="240" w:lineRule="auto"/>
              <w:jc w:val="center"/>
              <w:rPr>
                <w:rFonts w:cs="Arial"/>
                <w:b/>
                <w:bCs/>
                <w:color w:val="000000"/>
                <w:sz w:val="16"/>
                <w:szCs w:val="16"/>
              </w:rPr>
            </w:pPr>
            <w:r w:rsidRPr="00287133">
              <w:rPr>
                <w:rFonts w:cs="Arial"/>
                <w:b/>
                <w:bCs/>
                <w:color w:val="000000"/>
                <w:sz w:val="16"/>
                <w:szCs w:val="16"/>
              </w:rPr>
              <w:t>Celkem</w:t>
            </w:r>
          </w:p>
        </w:tc>
        <w:tc>
          <w:tcPr>
            <w:tcW w:w="1814"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6062B60F" w14:textId="77777777" w:rsidR="005E754B" w:rsidRPr="00287133" w:rsidRDefault="005E754B" w:rsidP="00287133">
            <w:pPr>
              <w:spacing w:after="0" w:line="240" w:lineRule="auto"/>
              <w:jc w:val="center"/>
              <w:rPr>
                <w:rFonts w:cs="Arial"/>
                <w:color w:val="000000"/>
                <w:sz w:val="16"/>
                <w:szCs w:val="16"/>
              </w:rPr>
            </w:pPr>
            <w:r w:rsidRPr="00287133">
              <w:rPr>
                <w:rFonts w:cs="Arial"/>
                <w:color w:val="000000"/>
                <w:sz w:val="16"/>
                <w:szCs w:val="16"/>
              </w:rPr>
              <w:t>podle pohlaví</w:t>
            </w:r>
          </w:p>
        </w:tc>
        <w:tc>
          <w:tcPr>
            <w:tcW w:w="907" w:type="dxa"/>
            <w:vMerge w:val="restart"/>
            <w:tcBorders>
              <w:top w:val="nil"/>
              <w:left w:val="single" w:sz="4" w:space="0" w:color="auto"/>
              <w:right w:val="nil"/>
            </w:tcBorders>
            <w:shd w:val="clear" w:color="000000" w:fill="F2DBDB"/>
            <w:vAlign w:val="center"/>
            <w:hideMark/>
          </w:tcPr>
          <w:p w14:paraId="45EF41A1" w14:textId="77777777" w:rsidR="005E754B" w:rsidRPr="00287133" w:rsidRDefault="005E754B" w:rsidP="00287133">
            <w:pPr>
              <w:spacing w:after="0" w:line="240" w:lineRule="auto"/>
              <w:jc w:val="center"/>
              <w:rPr>
                <w:rFonts w:cs="Arial"/>
                <w:b/>
                <w:bCs/>
                <w:color w:val="000000"/>
                <w:sz w:val="16"/>
                <w:szCs w:val="16"/>
              </w:rPr>
            </w:pPr>
            <w:r w:rsidRPr="00287133">
              <w:rPr>
                <w:rFonts w:cs="Arial"/>
                <w:b/>
                <w:bCs/>
                <w:color w:val="000000"/>
                <w:sz w:val="16"/>
                <w:szCs w:val="16"/>
              </w:rPr>
              <w:t>Celkem</w:t>
            </w:r>
          </w:p>
        </w:tc>
        <w:tc>
          <w:tcPr>
            <w:tcW w:w="1814" w:type="dxa"/>
            <w:gridSpan w:val="2"/>
            <w:tcBorders>
              <w:top w:val="single" w:sz="4" w:space="0" w:color="auto"/>
              <w:left w:val="single" w:sz="4" w:space="0" w:color="auto"/>
              <w:bottom w:val="single" w:sz="4" w:space="0" w:color="auto"/>
            </w:tcBorders>
            <w:shd w:val="clear" w:color="000000" w:fill="F2DBDB"/>
            <w:vAlign w:val="center"/>
            <w:hideMark/>
          </w:tcPr>
          <w:p w14:paraId="06B591B6" w14:textId="77777777" w:rsidR="005E754B" w:rsidRPr="00287133" w:rsidRDefault="005E754B" w:rsidP="00287133">
            <w:pPr>
              <w:spacing w:after="0" w:line="240" w:lineRule="auto"/>
              <w:jc w:val="center"/>
              <w:rPr>
                <w:rFonts w:cs="Arial"/>
                <w:color w:val="000000"/>
                <w:sz w:val="16"/>
                <w:szCs w:val="16"/>
              </w:rPr>
            </w:pPr>
            <w:r w:rsidRPr="00287133">
              <w:rPr>
                <w:rFonts w:cs="Arial"/>
                <w:color w:val="000000"/>
                <w:sz w:val="16"/>
                <w:szCs w:val="16"/>
              </w:rPr>
              <w:t>podle pohlaví</w:t>
            </w:r>
          </w:p>
        </w:tc>
      </w:tr>
      <w:tr w:rsidR="005E754B" w:rsidRPr="00287133" w14:paraId="6F03B158" w14:textId="77777777" w:rsidTr="00F40B8C">
        <w:trPr>
          <w:trHeight w:val="300"/>
        </w:trPr>
        <w:tc>
          <w:tcPr>
            <w:tcW w:w="4195" w:type="dxa"/>
            <w:vMerge/>
            <w:tcBorders>
              <w:top w:val="single" w:sz="4" w:space="0" w:color="auto"/>
              <w:left w:val="nil"/>
              <w:bottom w:val="single" w:sz="4" w:space="0" w:color="000000"/>
              <w:right w:val="single" w:sz="4" w:space="0" w:color="auto"/>
            </w:tcBorders>
            <w:vAlign w:val="center"/>
            <w:hideMark/>
          </w:tcPr>
          <w:p w14:paraId="682C5C06" w14:textId="77777777" w:rsidR="005E754B" w:rsidRPr="00287133" w:rsidRDefault="005E754B" w:rsidP="00287133">
            <w:pPr>
              <w:spacing w:after="0" w:line="240" w:lineRule="auto"/>
              <w:rPr>
                <w:rFonts w:cs="Arial"/>
                <w:color w:val="000000"/>
                <w:sz w:val="16"/>
                <w:szCs w:val="16"/>
              </w:rPr>
            </w:pPr>
          </w:p>
        </w:tc>
        <w:tc>
          <w:tcPr>
            <w:tcW w:w="907" w:type="dxa"/>
            <w:vMerge/>
            <w:tcBorders>
              <w:top w:val="nil"/>
              <w:left w:val="single" w:sz="4" w:space="0" w:color="auto"/>
              <w:bottom w:val="single" w:sz="4" w:space="0" w:color="000000"/>
              <w:right w:val="nil"/>
            </w:tcBorders>
            <w:vAlign w:val="center"/>
            <w:hideMark/>
          </w:tcPr>
          <w:p w14:paraId="08D35130" w14:textId="77777777" w:rsidR="005E754B" w:rsidRPr="00287133" w:rsidRDefault="005E754B" w:rsidP="00287133">
            <w:pPr>
              <w:spacing w:after="0" w:line="240" w:lineRule="auto"/>
              <w:rPr>
                <w:rFonts w:cs="Arial"/>
                <w:b/>
                <w:bCs/>
                <w:color w:val="000000"/>
                <w:sz w:val="16"/>
                <w:szCs w:val="16"/>
              </w:rPr>
            </w:pPr>
          </w:p>
        </w:tc>
        <w:tc>
          <w:tcPr>
            <w:tcW w:w="907" w:type="dxa"/>
            <w:tcBorders>
              <w:top w:val="nil"/>
              <w:left w:val="single" w:sz="4" w:space="0" w:color="auto"/>
              <w:bottom w:val="single" w:sz="4" w:space="0" w:color="auto"/>
              <w:right w:val="single" w:sz="4" w:space="0" w:color="auto"/>
            </w:tcBorders>
            <w:shd w:val="clear" w:color="000000" w:fill="F2DBDB"/>
            <w:vAlign w:val="center"/>
            <w:hideMark/>
          </w:tcPr>
          <w:p w14:paraId="2DDE4D58" w14:textId="77777777" w:rsidR="005E754B" w:rsidRPr="00287133" w:rsidRDefault="005E754B" w:rsidP="00287133">
            <w:pPr>
              <w:spacing w:after="0" w:line="240" w:lineRule="auto"/>
              <w:jc w:val="center"/>
              <w:rPr>
                <w:rFonts w:cs="Arial"/>
                <w:color w:val="000000"/>
                <w:sz w:val="16"/>
                <w:szCs w:val="16"/>
              </w:rPr>
            </w:pPr>
            <w:r w:rsidRPr="00287133">
              <w:rPr>
                <w:rFonts w:cs="Arial"/>
                <w:color w:val="000000"/>
                <w:sz w:val="16"/>
                <w:szCs w:val="16"/>
              </w:rPr>
              <w:t>muži</w:t>
            </w:r>
          </w:p>
        </w:tc>
        <w:tc>
          <w:tcPr>
            <w:tcW w:w="907" w:type="dxa"/>
            <w:tcBorders>
              <w:top w:val="nil"/>
              <w:left w:val="nil"/>
              <w:bottom w:val="single" w:sz="4" w:space="0" w:color="auto"/>
              <w:right w:val="single" w:sz="4" w:space="0" w:color="auto"/>
            </w:tcBorders>
            <w:shd w:val="clear" w:color="000000" w:fill="F2DBDB"/>
            <w:vAlign w:val="center"/>
            <w:hideMark/>
          </w:tcPr>
          <w:p w14:paraId="4449F792" w14:textId="77777777" w:rsidR="005E754B" w:rsidRPr="00287133" w:rsidRDefault="005E754B" w:rsidP="00287133">
            <w:pPr>
              <w:spacing w:after="0" w:line="240" w:lineRule="auto"/>
              <w:jc w:val="center"/>
              <w:rPr>
                <w:rFonts w:cs="Arial"/>
                <w:color w:val="000000"/>
                <w:sz w:val="16"/>
                <w:szCs w:val="16"/>
              </w:rPr>
            </w:pPr>
            <w:r w:rsidRPr="00287133">
              <w:rPr>
                <w:rFonts w:cs="Arial"/>
                <w:color w:val="000000"/>
                <w:sz w:val="16"/>
                <w:szCs w:val="16"/>
              </w:rPr>
              <w:t>ženy</w:t>
            </w:r>
          </w:p>
        </w:tc>
        <w:tc>
          <w:tcPr>
            <w:tcW w:w="907" w:type="dxa"/>
            <w:vMerge/>
            <w:tcBorders>
              <w:left w:val="single" w:sz="4" w:space="0" w:color="auto"/>
              <w:bottom w:val="single" w:sz="4" w:space="0" w:color="000000"/>
              <w:right w:val="nil"/>
            </w:tcBorders>
            <w:vAlign w:val="center"/>
            <w:hideMark/>
          </w:tcPr>
          <w:p w14:paraId="64AB6445" w14:textId="77777777" w:rsidR="005E754B" w:rsidRPr="00287133" w:rsidRDefault="005E754B" w:rsidP="00287133">
            <w:pPr>
              <w:spacing w:after="0" w:line="240" w:lineRule="auto"/>
              <w:rPr>
                <w:rFonts w:cs="Arial"/>
                <w:b/>
                <w:bCs/>
                <w:color w:val="000000"/>
                <w:sz w:val="16"/>
                <w:szCs w:val="16"/>
              </w:rPr>
            </w:pPr>
          </w:p>
        </w:tc>
        <w:tc>
          <w:tcPr>
            <w:tcW w:w="907" w:type="dxa"/>
            <w:tcBorders>
              <w:top w:val="nil"/>
              <w:left w:val="single" w:sz="4" w:space="0" w:color="auto"/>
              <w:bottom w:val="single" w:sz="4" w:space="0" w:color="auto"/>
              <w:right w:val="single" w:sz="4" w:space="0" w:color="auto"/>
            </w:tcBorders>
            <w:shd w:val="clear" w:color="000000" w:fill="F2DBDB"/>
            <w:vAlign w:val="center"/>
            <w:hideMark/>
          </w:tcPr>
          <w:p w14:paraId="1E3288CE" w14:textId="77777777" w:rsidR="005E754B" w:rsidRPr="00287133" w:rsidRDefault="005E754B" w:rsidP="00287133">
            <w:pPr>
              <w:spacing w:after="0" w:line="240" w:lineRule="auto"/>
              <w:jc w:val="center"/>
              <w:rPr>
                <w:rFonts w:cs="Arial"/>
                <w:color w:val="000000"/>
                <w:sz w:val="16"/>
                <w:szCs w:val="16"/>
              </w:rPr>
            </w:pPr>
            <w:r w:rsidRPr="00287133">
              <w:rPr>
                <w:rFonts w:cs="Arial"/>
                <w:color w:val="000000"/>
                <w:sz w:val="16"/>
                <w:szCs w:val="16"/>
              </w:rPr>
              <w:t>muži</w:t>
            </w:r>
          </w:p>
        </w:tc>
        <w:tc>
          <w:tcPr>
            <w:tcW w:w="907" w:type="dxa"/>
            <w:tcBorders>
              <w:top w:val="nil"/>
              <w:left w:val="nil"/>
              <w:bottom w:val="single" w:sz="4" w:space="0" w:color="auto"/>
              <w:right w:val="nil"/>
            </w:tcBorders>
            <w:shd w:val="clear" w:color="000000" w:fill="F2DBDB"/>
            <w:vAlign w:val="center"/>
            <w:hideMark/>
          </w:tcPr>
          <w:p w14:paraId="13B7033B" w14:textId="77777777" w:rsidR="005E754B" w:rsidRPr="00287133" w:rsidRDefault="005E754B" w:rsidP="00287133">
            <w:pPr>
              <w:spacing w:after="0" w:line="240" w:lineRule="auto"/>
              <w:jc w:val="center"/>
              <w:rPr>
                <w:rFonts w:cs="Arial"/>
                <w:color w:val="000000"/>
                <w:sz w:val="16"/>
                <w:szCs w:val="16"/>
              </w:rPr>
            </w:pPr>
            <w:r w:rsidRPr="00287133">
              <w:rPr>
                <w:rFonts w:cs="Arial"/>
                <w:color w:val="000000"/>
                <w:sz w:val="16"/>
                <w:szCs w:val="16"/>
              </w:rPr>
              <w:t>ženy</w:t>
            </w:r>
          </w:p>
        </w:tc>
      </w:tr>
      <w:tr w:rsidR="00287133" w:rsidRPr="00287133" w14:paraId="34185D38" w14:textId="77777777" w:rsidTr="005E754B">
        <w:trPr>
          <w:trHeight w:val="300"/>
        </w:trPr>
        <w:tc>
          <w:tcPr>
            <w:tcW w:w="4195" w:type="dxa"/>
            <w:tcBorders>
              <w:top w:val="nil"/>
              <w:left w:val="nil"/>
              <w:bottom w:val="nil"/>
              <w:right w:val="nil"/>
            </w:tcBorders>
            <w:shd w:val="clear" w:color="auto" w:fill="auto"/>
            <w:noWrap/>
            <w:vAlign w:val="bottom"/>
            <w:hideMark/>
          </w:tcPr>
          <w:p w14:paraId="7BB75EAC" w14:textId="77777777" w:rsidR="00287133" w:rsidRPr="00287133" w:rsidRDefault="00287133" w:rsidP="00287133">
            <w:pPr>
              <w:spacing w:after="0" w:line="240" w:lineRule="auto"/>
              <w:rPr>
                <w:rFonts w:cs="Arial"/>
                <w:b/>
                <w:bCs/>
                <w:color w:val="000000"/>
                <w:sz w:val="16"/>
                <w:szCs w:val="16"/>
              </w:rPr>
            </w:pPr>
            <w:r w:rsidRPr="00287133">
              <w:rPr>
                <w:rFonts w:cs="Arial"/>
                <w:b/>
                <w:bCs/>
                <w:color w:val="000000"/>
                <w:sz w:val="16"/>
                <w:szCs w:val="16"/>
              </w:rPr>
              <w:t>Celkem</w:t>
            </w:r>
          </w:p>
        </w:tc>
        <w:tc>
          <w:tcPr>
            <w:tcW w:w="907" w:type="dxa"/>
            <w:tcBorders>
              <w:top w:val="nil"/>
              <w:left w:val="single" w:sz="4" w:space="0" w:color="auto"/>
              <w:bottom w:val="nil"/>
              <w:right w:val="nil"/>
            </w:tcBorders>
            <w:shd w:val="clear" w:color="auto" w:fill="auto"/>
            <w:noWrap/>
            <w:vAlign w:val="bottom"/>
            <w:hideMark/>
          </w:tcPr>
          <w:p w14:paraId="44B7E74B" w14:textId="77777777" w:rsidR="00287133" w:rsidRPr="00287133" w:rsidRDefault="00287133" w:rsidP="00287133">
            <w:pPr>
              <w:spacing w:after="0" w:line="240" w:lineRule="auto"/>
              <w:jc w:val="right"/>
              <w:rPr>
                <w:rFonts w:cs="Arial"/>
                <w:b/>
                <w:bCs/>
                <w:color w:val="000000"/>
                <w:sz w:val="16"/>
                <w:szCs w:val="16"/>
              </w:rPr>
            </w:pPr>
            <w:r w:rsidRPr="00287133">
              <w:rPr>
                <w:rFonts w:cs="Arial"/>
                <w:b/>
                <w:bCs/>
                <w:color w:val="000000"/>
                <w:sz w:val="16"/>
                <w:szCs w:val="16"/>
              </w:rPr>
              <w:t>2 718,0</w:t>
            </w:r>
          </w:p>
        </w:tc>
        <w:tc>
          <w:tcPr>
            <w:tcW w:w="907" w:type="dxa"/>
            <w:tcBorders>
              <w:top w:val="nil"/>
              <w:left w:val="nil"/>
              <w:bottom w:val="nil"/>
              <w:right w:val="nil"/>
            </w:tcBorders>
            <w:shd w:val="clear" w:color="auto" w:fill="auto"/>
            <w:noWrap/>
            <w:vAlign w:val="bottom"/>
            <w:hideMark/>
          </w:tcPr>
          <w:p w14:paraId="5E30F6FF" w14:textId="77777777" w:rsidR="00287133" w:rsidRPr="00287133" w:rsidRDefault="00287133" w:rsidP="00287133">
            <w:pPr>
              <w:spacing w:after="0" w:line="240" w:lineRule="auto"/>
              <w:jc w:val="right"/>
              <w:rPr>
                <w:rFonts w:cs="Arial"/>
                <w:b/>
                <w:bCs/>
                <w:color w:val="000000"/>
                <w:sz w:val="16"/>
                <w:szCs w:val="16"/>
              </w:rPr>
            </w:pPr>
            <w:r w:rsidRPr="00287133">
              <w:rPr>
                <w:rFonts w:cs="Arial"/>
                <w:b/>
                <w:bCs/>
                <w:color w:val="000000"/>
                <w:sz w:val="16"/>
                <w:szCs w:val="16"/>
              </w:rPr>
              <w:t>1 320,2</w:t>
            </w:r>
          </w:p>
        </w:tc>
        <w:tc>
          <w:tcPr>
            <w:tcW w:w="907" w:type="dxa"/>
            <w:tcBorders>
              <w:top w:val="nil"/>
              <w:left w:val="nil"/>
              <w:bottom w:val="nil"/>
              <w:right w:val="single" w:sz="4" w:space="0" w:color="auto"/>
            </w:tcBorders>
            <w:shd w:val="clear" w:color="auto" w:fill="auto"/>
            <w:noWrap/>
            <w:vAlign w:val="bottom"/>
            <w:hideMark/>
          </w:tcPr>
          <w:p w14:paraId="17806ACF" w14:textId="77777777" w:rsidR="00287133" w:rsidRPr="00287133" w:rsidRDefault="00287133" w:rsidP="00287133">
            <w:pPr>
              <w:spacing w:after="0" w:line="240" w:lineRule="auto"/>
              <w:jc w:val="right"/>
              <w:rPr>
                <w:rFonts w:cs="Arial"/>
                <w:b/>
                <w:bCs/>
                <w:color w:val="000000"/>
                <w:sz w:val="16"/>
                <w:szCs w:val="16"/>
              </w:rPr>
            </w:pPr>
            <w:r w:rsidRPr="00287133">
              <w:rPr>
                <w:rFonts w:cs="Arial"/>
                <w:b/>
                <w:bCs/>
                <w:color w:val="000000"/>
                <w:sz w:val="16"/>
                <w:szCs w:val="16"/>
              </w:rPr>
              <w:t>1 397,8</w:t>
            </w:r>
          </w:p>
        </w:tc>
        <w:tc>
          <w:tcPr>
            <w:tcW w:w="907" w:type="dxa"/>
            <w:tcBorders>
              <w:top w:val="nil"/>
              <w:left w:val="nil"/>
              <w:bottom w:val="nil"/>
              <w:right w:val="nil"/>
            </w:tcBorders>
            <w:shd w:val="clear" w:color="auto" w:fill="auto"/>
            <w:noWrap/>
            <w:vAlign w:val="bottom"/>
            <w:hideMark/>
          </w:tcPr>
          <w:p w14:paraId="348E3655" w14:textId="77777777" w:rsidR="00287133" w:rsidRPr="00287133" w:rsidRDefault="00287133" w:rsidP="00287133">
            <w:pPr>
              <w:spacing w:after="0" w:line="240" w:lineRule="auto"/>
              <w:jc w:val="right"/>
              <w:rPr>
                <w:rFonts w:cs="Arial"/>
                <w:b/>
                <w:bCs/>
                <w:color w:val="000000"/>
                <w:sz w:val="16"/>
                <w:szCs w:val="16"/>
              </w:rPr>
            </w:pPr>
            <w:r w:rsidRPr="00287133">
              <w:rPr>
                <w:rFonts w:cs="Arial"/>
                <w:b/>
                <w:bCs/>
                <w:color w:val="000000"/>
                <w:sz w:val="16"/>
                <w:szCs w:val="16"/>
              </w:rPr>
              <w:t>34,5</w:t>
            </w:r>
          </w:p>
        </w:tc>
        <w:tc>
          <w:tcPr>
            <w:tcW w:w="907" w:type="dxa"/>
            <w:tcBorders>
              <w:top w:val="nil"/>
              <w:left w:val="nil"/>
              <w:bottom w:val="nil"/>
              <w:right w:val="nil"/>
            </w:tcBorders>
            <w:shd w:val="clear" w:color="auto" w:fill="auto"/>
            <w:noWrap/>
            <w:vAlign w:val="bottom"/>
            <w:hideMark/>
          </w:tcPr>
          <w:p w14:paraId="4EC71805" w14:textId="77777777" w:rsidR="00287133" w:rsidRPr="00287133" w:rsidRDefault="00287133" w:rsidP="00287133">
            <w:pPr>
              <w:spacing w:after="0" w:line="240" w:lineRule="auto"/>
              <w:jc w:val="right"/>
              <w:rPr>
                <w:rFonts w:cs="Arial"/>
                <w:b/>
                <w:bCs/>
                <w:color w:val="000000"/>
                <w:sz w:val="16"/>
                <w:szCs w:val="16"/>
              </w:rPr>
            </w:pPr>
            <w:r w:rsidRPr="00287133">
              <w:rPr>
                <w:rFonts w:cs="Arial"/>
                <w:b/>
                <w:bCs/>
                <w:color w:val="000000"/>
                <w:sz w:val="16"/>
                <w:szCs w:val="16"/>
              </w:rPr>
              <w:t>32,7</w:t>
            </w:r>
          </w:p>
        </w:tc>
        <w:tc>
          <w:tcPr>
            <w:tcW w:w="907" w:type="dxa"/>
            <w:tcBorders>
              <w:top w:val="nil"/>
              <w:left w:val="nil"/>
              <w:bottom w:val="nil"/>
              <w:right w:val="nil"/>
            </w:tcBorders>
            <w:shd w:val="clear" w:color="auto" w:fill="auto"/>
            <w:noWrap/>
            <w:vAlign w:val="bottom"/>
            <w:hideMark/>
          </w:tcPr>
          <w:p w14:paraId="46F15A0C" w14:textId="77777777" w:rsidR="00287133" w:rsidRPr="00287133" w:rsidRDefault="00287133" w:rsidP="00287133">
            <w:pPr>
              <w:spacing w:after="0" w:line="240" w:lineRule="auto"/>
              <w:jc w:val="right"/>
              <w:rPr>
                <w:rFonts w:cs="Arial"/>
                <w:b/>
                <w:bCs/>
                <w:color w:val="000000"/>
                <w:sz w:val="16"/>
                <w:szCs w:val="16"/>
              </w:rPr>
            </w:pPr>
            <w:r w:rsidRPr="00287133">
              <w:rPr>
                <w:rFonts w:cs="Arial"/>
                <w:b/>
                <w:bCs/>
                <w:color w:val="000000"/>
                <w:sz w:val="16"/>
                <w:szCs w:val="16"/>
              </w:rPr>
              <w:t>36,2</w:t>
            </w:r>
          </w:p>
        </w:tc>
      </w:tr>
      <w:tr w:rsidR="00287133" w:rsidRPr="00287133" w14:paraId="72D068F3" w14:textId="77777777" w:rsidTr="005E754B">
        <w:trPr>
          <w:trHeight w:val="300"/>
        </w:trPr>
        <w:tc>
          <w:tcPr>
            <w:tcW w:w="4195" w:type="dxa"/>
            <w:tcBorders>
              <w:top w:val="nil"/>
              <w:left w:val="nil"/>
              <w:bottom w:val="nil"/>
              <w:right w:val="nil"/>
            </w:tcBorders>
            <w:shd w:val="clear" w:color="auto" w:fill="auto"/>
            <w:noWrap/>
            <w:vAlign w:val="bottom"/>
            <w:hideMark/>
          </w:tcPr>
          <w:p w14:paraId="25BD0589"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Tuberkulóza</w:t>
            </w:r>
          </w:p>
        </w:tc>
        <w:tc>
          <w:tcPr>
            <w:tcW w:w="907" w:type="dxa"/>
            <w:tcBorders>
              <w:top w:val="nil"/>
              <w:left w:val="single" w:sz="4" w:space="0" w:color="auto"/>
              <w:bottom w:val="nil"/>
              <w:right w:val="nil"/>
            </w:tcBorders>
            <w:shd w:val="clear" w:color="auto" w:fill="auto"/>
            <w:noWrap/>
            <w:vAlign w:val="bottom"/>
            <w:hideMark/>
          </w:tcPr>
          <w:p w14:paraId="5F8A2A9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0,1</w:t>
            </w:r>
          </w:p>
        </w:tc>
        <w:tc>
          <w:tcPr>
            <w:tcW w:w="907" w:type="dxa"/>
            <w:tcBorders>
              <w:top w:val="nil"/>
              <w:left w:val="nil"/>
              <w:bottom w:val="nil"/>
              <w:right w:val="nil"/>
            </w:tcBorders>
            <w:shd w:val="clear" w:color="auto" w:fill="auto"/>
            <w:noWrap/>
            <w:vAlign w:val="bottom"/>
            <w:hideMark/>
          </w:tcPr>
          <w:p w14:paraId="5290CA2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0,1</w:t>
            </w:r>
          </w:p>
        </w:tc>
        <w:tc>
          <w:tcPr>
            <w:tcW w:w="907" w:type="dxa"/>
            <w:tcBorders>
              <w:top w:val="nil"/>
              <w:left w:val="nil"/>
              <w:bottom w:val="nil"/>
              <w:right w:val="single" w:sz="4" w:space="0" w:color="auto"/>
            </w:tcBorders>
            <w:shd w:val="clear" w:color="auto" w:fill="auto"/>
            <w:noWrap/>
            <w:vAlign w:val="bottom"/>
            <w:hideMark/>
          </w:tcPr>
          <w:p w14:paraId="17A9330F"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0,0</w:t>
            </w:r>
          </w:p>
        </w:tc>
        <w:tc>
          <w:tcPr>
            <w:tcW w:w="907" w:type="dxa"/>
            <w:tcBorders>
              <w:top w:val="nil"/>
              <w:left w:val="nil"/>
              <w:bottom w:val="nil"/>
              <w:right w:val="nil"/>
            </w:tcBorders>
            <w:shd w:val="clear" w:color="auto" w:fill="auto"/>
            <w:noWrap/>
            <w:vAlign w:val="bottom"/>
            <w:hideMark/>
          </w:tcPr>
          <w:p w14:paraId="511892F3"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175,8</w:t>
            </w:r>
          </w:p>
        </w:tc>
        <w:tc>
          <w:tcPr>
            <w:tcW w:w="907" w:type="dxa"/>
            <w:tcBorders>
              <w:top w:val="nil"/>
              <w:left w:val="nil"/>
              <w:bottom w:val="nil"/>
              <w:right w:val="nil"/>
            </w:tcBorders>
            <w:shd w:val="clear" w:color="auto" w:fill="auto"/>
            <w:noWrap/>
            <w:vAlign w:val="bottom"/>
            <w:hideMark/>
          </w:tcPr>
          <w:p w14:paraId="36CA5F93"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171,7</w:t>
            </w:r>
          </w:p>
        </w:tc>
        <w:tc>
          <w:tcPr>
            <w:tcW w:w="907" w:type="dxa"/>
            <w:tcBorders>
              <w:top w:val="nil"/>
              <w:left w:val="nil"/>
              <w:bottom w:val="nil"/>
              <w:right w:val="nil"/>
            </w:tcBorders>
            <w:shd w:val="clear" w:color="auto" w:fill="auto"/>
            <w:noWrap/>
            <w:vAlign w:val="bottom"/>
            <w:hideMark/>
          </w:tcPr>
          <w:p w14:paraId="0CC16871"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183,6</w:t>
            </w:r>
          </w:p>
        </w:tc>
      </w:tr>
      <w:tr w:rsidR="00287133" w:rsidRPr="00287133" w14:paraId="5A677199" w14:textId="77777777" w:rsidTr="005E754B">
        <w:trPr>
          <w:trHeight w:val="300"/>
        </w:trPr>
        <w:tc>
          <w:tcPr>
            <w:tcW w:w="4195" w:type="dxa"/>
            <w:tcBorders>
              <w:top w:val="nil"/>
              <w:left w:val="nil"/>
              <w:bottom w:val="nil"/>
              <w:right w:val="nil"/>
            </w:tcBorders>
            <w:shd w:val="clear" w:color="auto" w:fill="auto"/>
            <w:noWrap/>
            <w:vAlign w:val="bottom"/>
            <w:hideMark/>
          </w:tcPr>
          <w:p w14:paraId="4057316E"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Zhoubné novotvary</w:t>
            </w:r>
          </w:p>
        </w:tc>
        <w:tc>
          <w:tcPr>
            <w:tcW w:w="907" w:type="dxa"/>
            <w:tcBorders>
              <w:top w:val="nil"/>
              <w:left w:val="single" w:sz="4" w:space="0" w:color="auto"/>
              <w:bottom w:val="nil"/>
              <w:right w:val="nil"/>
            </w:tcBorders>
            <w:shd w:val="clear" w:color="auto" w:fill="auto"/>
            <w:noWrap/>
            <w:vAlign w:val="bottom"/>
            <w:hideMark/>
          </w:tcPr>
          <w:p w14:paraId="6C102C3D"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14,1</w:t>
            </w:r>
          </w:p>
        </w:tc>
        <w:tc>
          <w:tcPr>
            <w:tcW w:w="907" w:type="dxa"/>
            <w:tcBorders>
              <w:top w:val="nil"/>
              <w:left w:val="nil"/>
              <w:bottom w:val="nil"/>
              <w:right w:val="nil"/>
            </w:tcBorders>
            <w:shd w:val="clear" w:color="auto" w:fill="auto"/>
            <w:noWrap/>
            <w:vAlign w:val="bottom"/>
            <w:hideMark/>
          </w:tcPr>
          <w:p w14:paraId="437E13D9"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6,3</w:t>
            </w:r>
          </w:p>
        </w:tc>
        <w:tc>
          <w:tcPr>
            <w:tcW w:w="907" w:type="dxa"/>
            <w:tcBorders>
              <w:top w:val="nil"/>
              <w:left w:val="nil"/>
              <w:bottom w:val="nil"/>
              <w:right w:val="single" w:sz="4" w:space="0" w:color="auto"/>
            </w:tcBorders>
            <w:shd w:val="clear" w:color="auto" w:fill="auto"/>
            <w:noWrap/>
            <w:vAlign w:val="bottom"/>
            <w:hideMark/>
          </w:tcPr>
          <w:p w14:paraId="56CC570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7,8</w:t>
            </w:r>
          </w:p>
        </w:tc>
        <w:tc>
          <w:tcPr>
            <w:tcW w:w="907" w:type="dxa"/>
            <w:tcBorders>
              <w:top w:val="nil"/>
              <w:left w:val="nil"/>
              <w:bottom w:val="nil"/>
              <w:right w:val="nil"/>
            </w:tcBorders>
            <w:shd w:val="clear" w:color="auto" w:fill="auto"/>
            <w:noWrap/>
            <w:vAlign w:val="bottom"/>
            <w:hideMark/>
          </w:tcPr>
          <w:p w14:paraId="78348B26"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186,9</w:t>
            </w:r>
          </w:p>
        </w:tc>
        <w:tc>
          <w:tcPr>
            <w:tcW w:w="907" w:type="dxa"/>
            <w:tcBorders>
              <w:top w:val="nil"/>
              <w:left w:val="nil"/>
              <w:bottom w:val="nil"/>
              <w:right w:val="nil"/>
            </w:tcBorders>
            <w:shd w:val="clear" w:color="auto" w:fill="auto"/>
            <w:noWrap/>
            <w:vAlign w:val="bottom"/>
            <w:hideMark/>
          </w:tcPr>
          <w:p w14:paraId="12CB338F"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176,5</w:t>
            </w:r>
          </w:p>
        </w:tc>
        <w:tc>
          <w:tcPr>
            <w:tcW w:w="907" w:type="dxa"/>
            <w:tcBorders>
              <w:top w:val="nil"/>
              <w:left w:val="nil"/>
              <w:bottom w:val="nil"/>
              <w:right w:val="nil"/>
            </w:tcBorders>
            <w:shd w:val="clear" w:color="auto" w:fill="auto"/>
            <w:noWrap/>
            <w:vAlign w:val="bottom"/>
            <w:hideMark/>
          </w:tcPr>
          <w:p w14:paraId="1885A71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195,2</w:t>
            </w:r>
          </w:p>
        </w:tc>
      </w:tr>
      <w:tr w:rsidR="00287133" w:rsidRPr="00287133" w14:paraId="5B4A10FD" w14:textId="77777777" w:rsidTr="005E754B">
        <w:trPr>
          <w:trHeight w:val="300"/>
        </w:trPr>
        <w:tc>
          <w:tcPr>
            <w:tcW w:w="4195" w:type="dxa"/>
            <w:tcBorders>
              <w:top w:val="nil"/>
              <w:left w:val="nil"/>
              <w:bottom w:val="nil"/>
              <w:right w:val="nil"/>
            </w:tcBorders>
            <w:shd w:val="clear" w:color="auto" w:fill="auto"/>
            <w:noWrap/>
            <w:vAlign w:val="bottom"/>
            <w:hideMark/>
          </w:tcPr>
          <w:p w14:paraId="4D7DD16C"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Nemoci duševní</w:t>
            </w:r>
          </w:p>
        </w:tc>
        <w:tc>
          <w:tcPr>
            <w:tcW w:w="907" w:type="dxa"/>
            <w:tcBorders>
              <w:top w:val="nil"/>
              <w:left w:val="single" w:sz="4" w:space="0" w:color="auto"/>
              <w:bottom w:val="nil"/>
              <w:right w:val="nil"/>
            </w:tcBorders>
            <w:shd w:val="clear" w:color="auto" w:fill="auto"/>
            <w:noWrap/>
            <w:vAlign w:val="bottom"/>
            <w:hideMark/>
          </w:tcPr>
          <w:p w14:paraId="6ED80A1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52,8</w:t>
            </w:r>
          </w:p>
        </w:tc>
        <w:tc>
          <w:tcPr>
            <w:tcW w:w="907" w:type="dxa"/>
            <w:tcBorders>
              <w:top w:val="nil"/>
              <w:left w:val="nil"/>
              <w:bottom w:val="nil"/>
              <w:right w:val="nil"/>
            </w:tcBorders>
            <w:shd w:val="clear" w:color="auto" w:fill="auto"/>
            <w:noWrap/>
            <w:vAlign w:val="bottom"/>
            <w:hideMark/>
          </w:tcPr>
          <w:p w14:paraId="7107860B"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18,9</w:t>
            </w:r>
          </w:p>
        </w:tc>
        <w:tc>
          <w:tcPr>
            <w:tcW w:w="907" w:type="dxa"/>
            <w:tcBorders>
              <w:top w:val="nil"/>
              <w:left w:val="nil"/>
              <w:bottom w:val="nil"/>
              <w:right w:val="single" w:sz="4" w:space="0" w:color="auto"/>
            </w:tcBorders>
            <w:shd w:val="clear" w:color="auto" w:fill="auto"/>
            <w:noWrap/>
            <w:vAlign w:val="bottom"/>
            <w:hideMark/>
          </w:tcPr>
          <w:p w14:paraId="48AE39A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33,9</w:t>
            </w:r>
          </w:p>
        </w:tc>
        <w:tc>
          <w:tcPr>
            <w:tcW w:w="907" w:type="dxa"/>
            <w:tcBorders>
              <w:top w:val="nil"/>
              <w:left w:val="nil"/>
              <w:bottom w:val="nil"/>
              <w:right w:val="nil"/>
            </w:tcBorders>
            <w:shd w:val="clear" w:color="auto" w:fill="auto"/>
            <w:noWrap/>
            <w:vAlign w:val="bottom"/>
            <w:hideMark/>
          </w:tcPr>
          <w:p w14:paraId="5EE7680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94,8</w:t>
            </w:r>
          </w:p>
        </w:tc>
        <w:tc>
          <w:tcPr>
            <w:tcW w:w="907" w:type="dxa"/>
            <w:tcBorders>
              <w:top w:val="nil"/>
              <w:left w:val="nil"/>
              <w:bottom w:val="nil"/>
              <w:right w:val="nil"/>
            </w:tcBorders>
            <w:shd w:val="clear" w:color="auto" w:fill="auto"/>
            <w:noWrap/>
            <w:vAlign w:val="bottom"/>
            <w:hideMark/>
          </w:tcPr>
          <w:p w14:paraId="6E8FC27D"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89,6</w:t>
            </w:r>
          </w:p>
        </w:tc>
        <w:tc>
          <w:tcPr>
            <w:tcW w:w="907" w:type="dxa"/>
            <w:tcBorders>
              <w:top w:val="nil"/>
              <w:left w:val="nil"/>
              <w:bottom w:val="nil"/>
              <w:right w:val="nil"/>
            </w:tcBorders>
            <w:shd w:val="clear" w:color="auto" w:fill="auto"/>
            <w:noWrap/>
            <w:vAlign w:val="bottom"/>
            <w:hideMark/>
          </w:tcPr>
          <w:p w14:paraId="1C253AB6"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97,7</w:t>
            </w:r>
          </w:p>
        </w:tc>
      </w:tr>
      <w:tr w:rsidR="00287133" w:rsidRPr="00287133" w14:paraId="1B5CF077" w14:textId="77777777" w:rsidTr="005E754B">
        <w:trPr>
          <w:trHeight w:val="300"/>
        </w:trPr>
        <w:tc>
          <w:tcPr>
            <w:tcW w:w="4195" w:type="dxa"/>
            <w:tcBorders>
              <w:top w:val="nil"/>
              <w:left w:val="nil"/>
              <w:bottom w:val="nil"/>
              <w:right w:val="nil"/>
            </w:tcBorders>
            <w:shd w:val="clear" w:color="auto" w:fill="auto"/>
            <w:noWrap/>
            <w:vAlign w:val="bottom"/>
            <w:hideMark/>
          </w:tcPr>
          <w:p w14:paraId="437A8E94"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Nemoci nervové soustavy</w:t>
            </w:r>
          </w:p>
        </w:tc>
        <w:tc>
          <w:tcPr>
            <w:tcW w:w="907" w:type="dxa"/>
            <w:tcBorders>
              <w:top w:val="nil"/>
              <w:left w:val="single" w:sz="4" w:space="0" w:color="auto"/>
              <w:bottom w:val="nil"/>
              <w:right w:val="nil"/>
            </w:tcBorders>
            <w:shd w:val="clear" w:color="auto" w:fill="auto"/>
            <w:noWrap/>
            <w:vAlign w:val="bottom"/>
            <w:hideMark/>
          </w:tcPr>
          <w:p w14:paraId="4FBCA758"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31,2</w:t>
            </w:r>
          </w:p>
        </w:tc>
        <w:tc>
          <w:tcPr>
            <w:tcW w:w="907" w:type="dxa"/>
            <w:tcBorders>
              <w:top w:val="nil"/>
              <w:left w:val="nil"/>
              <w:bottom w:val="nil"/>
              <w:right w:val="nil"/>
            </w:tcBorders>
            <w:shd w:val="clear" w:color="auto" w:fill="auto"/>
            <w:noWrap/>
            <w:vAlign w:val="bottom"/>
            <w:hideMark/>
          </w:tcPr>
          <w:p w14:paraId="136CC42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12,7</w:t>
            </w:r>
          </w:p>
        </w:tc>
        <w:tc>
          <w:tcPr>
            <w:tcW w:w="907" w:type="dxa"/>
            <w:tcBorders>
              <w:top w:val="nil"/>
              <w:left w:val="nil"/>
              <w:bottom w:val="nil"/>
              <w:right w:val="single" w:sz="4" w:space="0" w:color="auto"/>
            </w:tcBorders>
            <w:shd w:val="clear" w:color="auto" w:fill="auto"/>
            <w:noWrap/>
            <w:vAlign w:val="bottom"/>
            <w:hideMark/>
          </w:tcPr>
          <w:p w14:paraId="4EAE805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18,5</w:t>
            </w:r>
          </w:p>
        </w:tc>
        <w:tc>
          <w:tcPr>
            <w:tcW w:w="907" w:type="dxa"/>
            <w:tcBorders>
              <w:top w:val="nil"/>
              <w:left w:val="nil"/>
              <w:bottom w:val="nil"/>
              <w:right w:val="nil"/>
            </w:tcBorders>
            <w:shd w:val="clear" w:color="auto" w:fill="auto"/>
            <w:noWrap/>
            <w:vAlign w:val="bottom"/>
            <w:hideMark/>
          </w:tcPr>
          <w:p w14:paraId="177F21FD"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80,2</w:t>
            </w:r>
          </w:p>
        </w:tc>
        <w:tc>
          <w:tcPr>
            <w:tcW w:w="907" w:type="dxa"/>
            <w:tcBorders>
              <w:top w:val="nil"/>
              <w:left w:val="nil"/>
              <w:bottom w:val="nil"/>
              <w:right w:val="nil"/>
            </w:tcBorders>
            <w:shd w:val="clear" w:color="auto" w:fill="auto"/>
            <w:noWrap/>
            <w:vAlign w:val="bottom"/>
            <w:hideMark/>
          </w:tcPr>
          <w:p w14:paraId="0347B53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82,6</w:t>
            </w:r>
          </w:p>
        </w:tc>
        <w:tc>
          <w:tcPr>
            <w:tcW w:w="907" w:type="dxa"/>
            <w:tcBorders>
              <w:top w:val="nil"/>
              <w:left w:val="nil"/>
              <w:bottom w:val="nil"/>
              <w:right w:val="nil"/>
            </w:tcBorders>
            <w:shd w:val="clear" w:color="auto" w:fill="auto"/>
            <w:noWrap/>
            <w:vAlign w:val="bottom"/>
            <w:hideMark/>
          </w:tcPr>
          <w:p w14:paraId="70FFAB56"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78,5</w:t>
            </w:r>
          </w:p>
        </w:tc>
      </w:tr>
      <w:tr w:rsidR="00287133" w:rsidRPr="00287133" w14:paraId="71F06E1B" w14:textId="77777777" w:rsidTr="005E754B">
        <w:trPr>
          <w:trHeight w:val="300"/>
        </w:trPr>
        <w:tc>
          <w:tcPr>
            <w:tcW w:w="4195" w:type="dxa"/>
            <w:tcBorders>
              <w:top w:val="nil"/>
              <w:left w:val="nil"/>
              <w:bottom w:val="nil"/>
              <w:right w:val="nil"/>
            </w:tcBorders>
            <w:shd w:val="clear" w:color="auto" w:fill="auto"/>
            <w:noWrap/>
            <w:vAlign w:val="bottom"/>
            <w:hideMark/>
          </w:tcPr>
          <w:p w14:paraId="5781D720"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Nemoci oběhové soustavy</w:t>
            </w:r>
          </w:p>
        </w:tc>
        <w:tc>
          <w:tcPr>
            <w:tcW w:w="907" w:type="dxa"/>
            <w:tcBorders>
              <w:top w:val="nil"/>
              <w:left w:val="single" w:sz="4" w:space="0" w:color="auto"/>
              <w:bottom w:val="nil"/>
              <w:right w:val="nil"/>
            </w:tcBorders>
            <w:shd w:val="clear" w:color="auto" w:fill="auto"/>
            <w:noWrap/>
            <w:vAlign w:val="bottom"/>
            <w:hideMark/>
          </w:tcPr>
          <w:p w14:paraId="2B26D4E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48,4</w:t>
            </w:r>
          </w:p>
        </w:tc>
        <w:tc>
          <w:tcPr>
            <w:tcW w:w="907" w:type="dxa"/>
            <w:tcBorders>
              <w:top w:val="nil"/>
              <w:left w:val="nil"/>
              <w:bottom w:val="nil"/>
              <w:right w:val="nil"/>
            </w:tcBorders>
            <w:shd w:val="clear" w:color="auto" w:fill="auto"/>
            <w:noWrap/>
            <w:vAlign w:val="bottom"/>
            <w:hideMark/>
          </w:tcPr>
          <w:p w14:paraId="0BC3239A"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27,8</w:t>
            </w:r>
          </w:p>
        </w:tc>
        <w:tc>
          <w:tcPr>
            <w:tcW w:w="907" w:type="dxa"/>
            <w:tcBorders>
              <w:top w:val="nil"/>
              <w:left w:val="nil"/>
              <w:bottom w:val="nil"/>
              <w:right w:val="single" w:sz="4" w:space="0" w:color="auto"/>
            </w:tcBorders>
            <w:shd w:val="clear" w:color="auto" w:fill="auto"/>
            <w:noWrap/>
            <w:vAlign w:val="bottom"/>
            <w:hideMark/>
          </w:tcPr>
          <w:p w14:paraId="58397175"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20,6</w:t>
            </w:r>
          </w:p>
        </w:tc>
        <w:tc>
          <w:tcPr>
            <w:tcW w:w="907" w:type="dxa"/>
            <w:tcBorders>
              <w:top w:val="nil"/>
              <w:left w:val="nil"/>
              <w:bottom w:val="nil"/>
              <w:right w:val="nil"/>
            </w:tcBorders>
            <w:shd w:val="clear" w:color="auto" w:fill="auto"/>
            <w:noWrap/>
            <w:vAlign w:val="bottom"/>
            <w:hideMark/>
          </w:tcPr>
          <w:p w14:paraId="2EC27D48"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82,4</w:t>
            </w:r>
          </w:p>
        </w:tc>
        <w:tc>
          <w:tcPr>
            <w:tcW w:w="907" w:type="dxa"/>
            <w:tcBorders>
              <w:top w:val="nil"/>
              <w:left w:val="nil"/>
              <w:bottom w:val="nil"/>
              <w:right w:val="nil"/>
            </w:tcBorders>
            <w:shd w:val="clear" w:color="auto" w:fill="auto"/>
            <w:noWrap/>
            <w:vAlign w:val="bottom"/>
            <w:hideMark/>
          </w:tcPr>
          <w:p w14:paraId="764CFC95"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92,0</w:t>
            </w:r>
          </w:p>
        </w:tc>
        <w:tc>
          <w:tcPr>
            <w:tcW w:w="907" w:type="dxa"/>
            <w:tcBorders>
              <w:top w:val="nil"/>
              <w:left w:val="nil"/>
              <w:bottom w:val="nil"/>
              <w:right w:val="nil"/>
            </w:tcBorders>
            <w:shd w:val="clear" w:color="auto" w:fill="auto"/>
            <w:noWrap/>
            <w:vAlign w:val="bottom"/>
            <w:hideMark/>
          </w:tcPr>
          <w:p w14:paraId="0282E0A3"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69,4</w:t>
            </w:r>
          </w:p>
        </w:tc>
      </w:tr>
      <w:tr w:rsidR="00287133" w:rsidRPr="00287133" w14:paraId="2A629D74" w14:textId="77777777" w:rsidTr="005E754B">
        <w:trPr>
          <w:trHeight w:val="300"/>
        </w:trPr>
        <w:tc>
          <w:tcPr>
            <w:tcW w:w="4195" w:type="dxa"/>
            <w:tcBorders>
              <w:top w:val="nil"/>
              <w:left w:val="nil"/>
              <w:bottom w:val="nil"/>
              <w:right w:val="nil"/>
            </w:tcBorders>
            <w:shd w:val="clear" w:color="auto" w:fill="auto"/>
            <w:noWrap/>
            <w:vAlign w:val="bottom"/>
            <w:hideMark/>
          </w:tcPr>
          <w:p w14:paraId="2FBCF80D" w14:textId="77777777" w:rsidR="00287133" w:rsidRPr="00287133" w:rsidRDefault="00287133" w:rsidP="00287133">
            <w:pPr>
              <w:spacing w:after="0" w:line="240" w:lineRule="auto"/>
              <w:ind w:firstLineChars="200" w:firstLine="320"/>
              <w:rPr>
                <w:rFonts w:cs="Arial"/>
                <w:color w:val="000000"/>
                <w:sz w:val="16"/>
                <w:szCs w:val="16"/>
              </w:rPr>
            </w:pPr>
            <w:r w:rsidRPr="00287133">
              <w:rPr>
                <w:rFonts w:cs="Arial"/>
                <w:color w:val="000000"/>
                <w:sz w:val="16"/>
                <w:szCs w:val="16"/>
              </w:rPr>
              <w:t xml:space="preserve"> hypertenze</w:t>
            </w:r>
          </w:p>
        </w:tc>
        <w:tc>
          <w:tcPr>
            <w:tcW w:w="907" w:type="dxa"/>
            <w:tcBorders>
              <w:top w:val="nil"/>
              <w:left w:val="single" w:sz="4" w:space="0" w:color="auto"/>
              <w:bottom w:val="nil"/>
              <w:right w:val="nil"/>
            </w:tcBorders>
            <w:shd w:val="clear" w:color="auto" w:fill="auto"/>
            <w:noWrap/>
            <w:vAlign w:val="bottom"/>
            <w:hideMark/>
          </w:tcPr>
          <w:p w14:paraId="7F84C709"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15,1</w:t>
            </w:r>
          </w:p>
        </w:tc>
        <w:tc>
          <w:tcPr>
            <w:tcW w:w="907" w:type="dxa"/>
            <w:tcBorders>
              <w:top w:val="nil"/>
              <w:left w:val="nil"/>
              <w:bottom w:val="nil"/>
              <w:right w:val="nil"/>
            </w:tcBorders>
            <w:shd w:val="clear" w:color="auto" w:fill="auto"/>
            <w:noWrap/>
            <w:vAlign w:val="bottom"/>
            <w:hideMark/>
          </w:tcPr>
          <w:p w14:paraId="23D4ACF1"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8,1</w:t>
            </w:r>
          </w:p>
        </w:tc>
        <w:tc>
          <w:tcPr>
            <w:tcW w:w="907" w:type="dxa"/>
            <w:tcBorders>
              <w:top w:val="nil"/>
              <w:left w:val="nil"/>
              <w:bottom w:val="nil"/>
              <w:right w:val="single" w:sz="4" w:space="0" w:color="auto"/>
            </w:tcBorders>
            <w:shd w:val="clear" w:color="auto" w:fill="auto"/>
            <w:noWrap/>
            <w:vAlign w:val="bottom"/>
            <w:hideMark/>
          </w:tcPr>
          <w:p w14:paraId="30FB590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7,0</w:t>
            </w:r>
          </w:p>
        </w:tc>
        <w:tc>
          <w:tcPr>
            <w:tcW w:w="907" w:type="dxa"/>
            <w:tcBorders>
              <w:top w:val="nil"/>
              <w:left w:val="nil"/>
              <w:bottom w:val="nil"/>
              <w:right w:val="nil"/>
            </w:tcBorders>
            <w:shd w:val="clear" w:color="auto" w:fill="auto"/>
            <w:noWrap/>
            <w:vAlign w:val="bottom"/>
            <w:hideMark/>
          </w:tcPr>
          <w:p w14:paraId="3592C286"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55,9</w:t>
            </w:r>
          </w:p>
        </w:tc>
        <w:tc>
          <w:tcPr>
            <w:tcW w:w="907" w:type="dxa"/>
            <w:tcBorders>
              <w:top w:val="nil"/>
              <w:left w:val="nil"/>
              <w:bottom w:val="nil"/>
              <w:right w:val="nil"/>
            </w:tcBorders>
            <w:shd w:val="clear" w:color="auto" w:fill="auto"/>
            <w:noWrap/>
            <w:vAlign w:val="bottom"/>
            <w:hideMark/>
          </w:tcPr>
          <w:p w14:paraId="5A3D60E0"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57,5</w:t>
            </w:r>
          </w:p>
        </w:tc>
        <w:tc>
          <w:tcPr>
            <w:tcW w:w="907" w:type="dxa"/>
            <w:tcBorders>
              <w:top w:val="nil"/>
              <w:left w:val="nil"/>
              <w:bottom w:val="nil"/>
              <w:right w:val="nil"/>
            </w:tcBorders>
            <w:shd w:val="clear" w:color="auto" w:fill="auto"/>
            <w:noWrap/>
            <w:vAlign w:val="bottom"/>
            <w:hideMark/>
          </w:tcPr>
          <w:p w14:paraId="7FBA552D"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54,1</w:t>
            </w:r>
          </w:p>
        </w:tc>
      </w:tr>
      <w:tr w:rsidR="00287133" w:rsidRPr="00287133" w14:paraId="789B9EAE" w14:textId="77777777" w:rsidTr="005E754B">
        <w:trPr>
          <w:trHeight w:val="300"/>
        </w:trPr>
        <w:tc>
          <w:tcPr>
            <w:tcW w:w="4195" w:type="dxa"/>
            <w:tcBorders>
              <w:top w:val="nil"/>
              <w:left w:val="nil"/>
              <w:bottom w:val="nil"/>
              <w:right w:val="nil"/>
            </w:tcBorders>
            <w:shd w:val="clear" w:color="auto" w:fill="auto"/>
            <w:noWrap/>
            <w:vAlign w:val="bottom"/>
            <w:hideMark/>
          </w:tcPr>
          <w:p w14:paraId="243F3998" w14:textId="77777777" w:rsidR="00287133" w:rsidRPr="00287133" w:rsidRDefault="00287133" w:rsidP="00287133">
            <w:pPr>
              <w:spacing w:after="0" w:line="240" w:lineRule="auto"/>
              <w:ind w:firstLineChars="200" w:firstLine="320"/>
              <w:rPr>
                <w:rFonts w:cs="Arial"/>
                <w:color w:val="000000"/>
                <w:sz w:val="16"/>
                <w:szCs w:val="16"/>
              </w:rPr>
            </w:pPr>
            <w:r w:rsidRPr="00287133">
              <w:rPr>
                <w:rFonts w:cs="Arial"/>
                <w:color w:val="000000"/>
                <w:sz w:val="16"/>
                <w:szCs w:val="16"/>
              </w:rPr>
              <w:t xml:space="preserve"> ischemická choroba srdeční</w:t>
            </w:r>
          </w:p>
        </w:tc>
        <w:tc>
          <w:tcPr>
            <w:tcW w:w="907" w:type="dxa"/>
            <w:tcBorders>
              <w:top w:val="nil"/>
              <w:left w:val="single" w:sz="4" w:space="0" w:color="auto"/>
              <w:bottom w:val="nil"/>
              <w:right w:val="nil"/>
            </w:tcBorders>
            <w:shd w:val="clear" w:color="auto" w:fill="auto"/>
            <w:noWrap/>
            <w:vAlign w:val="bottom"/>
            <w:hideMark/>
          </w:tcPr>
          <w:p w14:paraId="2891368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6,2</w:t>
            </w:r>
          </w:p>
        </w:tc>
        <w:tc>
          <w:tcPr>
            <w:tcW w:w="907" w:type="dxa"/>
            <w:tcBorders>
              <w:top w:val="nil"/>
              <w:left w:val="nil"/>
              <w:bottom w:val="nil"/>
              <w:right w:val="nil"/>
            </w:tcBorders>
            <w:shd w:val="clear" w:color="auto" w:fill="auto"/>
            <w:noWrap/>
            <w:vAlign w:val="bottom"/>
            <w:hideMark/>
          </w:tcPr>
          <w:p w14:paraId="65E52591"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4,9</w:t>
            </w:r>
          </w:p>
        </w:tc>
        <w:tc>
          <w:tcPr>
            <w:tcW w:w="907" w:type="dxa"/>
            <w:tcBorders>
              <w:top w:val="nil"/>
              <w:left w:val="nil"/>
              <w:bottom w:val="nil"/>
              <w:right w:val="single" w:sz="4" w:space="0" w:color="auto"/>
            </w:tcBorders>
            <w:shd w:val="clear" w:color="auto" w:fill="auto"/>
            <w:noWrap/>
            <w:vAlign w:val="bottom"/>
            <w:hideMark/>
          </w:tcPr>
          <w:p w14:paraId="22DF0DAF"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1,3</w:t>
            </w:r>
          </w:p>
        </w:tc>
        <w:tc>
          <w:tcPr>
            <w:tcW w:w="907" w:type="dxa"/>
            <w:tcBorders>
              <w:top w:val="nil"/>
              <w:left w:val="nil"/>
              <w:bottom w:val="nil"/>
              <w:right w:val="nil"/>
            </w:tcBorders>
            <w:shd w:val="clear" w:color="auto" w:fill="auto"/>
            <w:noWrap/>
            <w:vAlign w:val="bottom"/>
            <w:hideMark/>
          </w:tcPr>
          <w:p w14:paraId="621CBC8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123,9</w:t>
            </w:r>
          </w:p>
        </w:tc>
        <w:tc>
          <w:tcPr>
            <w:tcW w:w="907" w:type="dxa"/>
            <w:tcBorders>
              <w:top w:val="nil"/>
              <w:left w:val="nil"/>
              <w:bottom w:val="nil"/>
              <w:right w:val="nil"/>
            </w:tcBorders>
            <w:shd w:val="clear" w:color="auto" w:fill="auto"/>
            <w:noWrap/>
            <w:vAlign w:val="bottom"/>
            <w:hideMark/>
          </w:tcPr>
          <w:p w14:paraId="03796B9A"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128,5</w:t>
            </w:r>
          </w:p>
        </w:tc>
        <w:tc>
          <w:tcPr>
            <w:tcW w:w="907" w:type="dxa"/>
            <w:tcBorders>
              <w:top w:val="nil"/>
              <w:left w:val="nil"/>
              <w:bottom w:val="nil"/>
              <w:right w:val="nil"/>
            </w:tcBorders>
            <w:shd w:val="clear" w:color="auto" w:fill="auto"/>
            <w:noWrap/>
            <w:vAlign w:val="bottom"/>
            <w:hideMark/>
          </w:tcPr>
          <w:p w14:paraId="64219D4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106,4</w:t>
            </w:r>
          </w:p>
        </w:tc>
      </w:tr>
      <w:tr w:rsidR="00287133" w:rsidRPr="00287133" w14:paraId="75560590" w14:textId="77777777" w:rsidTr="005E754B">
        <w:trPr>
          <w:trHeight w:val="300"/>
        </w:trPr>
        <w:tc>
          <w:tcPr>
            <w:tcW w:w="4195" w:type="dxa"/>
            <w:tcBorders>
              <w:top w:val="nil"/>
              <w:left w:val="nil"/>
              <w:bottom w:val="nil"/>
              <w:right w:val="nil"/>
            </w:tcBorders>
            <w:shd w:val="clear" w:color="auto" w:fill="auto"/>
            <w:noWrap/>
            <w:vAlign w:val="bottom"/>
            <w:hideMark/>
          </w:tcPr>
          <w:p w14:paraId="05237D04" w14:textId="77777777" w:rsidR="00287133" w:rsidRPr="00287133" w:rsidRDefault="00287133" w:rsidP="00287133">
            <w:pPr>
              <w:spacing w:after="0" w:line="240" w:lineRule="auto"/>
              <w:ind w:firstLineChars="200" w:firstLine="320"/>
              <w:rPr>
                <w:rFonts w:cs="Arial"/>
                <w:color w:val="000000"/>
                <w:sz w:val="16"/>
                <w:szCs w:val="16"/>
              </w:rPr>
            </w:pPr>
            <w:r w:rsidRPr="00287133">
              <w:rPr>
                <w:rFonts w:cs="Arial"/>
                <w:color w:val="000000"/>
                <w:sz w:val="16"/>
                <w:szCs w:val="16"/>
              </w:rPr>
              <w:t xml:space="preserve"> cévní nemoci mozku</w:t>
            </w:r>
          </w:p>
        </w:tc>
        <w:tc>
          <w:tcPr>
            <w:tcW w:w="907" w:type="dxa"/>
            <w:tcBorders>
              <w:top w:val="nil"/>
              <w:left w:val="single" w:sz="4" w:space="0" w:color="auto"/>
              <w:bottom w:val="nil"/>
              <w:right w:val="nil"/>
            </w:tcBorders>
            <w:shd w:val="clear" w:color="auto" w:fill="auto"/>
            <w:noWrap/>
            <w:vAlign w:val="bottom"/>
            <w:hideMark/>
          </w:tcPr>
          <w:p w14:paraId="3D7FA30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3,1</w:t>
            </w:r>
          </w:p>
        </w:tc>
        <w:tc>
          <w:tcPr>
            <w:tcW w:w="907" w:type="dxa"/>
            <w:tcBorders>
              <w:top w:val="nil"/>
              <w:left w:val="nil"/>
              <w:bottom w:val="nil"/>
              <w:right w:val="nil"/>
            </w:tcBorders>
            <w:shd w:val="clear" w:color="auto" w:fill="auto"/>
            <w:noWrap/>
            <w:vAlign w:val="bottom"/>
            <w:hideMark/>
          </w:tcPr>
          <w:p w14:paraId="649EDDB9"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2,0</w:t>
            </w:r>
          </w:p>
        </w:tc>
        <w:tc>
          <w:tcPr>
            <w:tcW w:w="907" w:type="dxa"/>
            <w:tcBorders>
              <w:top w:val="nil"/>
              <w:left w:val="nil"/>
              <w:bottom w:val="nil"/>
              <w:right w:val="single" w:sz="4" w:space="0" w:color="auto"/>
            </w:tcBorders>
            <w:shd w:val="clear" w:color="auto" w:fill="auto"/>
            <w:noWrap/>
            <w:vAlign w:val="bottom"/>
            <w:hideMark/>
          </w:tcPr>
          <w:p w14:paraId="3DACDE4B"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1,1</w:t>
            </w:r>
          </w:p>
        </w:tc>
        <w:tc>
          <w:tcPr>
            <w:tcW w:w="907" w:type="dxa"/>
            <w:tcBorders>
              <w:top w:val="nil"/>
              <w:left w:val="nil"/>
              <w:bottom w:val="nil"/>
              <w:right w:val="nil"/>
            </w:tcBorders>
            <w:shd w:val="clear" w:color="auto" w:fill="auto"/>
            <w:noWrap/>
            <w:vAlign w:val="bottom"/>
            <w:hideMark/>
          </w:tcPr>
          <w:p w14:paraId="2BD8C62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167,3</w:t>
            </w:r>
          </w:p>
        </w:tc>
        <w:tc>
          <w:tcPr>
            <w:tcW w:w="907" w:type="dxa"/>
            <w:tcBorders>
              <w:top w:val="nil"/>
              <w:left w:val="nil"/>
              <w:bottom w:val="nil"/>
              <w:right w:val="nil"/>
            </w:tcBorders>
            <w:shd w:val="clear" w:color="auto" w:fill="auto"/>
            <w:noWrap/>
            <w:vAlign w:val="bottom"/>
            <w:hideMark/>
          </w:tcPr>
          <w:p w14:paraId="3636970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173,2</w:t>
            </w:r>
          </w:p>
        </w:tc>
        <w:tc>
          <w:tcPr>
            <w:tcW w:w="907" w:type="dxa"/>
            <w:tcBorders>
              <w:top w:val="nil"/>
              <w:left w:val="nil"/>
              <w:bottom w:val="nil"/>
              <w:right w:val="nil"/>
            </w:tcBorders>
            <w:shd w:val="clear" w:color="auto" w:fill="auto"/>
            <w:noWrap/>
            <w:vAlign w:val="bottom"/>
            <w:hideMark/>
          </w:tcPr>
          <w:p w14:paraId="674C4DEA"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157,0</w:t>
            </w:r>
          </w:p>
        </w:tc>
      </w:tr>
      <w:tr w:rsidR="00287133" w:rsidRPr="00287133" w14:paraId="7DF8EFF7" w14:textId="77777777" w:rsidTr="005E754B">
        <w:trPr>
          <w:trHeight w:val="300"/>
        </w:trPr>
        <w:tc>
          <w:tcPr>
            <w:tcW w:w="4195" w:type="dxa"/>
            <w:tcBorders>
              <w:top w:val="nil"/>
              <w:left w:val="nil"/>
              <w:bottom w:val="nil"/>
              <w:right w:val="nil"/>
            </w:tcBorders>
            <w:shd w:val="clear" w:color="auto" w:fill="auto"/>
            <w:noWrap/>
            <w:vAlign w:val="bottom"/>
            <w:hideMark/>
          </w:tcPr>
          <w:p w14:paraId="00205350" w14:textId="77777777" w:rsidR="00287133" w:rsidRPr="00287133" w:rsidRDefault="00287133" w:rsidP="00287133">
            <w:pPr>
              <w:spacing w:after="0" w:line="240" w:lineRule="auto"/>
              <w:ind w:firstLineChars="200" w:firstLine="320"/>
              <w:rPr>
                <w:rFonts w:cs="Arial"/>
                <w:color w:val="000000"/>
                <w:sz w:val="16"/>
                <w:szCs w:val="16"/>
              </w:rPr>
            </w:pPr>
            <w:r w:rsidRPr="00287133">
              <w:rPr>
                <w:rFonts w:cs="Arial"/>
                <w:color w:val="000000"/>
                <w:sz w:val="16"/>
                <w:szCs w:val="16"/>
              </w:rPr>
              <w:t xml:space="preserve"> jiné nemoci oběhové soustavy</w:t>
            </w:r>
          </w:p>
        </w:tc>
        <w:tc>
          <w:tcPr>
            <w:tcW w:w="907" w:type="dxa"/>
            <w:tcBorders>
              <w:top w:val="nil"/>
              <w:left w:val="single" w:sz="4" w:space="0" w:color="auto"/>
              <w:bottom w:val="nil"/>
              <w:right w:val="nil"/>
            </w:tcBorders>
            <w:shd w:val="clear" w:color="auto" w:fill="auto"/>
            <w:noWrap/>
            <w:vAlign w:val="bottom"/>
            <w:hideMark/>
          </w:tcPr>
          <w:p w14:paraId="7328CA0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23,9</w:t>
            </w:r>
          </w:p>
        </w:tc>
        <w:tc>
          <w:tcPr>
            <w:tcW w:w="907" w:type="dxa"/>
            <w:tcBorders>
              <w:top w:val="nil"/>
              <w:left w:val="nil"/>
              <w:bottom w:val="nil"/>
              <w:right w:val="nil"/>
            </w:tcBorders>
            <w:shd w:val="clear" w:color="auto" w:fill="auto"/>
            <w:noWrap/>
            <w:vAlign w:val="bottom"/>
            <w:hideMark/>
          </w:tcPr>
          <w:p w14:paraId="7EDC3215"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12,8</w:t>
            </w:r>
          </w:p>
        </w:tc>
        <w:tc>
          <w:tcPr>
            <w:tcW w:w="907" w:type="dxa"/>
            <w:tcBorders>
              <w:top w:val="nil"/>
              <w:left w:val="nil"/>
              <w:bottom w:val="nil"/>
              <w:right w:val="single" w:sz="4" w:space="0" w:color="auto"/>
            </w:tcBorders>
            <w:shd w:val="clear" w:color="auto" w:fill="auto"/>
            <w:noWrap/>
            <w:vAlign w:val="bottom"/>
            <w:hideMark/>
          </w:tcPr>
          <w:p w14:paraId="607A444A"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11,1</w:t>
            </w:r>
          </w:p>
        </w:tc>
        <w:tc>
          <w:tcPr>
            <w:tcW w:w="907" w:type="dxa"/>
            <w:tcBorders>
              <w:top w:val="nil"/>
              <w:left w:val="nil"/>
              <w:bottom w:val="nil"/>
              <w:right w:val="nil"/>
            </w:tcBorders>
            <w:shd w:val="clear" w:color="auto" w:fill="auto"/>
            <w:noWrap/>
            <w:vAlign w:val="bottom"/>
            <w:hideMark/>
          </w:tcPr>
          <w:p w14:paraId="4D9AC40B"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77,1</w:t>
            </w:r>
          </w:p>
        </w:tc>
        <w:tc>
          <w:tcPr>
            <w:tcW w:w="907" w:type="dxa"/>
            <w:tcBorders>
              <w:top w:val="nil"/>
              <w:left w:val="nil"/>
              <w:bottom w:val="nil"/>
              <w:right w:val="nil"/>
            </w:tcBorders>
            <w:shd w:val="clear" w:color="auto" w:fill="auto"/>
            <w:noWrap/>
            <w:vAlign w:val="bottom"/>
            <w:hideMark/>
          </w:tcPr>
          <w:p w14:paraId="455FA8D2"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86,9</w:t>
            </w:r>
          </w:p>
        </w:tc>
        <w:tc>
          <w:tcPr>
            <w:tcW w:w="907" w:type="dxa"/>
            <w:tcBorders>
              <w:top w:val="nil"/>
              <w:left w:val="nil"/>
              <w:bottom w:val="nil"/>
              <w:right w:val="nil"/>
            </w:tcBorders>
            <w:shd w:val="clear" w:color="auto" w:fill="auto"/>
            <w:noWrap/>
            <w:vAlign w:val="bottom"/>
            <w:hideMark/>
          </w:tcPr>
          <w:p w14:paraId="01DC5D6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65,9</w:t>
            </w:r>
          </w:p>
        </w:tc>
      </w:tr>
      <w:tr w:rsidR="00287133" w:rsidRPr="00287133" w14:paraId="0E5031DE" w14:textId="77777777" w:rsidTr="005E754B">
        <w:trPr>
          <w:trHeight w:val="300"/>
        </w:trPr>
        <w:tc>
          <w:tcPr>
            <w:tcW w:w="4195" w:type="dxa"/>
            <w:tcBorders>
              <w:top w:val="nil"/>
              <w:left w:val="nil"/>
              <w:bottom w:val="nil"/>
              <w:right w:val="nil"/>
            </w:tcBorders>
            <w:shd w:val="clear" w:color="auto" w:fill="auto"/>
            <w:noWrap/>
            <w:vAlign w:val="bottom"/>
            <w:hideMark/>
          </w:tcPr>
          <w:p w14:paraId="521AE0FA"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Nemoci dýchací soustavy</w:t>
            </w:r>
          </w:p>
        </w:tc>
        <w:tc>
          <w:tcPr>
            <w:tcW w:w="907" w:type="dxa"/>
            <w:tcBorders>
              <w:top w:val="nil"/>
              <w:left w:val="single" w:sz="4" w:space="0" w:color="auto"/>
              <w:bottom w:val="nil"/>
              <w:right w:val="nil"/>
            </w:tcBorders>
            <w:shd w:val="clear" w:color="auto" w:fill="auto"/>
            <w:noWrap/>
            <w:vAlign w:val="bottom"/>
            <w:hideMark/>
          </w:tcPr>
          <w:p w14:paraId="6C35A62B"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631,1</w:t>
            </w:r>
          </w:p>
        </w:tc>
        <w:tc>
          <w:tcPr>
            <w:tcW w:w="907" w:type="dxa"/>
            <w:tcBorders>
              <w:top w:val="nil"/>
              <w:left w:val="nil"/>
              <w:bottom w:val="nil"/>
              <w:right w:val="nil"/>
            </w:tcBorders>
            <w:shd w:val="clear" w:color="auto" w:fill="auto"/>
            <w:noWrap/>
            <w:vAlign w:val="bottom"/>
            <w:hideMark/>
          </w:tcPr>
          <w:p w14:paraId="6134A72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297,4</w:t>
            </w:r>
          </w:p>
        </w:tc>
        <w:tc>
          <w:tcPr>
            <w:tcW w:w="907" w:type="dxa"/>
            <w:tcBorders>
              <w:top w:val="nil"/>
              <w:left w:val="nil"/>
              <w:bottom w:val="nil"/>
              <w:right w:val="single" w:sz="4" w:space="0" w:color="auto"/>
            </w:tcBorders>
            <w:shd w:val="clear" w:color="auto" w:fill="auto"/>
            <w:noWrap/>
            <w:vAlign w:val="bottom"/>
            <w:hideMark/>
          </w:tcPr>
          <w:p w14:paraId="3BFE1E06"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333,6</w:t>
            </w:r>
          </w:p>
        </w:tc>
        <w:tc>
          <w:tcPr>
            <w:tcW w:w="907" w:type="dxa"/>
            <w:tcBorders>
              <w:top w:val="nil"/>
              <w:left w:val="nil"/>
              <w:bottom w:val="nil"/>
              <w:right w:val="nil"/>
            </w:tcBorders>
            <w:shd w:val="clear" w:color="auto" w:fill="auto"/>
            <w:noWrap/>
            <w:vAlign w:val="bottom"/>
            <w:hideMark/>
          </w:tcPr>
          <w:p w14:paraId="1ED29A42"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15,6</w:t>
            </w:r>
          </w:p>
        </w:tc>
        <w:tc>
          <w:tcPr>
            <w:tcW w:w="907" w:type="dxa"/>
            <w:tcBorders>
              <w:top w:val="nil"/>
              <w:left w:val="nil"/>
              <w:bottom w:val="nil"/>
              <w:right w:val="nil"/>
            </w:tcBorders>
            <w:shd w:val="clear" w:color="auto" w:fill="auto"/>
            <w:noWrap/>
            <w:vAlign w:val="bottom"/>
            <w:hideMark/>
          </w:tcPr>
          <w:p w14:paraId="107493C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15,5</w:t>
            </w:r>
          </w:p>
        </w:tc>
        <w:tc>
          <w:tcPr>
            <w:tcW w:w="907" w:type="dxa"/>
            <w:tcBorders>
              <w:top w:val="nil"/>
              <w:left w:val="nil"/>
              <w:bottom w:val="nil"/>
              <w:right w:val="nil"/>
            </w:tcBorders>
            <w:shd w:val="clear" w:color="auto" w:fill="auto"/>
            <w:noWrap/>
            <w:vAlign w:val="bottom"/>
            <w:hideMark/>
          </w:tcPr>
          <w:p w14:paraId="6356A6F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15,7</w:t>
            </w:r>
          </w:p>
        </w:tc>
      </w:tr>
      <w:tr w:rsidR="00287133" w:rsidRPr="00287133" w14:paraId="6579A222" w14:textId="77777777" w:rsidTr="005E754B">
        <w:trPr>
          <w:trHeight w:val="300"/>
        </w:trPr>
        <w:tc>
          <w:tcPr>
            <w:tcW w:w="4195" w:type="dxa"/>
            <w:tcBorders>
              <w:top w:val="nil"/>
              <w:left w:val="nil"/>
              <w:bottom w:val="nil"/>
              <w:right w:val="nil"/>
            </w:tcBorders>
            <w:shd w:val="clear" w:color="auto" w:fill="auto"/>
            <w:noWrap/>
            <w:vAlign w:val="bottom"/>
            <w:hideMark/>
          </w:tcPr>
          <w:p w14:paraId="3595C6D9" w14:textId="77777777" w:rsidR="00287133" w:rsidRPr="00287133" w:rsidRDefault="00287133" w:rsidP="00287133">
            <w:pPr>
              <w:spacing w:after="0" w:line="240" w:lineRule="auto"/>
              <w:ind w:firstLineChars="200" w:firstLine="320"/>
              <w:rPr>
                <w:rFonts w:cs="Arial"/>
                <w:color w:val="000000"/>
                <w:sz w:val="16"/>
                <w:szCs w:val="16"/>
              </w:rPr>
            </w:pPr>
            <w:r w:rsidRPr="00287133">
              <w:rPr>
                <w:rFonts w:cs="Arial"/>
                <w:color w:val="000000"/>
                <w:sz w:val="16"/>
                <w:szCs w:val="16"/>
              </w:rPr>
              <w:t xml:space="preserve"> akutní infekce dýchacích cest</w:t>
            </w:r>
          </w:p>
        </w:tc>
        <w:tc>
          <w:tcPr>
            <w:tcW w:w="907" w:type="dxa"/>
            <w:tcBorders>
              <w:top w:val="nil"/>
              <w:left w:val="single" w:sz="4" w:space="0" w:color="auto"/>
              <w:bottom w:val="nil"/>
              <w:right w:val="nil"/>
            </w:tcBorders>
            <w:shd w:val="clear" w:color="auto" w:fill="auto"/>
            <w:noWrap/>
            <w:vAlign w:val="bottom"/>
            <w:hideMark/>
          </w:tcPr>
          <w:p w14:paraId="4DFA4B52"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557,7</w:t>
            </w:r>
          </w:p>
        </w:tc>
        <w:tc>
          <w:tcPr>
            <w:tcW w:w="907" w:type="dxa"/>
            <w:tcBorders>
              <w:top w:val="nil"/>
              <w:left w:val="nil"/>
              <w:bottom w:val="nil"/>
              <w:right w:val="nil"/>
            </w:tcBorders>
            <w:shd w:val="clear" w:color="auto" w:fill="auto"/>
            <w:noWrap/>
            <w:vAlign w:val="bottom"/>
            <w:hideMark/>
          </w:tcPr>
          <w:p w14:paraId="1628767D"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259,6</w:t>
            </w:r>
          </w:p>
        </w:tc>
        <w:tc>
          <w:tcPr>
            <w:tcW w:w="907" w:type="dxa"/>
            <w:tcBorders>
              <w:top w:val="nil"/>
              <w:left w:val="nil"/>
              <w:bottom w:val="nil"/>
              <w:right w:val="single" w:sz="4" w:space="0" w:color="auto"/>
            </w:tcBorders>
            <w:shd w:val="clear" w:color="auto" w:fill="auto"/>
            <w:noWrap/>
            <w:vAlign w:val="bottom"/>
            <w:hideMark/>
          </w:tcPr>
          <w:p w14:paraId="295649E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298,1</w:t>
            </w:r>
          </w:p>
        </w:tc>
        <w:tc>
          <w:tcPr>
            <w:tcW w:w="907" w:type="dxa"/>
            <w:tcBorders>
              <w:top w:val="nil"/>
              <w:left w:val="nil"/>
              <w:bottom w:val="nil"/>
              <w:right w:val="nil"/>
            </w:tcBorders>
            <w:shd w:val="clear" w:color="auto" w:fill="auto"/>
            <w:noWrap/>
            <w:vAlign w:val="bottom"/>
            <w:hideMark/>
          </w:tcPr>
          <w:p w14:paraId="6E5D774F"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14,1</w:t>
            </w:r>
          </w:p>
        </w:tc>
        <w:tc>
          <w:tcPr>
            <w:tcW w:w="907" w:type="dxa"/>
            <w:tcBorders>
              <w:top w:val="nil"/>
              <w:left w:val="nil"/>
              <w:bottom w:val="nil"/>
              <w:right w:val="nil"/>
            </w:tcBorders>
            <w:shd w:val="clear" w:color="auto" w:fill="auto"/>
            <w:noWrap/>
            <w:vAlign w:val="bottom"/>
            <w:hideMark/>
          </w:tcPr>
          <w:p w14:paraId="12B6F67B"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13,6</w:t>
            </w:r>
          </w:p>
        </w:tc>
        <w:tc>
          <w:tcPr>
            <w:tcW w:w="907" w:type="dxa"/>
            <w:tcBorders>
              <w:top w:val="nil"/>
              <w:left w:val="nil"/>
              <w:bottom w:val="nil"/>
              <w:right w:val="nil"/>
            </w:tcBorders>
            <w:shd w:val="clear" w:color="auto" w:fill="auto"/>
            <w:noWrap/>
            <w:vAlign w:val="bottom"/>
            <w:hideMark/>
          </w:tcPr>
          <w:p w14:paraId="101A8C00"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14,4</w:t>
            </w:r>
          </w:p>
        </w:tc>
      </w:tr>
      <w:tr w:rsidR="00287133" w:rsidRPr="00287133" w14:paraId="2288E525" w14:textId="77777777" w:rsidTr="005E754B">
        <w:trPr>
          <w:trHeight w:val="300"/>
        </w:trPr>
        <w:tc>
          <w:tcPr>
            <w:tcW w:w="4195" w:type="dxa"/>
            <w:tcBorders>
              <w:top w:val="nil"/>
              <w:left w:val="nil"/>
              <w:bottom w:val="nil"/>
              <w:right w:val="nil"/>
            </w:tcBorders>
            <w:shd w:val="clear" w:color="auto" w:fill="auto"/>
            <w:noWrap/>
            <w:vAlign w:val="bottom"/>
            <w:hideMark/>
          </w:tcPr>
          <w:p w14:paraId="064DCCCB" w14:textId="77777777" w:rsidR="00287133" w:rsidRPr="00287133" w:rsidRDefault="00287133" w:rsidP="00287133">
            <w:pPr>
              <w:spacing w:after="0" w:line="240" w:lineRule="auto"/>
              <w:ind w:firstLineChars="200" w:firstLine="320"/>
              <w:rPr>
                <w:rFonts w:cs="Arial"/>
                <w:color w:val="000000"/>
                <w:sz w:val="16"/>
                <w:szCs w:val="16"/>
              </w:rPr>
            </w:pPr>
            <w:r w:rsidRPr="00287133">
              <w:rPr>
                <w:rFonts w:cs="Arial"/>
                <w:color w:val="000000"/>
                <w:sz w:val="16"/>
                <w:szCs w:val="16"/>
              </w:rPr>
              <w:t xml:space="preserve"> chřipka a pneumonie</w:t>
            </w:r>
          </w:p>
        </w:tc>
        <w:tc>
          <w:tcPr>
            <w:tcW w:w="907" w:type="dxa"/>
            <w:tcBorders>
              <w:top w:val="nil"/>
              <w:left w:val="single" w:sz="4" w:space="0" w:color="auto"/>
              <w:bottom w:val="nil"/>
              <w:right w:val="nil"/>
            </w:tcBorders>
            <w:shd w:val="clear" w:color="auto" w:fill="auto"/>
            <w:noWrap/>
            <w:vAlign w:val="bottom"/>
            <w:hideMark/>
          </w:tcPr>
          <w:p w14:paraId="71B6446F"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56,0</w:t>
            </w:r>
          </w:p>
        </w:tc>
        <w:tc>
          <w:tcPr>
            <w:tcW w:w="907" w:type="dxa"/>
            <w:tcBorders>
              <w:top w:val="nil"/>
              <w:left w:val="nil"/>
              <w:bottom w:val="nil"/>
              <w:right w:val="nil"/>
            </w:tcBorders>
            <w:shd w:val="clear" w:color="auto" w:fill="auto"/>
            <w:noWrap/>
            <w:vAlign w:val="bottom"/>
            <w:hideMark/>
          </w:tcPr>
          <w:p w14:paraId="786C5B78"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29,1</w:t>
            </w:r>
          </w:p>
        </w:tc>
        <w:tc>
          <w:tcPr>
            <w:tcW w:w="907" w:type="dxa"/>
            <w:tcBorders>
              <w:top w:val="nil"/>
              <w:left w:val="nil"/>
              <w:bottom w:val="nil"/>
              <w:right w:val="single" w:sz="4" w:space="0" w:color="auto"/>
            </w:tcBorders>
            <w:shd w:val="clear" w:color="auto" w:fill="auto"/>
            <w:noWrap/>
            <w:vAlign w:val="bottom"/>
            <w:hideMark/>
          </w:tcPr>
          <w:p w14:paraId="6FFE0240"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26,9</w:t>
            </w:r>
          </w:p>
        </w:tc>
        <w:tc>
          <w:tcPr>
            <w:tcW w:w="907" w:type="dxa"/>
            <w:tcBorders>
              <w:top w:val="nil"/>
              <w:left w:val="nil"/>
              <w:bottom w:val="nil"/>
              <w:right w:val="nil"/>
            </w:tcBorders>
            <w:shd w:val="clear" w:color="auto" w:fill="auto"/>
            <w:noWrap/>
            <w:vAlign w:val="bottom"/>
            <w:hideMark/>
          </w:tcPr>
          <w:p w14:paraId="7EA95499"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20,9</w:t>
            </w:r>
          </w:p>
        </w:tc>
        <w:tc>
          <w:tcPr>
            <w:tcW w:w="907" w:type="dxa"/>
            <w:tcBorders>
              <w:top w:val="nil"/>
              <w:left w:val="nil"/>
              <w:bottom w:val="nil"/>
              <w:right w:val="nil"/>
            </w:tcBorders>
            <w:shd w:val="clear" w:color="auto" w:fill="auto"/>
            <w:noWrap/>
            <w:vAlign w:val="bottom"/>
            <w:hideMark/>
          </w:tcPr>
          <w:p w14:paraId="411F5B75"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21,6</w:t>
            </w:r>
          </w:p>
        </w:tc>
        <w:tc>
          <w:tcPr>
            <w:tcW w:w="907" w:type="dxa"/>
            <w:tcBorders>
              <w:top w:val="nil"/>
              <w:left w:val="nil"/>
              <w:bottom w:val="nil"/>
              <w:right w:val="nil"/>
            </w:tcBorders>
            <w:shd w:val="clear" w:color="auto" w:fill="auto"/>
            <w:noWrap/>
            <w:vAlign w:val="bottom"/>
            <w:hideMark/>
          </w:tcPr>
          <w:p w14:paraId="6B04644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20,3</w:t>
            </w:r>
          </w:p>
        </w:tc>
      </w:tr>
      <w:tr w:rsidR="00287133" w:rsidRPr="00287133" w14:paraId="3CC577BD" w14:textId="77777777" w:rsidTr="005E754B">
        <w:trPr>
          <w:trHeight w:val="300"/>
        </w:trPr>
        <w:tc>
          <w:tcPr>
            <w:tcW w:w="4195" w:type="dxa"/>
            <w:tcBorders>
              <w:top w:val="nil"/>
              <w:left w:val="nil"/>
              <w:bottom w:val="nil"/>
              <w:right w:val="nil"/>
            </w:tcBorders>
            <w:shd w:val="clear" w:color="auto" w:fill="auto"/>
            <w:noWrap/>
            <w:vAlign w:val="bottom"/>
            <w:hideMark/>
          </w:tcPr>
          <w:p w14:paraId="78CB89FD" w14:textId="77777777" w:rsidR="00287133" w:rsidRPr="00287133" w:rsidRDefault="00287133" w:rsidP="00287133">
            <w:pPr>
              <w:spacing w:after="0" w:line="240" w:lineRule="auto"/>
              <w:ind w:firstLineChars="200" w:firstLine="320"/>
              <w:rPr>
                <w:rFonts w:cs="Arial"/>
                <w:color w:val="000000"/>
                <w:sz w:val="16"/>
                <w:szCs w:val="16"/>
              </w:rPr>
            </w:pPr>
            <w:r w:rsidRPr="00287133">
              <w:rPr>
                <w:rFonts w:cs="Arial"/>
                <w:color w:val="000000"/>
                <w:sz w:val="16"/>
                <w:szCs w:val="16"/>
              </w:rPr>
              <w:t xml:space="preserve"> chronické nemoci dolních dýchacích cest</w:t>
            </w:r>
          </w:p>
        </w:tc>
        <w:tc>
          <w:tcPr>
            <w:tcW w:w="907" w:type="dxa"/>
            <w:tcBorders>
              <w:top w:val="nil"/>
              <w:left w:val="single" w:sz="4" w:space="0" w:color="auto"/>
              <w:bottom w:val="nil"/>
              <w:right w:val="nil"/>
            </w:tcBorders>
            <w:shd w:val="clear" w:color="auto" w:fill="auto"/>
            <w:noWrap/>
            <w:vAlign w:val="bottom"/>
            <w:hideMark/>
          </w:tcPr>
          <w:p w14:paraId="3379AF0A"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9,3</w:t>
            </w:r>
          </w:p>
        </w:tc>
        <w:tc>
          <w:tcPr>
            <w:tcW w:w="907" w:type="dxa"/>
            <w:tcBorders>
              <w:top w:val="nil"/>
              <w:left w:val="nil"/>
              <w:bottom w:val="nil"/>
              <w:right w:val="nil"/>
            </w:tcBorders>
            <w:shd w:val="clear" w:color="auto" w:fill="auto"/>
            <w:noWrap/>
            <w:vAlign w:val="bottom"/>
            <w:hideMark/>
          </w:tcPr>
          <w:p w14:paraId="5E3CDD7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4,2</w:t>
            </w:r>
          </w:p>
        </w:tc>
        <w:tc>
          <w:tcPr>
            <w:tcW w:w="907" w:type="dxa"/>
            <w:tcBorders>
              <w:top w:val="nil"/>
              <w:left w:val="nil"/>
              <w:bottom w:val="nil"/>
              <w:right w:val="single" w:sz="4" w:space="0" w:color="auto"/>
            </w:tcBorders>
            <w:shd w:val="clear" w:color="auto" w:fill="auto"/>
            <w:noWrap/>
            <w:vAlign w:val="bottom"/>
            <w:hideMark/>
          </w:tcPr>
          <w:p w14:paraId="6009C97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5,1</w:t>
            </w:r>
          </w:p>
        </w:tc>
        <w:tc>
          <w:tcPr>
            <w:tcW w:w="907" w:type="dxa"/>
            <w:tcBorders>
              <w:top w:val="nil"/>
              <w:left w:val="nil"/>
              <w:bottom w:val="nil"/>
              <w:right w:val="nil"/>
            </w:tcBorders>
            <w:shd w:val="clear" w:color="auto" w:fill="auto"/>
            <w:noWrap/>
            <w:vAlign w:val="bottom"/>
            <w:hideMark/>
          </w:tcPr>
          <w:p w14:paraId="7283D2B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60,2</w:t>
            </w:r>
          </w:p>
        </w:tc>
        <w:tc>
          <w:tcPr>
            <w:tcW w:w="907" w:type="dxa"/>
            <w:tcBorders>
              <w:top w:val="nil"/>
              <w:left w:val="nil"/>
              <w:bottom w:val="nil"/>
              <w:right w:val="nil"/>
            </w:tcBorders>
            <w:shd w:val="clear" w:color="auto" w:fill="auto"/>
            <w:noWrap/>
            <w:vAlign w:val="bottom"/>
            <w:hideMark/>
          </w:tcPr>
          <w:p w14:paraId="4638B969"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62,9</w:t>
            </w:r>
          </w:p>
        </w:tc>
        <w:tc>
          <w:tcPr>
            <w:tcW w:w="907" w:type="dxa"/>
            <w:tcBorders>
              <w:top w:val="nil"/>
              <w:left w:val="nil"/>
              <w:bottom w:val="nil"/>
              <w:right w:val="nil"/>
            </w:tcBorders>
            <w:shd w:val="clear" w:color="auto" w:fill="auto"/>
            <w:noWrap/>
            <w:vAlign w:val="bottom"/>
            <w:hideMark/>
          </w:tcPr>
          <w:p w14:paraId="092DCAB0"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58,0</w:t>
            </w:r>
          </w:p>
        </w:tc>
      </w:tr>
      <w:tr w:rsidR="00287133" w:rsidRPr="00287133" w14:paraId="62FD803A" w14:textId="77777777" w:rsidTr="005E754B">
        <w:trPr>
          <w:trHeight w:val="300"/>
        </w:trPr>
        <w:tc>
          <w:tcPr>
            <w:tcW w:w="4195" w:type="dxa"/>
            <w:tcBorders>
              <w:top w:val="nil"/>
              <w:left w:val="nil"/>
              <w:bottom w:val="nil"/>
              <w:right w:val="nil"/>
            </w:tcBorders>
            <w:shd w:val="clear" w:color="auto" w:fill="auto"/>
            <w:noWrap/>
            <w:vAlign w:val="bottom"/>
            <w:hideMark/>
          </w:tcPr>
          <w:p w14:paraId="7E8F512B" w14:textId="77777777" w:rsidR="00287133" w:rsidRPr="00287133" w:rsidRDefault="00287133" w:rsidP="00287133">
            <w:pPr>
              <w:spacing w:after="0" w:line="240" w:lineRule="auto"/>
              <w:ind w:firstLineChars="200" w:firstLine="320"/>
              <w:rPr>
                <w:rFonts w:cs="Arial"/>
                <w:color w:val="000000"/>
                <w:sz w:val="16"/>
                <w:szCs w:val="16"/>
              </w:rPr>
            </w:pPr>
            <w:r w:rsidRPr="00287133">
              <w:rPr>
                <w:rFonts w:cs="Arial"/>
                <w:color w:val="000000"/>
                <w:sz w:val="16"/>
                <w:szCs w:val="16"/>
              </w:rPr>
              <w:t xml:space="preserve"> jiné nemoci dýchacích cest</w:t>
            </w:r>
          </w:p>
        </w:tc>
        <w:tc>
          <w:tcPr>
            <w:tcW w:w="907" w:type="dxa"/>
            <w:tcBorders>
              <w:top w:val="nil"/>
              <w:left w:val="single" w:sz="4" w:space="0" w:color="auto"/>
              <w:bottom w:val="nil"/>
              <w:right w:val="nil"/>
            </w:tcBorders>
            <w:shd w:val="clear" w:color="auto" w:fill="auto"/>
            <w:noWrap/>
            <w:vAlign w:val="bottom"/>
            <w:hideMark/>
          </w:tcPr>
          <w:p w14:paraId="5B29D1B6"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8,0</w:t>
            </w:r>
          </w:p>
        </w:tc>
        <w:tc>
          <w:tcPr>
            <w:tcW w:w="907" w:type="dxa"/>
            <w:tcBorders>
              <w:top w:val="nil"/>
              <w:left w:val="nil"/>
              <w:bottom w:val="nil"/>
              <w:right w:val="nil"/>
            </w:tcBorders>
            <w:shd w:val="clear" w:color="auto" w:fill="auto"/>
            <w:noWrap/>
            <w:vAlign w:val="bottom"/>
            <w:hideMark/>
          </w:tcPr>
          <w:p w14:paraId="6E5F0CF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4,4</w:t>
            </w:r>
          </w:p>
        </w:tc>
        <w:tc>
          <w:tcPr>
            <w:tcW w:w="907" w:type="dxa"/>
            <w:tcBorders>
              <w:top w:val="nil"/>
              <w:left w:val="nil"/>
              <w:bottom w:val="nil"/>
              <w:right w:val="single" w:sz="4" w:space="0" w:color="auto"/>
            </w:tcBorders>
            <w:shd w:val="clear" w:color="auto" w:fill="auto"/>
            <w:noWrap/>
            <w:vAlign w:val="bottom"/>
            <w:hideMark/>
          </w:tcPr>
          <w:p w14:paraId="4F80E4AD"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3,6</w:t>
            </w:r>
          </w:p>
        </w:tc>
        <w:tc>
          <w:tcPr>
            <w:tcW w:w="907" w:type="dxa"/>
            <w:tcBorders>
              <w:top w:val="nil"/>
              <w:left w:val="nil"/>
              <w:bottom w:val="nil"/>
              <w:right w:val="nil"/>
            </w:tcBorders>
            <w:shd w:val="clear" w:color="auto" w:fill="auto"/>
            <w:noWrap/>
            <w:vAlign w:val="bottom"/>
            <w:hideMark/>
          </w:tcPr>
          <w:p w14:paraId="1ED19A6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35,0</w:t>
            </w:r>
          </w:p>
        </w:tc>
        <w:tc>
          <w:tcPr>
            <w:tcW w:w="907" w:type="dxa"/>
            <w:tcBorders>
              <w:top w:val="nil"/>
              <w:left w:val="nil"/>
              <w:bottom w:val="nil"/>
              <w:right w:val="nil"/>
            </w:tcBorders>
            <w:shd w:val="clear" w:color="auto" w:fill="auto"/>
            <w:noWrap/>
            <w:vAlign w:val="bottom"/>
            <w:hideMark/>
          </w:tcPr>
          <w:p w14:paraId="6A1CA420"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37,9</w:t>
            </w:r>
          </w:p>
        </w:tc>
        <w:tc>
          <w:tcPr>
            <w:tcW w:w="907" w:type="dxa"/>
            <w:tcBorders>
              <w:top w:val="nil"/>
              <w:left w:val="nil"/>
              <w:bottom w:val="nil"/>
              <w:right w:val="nil"/>
            </w:tcBorders>
            <w:shd w:val="clear" w:color="auto" w:fill="auto"/>
            <w:noWrap/>
            <w:vAlign w:val="bottom"/>
            <w:hideMark/>
          </w:tcPr>
          <w:p w14:paraId="67D1497F"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31,3</w:t>
            </w:r>
          </w:p>
        </w:tc>
      </w:tr>
      <w:tr w:rsidR="00287133" w:rsidRPr="00287133" w14:paraId="11C66390" w14:textId="77777777" w:rsidTr="005E754B">
        <w:trPr>
          <w:trHeight w:val="300"/>
        </w:trPr>
        <w:tc>
          <w:tcPr>
            <w:tcW w:w="4195" w:type="dxa"/>
            <w:tcBorders>
              <w:top w:val="nil"/>
              <w:left w:val="nil"/>
              <w:bottom w:val="nil"/>
              <w:right w:val="nil"/>
            </w:tcBorders>
            <w:shd w:val="clear" w:color="auto" w:fill="auto"/>
            <w:noWrap/>
            <w:vAlign w:val="bottom"/>
            <w:hideMark/>
          </w:tcPr>
          <w:p w14:paraId="322D0AE9"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Nemoci trávicí soustavy</w:t>
            </w:r>
          </w:p>
        </w:tc>
        <w:tc>
          <w:tcPr>
            <w:tcW w:w="907" w:type="dxa"/>
            <w:tcBorders>
              <w:top w:val="nil"/>
              <w:left w:val="single" w:sz="4" w:space="0" w:color="auto"/>
              <w:bottom w:val="nil"/>
              <w:right w:val="nil"/>
            </w:tcBorders>
            <w:shd w:val="clear" w:color="auto" w:fill="auto"/>
            <w:noWrap/>
            <w:vAlign w:val="bottom"/>
            <w:hideMark/>
          </w:tcPr>
          <w:p w14:paraId="05085E52"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131,6</w:t>
            </w:r>
          </w:p>
        </w:tc>
        <w:tc>
          <w:tcPr>
            <w:tcW w:w="907" w:type="dxa"/>
            <w:tcBorders>
              <w:top w:val="nil"/>
              <w:left w:val="nil"/>
              <w:bottom w:val="nil"/>
              <w:right w:val="nil"/>
            </w:tcBorders>
            <w:shd w:val="clear" w:color="auto" w:fill="auto"/>
            <w:noWrap/>
            <w:vAlign w:val="bottom"/>
            <w:hideMark/>
          </w:tcPr>
          <w:p w14:paraId="2D1722D1"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71,3</w:t>
            </w:r>
          </w:p>
        </w:tc>
        <w:tc>
          <w:tcPr>
            <w:tcW w:w="907" w:type="dxa"/>
            <w:tcBorders>
              <w:top w:val="nil"/>
              <w:left w:val="nil"/>
              <w:bottom w:val="nil"/>
              <w:right w:val="single" w:sz="4" w:space="0" w:color="auto"/>
            </w:tcBorders>
            <w:shd w:val="clear" w:color="auto" w:fill="auto"/>
            <w:noWrap/>
            <w:vAlign w:val="bottom"/>
            <w:hideMark/>
          </w:tcPr>
          <w:p w14:paraId="6B9F7A26"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60,3</w:t>
            </w:r>
          </w:p>
        </w:tc>
        <w:tc>
          <w:tcPr>
            <w:tcW w:w="907" w:type="dxa"/>
            <w:tcBorders>
              <w:top w:val="nil"/>
              <w:left w:val="nil"/>
              <w:bottom w:val="nil"/>
              <w:right w:val="nil"/>
            </w:tcBorders>
            <w:shd w:val="clear" w:color="auto" w:fill="auto"/>
            <w:noWrap/>
            <w:vAlign w:val="bottom"/>
            <w:hideMark/>
          </w:tcPr>
          <w:p w14:paraId="601DF5EB"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28,2</w:t>
            </w:r>
          </w:p>
        </w:tc>
        <w:tc>
          <w:tcPr>
            <w:tcW w:w="907" w:type="dxa"/>
            <w:tcBorders>
              <w:top w:val="nil"/>
              <w:left w:val="nil"/>
              <w:bottom w:val="nil"/>
              <w:right w:val="nil"/>
            </w:tcBorders>
            <w:shd w:val="clear" w:color="auto" w:fill="auto"/>
            <w:noWrap/>
            <w:vAlign w:val="bottom"/>
            <w:hideMark/>
          </w:tcPr>
          <w:p w14:paraId="78702AC9"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28,5</w:t>
            </w:r>
          </w:p>
        </w:tc>
        <w:tc>
          <w:tcPr>
            <w:tcW w:w="907" w:type="dxa"/>
            <w:tcBorders>
              <w:top w:val="nil"/>
              <w:left w:val="nil"/>
              <w:bottom w:val="nil"/>
              <w:right w:val="nil"/>
            </w:tcBorders>
            <w:shd w:val="clear" w:color="auto" w:fill="auto"/>
            <w:noWrap/>
            <w:vAlign w:val="bottom"/>
            <w:hideMark/>
          </w:tcPr>
          <w:p w14:paraId="022648E0"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27,8</w:t>
            </w:r>
          </w:p>
        </w:tc>
      </w:tr>
      <w:tr w:rsidR="00287133" w:rsidRPr="00287133" w14:paraId="053C9073" w14:textId="77777777" w:rsidTr="005E754B">
        <w:trPr>
          <w:trHeight w:val="300"/>
        </w:trPr>
        <w:tc>
          <w:tcPr>
            <w:tcW w:w="4195" w:type="dxa"/>
            <w:tcBorders>
              <w:top w:val="nil"/>
              <w:left w:val="nil"/>
              <w:bottom w:val="nil"/>
              <w:right w:val="nil"/>
            </w:tcBorders>
            <w:shd w:val="clear" w:color="auto" w:fill="auto"/>
            <w:noWrap/>
            <w:vAlign w:val="bottom"/>
            <w:hideMark/>
          </w:tcPr>
          <w:p w14:paraId="02E648E9"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Nemoci kůže</w:t>
            </w:r>
          </w:p>
        </w:tc>
        <w:tc>
          <w:tcPr>
            <w:tcW w:w="907" w:type="dxa"/>
            <w:tcBorders>
              <w:top w:val="nil"/>
              <w:left w:val="single" w:sz="4" w:space="0" w:color="auto"/>
              <w:bottom w:val="nil"/>
              <w:right w:val="nil"/>
            </w:tcBorders>
            <w:shd w:val="clear" w:color="auto" w:fill="auto"/>
            <w:noWrap/>
            <w:vAlign w:val="bottom"/>
            <w:hideMark/>
          </w:tcPr>
          <w:p w14:paraId="5787C299"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29,0</w:t>
            </w:r>
          </w:p>
        </w:tc>
        <w:tc>
          <w:tcPr>
            <w:tcW w:w="907" w:type="dxa"/>
            <w:tcBorders>
              <w:top w:val="nil"/>
              <w:left w:val="nil"/>
              <w:bottom w:val="nil"/>
              <w:right w:val="nil"/>
            </w:tcBorders>
            <w:shd w:val="clear" w:color="auto" w:fill="auto"/>
            <w:noWrap/>
            <w:vAlign w:val="bottom"/>
            <w:hideMark/>
          </w:tcPr>
          <w:p w14:paraId="0E414B0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16,8</w:t>
            </w:r>
          </w:p>
        </w:tc>
        <w:tc>
          <w:tcPr>
            <w:tcW w:w="907" w:type="dxa"/>
            <w:tcBorders>
              <w:top w:val="nil"/>
              <w:left w:val="nil"/>
              <w:bottom w:val="nil"/>
              <w:right w:val="single" w:sz="4" w:space="0" w:color="auto"/>
            </w:tcBorders>
            <w:shd w:val="clear" w:color="auto" w:fill="auto"/>
            <w:noWrap/>
            <w:vAlign w:val="bottom"/>
            <w:hideMark/>
          </w:tcPr>
          <w:p w14:paraId="79E7A45A"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12,2</w:t>
            </w:r>
          </w:p>
        </w:tc>
        <w:tc>
          <w:tcPr>
            <w:tcW w:w="907" w:type="dxa"/>
            <w:tcBorders>
              <w:top w:val="nil"/>
              <w:left w:val="nil"/>
              <w:bottom w:val="nil"/>
              <w:right w:val="nil"/>
            </w:tcBorders>
            <w:shd w:val="clear" w:color="auto" w:fill="auto"/>
            <w:noWrap/>
            <w:vAlign w:val="bottom"/>
            <w:hideMark/>
          </w:tcPr>
          <w:p w14:paraId="469910F9"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33,4</w:t>
            </w:r>
          </w:p>
        </w:tc>
        <w:tc>
          <w:tcPr>
            <w:tcW w:w="907" w:type="dxa"/>
            <w:tcBorders>
              <w:top w:val="nil"/>
              <w:left w:val="nil"/>
              <w:bottom w:val="nil"/>
              <w:right w:val="nil"/>
            </w:tcBorders>
            <w:shd w:val="clear" w:color="auto" w:fill="auto"/>
            <w:noWrap/>
            <w:vAlign w:val="bottom"/>
            <w:hideMark/>
          </w:tcPr>
          <w:p w14:paraId="792CF918"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33,2</w:t>
            </w:r>
          </w:p>
        </w:tc>
        <w:tc>
          <w:tcPr>
            <w:tcW w:w="907" w:type="dxa"/>
            <w:tcBorders>
              <w:top w:val="nil"/>
              <w:left w:val="nil"/>
              <w:bottom w:val="nil"/>
              <w:right w:val="nil"/>
            </w:tcBorders>
            <w:shd w:val="clear" w:color="auto" w:fill="auto"/>
            <w:noWrap/>
            <w:vAlign w:val="bottom"/>
            <w:hideMark/>
          </w:tcPr>
          <w:p w14:paraId="4D5D095A"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33,6</w:t>
            </w:r>
          </w:p>
        </w:tc>
      </w:tr>
      <w:tr w:rsidR="00287133" w:rsidRPr="00287133" w14:paraId="3C290EB6" w14:textId="77777777" w:rsidTr="005E754B">
        <w:trPr>
          <w:trHeight w:val="300"/>
        </w:trPr>
        <w:tc>
          <w:tcPr>
            <w:tcW w:w="4195" w:type="dxa"/>
            <w:tcBorders>
              <w:top w:val="nil"/>
              <w:left w:val="nil"/>
              <w:bottom w:val="nil"/>
              <w:right w:val="nil"/>
            </w:tcBorders>
            <w:shd w:val="clear" w:color="auto" w:fill="auto"/>
            <w:noWrap/>
            <w:vAlign w:val="bottom"/>
            <w:hideMark/>
          </w:tcPr>
          <w:p w14:paraId="7F7E3B94"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Nemoci pohybové soustavy</w:t>
            </w:r>
          </w:p>
        </w:tc>
        <w:tc>
          <w:tcPr>
            <w:tcW w:w="907" w:type="dxa"/>
            <w:tcBorders>
              <w:top w:val="nil"/>
              <w:left w:val="single" w:sz="4" w:space="0" w:color="auto"/>
              <w:bottom w:val="nil"/>
              <w:right w:val="nil"/>
            </w:tcBorders>
            <w:shd w:val="clear" w:color="auto" w:fill="auto"/>
            <w:noWrap/>
            <w:vAlign w:val="bottom"/>
            <w:hideMark/>
          </w:tcPr>
          <w:p w14:paraId="28C098A0"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380,1</w:t>
            </w:r>
          </w:p>
        </w:tc>
        <w:tc>
          <w:tcPr>
            <w:tcW w:w="907" w:type="dxa"/>
            <w:tcBorders>
              <w:top w:val="nil"/>
              <w:left w:val="nil"/>
              <w:bottom w:val="nil"/>
              <w:right w:val="nil"/>
            </w:tcBorders>
            <w:shd w:val="clear" w:color="auto" w:fill="auto"/>
            <w:noWrap/>
            <w:vAlign w:val="bottom"/>
            <w:hideMark/>
          </w:tcPr>
          <w:p w14:paraId="7FABEF56"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196,5</w:t>
            </w:r>
          </w:p>
        </w:tc>
        <w:tc>
          <w:tcPr>
            <w:tcW w:w="907" w:type="dxa"/>
            <w:tcBorders>
              <w:top w:val="nil"/>
              <w:left w:val="nil"/>
              <w:bottom w:val="nil"/>
              <w:right w:val="single" w:sz="4" w:space="0" w:color="auto"/>
            </w:tcBorders>
            <w:shd w:val="clear" w:color="auto" w:fill="auto"/>
            <w:noWrap/>
            <w:vAlign w:val="bottom"/>
            <w:hideMark/>
          </w:tcPr>
          <w:p w14:paraId="0209C5CF"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183,7</w:t>
            </w:r>
          </w:p>
        </w:tc>
        <w:tc>
          <w:tcPr>
            <w:tcW w:w="907" w:type="dxa"/>
            <w:tcBorders>
              <w:top w:val="nil"/>
              <w:left w:val="nil"/>
              <w:bottom w:val="nil"/>
              <w:right w:val="nil"/>
            </w:tcBorders>
            <w:shd w:val="clear" w:color="auto" w:fill="auto"/>
            <w:noWrap/>
            <w:vAlign w:val="bottom"/>
            <w:hideMark/>
          </w:tcPr>
          <w:p w14:paraId="4BF64A93"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70,2</w:t>
            </w:r>
          </w:p>
        </w:tc>
        <w:tc>
          <w:tcPr>
            <w:tcW w:w="907" w:type="dxa"/>
            <w:tcBorders>
              <w:top w:val="nil"/>
              <w:left w:val="nil"/>
              <w:bottom w:val="nil"/>
              <w:right w:val="nil"/>
            </w:tcBorders>
            <w:shd w:val="clear" w:color="auto" w:fill="auto"/>
            <w:noWrap/>
            <w:vAlign w:val="bottom"/>
            <w:hideMark/>
          </w:tcPr>
          <w:p w14:paraId="4297C1F8"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63,7</w:t>
            </w:r>
          </w:p>
        </w:tc>
        <w:tc>
          <w:tcPr>
            <w:tcW w:w="907" w:type="dxa"/>
            <w:tcBorders>
              <w:top w:val="nil"/>
              <w:left w:val="nil"/>
              <w:bottom w:val="nil"/>
              <w:right w:val="nil"/>
            </w:tcBorders>
            <w:shd w:val="clear" w:color="auto" w:fill="auto"/>
            <w:noWrap/>
            <w:vAlign w:val="bottom"/>
            <w:hideMark/>
          </w:tcPr>
          <w:p w14:paraId="52F92C65"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77,1</w:t>
            </w:r>
          </w:p>
        </w:tc>
      </w:tr>
      <w:tr w:rsidR="00287133" w:rsidRPr="00287133" w14:paraId="3CC059E5" w14:textId="77777777" w:rsidTr="005E754B">
        <w:trPr>
          <w:trHeight w:val="300"/>
        </w:trPr>
        <w:tc>
          <w:tcPr>
            <w:tcW w:w="4195" w:type="dxa"/>
            <w:tcBorders>
              <w:top w:val="nil"/>
              <w:left w:val="nil"/>
              <w:bottom w:val="nil"/>
              <w:right w:val="nil"/>
            </w:tcBorders>
            <w:shd w:val="clear" w:color="auto" w:fill="auto"/>
            <w:noWrap/>
            <w:vAlign w:val="bottom"/>
            <w:hideMark/>
          </w:tcPr>
          <w:p w14:paraId="0E2624CD" w14:textId="77777777" w:rsidR="00287133" w:rsidRPr="00287133" w:rsidRDefault="00287133" w:rsidP="00287133">
            <w:pPr>
              <w:spacing w:after="0" w:line="240" w:lineRule="auto"/>
              <w:ind w:firstLineChars="200" w:firstLine="320"/>
              <w:rPr>
                <w:rFonts w:cs="Arial"/>
                <w:color w:val="000000"/>
                <w:sz w:val="16"/>
                <w:szCs w:val="16"/>
              </w:rPr>
            </w:pPr>
            <w:r w:rsidRPr="00287133">
              <w:rPr>
                <w:rFonts w:cs="Arial"/>
                <w:color w:val="000000"/>
                <w:sz w:val="16"/>
                <w:szCs w:val="16"/>
              </w:rPr>
              <w:t xml:space="preserve"> nemoci páteře</w:t>
            </w:r>
          </w:p>
        </w:tc>
        <w:tc>
          <w:tcPr>
            <w:tcW w:w="907" w:type="dxa"/>
            <w:tcBorders>
              <w:top w:val="nil"/>
              <w:left w:val="single" w:sz="4" w:space="0" w:color="auto"/>
              <w:bottom w:val="nil"/>
              <w:right w:val="nil"/>
            </w:tcBorders>
            <w:shd w:val="clear" w:color="auto" w:fill="auto"/>
            <w:noWrap/>
            <w:vAlign w:val="bottom"/>
            <w:hideMark/>
          </w:tcPr>
          <w:p w14:paraId="685E874A"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259,4</w:t>
            </w:r>
          </w:p>
        </w:tc>
        <w:tc>
          <w:tcPr>
            <w:tcW w:w="907" w:type="dxa"/>
            <w:tcBorders>
              <w:top w:val="nil"/>
              <w:left w:val="nil"/>
              <w:bottom w:val="nil"/>
              <w:right w:val="nil"/>
            </w:tcBorders>
            <w:shd w:val="clear" w:color="auto" w:fill="auto"/>
            <w:noWrap/>
            <w:vAlign w:val="bottom"/>
            <w:hideMark/>
          </w:tcPr>
          <w:p w14:paraId="0D79124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134,0</w:t>
            </w:r>
          </w:p>
        </w:tc>
        <w:tc>
          <w:tcPr>
            <w:tcW w:w="907" w:type="dxa"/>
            <w:tcBorders>
              <w:top w:val="nil"/>
              <w:left w:val="nil"/>
              <w:bottom w:val="nil"/>
              <w:right w:val="single" w:sz="4" w:space="0" w:color="auto"/>
            </w:tcBorders>
            <w:shd w:val="clear" w:color="auto" w:fill="auto"/>
            <w:noWrap/>
            <w:vAlign w:val="bottom"/>
            <w:hideMark/>
          </w:tcPr>
          <w:p w14:paraId="78BEF2F3"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125,4</w:t>
            </w:r>
          </w:p>
        </w:tc>
        <w:tc>
          <w:tcPr>
            <w:tcW w:w="907" w:type="dxa"/>
            <w:tcBorders>
              <w:top w:val="nil"/>
              <w:left w:val="nil"/>
              <w:bottom w:val="nil"/>
              <w:right w:val="nil"/>
            </w:tcBorders>
            <w:shd w:val="clear" w:color="auto" w:fill="auto"/>
            <w:noWrap/>
            <w:vAlign w:val="bottom"/>
            <w:hideMark/>
          </w:tcPr>
          <w:p w14:paraId="507B473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65,8</w:t>
            </w:r>
          </w:p>
        </w:tc>
        <w:tc>
          <w:tcPr>
            <w:tcW w:w="907" w:type="dxa"/>
            <w:tcBorders>
              <w:top w:val="nil"/>
              <w:left w:val="nil"/>
              <w:bottom w:val="nil"/>
              <w:right w:val="nil"/>
            </w:tcBorders>
            <w:shd w:val="clear" w:color="auto" w:fill="auto"/>
            <w:noWrap/>
            <w:vAlign w:val="bottom"/>
            <w:hideMark/>
          </w:tcPr>
          <w:p w14:paraId="2467FB66"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59,2</w:t>
            </w:r>
          </w:p>
        </w:tc>
        <w:tc>
          <w:tcPr>
            <w:tcW w:w="907" w:type="dxa"/>
            <w:tcBorders>
              <w:top w:val="nil"/>
              <w:left w:val="nil"/>
              <w:bottom w:val="nil"/>
              <w:right w:val="nil"/>
            </w:tcBorders>
            <w:shd w:val="clear" w:color="auto" w:fill="auto"/>
            <w:noWrap/>
            <w:vAlign w:val="bottom"/>
            <w:hideMark/>
          </w:tcPr>
          <w:p w14:paraId="4424398B"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72,9</w:t>
            </w:r>
          </w:p>
        </w:tc>
      </w:tr>
      <w:tr w:rsidR="00287133" w:rsidRPr="00287133" w14:paraId="6C06B322" w14:textId="77777777" w:rsidTr="005E754B">
        <w:trPr>
          <w:trHeight w:val="300"/>
        </w:trPr>
        <w:tc>
          <w:tcPr>
            <w:tcW w:w="4195" w:type="dxa"/>
            <w:tcBorders>
              <w:top w:val="nil"/>
              <w:left w:val="nil"/>
              <w:bottom w:val="nil"/>
              <w:right w:val="nil"/>
            </w:tcBorders>
            <w:shd w:val="clear" w:color="auto" w:fill="auto"/>
            <w:noWrap/>
            <w:vAlign w:val="bottom"/>
            <w:hideMark/>
          </w:tcPr>
          <w:p w14:paraId="3A457C36" w14:textId="77777777" w:rsidR="00287133" w:rsidRPr="00287133" w:rsidRDefault="00287133" w:rsidP="00287133">
            <w:pPr>
              <w:spacing w:after="0" w:line="240" w:lineRule="auto"/>
              <w:ind w:firstLineChars="200" w:firstLine="320"/>
              <w:rPr>
                <w:rFonts w:cs="Arial"/>
                <w:color w:val="000000"/>
                <w:sz w:val="16"/>
                <w:szCs w:val="16"/>
              </w:rPr>
            </w:pPr>
            <w:r w:rsidRPr="00287133">
              <w:rPr>
                <w:rFonts w:cs="Arial"/>
                <w:color w:val="000000"/>
                <w:sz w:val="16"/>
                <w:szCs w:val="16"/>
              </w:rPr>
              <w:t xml:space="preserve"> jiné nemoci pohybové soustavy</w:t>
            </w:r>
          </w:p>
        </w:tc>
        <w:tc>
          <w:tcPr>
            <w:tcW w:w="907" w:type="dxa"/>
            <w:tcBorders>
              <w:top w:val="nil"/>
              <w:left w:val="single" w:sz="4" w:space="0" w:color="auto"/>
              <w:bottom w:val="nil"/>
              <w:right w:val="nil"/>
            </w:tcBorders>
            <w:shd w:val="clear" w:color="auto" w:fill="auto"/>
            <w:noWrap/>
            <w:vAlign w:val="bottom"/>
            <w:hideMark/>
          </w:tcPr>
          <w:p w14:paraId="16BAEB2D"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120,8</w:t>
            </w:r>
          </w:p>
        </w:tc>
        <w:tc>
          <w:tcPr>
            <w:tcW w:w="907" w:type="dxa"/>
            <w:tcBorders>
              <w:top w:val="nil"/>
              <w:left w:val="nil"/>
              <w:bottom w:val="nil"/>
              <w:right w:val="nil"/>
            </w:tcBorders>
            <w:shd w:val="clear" w:color="auto" w:fill="auto"/>
            <w:noWrap/>
            <w:vAlign w:val="bottom"/>
            <w:hideMark/>
          </w:tcPr>
          <w:p w14:paraId="1BDCE2B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62,5</w:t>
            </w:r>
          </w:p>
        </w:tc>
        <w:tc>
          <w:tcPr>
            <w:tcW w:w="907" w:type="dxa"/>
            <w:tcBorders>
              <w:top w:val="nil"/>
              <w:left w:val="nil"/>
              <w:bottom w:val="nil"/>
              <w:right w:val="single" w:sz="4" w:space="0" w:color="auto"/>
            </w:tcBorders>
            <w:shd w:val="clear" w:color="auto" w:fill="auto"/>
            <w:noWrap/>
            <w:vAlign w:val="bottom"/>
            <w:hideMark/>
          </w:tcPr>
          <w:p w14:paraId="03F3016B"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58,3</w:t>
            </w:r>
          </w:p>
        </w:tc>
        <w:tc>
          <w:tcPr>
            <w:tcW w:w="907" w:type="dxa"/>
            <w:tcBorders>
              <w:top w:val="nil"/>
              <w:left w:val="nil"/>
              <w:bottom w:val="nil"/>
              <w:right w:val="nil"/>
            </w:tcBorders>
            <w:shd w:val="clear" w:color="auto" w:fill="auto"/>
            <w:noWrap/>
            <w:vAlign w:val="bottom"/>
            <w:hideMark/>
          </w:tcPr>
          <w:p w14:paraId="1C8A256A"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79,6</w:t>
            </w:r>
          </w:p>
        </w:tc>
        <w:tc>
          <w:tcPr>
            <w:tcW w:w="907" w:type="dxa"/>
            <w:tcBorders>
              <w:top w:val="nil"/>
              <w:left w:val="nil"/>
              <w:bottom w:val="nil"/>
              <w:right w:val="nil"/>
            </w:tcBorders>
            <w:shd w:val="clear" w:color="auto" w:fill="auto"/>
            <w:noWrap/>
            <w:vAlign w:val="bottom"/>
            <w:hideMark/>
          </w:tcPr>
          <w:p w14:paraId="7ACA082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73,2</w:t>
            </w:r>
          </w:p>
        </w:tc>
        <w:tc>
          <w:tcPr>
            <w:tcW w:w="907" w:type="dxa"/>
            <w:tcBorders>
              <w:top w:val="nil"/>
              <w:left w:val="nil"/>
              <w:bottom w:val="nil"/>
              <w:right w:val="nil"/>
            </w:tcBorders>
            <w:shd w:val="clear" w:color="auto" w:fill="auto"/>
            <w:noWrap/>
            <w:vAlign w:val="bottom"/>
            <w:hideMark/>
          </w:tcPr>
          <w:p w14:paraId="33A8C12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86,4</w:t>
            </w:r>
          </w:p>
        </w:tc>
      </w:tr>
      <w:tr w:rsidR="00287133" w:rsidRPr="00287133" w14:paraId="6F1BE6EF" w14:textId="77777777" w:rsidTr="005E754B">
        <w:trPr>
          <w:trHeight w:val="300"/>
        </w:trPr>
        <w:tc>
          <w:tcPr>
            <w:tcW w:w="4195" w:type="dxa"/>
            <w:tcBorders>
              <w:top w:val="nil"/>
              <w:left w:val="nil"/>
              <w:bottom w:val="nil"/>
              <w:right w:val="nil"/>
            </w:tcBorders>
            <w:shd w:val="clear" w:color="auto" w:fill="auto"/>
            <w:noWrap/>
            <w:vAlign w:val="bottom"/>
            <w:hideMark/>
          </w:tcPr>
          <w:p w14:paraId="58130182"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Nemoci močové a pohlavní soustavy</w:t>
            </w:r>
          </w:p>
        </w:tc>
        <w:tc>
          <w:tcPr>
            <w:tcW w:w="907" w:type="dxa"/>
            <w:tcBorders>
              <w:top w:val="nil"/>
              <w:left w:val="single" w:sz="4" w:space="0" w:color="auto"/>
              <w:bottom w:val="nil"/>
              <w:right w:val="nil"/>
            </w:tcBorders>
            <w:shd w:val="clear" w:color="auto" w:fill="auto"/>
            <w:noWrap/>
            <w:vAlign w:val="bottom"/>
            <w:hideMark/>
          </w:tcPr>
          <w:p w14:paraId="6C2DB04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72,7</w:t>
            </w:r>
          </w:p>
        </w:tc>
        <w:tc>
          <w:tcPr>
            <w:tcW w:w="907" w:type="dxa"/>
            <w:tcBorders>
              <w:top w:val="nil"/>
              <w:left w:val="nil"/>
              <w:bottom w:val="nil"/>
              <w:right w:val="nil"/>
            </w:tcBorders>
            <w:shd w:val="clear" w:color="auto" w:fill="auto"/>
            <w:noWrap/>
            <w:vAlign w:val="bottom"/>
            <w:hideMark/>
          </w:tcPr>
          <w:p w14:paraId="2FD00AF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16,2</w:t>
            </w:r>
          </w:p>
        </w:tc>
        <w:tc>
          <w:tcPr>
            <w:tcW w:w="907" w:type="dxa"/>
            <w:tcBorders>
              <w:top w:val="nil"/>
              <w:left w:val="nil"/>
              <w:bottom w:val="nil"/>
              <w:right w:val="single" w:sz="4" w:space="0" w:color="auto"/>
            </w:tcBorders>
            <w:shd w:val="clear" w:color="auto" w:fill="auto"/>
            <w:noWrap/>
            <w:vAlign w:val="bottom"/>
            <w:hideMark/>
          </w:tcPr>
          <w:p w14:paraId="5B40FBF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56,5</w:t>
            </w:r>
          </w:p>
        </w:tc>
        <w:tc>
          <w:tcPr>
            <w:tcW w:w="907" w:type="dxa"/>
            <w:tcBorders>
              <w:top w:val="nil"/>
              <w:left w:val="nil"/>
              <w:bottom w:val="nil"/>
              <w:right w:val="nil"/>
            </w:tcBorders>
            <w:shd w:val="clear" w:color="auto" w:fill="auto"/>
            <w:noWrap/>
            <w:vAlign w:val="bottom"/>
            <w:hideMark/>
          </w:tcPr>
          <w:p w14:paraId="671038C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33,2</w:t>
            </w:r>
          </w:p>
        </w:tc>
        <w:tc>
          <w:tcPr>
            <w:tcW w:w="907" w:type="dxa"/>
            <w:tcBorders>
              <w:top w:val="nil"/>
              <w:left w:val="nil"/>
              <w:bottom w:val="nil"/>
              <w:right w:val="nil"/>
            </w:tcBorders>
            <w:shd w:val="clear" w:color="auto" w:fill="auto"/>
            <w:noWrap/>
            <w:vAlign w:val="bottom"/>
            <w:hideMark/>
          </w:tcPr>
          <w:p w14:paraId="74602880"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36,1</w:t>
            </w:r>
          </w:p>
        </w:tc>
        <w:tc>
          <w:tcPr>
            <w:tcW w:w="907" w:type="dxa"/>
            <w:tcBorders>
              <w:top w:val="nil"/>
              <w:left w:val="nil"/>
              <w:bottom w:val="nil"/>
              <w:right w:val="nil"/>
            </w:tcBorders>
            <w:shd w:val="clear" w:color="auto" w:fill="auto"/>
            <w:noWrap/>
            <w:vAlign w:val="bottom"/>
            <w:hideMark/>
          </w:tcPr>
          <w:p w14:paraId="27FEA565"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32,3</w:t>
            </w:r>
          </w:p>
        </w:tc>
      </w:tr>
      <w:tr w:rsidR="00287133" w:rsidRPr="00287133" w14:paraId="0188690F" w14:textId="77777777" w:rsidTr="005E754B">
        <w:trPr>
          <w:trHeight w:val="300"/>
        </w:trPr>
        <w:tc>
          <w:tcPr>
            <w:tcW w:w="4195" w:type="dxa"/>
            <w:tcBorders>
              <w:top w:val="nil"/>
              <w:left w:val="nil"/>
              <w:bottom w:val="nil"/>
              <w:right w:val="nil"/>
            </w:tcBorders>
            <w:shd w:val="clear" w:color="auto" w:fill="auto"/>
            <w:noWrap/>
            <w:vAlign w:val="bottom"/>
            <w:hideMark/>
          </w:tcPr>
          <w:p w14:paraId="1C775776"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Těhotenství, porod, šestinedělí</w:t>
            </w:r>
          </w:p>
        </w:tc>
        <w:tc>
          <w:tcPr>
            <w:tcW w:w="907" w:type="dxa"/>
            <w:tcBorders>
              <w:top w:val="nil"/>
              <w:left w:val="single" w:sz="4" w:space="0" w:color="auto"/>
              <w:bottom w:val="nil"/>
              <w:right w:val="nil"/>
            </w:tcBorders>
            <w:shd w:val="clear" w:color="auto" w:fill="auto"/>
            <w:noWrap/>
            <w:vAlign w:val="bottom"/>
            <w:hideMark/>
          </w:tcPr>
          <w:p w14:paraId="29630E6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29,9</w:t>
            </w:r>
          </w:p>
        </w:tc>
        <w:tc>
          <w:tcPr>
            <w:tcW w:w="907" w:type="dxa"/>
            <w:tcBorders>
              <w:top w:val="nil"/>
              <w:left w:val="nil"/>
              <w:bottom w:val="nil"/>
              <w:right w:val="nil"/>
            </w:tcBorders>
            <w:shd w:val="clear" w:color="auto" w:fill="auto"/>
            <w:noWrap/>
            <w:vAlign w:val="bottom"/>
            <w:hideMark/>
          </w:tcPr>
          <w:p w14:paraId="582D4D27" w14:textId="77777777" w:rsidR="00287133" w:rsidRPr="00287133" w:rsidRDefault="00287133" w:rsidP="00287133">
            <w:pPr>
              <w:spacing w:after="0" w:line="240" w:lineRule="auto"/>
              <w:jc w:val="right"/>
              <w:rPr>
                <w:rFonts w:ascii="Calibri" w:hAnsi="Calibri" w:cs="Calibri"/>
                <w:color w:val="000000"/>
                <w:sz w:val="16"/>
                <w:szCs w:val="16"/>
              </w:rPr>
            </w:pPr>
            <w:r w:rsidRPr="00287133">
              <w:rPr>
                <w:rFonts w:ascii="Calibri" w:hAnsi="Calibri" w:cs="Calibri"/>
                <w:color w:val="000000"/>
                <w:sz w:val="16"/>
                <w:szCs w:val="16"/>
              </w:rPr>
              <w:t>x</w:t>
            </w:r>
          </w:p>
        </w:tc>
        <w:tc>
          <w:tcPr>
            <w:tcW w:w="907" w:type="dxa"/>
            <w:tcBorders>
              <w:top w:val="nil"/>
              <w:left w:val="nil"/>
              <w:bottom w:val="nil"/>
              <w:right w:val="single" w:sz="4" w:space="0" w:color="auto"/>
            </w:tcBorders>
            <w:shd w:val="clear" w:color="auto" w:fill="auto"/>
            <w:noWrap/>
            <w:vAlign w:val="bottom"/>
            <w:hideMark/>
          </w:tcPr>
          <w:p w14:paraId="5CF5BE0A"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29,9</w:t>
            </w:r>
          </w:p>
        </w:tc>
        <w:tc>
          <w:tcPr>
            <w:tcW w:w="907" w:type="dxa"/>
            <w:tcBorders>
              <w:top w:val="nil"/>
              <w:left w:val="nil"/>
              <w:bottom w:val="nil"/>
              <w:right w:val="nil"/>
            </w:tcBorders>
            <w:shd w:val="clear" w:color="auto" w:fill="auto"/>
            <w:noWrap/>
            <w:vAlign w:val="bottom"/>
            <w:hideMark/>
          </w:tcPr>
          <w:p w14:paraId="5A885C8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102,5</w:t>
            </w:r>
          </w:p>
        </w:tc>
        <w:tc>
          <w:tcPr>
            <w:tcW w:w="907" w:type="dxa"/>
            <w:tcBorders>
              <w:top w:val="nil"/>
              <w:left w:val="nil"/>
              <w:bottom w:val="nil"/>
              <w:right w:val="nil"/>
            </w:tcBorders>
            <w:shd w:val="clear" w:color="auto" w:fill="auto"/>
            <w:noWrap/>
            <w:vAlign w:val="bottom"/>
            <w:hideMark/>
          </w:tcPr>
          <w:p w14:paraId="3C535BAC" w14:textId="77777777" w:rsidR="00287133" w:rsidRPr="00287133" w:rsidRDefault="00287133" w:rsidP="00287133">
            <w:pPr>
              <w:spacing w:after="0" w:line="240" w:lineRule="auto"/>
              <w:jc w:val="right"/>
              <w:rPr>
                <w:rFonts w:ascii="Calibri" w:hAnsi="Calibri" w:cs="Calibri"/>
                <w:color w:val="000000"/>
                <w:sz w:val="16"/>
                <w:szCs w:val="16"/>
              </w:rPr>
            </w:pPr>
            <w:r w:rsidRPr="00287133">
              <w:rPr>
                <w:rFonts w:ascii="Calibri" w:hAnsi="Calibri" w:cs="Calibri"/>
                <w:color w:val="000000"/>
                <w:sz w:val="16"/>
                <w:szCs w:val="16"/>
              </w:rPr>
              <w:t>x</w:t>
            </w:r>
          </w:p>
        </w:tc>
        <w:tc>
          <w:tcPr>
            <w:tcW w:w="907" w:type="dxa"/>
            <w:tcBorders>
              <w:top w:val="nil"/>
              <w:left w:val="nil"/>
              <w:bottom w:val="nil"/>
              <w:right w:val="nil"/>
            </w:tcBorders>
            <w:shd w:val="clear" w:color="auto" w:fill="auto"/>
            <w:noWrap/>
            <w:vAlign w:val="bottom"/>
            <w:hideMark/>
          </w:tcPr>
          <w:p w14:paraId="64F0B62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102,5</w:t>
            </w:r>
          </w:p>
        </w:tc>
      </w:tr>
      <w:tr w:rsidR="00287133" w:rsidRPr="00287133" w14:paraId="65CDE426" w14:textId="77777777" w:rsidTr="005E754B">
        <w:trPr>
          <w:trHeight w:val="300"/>
        </w:trPr>
        <w:tc>
          <w:tcPr>
            <w:tcW w:w="4195" w:type="dxa"/>
            <w:tcBorders>
              <w:top w:val="nil"/>
              <w:left w:val="nil"/>
              <w:bottom w:val="nil"/>
              <w:right w:val="nil"/>
            </w:tcBorders>
            <w:shd w:val="clear" w:color="auto" w:fill="auto"/>
            <w:noWrap/>
            <w:vAlign w:val="bottom"/>
            <w:hideMark/>
          </w:tcPr>
          <w:p w14:paraId="69332017"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Úrazy, otravy</w:t>
            </w:r>
          </w:p>
        </w:tc>
        <w:tc>
          <w:tcPr>
            <w:tcW w:w="907" w:type="dxa"/>
            <w:tcBorders>
              <w:top w:val="nil"/>
              <w:left w:val="single" w:sz="4" w:space="0" w:color="auto"/>
              <w:bottom w:val="nil"/>
              <w:right w:val="nil"/>
            </w:tcBorders>
            <w:shd w:val="clear" w:color="auto" w:fill="auto"/>
            <w:noWrap/>
            <w:vAlign w:val="bottom"/>
            <w:hideMark/>
          </w:tcPr>
          <w:p w14:paraId="696302A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190,1</w:t>
            </w:r>
          </w:p>
        </w:tc>
        <w:tc>
          <w:tcPr>
            <w:tcW w:w="907" w:type="dxa"/>
            <w:tcBorders>
              <w:top w:val="nil"/>
              <w:left w:val="nil"/>
              <w:bottom w:val="nil"/>
              <w:right w:val="nil"/>
            </w:tcBorders>
            <w:shd w:val="clear" w:color="auto" w:fill="auto"/>
            <w:noWrap/>
            <w:vAlign w:val="bottom"/>
            <w:hideMark/>
          </w:tcPr>
          <w:p w14:paraId="166A7081"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120,6</w:t>
            </w:r>
          </w:p>
        </w:tc>
        <w:tc>
          <w:tcPr>
            <w:tcW w:w="907" w:type="dxa"/>
            <w:tcBorders>
              <w:top w:val="nil"/>
              <w:left w:val="nil"/>
              <w:bottom w:val="nil"/>
              <w:right w:val="single" w:sz="4" w:space="0" w:color="auto"/>
            </w:tcBorders>
            <w:shd w:val="clear" w:color="auto" w:fill="auto"/>
            <w:noWrap/>
            <w:vAlign w:val="bottom"/>
            <w:hideMark/>
          </w:tcPr>
          <w:p w14:paraId="0C6ACD8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69,5</w:t>
            </w:r>
          </w:p>
        </w:tc>
        <w:tc>
          <w:tcPr>
            <w:tcW w:w="907" w:type="dxa"/>
            <w:tcBorders>
              <w:top w:val="nil"/>
              <w:left w:val="nil"/>
              <w:bottom w:val="nil"/>
              <w:right w:val="nil"/>
            </w:tcBorders>
            <w:shd w:val="clear" w:color="auto" w:fill="auto"/>
            <w:noWrap/>
            <w:vAlign w:val="bottom"/>
            <w:hideMark/>
          </w:tcPr>
          <w:p w14:paraId="785C2EAD"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53,5</w:t>
            </w:r>
          </w:p>
        </w:tc>
        <w:tc>
          <w:tcPr>
            <w:tcW w:w="907" w:type="dxa"/>
            <w:tcBorders>
              <w:top w:val="nil"/>
              <w:left w:val="nil"/>
              <w:bottom w:val="nil"/>
              <w:right w:val="nil"/>
            </w:tcBorders>
            <w:shd w:val="clear" w:color="auto" w:fill="auto"/>
            <w:noWrap/>
            <w:vAlign w:val="bottom"/>
            <w:hideMark/>
          </w:tcPr>
          <w:p w14:paraId="0377933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52,0</w:t>
            </w:r>
          </w:p>
        </w:tc>
        <w:tc>
          <w:tcPr>
            <w:tcW w:w="907" w:type="dxa"/>
            <w:tcBorders>
              <w:top w:val="nil"/>
              <w:left w:val="nil"/>
              <w:bottom w:val="nil"/>
              <w:right w:val="nil"/>
            </w:tcBorders>
            <w:shd w:val="clear" w:color="auto" w:fill="auto"/>
            <w:noWrap/>
            <w:vAlign w:val="bottom"/>
            <w:hideMark/>
          </w:tcPr>
          <w:p w14:paraId="1D5876AF"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56,1</w:t>
            </w:r>
          </w:p>
        </w:tc>
      </w:tr>
      <w:tr w:rsidR="00287133" w:rsidRPr="00287133" w14:paraId="23E025E0" w14:textId="77777777" w:rsidTr="005E754B">
        <w:trPr>
          <w:trHeight w:val="300"/>
        </w:trPr>
        <w:tc>
          <w:tcPr>
            <w:tcW w:w="4195" w:type="dxa"/>
            <w:tcBorders>
              <w:top w:val="nil"/>
              <w:left w:val="nil"/>
              <w:bottom w:val="nil"/>
              <w:right w:val="nil"/>
            </w:tcBorders>
            <w:shd w:val="clear" w:color="auto" w:fill="auto"/>
            <w:noWrap/>
            <w:vAlign w:val="bottom"/>
            <w:hideMark/>
          </w:tcPr>
          <w:p w14:paraId="26B67812"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Nemoci ostatní</w:t>
            </w:r>
          </w:p>
        </w:tc>
        <w:tc>
          <w:tcPr>
            <w:tcW w:w="907" w:type="dxa"/>
            <w:tcBorders>
              <w:top w:val="nil"/>
              <w:left w:val="single" w:sz="4" w:space="0" w:color="auto"/>
              <w:bottom w:val="nil"/>
              <w:right w:val="nil"/>
            </w:tcBorders>
            <w:shd w:val="clear" w:color="auto" w:fill="auto"/>
            <w:noWrap/>
            <w:vAlign w:val="bottom"/>
            <w:hideMark/>
          </w:tcPr>
          <w:p w14:paraId="4129247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1 107,0</w:t>
            </w:r>
          </w:p>
        </w:tc>
        <w:tc>
          <w:tcPr>
            <w:tcW w:w="907" w:type="dxa"/>
            <w:tcBorders>
              <w:top w:val="nil"/>
              <w:left w:val="nil"/>
              <w:bottom w:val="nil"/>
              <w:right w:val="nil"/>
            </w:tcBorders>
            <w:shd w:val="clear" w:color="auto" w:fill="auto"/>
            <w:noWrap/>
            <w:vAlign w:val="bottom"/>
            <w:hideMark/>
          </w:tcPr>
          <w:p w14:paraId="62684EC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535,6</w:t>
            </w:r>
          </w:p>
        </w:tc>
        <w:tc>
          <w:tcPr>
            <w:tcW w:w="907" w:type="dxa"/>
            <w:tcBorders>
              <w:top w:val="nil"/>
              <w:left w:val="nil"/>
              <w:bottom w:val="nil"/>
              <w:right w:val="single" w:sz="4" w:space="0" w:color="auto"/>
            </w:tcBorders>
            <w:shd w:val="clear" w:color="auto" w:fill="auto"/>
            <w:noWrap/>
            <w:vAlign w:val="bottom"/>
            <w:hideMark/>
          </w:tcPr>
          <w:p w14:paraId="56A323E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571,4</w:t>
            </w:r>
          </w:p>
        </w:tc>
        <w:tc>
          <w:tcPr>
            <w:tcW w:w="907" w:type="dxa"/>
            <w:tcBorders>
              <w:top w:val="nil"/>
              <w:left w:val="nil"/>
              <w:bottom w:val="nil"/>
              <w:right w:val="nil"/>
            </w:tcBorders>
            <w:shd w:val="clear" w:color="auto" w:fill="auto"/>
            <w:noWrap/>
            <w:vAlign w:val="bottom"/>
            <w:hideMark/>
          </w:tcPr>
          <w:p w14:paraId="4BA609B2"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20,5</w:t>
            </w:r>
          </w:p>
        </w:tc>
        <w:tc>
          <w:tcPr>
            <w:tcW w:w="907" w:type="dxa"/>
            <w:tcBorders>
              <w:top w:val="nil"/>
              <w:left w:val="nil"/>
              <w:bottom w:val="nil"/>
              <w:right w:val="nil"/>
            </w:tcBorders>
            <w:shd w:val="clear" w:color="auto" w:fill="auto"/>
            <w:noWrap/>
            <w:vAlign w:val="bottom"/>
            <w:hideMark/>
          </w:tcPr>
          <w:p w14:paraId="3BCEE042"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19,0</w:t>
            </w:r>
          </w:p>
        </w:tc>
        <w:tc>
          <w:tcPr>
            <w:tcW w:w="907" w:type="dxa"/>
            <w:tcBorders>
              <w:top w:val="nil"/>
              <w:left w:val="nil"/>
              <w:bottom w:val="nil"/>
              <w:right w:val="nil"/>
            </w:tcBorders>
            <w:shd w:val="clear" w:color="auto" w:fill="auto"/>
            <w:noWrap/>
            <w:vAlign w:val="bottom"/>
            <w:hideMark/>
          </w:tcPr>
          <w:p w14:paraId="0A7E21B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22,0</w:t>
            </w:r>
          </w:p>
        </w:tc>
      </w:tr>
    </w:tbl>
    <w:p w14:paraId="6919C549" w14:textId="5481E934" w:rsidR="00287133" w:rsidRDefault="00287133" w:rsidP="00287133">
      <w:pPr>
        <w:spacing w:before="120"/>
        <w:rPr>
          <w:sz w:val="16"/>
        </w:rPr>
      </w:pPr>
      <w:r w:rsidRPr="00D92E20">
        <w:rPr>
          <w:sz w:val="16"/>
        </w:rPr>
        <w:t>Zdroj: ČSSZ</w:t>
      </w:r>
    </w:p>
    <w:p w14:paraId="0F41D5A0" w14:textId="77777777" w:rsidR="005C663E" w:rsidRPr="00921C1C" w:rsidRDefault="005C663E" w:rsidP="005C663E">
      <w:pPr>
        <w:spacing w:before="120" w:after="120"/>
        <w:jc w:val="both"/>
      </w:pPr>
      <w:r w:rsidRPr="00921C1C">
        <w:t xml:space="preserve">Z hlediska </w:t>
      </w:r>
      <w:r w:rsidRPr="00921C1C">
        <w:rPr>
          <w:b/>
        </w:rPr>
        <w:t>pohlaví</w:t>
      </w:r>
      <w:r w:rsidRPr="00921C1C">
        <w:t xml:space="preserve"> je výskyt pracovní neschopnosti četnější u žen, v </w:t>
      </w:r>
      <w:r>
        <w:t>roce</w:t>
      </w:r>
      <w:r w:rsidRPr="00921C1C">
        <w:t xml:space="preserve"> 2021 ženy zaznamenaly </w:t>
      </w:r>
      <w:r>
        <w:t>1 398</w:t>
      </w:r>
      <w:r w:rsidRPr="00921C1C">
        <w:t xml:space="preserve"> tis. ukončených případů pracovní neschopnosti, muži </w:t>
      </w:r>
      <w:r>
        <w:t>1 320</w:t>
      </w:r>
      <w:r w:rsidRPr="00921C1C">
        <w:t xml:space="preserve"> tis. neschopenek. Pracovní neschopnost u žen také </w:t>
      </w:r>
      <w:r w:rsidRPr="00921C1C">
        <w:lastRenderedPageBreak/>
        <w:t>trvala v průměru o </w:t>
      </w:r>
      <w:r>
        <w:t>3,5</w:t>
      </w:r>
      <w:r w:rsidRPr="00921C1C">
        <w:t xml:space="preserve"> dne déle než u mužů. Tento rozdíl přetrvává dlouhodobě a je dán zejména indispozicemi spojenými s těhotenstvím. </w:t>
      </w:r>
    </w:p>
    <w:p w14:paraId="3B4081F4" w14:textId="666C93F9" w:rsidR="005C663E" w:rsidRPr="005C663E" w:rsidRDefault="005C663E" w:rsidP="005C663E">
      <w:pPr>
        <w:spacing w:before="120" w:after="120"/>
        <w:jc w:val="both"/>
      </w:pPr>
      <w:r w:rsidRPr="00921C1C">
        <w:t xml:space="preserve">Výraznější rozdíl v pracovní neschopnosti podle pohlaví se objevuje u nemocí močové a pohlavní soustavy, kdy je počet ukončených případů </w:t>
      </w:r>
      <w:r>
        <w:t xml:space="preserve">u </w:t>
      </w:r>
      <w:r w:rsidRPr="00921C1C">
        <w:t>mužů oproti ženám 3,5krát nižší. Duševní onemocnění vedoucí k pracovní neschopnosti byly v </w:t>
      </w:r>
      <w:r>
        <w:t>roce</w:t>
      </w:r>
      <w:r w:rsidRPr="00921C1C">
        <w:t xml:space="preserve"> 2021 téměř dvakrát </w:t>
      </w:r>
      <w:r>
        <w:t xml:space="preserve">(1,8krát) </w:t>
      </w:r>
      <w:r w:rsidRPr="00921C1C">
        <w:t>častější u žen. Muži jsou naopak náchylnější na nemoci oběhové, trávicí či pohybové soustavy. Mnohem častěji jsou v pracovní neschopnosti také z důvodu úrazu či otravy.</w:t>
      </w:r>
    </w:p>
    <w:p w14:paraId="1CB2633A" w14:textId="77777777" w:rsidR="005E754B" w:rsidRPr="005E754B" w:rsidRDefault="005E754B" w:rsidP="005E754B">
      <w:pPr>
        <w:spacing w:after="0" w:line="240" w:lineRule="auto"/>
        <w:jc w:val="both"/>
        <w:rPr>
          <w:rFonts w:cs="Arial"/>
          <w:b/>
          <w:bCs/>
          <w:color w:val="000000"/>
          <w:szCs w:val="20"/>
        </w:rPr>
      </w:pPr>
      <w:r w:rsidRPr="005E754B">
        <w:rPr>
          <w:rFonts w:cs="Arial"/>
          <w:b/>
          <w:bCs/>
          <w:color w:val="000000"/>
          <w:szCs w:val="20"/>
        </w:rPr>
        <w:t>Graf 3.1: Struktura ukončených případů dočasné pracovní neschopnosti podle skupin diagnóz, 2021</w:t>
      </w:r>
    </w:p>
    <w:p w14:paraId="02957C85" w14:textId="77777777" w:rsidR="00D7583A" w:rsidRDefault="005E754B" w:rsidP="004C01F9">
      <w:pPr>
        <w:jc w:val="both"/>
        <w:rPr>
          <w:b/>
        </w:rPr>
      </w:pPr>
      <w:r>
        <w:rPr>
          <w:noProof/>
        </w:rPr>
        <w:drawing>
          <wp:inline distT="0" distB="0" distL="0" distR="0" wp14:anchorId="0EA35139" wp14:editId="5A897DF1">
            <wp:extent cx="6120130" cy="3406140"/>
            <wp:effectExtent l="0" t="0" r="13970" b="381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BD6A2A1" w14:textId="77777777" w:rsidR="005E754B" w:rsidRPr="00D92E20" w:rsidRDefault="005E754B" w:rsidP="005E754B">
      <w:pPr>
        <w:spacing w:before="120"/>
        <w:rPr>
          <w:sz w:val="16"/>
        </w:rPr>
      </w:pPr>
      <w:r w:rsidRPr="00D92E20">
        <w:rPr>
          <w:sz w:val="16"/>
        </w:rPr>
        <w:t>Zdroj: ČSSZ</w:t>
      </w:r>
    </w:p>
    <w:p w14:paraId="3429C9B1" w14:textId="77777777" w:rsidR="005E754B" w:rsidRDefault="00F40B8C" w:rsidP="00F40B8C">
      <w:pPr>
        <w:pStyle w:val="Nadpis2"/>
      </w:pPr>
      <w:bookmarkStart w:id="19" w:name="_Toc104792913"/>
      <w:r>
        <w:t>4.4 Výdaje na dávky nemocenského pojištění</w:t>
      </w:r>
      <w:bookmarkEnd w:id="19"/>
    </w:p>
    <w:p w14:paraId="422B558E" w14:textId="77777777" w:rsidR="00F40B8C" w:rsidRPr="00DD0824" w:rsidRDefault="00F40B8C" w:rsidP="00F40B8C">
      <w:pPr>
        <w:spacing w:before="120" w:after="120"/>
        <w:jc w:val="both"/>
      </w:pPr>
      <w:r w:rsidRPr="00DD0824">
        <w:t>Systém nemocenského pojištění je určen pro výdělečně činné osoby, které při ztrátě příjmu v případech tzv. krátkodobých sociálních událostí zabezpečuje peněžitými dávkami nemocenského pojištění.</w:t>
      </w:r>
    </w:p>
    <w:p w14:paraId="137E02A7" w14:textId="77777777" w:rsidR="00F40B8C" w:rsidRPr="00DD0824" w:rsidRDefault="00F40B8C" w:rsidP="00F40B8C">
      <w:pPr>
        <w:spacing w:after="60"/>
        <w:jc w:val="both"/>
      </w:pPr>
      <w:r w:rsidRPr="00DD0824">
        <w:t>Z nemocenského pojištění se poskytuje 6 peněžitých dávek, a to:</w:t>
      </w:r>
    </w:p>
    <w:p w14:paraId="643880E1" w14:textId="77777777" w:rsidR="00F40B8C" w:rsidRPr="00DD0824" w:rsidRDefault="00F40B8C" w:rsidP="00F40B8C">
      <w:pPr>
        <w:pStyle w:val="Odstavecseseznamem"/>
        <w:numPr>
          <w:ilvl w:val="0"/>
          <w:numId w:val="28"/>
        </w:numPr>
        <w:spacing w:after="0"/>
        <w:jc w:val="both"/>
      </w:pPr>
      <w:r w:rsidRPr="00DD0824">
        <w:t>Nemocenské,</w:t>
      </w:r>
    </w:p>
    <w:p w14:paraId="66B52B20" w14:textId="77777777" w:rsidR="00F40B8C" w:rsidRPr="00DD0824" w:rsidRDefault="00F40B8C" w:rsidP="00F40B8C">
      <w:pPr>
        <w:pStyle w:val="Odstavecseseznamem"/>
        <w:numPr>
          <w:ilvl w:val="0"/>
          <w:numId w:val="28"/>
        </w:numPr>
        <w:spacing w:after="0"/>
        <w:jc w:val="both"/>
      </w:pPr>
      <w:r w:rsidRPr="00DD0824">
        <w:t>Peněžitá pomoc v mateřství,</w:t>
      </w:r>
    </w:p>
    <w:p w14:paraId="4F446056" w14:textId="77777777" w:rsidR="00F40B8C" w:rsidRPr="00DD0824" w:rsidRDefault="00F40B8C" w:rsidP="00F40B8C">
      <w:pPr>
        <w:pStyle w:val="Odstavecseseznamem"/>
        <w:numPr>
          <w:ilvl w:val="0"/>
          <w:numId w:val="28"/>
        </w:numPr>
        <w:spacing w:after="0"/>
        <w:jc w:val="both"/>
      </w:pPr>
      <w:r w:rsidRPr="00DD0824">
        <w:t>Ošetřovné,</w:t>
      </w:r>
    </w:p>
    <w:p w14:paraId="0D30AACC" w14:textId="77777777" w:rsidR="00F40B8C" w:rsidRPr="00DD0824" w:rsidRDefault="00F40B8C" w:rsidP="00F40B8C">
      <w:pPr>
        <w:pStyle w:val="Odstavecseseznamem"/>
        <w:numPr>
          <w:ilvl w:val="0"/>
          <w:numId w:val="28"/>
        </w:numPr>
        <w:spacing w:after="0"/>
        <w:jc w:val="both"/>
      </w:pPr>
      <w:r w:rsidRPr="00DD0824">
        <w:t>Vyrovnávací příspěvek v těhotenství a mateřství,</w:t>
      </w:r>
    </w:p>
    <w:p w14:paraId="1F1508A3" w14:textId="77777777" w:rsidR="00F40B8C" w:rsidRPr="00DD0824" w:rsidRDefault="00F40B8C" w:rsidP="00F40B8C">
      <w:pPr>
        <w:pStyle w:val="Odstavecseseznamem"/>
        <w:numPr>
          <w:ilvl w:val="0"/>
          <w:numId w:val="28"/>
        </w:numPr>
        <w:spacing w:after="0"/>
        <w:jc w:val="both"/>
      </w:pPr>
      <w:r w:rsidRPr="00DD0824">
        <w:t>Dávka otcovské poporodní péče (tzv. otcovská),</w:t>
      </w:r>
    </w:p>
    <w:p w14:paraId="04F9155B" w14:textId="77777777" w:rsidR="00F40B8C" w:rsidRPr="00DD0824" w:rsidRDefault="00F40B8C" w:rsidP="00F40B8C">
      <w:pPr>
        <w:pStyle w:val="Odstavecseseznamem"/>
        <w:numPr>
          <w:ilvl w:val="0"/>
          <w:numId w:val="28"/>
        </w:numPr>
        <w:spacing w:after="60"/>
        <w:ind w:left="714" w:hanging="357"/>
        <w:contextualSpacing w:val="0"/>
        <w:jc w:val="both"/>
      </w:pPr>
      <w:r w:rsidRPr="00DD0824">
        <w:t>Dlouhodobé ošetřovné.</w:t>
      </w:r>
    </w:p>
    <w:p w14:paraId="62B50A1D" w14:textId="77777777" w:rsidR="00F40B8C" w:rsidRPr="00DD0824" w:rsidRDefault="00F40B8C" w:rsidP="00F40B8C">
      <w:pPr>
        <w:spacing w:before="120" w:after="120"/>
        <w:jc w:val="both"/>
      </w:pPr>
      <w:r w:rsidRPr="00DD0824">
        <w:t xml:space="preserve">Výše dávek nemocenského pojištění </w:t>
      </w:r>
      <w:r w:rsidRPr="00DD0824">
        <w:rPr>
          <w:b/>
        </w:rPr>
        <w:t>závisí</w:t>
      </w:r>
      <w:r w:rsidRPr="00DD0824">
        <w:t xml:space="preserve"> na dosahovaném </w:t>
      </w:r>
      <w:r w:rsidRPr="00DD0824">
        <w:rPr>
          <w:b/>
        </w:rPr>
        <w:t>výdělku, redukčních hranicích</w:t>
      </w:r>
      <w:r w:rsidRPr="00DD0824">
        <w:t xml:space="preserve"> pro redukci denního vyměřovacího základu, </w:t>
      </w:r>
      <w:r w:rsidRPr="00DD0824">
        <w:rPr>
          <w:b/>
        </w:rPr>
        <w:t xml:space="preserve">redukci mezi </w:t>
      </w:r>
      <w:r w:rsidRPr="00DD0824">
        <w:t xml:space="preserve">jednotlivými redukčními </w:t>
      </w:r>
      <w:r w:rsidRPr="00DD0824">
        <w:rPr>
          <w:b/>
        </w:rPr>
        <w:t>hranicemi</w:t>
      </w:r>
      <w:r w:rsidRPr="00DD0824">
        <w:t xml:space="preserve"> a na </w:t>
      </w:r>
      <w:r w:rsidRPr="00DD0824">
        <w:rPr>
          <w:b/>
        </w:rPr>
        <w:t>procentní sazbě</w:t>
      </w:r>
      <w:r w:rsidRPr="00DD0824">
        <w:t xml:space="preserve"> pro</w:t>
      </w:r>
      <w:r>
        <w:t> </w:t>
      </w:r>
      <w:r w:rsidRPr="00DD0824">
        <w:t>jednotlivé dávky.</w:t>
      </w:r>
    </w:p>
    <w:p w14:paraId="5651F45E" w14:textId="77777777" w:rsidR="00F40B8C" w:rsidRPr="00DD0824" w:rsidRDefault="00F40B8C" w:rsidP="00F40B8C">
      <w:pPr>
        <w:spacing w:before="120" w:after="120"/>
        <w:jc w:val="both"/>
      </w:pPr>
      <w:r w:rsidRPr="00DD0824">
        <w:t xml:space="preserve">Všechny dávky nemocenského pojištění vyplácí </w:t>
      </w:r>
      <w:r w:rsidR="00E0156A">
        <w:t>OSSZ</w:t>
      </w:r>
      <w:r w:rsidRPr="00DD0824">
        <w:t xml:space="preserve"> a hradí se ze státního rozpočtu (z příjmů z pojistného). Dávky nemocenského pojištění se vyplácejí za kalendářní dny.</w:t>
      </w:r>
    </w:p>
    <w:p w14:paraId="524B528B" w14:textId="77777777" w:rsidR="005C663E" w:rsidRDefault="005C663E">
      <w:pPr>
        <w:spacing w:after="0" w:line="240" w:lineRule="auto"/>
        <w:rPr>
          <w:rFonts w:eastAsia="Calibri" w:cs="Arial"/>
          <w:b/>
          <w:i/>
          <w:szCs w:val="20"/>
        </w:rPr>
      </w:pPr>
      <w:r>
        <w:rPr>
          <w:b/>
          <w:i/>
        </w:rPr>
        <w:br w:type="page"/>
      </w:r>
    </w:p>
    <w:p w14:paraId="2118A154" w14:textId="20009B1C" w:rsidR="00F40B8C" w:rsidRPr="00DD0824" w:rsidRDefault="00F40B8C" w:rsidP="00F40B8C">
      <w:pPr>
        <w:pStyle w:val="Box1"/>
        <w:spacing w:before="120" w:after="120"/>
        <w:ind w:left="0"/>
        <w:contextualSpacing w:val="0"/>
        <w:jc w:val="both"/>
        <w:rPr>
          <w:i/>
        </w:rPr>
      </w:pPr>
      <w:r w:rsidRPr="00DD0824">
        <w:rPr>
          <w:b/>
          <w:i/>
        </w:rPr>
        <w:lastRenderedPageBreak/>
        <w:t xml:space="preserve">Nemocenské </w:t>
      </w:r>
      <w:r w:rsidRPr="00DD0824">
        <w:rPr>
          <w:i/>
        </w:rPr>
        <w:t>– je základní peněžitou dávkou systému nemocenského pojištění. Na nemocenské má nárok pojištěnec, který je uznán ošetřujícím lékařem dočasně práce neschopným, a to od 15. kalendářního dne trvání jeho dočasné pracovní neschopnosti do konce dočasné pracovní neschopnosti, maximálně však 380 kalendářních dnů počítaných od vzniku dočasné pracovní neschopnosti.</w:t>
      </w:r>
    </w:p>
    <w:p w14:paraId="48F1CB90" w14:textId="4B758BFB" w:rsidR="00F40B8C" w:rsidRDefault="00F40B8C" w:rsidP="00F40B8C">
      <w:pPr>
        <w:pStyle w:val="Default"/>
        <w:spacing w:before="120" w:after="120" w:line="288" w:lineRule="auto"/>
        <w:jc w:val="both"/>
        <w:rPr>
          <w:rFonts w:eastAsia="Times New Roman" w:cs="Times New Roman"/>
          <w:color w:val="auto"/>
          <w:sz w:val="20"/>
          <w:lang w:eastAsia="cs-CZ"/>
        </w:rPr>
      </w:pPr>
      <w:r w:rsidRPr="00DD0824">
        <w:rPr>
          <w:rFonts w:eastAsia="Times New Roman" w:cs="Times New Roman"/>
          <w:b/>
          <w:color w:val="auto"/>
          <w:sz w:val="20"/>
          <w:lang w:eastAsia="cs-CZ"/>
        </w:rPr>
        <w:t>Výdaje na dávky nemocenského</w:t>
      </w:r>
      <w:r w:rsidRPr="00DD0824">
        <w:rPr>
          <w:rFonts w:eastAsia="Times New Roman" w:cs="Times New Roman"/>
          <w:color w:val="auto"/>
          <w:sz w:val="20"/>
          <w:lang w:eastAsia="cs-CZ"/>
        </w:rPr>
        <w:t xml:space="preserve"> </w:t>
      </w:r>
      <w:r w:rsidRPr="00DD0824">
        <w:rPr>
          <w:rFonts w:eastAsia="Times New Roman" w:cs="Times New Roman"/>
          <w:b/>
          <w:color w:val="auto"/>
          <w:sz w:val="20"/>
          <w:lang w:eastAsia="cs-CZ"/>
        </w:rPr>
        <w:t>pojištění</w:t>
      </w:r>
      <w:r w:rsidRPr="00DD0824">
        <w:rPr>
          <w:rFonts w:eastAsia="Times New Roman" w:cs="Times New Roman"/>
          <w:color w:val="auto"/>
          <w:sz w:val="20"/>
          <w:lang w:eastAsia="cs-CZ"/>
        </w:rPr>
        <w:t xml:space="preserve"> za </w:t>
      </w:r>
      <w:r>
        <w:rPr>
          <w:rFonts w:eastAsia="Times New Roman" w:cs="Times New Roman"/>
          <w:color w:val="auto"/>
          <w:sz w:val="20"/>
          <w:lang w:eastAsia="cs-CZ"/>
        </w:rPr>
        <w:t>rok</w:t>
      </w:r>
      <w:r w:rsidRPr="00DD0824">
        <w:rPr>
          <w:rFonts w:eastAsia="Times New Roman" w:cs="Times New Roman"/>
          <w:color w:val="auto"/>
          <w:sz w:val="20"/>
          <w:lang w:eastAsia="cs-CZ"/>
        </w:rPr>
        <w:t xml:space="preserve"> 2021 činily </w:t>
      </w:r>
      <w:r>
        <w:rPr>
          <w:rFonts w:eastAsia="Times New Roman" w:cs="Times New Roman"/>
          <w:color w:val="auto"/>
          <w:sz w:val="20"/>
          <w:lang w:eastAsia="cs-CZ"/>
        </w:rPr>
        <w:t>51,5</w:t>
      </w:r>
      <w:r w:rsidRPr="00DD0824">
        <w:rPr>
          <w:rFonts w:eastAsia="Times New Roman" w:cs="Times New Roman"/>
          <w:color w:val="auto"/>
          <w:sz w:val="20"/>
          <w:lang w:eastAsia="cs-CZ"/>
        </w:rPr>
        <w:t xml:space="preserve"> mld. Kč, tedy o </w:t>
      </w:r>
      <w:r>
        <w:rPr>
          <w:rFonts w:eastAsia="Times New Roman" w:cs="Times New Roman"/>
          <w:color w:val="auto"/>
          <w:sz w:val="20"/>
          <w:lang w:eastAsia="cs-CZ"/>
        </w:rPr>
        <w:t>3,7</w:t>
      </w:r>
      <w:r w:rsidRPr="00DD0824">
        <w:rPr>
          <w:rFonts w:eastAsia="Times New Roman" w:cs="Times New Roman"/>
          <w:color w:val="auto"/>
          <w:sz w:val="20"/>
          <w:lang w:eastAsia="cs-CZ"/>
        </w:rPr>
        <w:t xml:space="preserve"> mld. Kč méně než před rokem. </w:t>
      </w:r>
      <w:r w:rsidRPr="00DD0824">
        <w:rPr>
          <w:rFonts w:eastAsia="Times New Roman" w:cs="Times New Roman"/>
          <w:b/>
          <w:color w:val="auto"/>
          <w:sz w:val="20"/>
          <w:lang w:eastAsia="cs-CZ"/>
        </w:rPr>
        <w:t xml:space="preserve">Výdaje </w:t>
      </w:r>
      <w:r w:rsidRPr="00DD0824">
        <w:rPr>
          <w:rFonts w:eastAsia="Times New Roman" w:cs="Times New Roman"/>
          <w:color w:val="auto"/>
          <w:sz w:val="20"/>
          <w:lang w:eastAsia="cs-CZ"/>
        </w:rPr>
        <w:t xml:space="preserve">na objemově </w:t>
      </w:r>
      <w:r w:rsidRPr="00DD0824">
        <w:rPr>
          <w:rFonts w:eastAsia="Times New Roman" w:cs="Times New Roman"/>
          <w:b/>
          <w:color w:val="auto"/>
          <w:sz w:val="20"/>
          <w:lang w:eastAsia="cs-CZ"/>
        </w:rPr>
        <w:t>nejvýznamnější dávku</w:t>
      </w:r>
      <w:r w:rsidRPr="00DD0824">
        <w:rPr>
          <w:rFonts w:eastAsia="Times New Roman" w:cs="Times New Roman"/>
          <w:color w:val="auto"/>
          <w:sz w:val="20"/>
          <w:lang w:eastAsia="cs-CZ"/>
        </w:rPr>
        <w:t xml:space="preserve"> – </w:t>
      </w:r>
      <w:r w:rsidRPr="00DD0824">
        <w:rPr>
          <w:rFonts w:eastAsia="Times New Roman" w:cs="Times New Roman"/>
          <w:b/>
          <w:color w:val="auto"/>
          <w:sz w:val="20"/>
          <w:lang w:eastAsia="cs-CZ"/>
        </w:rPr>
        <w:t>nemocenské</w:t>
      </w:r>
      <w:r w:rsidRPr="00DD0824">
        <w:rPr>
          <w:rFonts w:eastAsia="Times New Roman" w:cs="Times New Roman"/>
          <w:color w:val="auto"/>
          <w:sz w:val="20"/>
          <w:lang w:eastAsia="cs-CZ"/>
        </w:rPr>
        <w:t xml:space="preserve"> – meziročně vzrostly o 1,</w:t>
      </w:r>
      <w:r>
        <w:rPr>
          <w:rFonts w:eastAsia="Times New Roman" w:cs="Times New Roman"/>
          <w:color w:val="auto"/>
          <w:sz w:val="20"/>
          <w:lang w:eastAsia="cs-CZ"/>
        </w:rPr>
        <w:t>3</w:t>
      </w:r>
      <w:r w:rsidRPr="00DD0824">
        <w:rPr>
          <w:rFonts w:eastAsia="Times New Roman" w:cs="Times New Roman"/>
          <w:color w:val="auto"/>
          <w:sz w:val="20"/>
          <w:lang w:eastAsia="cs-CZ"/>
        </w:rPr>
        <w:t xml:space="preserve"> mld. Kč, tj. o </w:t>
      </w:r>
      <w:r>
        <w:rPr>
          <w:rFonts w:eastAsia="Times New Roman" w:cs="Times New Roman"/>
          <w:color w:val="auto"/>
          <w:sz w:val="20"/>
          <w:lang w:eastAsia="cs-CZ"/>
        </w:rPr>
        <w:t>4</w:t>
      </w:r>
      <w:r w:rsidR="00C55296">
        <w:rPr>
          <w:rFonts w:eastAsia="Times New Roman" w:cs="Times New Roman"/>
          <w:color w:val="auto"/>
          <w:sz w:val="20"/>
          <w:lang w:eastAsia="cs-CZ"/>
        </w:rPr>
        <w:t> % a překonaly tak hranici</w:t>
      </w:r>
      <w:r w:rsidRPr="00DD0824">
        <w:rPr>
          <w:rFonts w:eastAsia="Times New Roman" w:cs="Times New Roman"/>
          <w:color w:val="auto"/>
          <w:sz w:val="20"/>
          <w:lang w:eastAsia="cs-CZ"/>
        </w:rPr>
        <w:t xml:space="preserve"> </w:t>
      </w:r>
      <w:r>
        <w:rPr>
          <w:rFonts w:eastAsia="Times New Roman" w:cs="Times New Roman"/>
          <w:color w:val="auto"/>
          <w:sz w:val="20"/>
          <w:lang w:eastAsia="cs-CZ"/>
        </w:rPr>
        <w:t>34</w:t>
      </w:r>
      <w:r w:rsidR="00C55296">
        <w:rPr>
          <w:rFonts w:eastAsia="Times New Roman" w:cs="Times New Roman"/>
          <w:color w:val="auto"/>
          <w:sz w:val="20"/>
          <w:lang w:eastAsia="cs-CZ"/>
        </w:rPr>
        <w:t xml:space="preserve"> mld. Kč. </w:t>
      </w:r>
      <w:r w:rsidRPr="005D57CF">
        <w:rPr>
          <w:rFonts w:eastAsia="Times New Roman" w:cs="Times New Roman"/>
          <w:color w:val="auto"/>
          <w:sz w:val="20"/>
          <w:lang w:eastAsia="cs-CZ"/>
        </w:rPr>
        <w:t>Výše průměrné denní dávky nemocenského v</w:t>
      </w:r>
      <w:r>
        <w:rPr>
          <w:rFonts w:eastAsia="Times New Roman" w:cs="Times New Roman"/>
          <w:color w:val="auto"/>
          <w:sz w:val="20"/>
          <w:lang w:eastAsia="cs-CZ"/>
        </w:rPr>
        <w:t xml:space="preserve"> roce </w:t>
      </w:r>
      <w:r w:rsidRPr="005D57CF">
        <w:rPr>
          <w:rFonts w:eastAsia="Times New Roman" w:cs="Times New Roman"/>
          <w:color w:val="auto"/>
          <w:sz w:val="20"/>
          <w:lang w:eastAsia="cs-CZ"/>
        </w:rPr>
        <w:t>2021 činila 5</w:t>
      </w:r>
      <w:r>
        <w:rPr>
          <w:rFonts w:eastAsia="Times New Roman" w:cs="Times New Roman"/>
          <w:color w:val="auto"/>
          <w:sz w:val="20"/>
          <w:lang w:eastAsia="cs-CZ"/>
        </w:rPr>
        <w:t>51</w:t>
      </w:r>
      <w:r w:rsidRPr="005D57CF">
        <w:rPr>
          <w:rFonts w:eastAsia="Times New Roman" w:cs="Times New Roman"/>
          <w:color w:val="auto"/>
          <w:sz w:val="20"/>
          <w:lang w:eastAsia="cs-CZ"/>
        </w:rPr>
        <w:t xml:space="preserve"> Kč. V</w:t>
      </w:r>
      <w:r>
        <w:rPr>
          <w:rFonts w:eastAsia="Times New Roman" w:cs="Times New Roman"/>
          <w:color w:val="auto"/>
          <w:sz w:val="20"/>
          <w:lang w:eastAsia="cs-CZ"/>
        </w:rPr>
        <w:t xml:space="preserve"> roce </w:t>
      </w:r>
      <w:r w:rsidRPr="005D57CF">
        <w:rPr>
          <w:rFonts w:eastAsia="Times New Roman" w:cs="Times New Roman"/>
          <w:color w:val="auto"/>
          <w:sz w:val="20"/>
          <w:lang w:eastAsia="cs-CZ"/>
        </w:rPr>
        <w:t>202</w:t>
      </w:r>
      <w:r>
        <w:rPr>
          <w:rFonts w:eastAsia="Times New Roman" w:cs="Times New Roman"/>
          <w:color w:val="auto"/>
          <w:sz w:val="20"/>
          <w:lang w:eastAsia="cs-CZ"/>
        </w:rPr>
        <w:t>0</w:t>
      </w:r>
      <w:r w:rsidRPr="005D57CF">
        <w:rPr>
          <w:rFonts w:eastAsia="Times New Roman" w:cs="Times New Roman"/>
          <w:color w:val="auto"/>
          <w:sz w:val="20"/>
          <w:lang w:eastAsia="cs-CZ"/>
        </w:rPr>
        <w:t xml:space="preserve"> byla průměrná denní dávka nemocenského ve výši </w:t>
      </w:r>
      <w:r>
        <w:rPr>
          <w:rFonts w:eastAsia="Times New Roman" w:cs="Times New Roman"/>
          <w:color w:val="auto"/>
          <w:sz w:val="20"/>
          <w:lang w:eastAsia="cs-CZ"/>
        </w:rPr>
        <w:t>522</w:t>
      </w:r>
      <w:r w:rsidRPr="005D57CF">
        <w:rPr>
          <w:rFonts w:eastAsia="Times New Roman" w:cs="Times New Roman"/>
          <w:color w:val="auto"/>
          <w:sz w:val="20"/>
          <w:lang w:eastAsia="cs-CZ"/>
        </w:rPr>
        <w:t xml:space="preserve"> Kč, což je o 5 % méně. </w:t>
      </w:r>
      <w:r w:rsidRPr="00DD0824">
        <w:rPr>
          <w:rFonts w:eastAsia="Times New Roman" w:cs="Times New Roman"/>
          <w:color w:val="auto"/>
          <w:sz w:val="20"/>
          <w:lang w:eastAsia="cs-CZ"/>
        </w:rPr>
        <w:t>Výdaje na nemocenské v přepočtu na jednoho pojištěnce v </w:t>
      </w:r>
      <w:r>
        <w:rPr>
          <w:rFonts w:eastAsia="Times New Roman" w:cs="Times New Roman"/>
          <w:color w:val="auto"/>
          <w:sz w:val="20"/>
          <w:lang w:eastAsia="cs-CZ"/>
        </w:rPr>
        <w:t>roce</w:t>
      </w:r>
      <w:r w:rsidRPr="00DD0824">
        <w:rPr>
          <w:rFonts w:eastAsia="Times New Roman" w:cs="Times New Roman"/>
          <w:color w:val="auto"/>
          <w:sz w:val="20"/>
          <w:lang w:eastAsia="cs-CZ"/>
        </w:rPr>
        <w:t xml:space="preserve"> 2021 </w:t>
      </w:r>
      <w:r>
        <w:rPr>
          <w:rFonts w:eastAsia="Times New Roman" w:cs="Times New Roman"/>
          <w:color w:val="auto"/>
          <w:sz w:val="20"/>
          <w:lang w:eastAsia="cs-CZ"/>
        </w:rPr>
        <w:t>přesáhly</w:t>
      </w:r>
      <w:r w:rsidRPr="00DD0824">
        <w:rPr>
          <w:rFonts w:eastAsia="Times New Roman" w:cs="Times New Roman"/>
          <w:color w:val="auto"/>
          <w:sz w:val="20"/>
          <w:lang w:eastAsia="cs-CZ"/>
        </w:rPr>
        <w:t xml:space="preserve"> </w:t>
      </w:r>
      <w:r>
        <w:rPr>
          <w:rFonts w:eastAsia="Times New Roman" w:cs="Times New Roman"/>
          <w:color w:val="auto"/>
          <w:sz w:val="20"/>
          <w:lang w:eastAsia="cs-CZ"/>
        </w:rPr>
        <w:t>7</w:t>
      </w:r>
      <w:r w:rsidR="00226E40">
        <w:rPr>
          <w:rFonts w:eastAsia="Times New Roman" w:cs="Times New Roman"/>
          <w:color w:val="auto"/>
          <w:sz w:val="20"/>
          <w:lang w:eastAsia="cs-CZ"/>
        </w:rPr>
        <w:t xml:space="preserve"> tis. Kč </w:t>
      </w:r>
      <w:r w:rsidR="00226E40" w:rsidRPr="00226E40">
        <w:rPr>
          <w:rFonts w:eastAsia="Times New Roman" w:cs="Times New Roman"/>
          <w:color w:val="auto"/>
          <w:sz w:val="20"/>
          <w:lang w:eastAsia="cs-CZ"/>
        </w:rPr>
        <w:t>v porovnání s 5,6 tis. Kč v</w:t>
      </w:r>
      <w:r w:rsidR="00226E40">
        <w:rPr>
          <w:rFonts w:eastAsia="Times New Roman" w:cs="Times New Roman"/>
          <w:color w:val="auto"/>
          <w:sz w:val="20"/>
          <w:lang w:eastAsia="cs-CZ"/>
        </w:rPr>
        <w:t> </w:t>
      </w:r>
      <w:r w:rsidR="00226E40" w:rsidRPr="00226E40">
        <w:rPr>
          <w:rFonts w:eastAsia="Times New Roman" w:cs="Times New Roman"/>
          <w:color w:val="auto"/>
          <w:sz w:val="20"/>
          <w:lang w:eastAsia="cs-CZ"/>
        </w:rPr>
        <w:t>roce 2019.</w:t>
      </w:r>
    </w:p>
    <w:p w14:paraId="7F1B280E" w14:textId="77777777" w:rsidR="007A1E96" w:rsidRDefault="007A1E96" w:rsidP="007A1E96">
      <w:pPr>
        <w:spacing w:before="120" w:after="120"/>
        <w:jc w:val="both"/>
      </w:pPr>
      <w:r w:rsidRPr="00591005">
        <w:t xml:space="preserve">Je zřejmé, že za </w:t>
      </w:r>
      <w:r w:rsidR="00661E9C">
        <w:t xml:space="preserve">skokový </w:t>
      </w:r>
      <w:r w:rsidRPr="00591005">
        <w:t xml:space="preserve">nárůst výdajů na dávky nemocenského pojištění </w:t>
      </w:r>
      <w:r w:rsidR="00661E9C">
        <w:t xml:space="preserve">zejména </w:t>
      </w:r>
      <w:r w:rsidRPr="00591005">
        <w:t xml:space="preserve">mezi </w:t>
      </w:r>
      <w:r>
        <w:t>roky</w:t>
      </w:r>
      <w:r w:rsidRPr="00591005">
        <w:t xml:space="preserve"> 2019 a</w:t>
      </w:r>
      <w:r>
        <w:t> </w:t>
      </w:r>
      <w:r w:rsidRPr="00591005">
        <w:t xml:space="preserve">2020, mohou </w:t>
      </w:r>
      <w:r w:rsidRPr="00D91258">
        <w:rPr>
          <w:b/>
        </w:rPr>
        <w:t xml:space="preserve">finanční kompenzace </w:t>
      </w:r>
      <w:r w:rsidRPr="00591005">
        <w:t xml:space="preserve">vyplacené v souvislosti </w:t>
      </w:r>
      <w:r w:rsidRPr="00D91258">
        <w:rPr>
          <w:b/>
        </w:rPr>
        <w:t>s</w:t>
      </w:r>
      <w:r w:rsidRPr="00591005">
        <w:t> </w:t>
      </w:r>
      <w:r w:rsidRPr="00D91258">
        <w:rPr>
          <w:b/>
        </w:rPr>
        <w:t>onemocněním</w:t>
      </w:r>
      <w:r w:rsidRPr="00591005">
        <w:t xml:space="preserve"> </w:t>
      </w:r>
      <w:r w:rsidRPr="00D91258">
        <w:rPr>
          <w:b/>
        </w:rPr>
        <w:t>covid-19</w:t>
      </w:r>
      <w:r w:rsidRPr="00591005">
        <w:t xml:space="preserve">. Ať už jde o nemocenské nebo ošetřovné. </w:t>
      </w:r>
      <w:r w:rsidR="00C55296">
        <w:t>Mezi roky 2019</w:t>
      </w:r>
      <w:r w:rsidR="00E07E2C">
        <w:t xml:space="preserve"> a 2020</w:t>
      </w:r>
      <w:r w:rsidR="00C55296">
        <w:t xml:space="preserve"> výdaje na nemocenské vzrostly o 23 %.</w:t>
      </w:r>
    </w:p>
    <w:p w14:paraId="4FDC8BA2" w14:textId="77777777" w:rsidR="007A1E96" w:rsidRPr="007A1E96" w:rsidRDefault="007A1E96" w:rsidP="007A1E96">
      <w:pPr>
        <w:spacing w:after="0" w:line="240" w:lineRule="auto"/>
        <w:jc w:val="both"/>
        <w:rPr>
          <w:rFonts w:cs="Arial"/>
          <w:b/>
          <w:bCs/>
          <w:color w:val="000000"/>
          <w:szCs w:val="20"/>
        </w:rPr>
      </w:pPr>
      <w:r w:rsidRPr="007A1E96">
        <w:rPr>
          <w:rFonts w:cs="Arial"/>
          <w:b/>
          <w:bCs/>
          <w:color w:val="000000"/>
          <w:szCs w:val="20"/>
        </w:rPr>
        <w:t>Tab. 4.1: Výdaje na dávky nemocenského pojištění, 2011–2021 (v mld. Kč)</w:t>
      </w:r>
    </w:p>
    <w:tbl>
      <w:tblPr>
        <w:tblW w:w="9738" w:type="dxa"/>
        <w:tblCellMar>
          <w:left w:w="70" w:type="dxa"/>
          <w:right w:w="70" w:type="dxa"/>
        </w:tblCellMar>
        <w:tblLook w:val="04A0" w:firstRow="1" w:lastRow="0" w:firstColumn="1" w:lastColumn="0" w:noHBand="0" w:noVBand="1"/>
      </w:tblPr>
      <w:tblGrid>
        <w:gridCol w:w="2333"/>
        <w:gridCol w:w="673"/>
        <w:gridCol w:w="673"/>
        <w:gridCol w:w="673"/>
        <w:gridCol w:w="673"/>
        <w:gridCol w:w="673"/>
        <w:gridCol w:w="673"/>
        <w:gridCol w:w="673"/>
        <w:gridCol w:w="673"/>
        <w:gridCol w:w="673"/>
        <w:gridCol w:w="673"/>
        <w:gridCol w:w="675"/>
      </w:tblGrid>
      <w:tr w:rsidR="00661E9C" w:rsidRPr="00D92E20" w14:paraId="21AB8BDD" w14:textId="77777777" w:rsidTr="002F2C0C">
        <w:trPr>
          <w:trHeight w:val="315"/>
        </w:trPr>
        <w:tc>
          <w:tcPr>
            <w:tcW w:w="2333" w:type="dxa"/>
            <w:tcBorders>
              <w:top w:val="single" w:sz="4" w:space="0" w:color="auto"/>
              <w:left w:val="nil"/>
              <w:bottom w:val="single" w:sz="4" w:space="0" w:color="auto"/>
              <w:right w:val="single" w:sz="4" w:space="0" w:color="auto"/>
            </w:tcBorders>
            <w:shd w:val="clear" w:color="000000" w:fill="F5DADD"/>
            <w:vAlign w:val="center"/>
            <w:hideMark/>
          </w:tcPr>
          <w:p w14:paraId="5AE5AB14" w14:textId="77777777" w:rsidR="00661E9C" w:rsidRPr="00D92E20" w:rsidRDefault="00661E9C" w:rsidP="002F2C0C">
            <w:pPr>
              <w:spacing w:after="0" w:line="240" w:lineRule="auto"/>
              <w:jc w:val="center"/>
              <w:rPr>
                <w:rFonts w:cs="Arial"/>
                <w:sz w:val="16"/>
                <w:szCs w:val="16"/>
              </w:rPr>
            </w:pPr>
            <w:r w:rsidRPr="00D92E20">
              <w:rPr>
                <w:rFonts w:cs="Arial"/>
                <w:sz w:val="16"/>
                <w:szCs w:val="16"/>
              </w:rPr>
              <w:t>Druh dávky</w:t>
            </w:r>
          </w:p>
        </w:tc>
        <w:tc>
          <w:tcPr>
            <w:tcW w:w="673" w:type="dxa"/>
            <w:tcBorders>
              <w:top w:val="single" w:sz="4" w:space="0" w:color="auto"/>
              <w:left w:val="nil"/>
              <w:bottom w:val="single" w:sz="4" w:space="0" w:color="auto"/>
              <w:right w:val="nil"/>
            </w:tcBorders>
            <w:shd w:val="clear" w:color="000000" w:fill="F5DADD"/>
            <w:noWrap/>
            <w:vAlign w:val="center"/>
            <w:hideMark/>
          </w:tcPr>
          <w:p w14:paraId="37E10751" w14:textId="77777777" w:rsidR="00661E9C" w:rsidRPr="00D92E20" w:rsidRDefault="00661E9C" w:rsidP="00661E9C">
            <w:pPr>
              <w:spacing w:after="0" w:line="240" w:lineRule="auto"/>
              <w:jc w:val="center"/>
              <w:rPr>
                <w:rFonts w:cs="Arial"/>
                <w:sz w:val="16"/>
                <w:szCs w:val="16"/>
              </w:rPr>
            </w:pPr>
            <w:r w:rsidRPr="00D92E20">
              <w:rPr>
                <w:rFonts w:cs="Arial"/>
                <w:sz w:val="16"/>
                <w:szCs w:val="16"/>
              </w:rPr>
              <w:t>2011</w:t>
            </w:r>
          </w:p>
        </w:tc>
        <w:tc>
          <w:tcPr>
            <w:tcW w:w="673" w:type="dxa"/>
            <w:tcBorders>
              <w:top w:val="single" w:sz="4" w:space="0" w:color="auto"/>
              <w:left w:val="nil"/>
              <w:bottom w:val="single" w:sz="4" w:space="0" w:color="auto"/>
              <w:right w:val="nil"/>
            </w:tcBorders>
            <w:shd w:val="clear" w:color="000000" w:fill="F5DADD"/>
            <w:noWrap/>
            <w:vAlign w:val="center"/>
            <w:hideMark/>
          </w:tcPr>
          <w:p w14:paraId="4EE27B3A" w14:textId="77777777" w:rsidR="00661E9C" w:rsidRPr="00D92E20" w:rsidRDefault="00661E9C" w:rsidP="00661E9C">
            <w:pPr>
              <w:spacing w:after="0" w:line="240" w:lineRule="auto"/>
              <w:jc w:val="center"/>
              <w:rPr>
                <w:rFonts w:cs="Arial"/>
                <w:sz w:val="16"/>
                <w:szCs w:val="16"/>
              </w:rPr>
            </w:pPr>
            <w:r w:rsidRPr="00D92E20">
              <w:rPr>
                <w:rFonts w:cs="Arial"/>
                <w:sz w:val="16"/>
                <w:szCs w:val="16"/>
              </w:rPr>
              <w:t>2012</w:t>
            </w:r>
          </w:p>
        </w:tc>
        <w:tc>
          <w:tcPr>
            <w:tcW w:w="673" w:type="dxa"/>
            <w:tcBorders>
              <w:top w:val="single" w:sz="4" w:space="0" w:color="auto"/>
              <w:left w:val="nil"/>
              <w:bottom w:val="single" w:sz="4" w:space="0" w:color="auto"/>
              <w:right w:val="nil"/>
            </w:tcBorders>
            <w:shd w:val="clear" w:color="000000" w:fill="F5DADD"/>
            <w:noWrap/>
            <w:vAlign w:val="center"/>
            <w:hideMark/>
          </w:tcPr>
          <w:p w14:paraId="619E40E0" w14:textId="77777777" w:rsidR="00661E9C" w:rsidRPr="00D92E20" w:rsidRDefault="00661E9C" w:rsidP="00661E9C">
            <w:pPr>
              <w:spacing w:after="0" w:line="240" w:lineRule="auto"/>
              <w:jc w:val="center"/>
              <w:rPr>
                <w:rFonts w:cs="Arial"/>
                <w:sz w:val="16"/>
                <w:szCs w:val="16"/>
              </w:rPr>
            </w:pPr>
            <w:r w:rsidRPr="00D92E20">
              <w:rPr>
                <w:rFonts w:cs="Arial"/>
                <w:sz w:val="16"/>
                <w:szCs w:val="16"/>
              </w:rPr>
              <w:t>2013</w:t>
            </w:r>
          </w:p>
        </w:tc>
        <w:tc>
          <w:tcPr>
            <w:tcW w:w="673" w:type="dxa"/>
            <w:tcBorders>
              <w:top w:val="single" w:sz="4" w:space="0" w:color="auto"/>
              <w:left w:val="nil"/>
              <w:bottom w:val="single" w:sz="4" w:space="0" w:color="auto"/>
              <w:right w:val="nil"/>
            </w:tcBorders>
            <w:shd w:val="clear" w:color="000000" w:fill="F5DADD"/>
            <w:noWrap/>
            <w:vAlign w:val="center"/>
            <w:hideMark/>
          </w:tcPr>
          <w:p w14:paraId="0F2BC54B" w14:textId="77777777" w:rsidR="00661E9C" w:rsidRPr="00D92E20" w:rsidRDefault="00661E9C" w:rsidP="00661E9C">
            <w:pPr>
              <w:spacing w:after="0" w:line="240" w:lineRule="auto"/>
              <w:jc w:val="center"/>
              <w:rPr>
                <w:rFonts w:cs="Arial"/>
                <w:sz w:val="16"/>
                <w:szCs w:val="16"/>
              </w:rPr>
            </w:pPr>
            <w:r w:rsidRPr="00D92E20">
              <w:rPr>
                <w:rFonts w:cs="Arial"/>
                <w:sz w:val="16"/>
                <w:szCs w:val="16"/>
              </w:rPr>
              <w:t>2014</w:t>
            </w:r>
          </w:p>
        </w:tc>
        <w:tc>
          <w:tcPr>
            <w:tcW w:w="673" w:type="dxa"/>
            <w:tcBorders>
              <w:top w:val="single" w:sz="4" w:space="0" w:color="auto"/>
              <w:left w:val="nil"/>
              <w:bottom w:val="single" w:sz="4" w:space="0" w:color="auto"/>
              <w:right w:val="nil"/>
            </w:tcBorders>
            <w:shd w:val="clear" w:color="000000" w:fill="F5DADD"/>
            <w:noWrap/>
            <w:vAlign w:val="center"/>
            <w:hideMark/>
          </w:tcPr>
          <w:p w14:paraId="1D3C81A6" w14:textId="77777777" w:rsidR="00661E9C" w:rsidRPr="00D92E20" w:rsidRDefault="00661E9C" w:rsidP="00661E9C">
            <w:pPr>
              <w:spacing w:after="0" w:line="240" w:lineRule="auto"/>
              <w:jc w:val="center"/>
              <w:rPr>
                <w:rFonts w:cs="Arial"/>
                <w:sz w:val="16"/>
                <w:szCs w:val="16"/>
              </w:rPr>
            </w:pPr>
            <w:r w:rsidRPr="00D92E20">
              <w:rPr>
                <w:rFonts w:cs="Arial"/>
                <w:sz w:val="16"/>
                <w:szCs w:val="16"/>
              </w:rPr>
              <w:t>2015</w:t>
            </w:r>
          </w:p>
        </w:tc>
        <w:tc>
          <w:tcPr>
            <w:tcW w:w="673" w:type="dxa"/>
            <w:tcBorders>
              <w:top w:val="single" w:sz="4" w:space="0" w:color="auto"/>
              <w:left w:val="nil"/>
              <w:bottom w:val="single" w:sz="4" w:space="0" w:color="auto"/>
              <w:right w:val="nil"/>
            </w:tcBorders>
            <w:shd w:val="clear" w:color="000000" w:fill="F5DADD"/>
            <w:noWrap/>
            <w:vAlign w:val="center"/>
            <w:hideMark/>
          </w:tcPr>
          <w:p w14:paraId="35468802" w14:textId="77777777" w:rsidR="00661E9C" w:rsidRPr="00D92E20" w:rsidRDefault="00661E9C" w:rsidP="00661E9C">
            <w:pPr>
              <w:spacing w:after="0" w:line="240" w:lineRule="auto"/>
              <w:jc w:val="center"/>
              <w:rPr>
                <w:rFonts w:cs="Arial"/>
                <w:sz w:val="16"/>
                <w:szCs w:val="16"/>
              </w:rPr>
            </w:pPr>
            <w:r w:rsidRPr="00D92E20">
              <w:rPr>
                <w:rFonts w:cs="Arial"/>
                <w:sz w:val="16"/>
                <w:szCs w:val="16"/>
              </w:rPr>
              <w:t>2016</w:t>
            </w:r>
          </w:p>
        </w:tc>
        <w:tc>
          <w:tcPr>
            <w:tcW w:w="673" w:type="dxa"/>
            <w:tcBorders>
              <w:top w:val="single" w:sz="4" w:space="0" w:color="auto"/>
              <w:left w:val="nil"/>
              <w:bottom w:val="single" w:sz="4" w:space="0" w:color="auto"/>
              <w:right w:val="nil"/>
            </w:tcBorders>
            <w:shd w:val="clear" w:color="000000" w:fill="F5DADD"/>
            <w:noWrap/>
            <w:vAlign w:val="center"/>
            <w:hideMark/>
          </w:tcPr>
          <w:p w14:paraId="6DDC923C" w14:textId="77777777" w:rsidR="00661E9C" w:rsidRPr="00D92E20" w:rsidRDefault="00661E9C" w:rsidP="00661E9C">
            <w:pPr>
              <w:spacing w:after="0" w:line="240" w:lineRule="auto"/>
              <w:jc w:val="center"/>
              <w:rPr>
                <w:rFonts w:cs="Arial"/>
                <w:sz w:val="16"/>
                <w:szCs w:val="16"/>
              </w:rPr>
            </w:pPr>
            <w:r w:rsidRPr="00D92E20">
              <w:rPr>
                <w:rFonts w:cs="Arial"/>
                <w:sz w:val="16"/>
                <w:szCs w:val="16"/>
              </w:rPr>
              <w:t>2017</w:t>
            </w:r>
          </w:p>
        </w:tc>
        <w:tc>
          <w:tcPr>
            <w:tcW w:w="673" w:type="dxa"/>
            <w:tcBorders>
              <w:top w:val="single" w:sz="4" w:space="0" w:color="auto"/>
              <w:left w:val="nil"/>
              <w:bottom w:val="single" w:sz="4" w:space="0" w:color="auto"/>
              <w:right w:val="nil"/>
            </w:tcBorders>
            <w:shd w:val="clear" w:color="000000" w:fill="F5DADD"/>
            <w:noWrap/>
            <w:vAlign w:val="center"/>
            <w:hideMark/>
          </w:tcPr>
          <w:p w14:paraId="41E2FC03" w14:textId="77777777" w:rsidR="00661E9C" w:rsidRPr="00D92E20" w:rsidRDefault="00661E9C" w:rsidP="00661E9C">
            <w:pPr>
              <w:spacing w:after="0" w:line="240" w:lineRule="auto"/>
              <w:jc w:val="center"/>
              <w:rPr>
                <w:rFonts w:cs="Arial"/>
                <w:sz w:val="16"/>
                <w:szCs w:val="16"/>
              </w:rPr>
            </w:pPr>
            <w:r w:rsidRPr="00D92E20">
              <w:rPr>
                <w:rFonts w:cs="Arial"/>
                <w:sz w:val="16"/>
                <w:szCs w:val="16"/>
              </w:rPr>
              <w:t>2018</w:t>
            </w:r>
          </w:p>
        </w:tc>
        <w:tc>
          <w:tcPr>
            <w:tcW w:w="673" w:type="dxa"/>
            <w:tcBorders>
              <w:top w:val="single" w:sz="4" w:space="0" w:color="auto"/>
              <w:left w:val="nil"/>
              <w:bottom w:val="single" w:sz="4" w:space="0" w:color="auto"/>
              <w:right w:val="nil"/>
            </w:tcBorders>
            <w:shd w:val="clear" w:color="000000" w:fill="F5DADD"/>
            <w:noWrap/>
            <w:vAlign w:val="center"/>
            <w:hideMark/>
          </w:tcPr>
          <w:p w14:paraId="3BEACE71" w14:textId="77777777" w:rsidR="00661E9C" w:rsidRPr="00D92E20" w:rsidRDefault="00661E9C" w:rsidP="00661E9C">
            <w:pPr>
              <w:spacing w:after="0" w:line="240" w:lineRule="auto"/>
              <w:jc w:val="center"/>
              <w:rPr>
                <w:rFonts w:cs="Arial"/>
                <w:sz w:val="16"/>
                <w:szCs w:val="16"/>
              </w:rPr>
            </w:pPr>
            <w:r w:rsidRPr="00D92E20">
              <w:rPr>
                <w:rFonts w:cs="Arial"/>
                <w:sz w:val="16"/>
                <w:szCs w:val="16"/>
              </w:rPr>
              <w:t>2019</w:t>
            </w:r>
          </w:p>
        </w:tc>
        <w:tc>
          <w:tcPr>
            <w:tcW w:w="673" w:type="dxa"/>
            <w:tcBorders>
              <w:top w:val="single" w:sz="4" w:space="0" w:color="auto"/>
              <w:left w:val="nil"/>
              <w:bottom w:val="single" w:sz="4" w:space="0" w:color="auto"/>
              <w:right w:val="nil"/>
            </w:tcBorders>
            <w:shd w:val="clear" w:color="000000" w:fill="F5DADD"/>
            <w:noWrap/>
            <w:vAlign w:val="center"/>
            <w:hideMark/>
          </w:tcPr>
          <w:p w14:paraId="39FE863D" w14:textId="77777777" w:rsidR="00661E9C" w:rsidRPr="00D92E20" w:rsidRDefault="00661E9C" w:rsidP="00661E9C">
            <w:pPr>
              <w:spacing w:after="0" w:line="240" w:lineRule="auto"/>
              <w:jc w:val="center"/>
              <w:rPr>
                <w:rFonts w:cs="Arial"/>
                <w:sz w:val="16"/>
                <w:szCs w:val="16"/>
              </w:rPr>
            </w:pPr>
            <w:r w:rsidRPr="00D92E20">
              <w:rPr>
                <w:rFonts w:cs="Arial"/>
                <w:sz w:val="16"/>
                <w:szCs w:val="16"/>
              </w:rPr>
              <w:t>2020</w:t>
            </w:r>
          </w:p>
        </w:tc>
        <w:tc>
          <w:tcPr>
            <w:tcW w:w="675" w:type="dxa"/>
            <w:tcBorders>
              <w:top w:val="single" w:sz="4" w:space="0" w:color="auto"/>
              <w:bottom w:val="single" w:sz="4" w:space="0" w:color="auto"/>
            </w:tcBorders>
            <w:shd w:val="clear" w:color="auto" w:fill="F5DADD"/>
            <w:vAlign w:val="center"/>
          </w:tcPr>
          <w:p w14:paraId="7470AD0C" w14:textId="77777777" w:rsidR="00661E9C" w:rsidRPr="00D92E20" w:rsidRDefault="00661E9C" w:rsidP="00661E9C">
            <w:pPr>
              <w:spacing w:after="0" w:line="240" w:lineRule="auto"/>
              <w:jc w:val="center"/>
            </w:pPr>
            <w:r w:rsidRPr="00661E9C">
              <w:rPr>
                <w:rFonts w:cs="Arial"/>
                <w:sz w:val="16"/>
                <w:szCs w:val="16"/>
                <w:shd w:val="clear" w:color="auto" w:fill="F5DADD"/>
              </w:rPr>
              <w:t>2021</w:t>
            </w:r>
          </w:p>
        </w:tc>
      </w:tr>
      <w:tr w:rsidR="00661E9C" w:rsidRPr="00D92E20" w14:paraId="011B1E4E" w14:textId="77777777" w:rsidTr="002F2C0C">
        <w:trPr>
          <w:trHeight w:val="300"/>
        </w:trPr>
        <w:tc>
          <w:tcPr>
            <w:tcW w:w="2333" w:type="dxa"/>
            <w:tcBorders>
              <w:top w:val="single" w:sz="4" w:space="0" w:color="auto"/>
              <w:left w:val="nil"/>
              <w:bottom w:val="nil"/>
              <w:right w:val="single" w:sz="4" w:space="0" w:color="auto"/>
            </w:tcBorders>
            <w:shd w:val="clear" w:color="auto" w:fill="auto"/>
            <w:vAlign w:val="center"/>
            <w:hideMark/>
          </w:tcPr>
          <w:p w14:paraId="4D216358" w14:textId="77777777" w:rsidR="00661E9C" w:rsidRPr="00D92E20" w:rsidRDefault="00661E9C" w:rsidP="00661E9C">
            <w:pPr>
              <w:spacing w:after="0" w:line="240" w:lineRule="auto"/>
              <w:rPr>
                <w:rFonts w:cs="Arial"/>
                <w:b/>
                <w:bCs/>
                <w:sz w:val="16"/>
                <w:szCs w:val="16"/>
              </w:rPr>
            </w:pPr>
            <w:r w:rsidRPr="00D92E20">
              <w:rPr>
                <w:rFonts w:cs="Arial"/>
                <w:b/>
                <w:bCs/>
                <w:sz w:val="16"/>
                <w:szCs w:val="16"/>
              </w:rPr>
              <w:t>Celkem</w:t>
            </w:r>
          </w:p>
        </w:tc>
        <w:tc>
          <w:tcPr>
            <w:tcW w:w="673" w:type="dxa"/>
            <w:tcBorders>
              <w:top w:val="single" w:sz="4" w:space="0" w:color="auto"/>
              <w:left w:val="nil"/>
              <w:bottom w:val="nil"/>
              <w:right w:val="nil"/>
            </w:tcBorders>
            <w:shd w:val="clear" w:color="auto" w:fill="auto"/>
            <w:noWrap/>
            <w:vAlign w:val="center"/>
            <w:hideMark/>
          </w:tcPr>
          <w:p w14:paraId="14ECFA71" w14:textId="77777777" w:rsidR="00661E9C" w:rsidRPr="00D92E20" w:rsidRDefault="00661E9C" w:rsidP="00661E9C">
            <w:pPr>
              <w:spacing w:after="0" w:line="240" w:lineRule="auto"/>
              <w:jc w:val="right"/>
              <w:rPr>
                <w:rFonts w:cs="Arial"/>
                <w:b/>
                <w:bCs/>
                <w:sz w:val="16"/>
                <w:szCs w:val="16"/>
              </w:rPr>
            </w:pPr>
            <w:r w:rsidRPr="00D92E20">
              <w:rPr>
                <w:rFonts w:cs="Arial"/>
                <w:b/>
                <w:bCs/>
                <w:sz w:val="16"/>
                <w:szCs w:val="16"/>
              </w:rPr>
              <w:t>21,51</w:t>
            </w:r>
          </w:p>
        </w:tc>
        <w:tc>
          <w:tcPr>
            <w:tcW w:w="673" w:type="dxa"/>
            <w:tcBorders>
              <w:top w:val="single" w:sz="4" w:space="0" w:color="auto"/>
              <w:left w:val="nil"/>
              <w:bottom w:val="nil"/>
              <w:right w:val="nil"/>
            </w:tcBorders>
            <w:shd w:val="clear" w:color="auto" w:fill="auto"/>
            <w:noWrap/>
            <w:vAlign w:val="center"/>
            <w:hideMark/>
          </w:tcPr>
          <w:p w14:paraId="625081DD" w14:textId="77777777" w:rsidR="00661E9C" w:rsidRPr="00D92E20" w:rsidRDefault="00661E9C" w:rsidP="00661E9C">
            <w:pPr>
              <w:spacing w:after="0" w:line="240" w:lineRule="auto"/>
              <w:jc w:val="right"/>
              <w:rPr>
                <w:rFonts w:cs="Arial"/>
                <w:b/>
                <w:bCs/>
                <w:sz w:val="16"/>
                <w:szCs w:val="16"/>
              </w:rPr>
            </w:pPr>
            <w:r w:rsidRPr="00D92E20">
              <w:rPr>
                <w:rFonts w:cs="Arial"/>
                <w:b/>
                <w:bCs/>
                <w:sz w:val="16"/>
                <w:szCs w:val="16"/>
              </w:rPr>
              <w:t>19,38</w:t>
            </w:r>
          </w:p>
        </w:tc>
        <w:tc>
          <w:tcPr>
            <w:tcW w:w="673" w:type="dxa"/>
            <w:tcBorders>
              <w:top w:val="single" w:sz="4" w:space="0" w:color="auto"/>
              <w:left w:val="nil"/>
              <w:bottom w:val="nil"/>
              <w:right w:val="nil"/>
            </w:tcBorders>
            <w:shd w:val="clear" w:color="auto" w:fill="auto"/>
            <w:noWrap/>
            <w:vAlign w:val="center"/>
            <w:hideMark/>
          </w:tcPr>
          <w:p w14:paraId="4592D9B2" w14:textId="77777777" w:rsidR="00661E9C" w:rsidRPr="00D92E20" w:rsidRDefault="00661E9C" w:rsidP="00661E9C">
            <w:pPr>
              <w:spacing w:after="0" w:line="240" w:lineRule="auto"/>
              <w:jc w:val="right"/>
              <w:rPr>
                <w:rFonts w:cs="Arial"/>
                <w:b/>
                <w:bCs/>
                <w:sz w:val="16"/>
                <w:szCs w:val="16"/>
              </w:rPr>
            </w:pPr>
            <w:r w:rsidRPr="00D92E20">
              <w:rPr>
                <w:rFonts w:cs="Arial"/>
                <w:b/>
                <w:bCs/>
                <w:sz w:val="16"/>
                <w:szCs w:val="16"/>
              </w:rPr>
              <w:t>20,14</w:t>
            </w:r>
          </w:p>
        </w:tc>
        <w:tc>
          <w:tcPr>
            <w:tcW w:w="673" w:type="dxa"/>
            <w:tcBorders>
              <w:top w:val="single" w:sz="4" w:space="0" w:color="auto"/>
              <w:left w:val="nil"/>
              <w:bottom w:val="nil"/>
              <w:right w:val="nil"/>
            </w:tcBorders>
            <w:shd w:val="clear" w:color="auto" w:fill="auto"/>
            <w:noWrap/>
            <w:vAlign w:val="center"/>
            <w:hideMark/>
          </w:tcPr>
          <w:p w14:paraId="2DB65669" w14:textId="77777777" w:rsidR="00661E9C" w:rsidRPr="00D92E20" w:rsidRDefault="00661E9C" w:rsidP="00661E9C">
            <w:pPr>
              <w:spacing w:after="0" w:line="240" w:lineRule="auto"/>
              <w:jc w:val="right"/>
              <w:rPr>
                <w:rFonts w:cs="Arial"/>
                <w:b/>
                <w:bCs/>
                <w:sz w:val="16"/>
                <w:szCs w:val="16"/>
              </w:rPr>
            </w:pPr>
            <w:r w:rsidRPr="00D92E20">
              <w:rPr>
                <w:rFonts w:cs="Arial"/>
                <w:b/>
                <w:bCs/>
                <w:sz w:val="16"/>
                <w:szCs w:val="16"/>
              </w:rPr>
              <w:t>22,08</w:t>
            </w:r>
          </w:p>
        </w:tc>
        <w:tc>
          <w:tcPr>
            <w:tcW w:w="673" w:type="dxa"/>
            <w:tcBorders>
              <w:top w:val="single" w:sz="4" w:space="0" w:color="auto"/>
              <w:left w:val="nil"/>
              <w:bottom w:val="nil"/>
              <w:right w:val="nil"/>
            </w:tcBorders>
            <w:shd w:val="clear" w:color="auto" w:fill="auto"/>
            <w:noWrap/>
            <w:vAlign w:val="center"/>
            <w:hideMark/>
          </w:tcPr>
          <w:p w14:paraId="471DBE54" w14:textId="77777777" w:rsidR="00661E9C" w:rsidRPr="00D92E20" w:rsidRDefault="00661E9C" w:rsidP="00661E9C">
            <w:pPr>
              <w:spacing w:after="0" w:line="240" w:lineRule="auto"/>
              <w:jc w:val="right"/>
              <w:rPr>
                <w:rFonts w:cs="Arial"/>
                <w:b/>
                <w:bCs/>
                <w:sz w:val="16"/>
                <w:szCs w:val="16"/>
              </w:rPr>
            </w:pPr>
            <w:r w:rsidRPr="00D92E20">
              <w:rPr>
                <w:rFonts w:cs="Arial"/>
                <w:b/>
                <w:bCs/>
                <w:sz w:val="16"/>
                <w:szCs w:val="16"/>
              </w:rPr>
              <w:t>24,11</w:t>
            </w:r>
          </w:p>
        </w:tc>
        <w:tc>
          <w:tcPr>
            <w:tcW w:w="673" w:type="dxa"/>
            <w:tcBorders>
              <w:top w:val="single" w:sz="4" w:space="0" w:color="auto"/>
              <w:left w:val="nil"/>
              <w:bottom w:val="nil"/>
              <w:right w:val="nil"/>
            </w:tcBorders>
            <w:shd w:val="clear" w:color="auto" w:fill="auto"/>
            <w:noWrap/>
            <w:vAlign w:val="center"/>
            <w:hideMark/>
          </w:tcPr>
          <w:p w14:paraId="5B1B8198" w14:textId="77777777" w:rsidR="00661E9C" w:rsidRPr="00D92E20" w:rsidRDefault="00661E9C" w:rsidP="00661E9C">
            <w:pPr>
              <w:spacing w:after="0" w:line="240" w:lineRule="auto"/>
              <w:jc w:val="right"/>
              <w:rPr>
                <w:rFonts w:cs="Arial"/>
                <w:b/>
                <w:bCs/>
                <w:sz w:val="16"/>
                <w:szCs w:val="16"/>
              </w:rPr>
            </w:pPr>
            <w:r w:rsidRPr="00D92E20">
              <w:rPr>
                <w:rFonts w:cs="Arial"/>
                <w:b/>
                <w:bCs/>
                <w:sz w:val="16"/>
                <w:szCs w:val="16"/>
              </w:rPr>
              <w:t>26,28</w:t>
            </w:r>
          </w:p>
        </w:tc>
        <w:tc>
          <w:tcPr>
            <w:tcW w:w="673" w:type="dxa"/>
            <w:tcBorders>
              <w:top w:val="single" w:sz="4" w:space="0" w:color="auto"/>
              <w:left w:val="nil"/>
              <w:bottom w:val="nil"/>
              <w:right w:val="nil"/>
            </w:tcBorders>
            <w:shd w:val="clear" w:color="auto" w:fill="auto"/>
            <w:noWrap/>
            <w:vAlign w:val="center"/>
            <w:hideMark/>
          </w:tcPr>
          <w:p w14:paraId="49477F55" w14:textId="77777777" w:rsidR="00661E9C" w:rsidRPr="00D92E20" w:rsidRDefault="00661E9C" w:rsidP="00661E9C">
            <w:pPr>
              <w:spacing w:after="0" w:line="240" w:lineRule="auto"/>
              <w:jc w:val="right"/>
              <w:rPr>
                <w:rFonts w:cs="Arial"/>
                <w:b/>
                <w:bCs/>
                <w:sz w:val="16"/>
                <w:szCs w:val="16"/>
              </w:rPr>
            </w:pPr>
            <w:r w:rsidRPr="00D92E20">
              <w:rPr>
                <w:rFonts w:cs="Arial"/>
                <w:b/>
                <w:bCs/>
                <w:sz w:val="16"/>
                <w:szCs w:val="16"/>
              </w:rPr>
              <w:t>28,32</w:t>
            </w:r>
          </w:p>
        </w:tc>
        <w:tc>
          <w:tcPr>
            <w:tcW w:w="673" w:type="dxa"/>
            <w:tcBorders>
              <w:top w:val="single" w:sz="4" w:space="0" w:color="auto"/>
              <w:left w:val="nil"/>
              <w:bottom w:val="nil"/>
              <w:right w:val="nil"/>
            </w:tcBorders>
            <w:shd w:val="clear" w:color="auto" w:fill="auto"/>
            <w:noWrap/>
            <w:vAlign w:val="center"/>
            <w:hideMark/>
          </w:tcPr>
          <w:p w14:paraId="56ECB4EC" w14:textId="77777777" w:rsidR="00661E9C" w:rsidRPr="00D92E20" w:rsidRDefault="00661E9C" w:rsidP="00661E9C">
            <w:pPr>
              <w:spacing w:after="0" w:line="240" w:lineRule="auto"/>
              <w:jc w:val="right"/>
              <w:rPr>
                <w:rFonts w:cs="Arial"/>
                <w:b/>
                <w:bCs/>
                <w:sz w:val="16"/>
                <w:szCs w:val="16"/>
              </w:rPr>
            </w:pPr>
            <w:r w:rsidRPr="00D92E20">
              <w:rPr>
                <w:rFonts w:cs="Arial"/>
                <w:b/>
                <w:bCs/>
                <w:sz w:val="16"/>
                <w:szCs w:val="16"/>
              </w:rPr>
              <w:t>33,97</w:t>
            </w:r>
          </w:p>
        </w:tc>
        <w:tc>
          <w:tcPr>
            <w:tcW w:w="673" w:type="dxa"/>
            <w:tcBorders>
              <w:top w:val="single" w:sz="4" w:space="0" w:color="auto"/>
              <w:left w:val="nil"/>
              <w:bottom w:val="nil"/>
              <w:right w:val="nil"/>
            </w:tcBorders>
            <w:shd w:val="clear" w:color="auto" w:fill="auto"/>
            <w:noWrap/>
            <w:vAlign w:val="center"/>
            <w:hideMark/>
          </w:tcPr>
          <w:p w14:paraId="51E5A1CB" w14:textId="77777777" w:rsidR="00661E9C" w:rsidRPr="00D92E20" w:rsidRDefault="00661E9C" w:rsidP="00661E9C">
            <w:pPr>
              <w:spacing w:after="0" w:line="240" w:lineRule="auto"/>
              <w:jc w:val="right"/>
              <w:rPr>
                <w:rFonts w:cs="Arial"/>
                <w:b/>
                <w:bCs/>
                <w:sz w:val="16"/>
                <w:szCs w:val="16"/>
              </w:rPr>
            </w:pPr>
            <w:r w:rsidRPr="00D92E20">
              <w:rPr>
                <w:rFonts w:cs="Arial"/>
                <w:b/>
                <w:bCs/>
                <w:sz w:val="16"/>
                <w:szCs w:val="16"/>
              </w:rPr>
              <w:t>38,89</w:t>
            </w:r>
          </w:p>
        </w:tc>
        <w:tc>
          <w:tcPr>
            <w:tcW w:w="673" w:type="dxa"/>
            <w:tcBorders>
              <w:top w:val="single" w:sz="4" w:space="0" w:color="auto"/>
              <w:left w:val="nil"/>
              <w:bottom w:val="nil"/>
              <w:right w:val="nil"/>
            </w:tcBorders>
            <w:shd w:val="clear" w:color="auto" w:fill="auto"/>
            <w:noWrap/>
            <w:vAlign w:val="center"/>
            <w:hideMark/>
          </w:tcPr>
          <w:p w14:paraId="717CBD56" w14:textId="77777777" w:rsidR="00661E9C" w:rsidRPr="00D92E20" w:rsidRDefault="00661E9C" w:rsidP="00661E9C">
            <w:pPr>
              <w:spacing w:after="0" w:line="240" w:lineRule="auto"/>
              <w:jc w:val="right"/>
              <w:rPr>
                <w:rFonts w:cs="Arial"/>
                <w:b/>
                <w:bCs/>
                <w:sz w:val="16"/>
                <w:szCs w:val="16"/>
              </w:rPr>
            </w:pPr>
            <w:r w:rsidRPr="00D92E20">
              <w:rPr>
                <w:rFonts w:cs="Arial"/>
                <w:b/>
                <w:bCs/>
                <w:sz w:val="16"/>
                <w:szCs w:val="16"/>
              </w:rPr>
              <w:t>55,21</w:t>
            </w:r>
          </w:p>
        </w:tc>
        <w:tc>
          <w:tcPr>
            <w:tcW w:w="675" w:type="dxa"/>
            <w:tcBorders>
              <w:top w:val="single" w:sz="4" w:space="0" w:color="auto"/>
            </w:tcBorders>
            <w:vAlign w:val="center"/>
          </w:tcPr>
          <w:p w14:paraId="59788F37" w14:textId="77777777" w:rsidR="00661E9C" w:rsidRPr="00D92E20" w:rsidRDefault="00661E9C" w:rsidP="00661E9C">
            <w:pPr>
              <w:spacing w:after="0" w:line="240" w:lineRule="auto"/>
              <w:jc w:val="right"/>
            </w:pPr>
            <w:r>
              <w:rPr>
                <w:rFonts w:cs="Arial"/>
                <w:b/>
                <w:bCs/>
                <w:sz w:val="16"/>
                <w:szCs w:val="16"/>
              </w:rPr>
              <w:t>51,47</w:t>
            </w:r>
          </w:p>
        </w:tc>
      </w:tr>
      <w:tr w:rsidR="00661E9C" w:rsidRPr="00D92E20" w14:paraId="6352101B" w14:textId="77777777" w:rsidTr="00661E9C">
        <w:trPr>
          <w:trHeight w:val="300"/>
        </w:trPr>
        <w:tc>
          <w:tcPr>
            <w:tcW w:w="2333" w:type="dxa"/>
            <w:tcBorders>
              <w:top w:val="nil"/>
              <w:left w:val="nil"/>
              <w:bottom w:val="nil"/>
              <w:right w:val="single" w:sz="4" w:space="0" w:color="auto"/>
            </w:tcBorders>
            <w:shd w:val="clear" w:color="000000" w:fill="F5DADD"/>
            <w:vAlign w:val="center"/>
            <w:hideMark/>
          </w:tcPr>
          <w:p w14:paraId="08664A57" w14:textId="77777777" w:rsidR="00661E9C" w:rsidRPr="00D92E20" w:rsidRDefault="00661E9C" w:rsidP="00661E9C">
            <w:pPr>
              <w:spacing w:after="0" w:line="240" w:lineRule="auto"/>
              <w:ind w:firstLineChars="100" w:firstLine="160"/>
              <w:rPr>
                <w:rFonts w:cs="Arial"/>
                <w:sz w:val="16"/>
                <w:szCs w:val="16"/>
              </w:rPr>
            </w:pPr>
            <w:r w:rsidRPr="00D92E20">
              <w:rPr>
                <w:rFonts w:cs="Arial"/>
                <w:sz w:val="16"/>
                <w:szCs w:val="16"/>
              </w:rPr>
              <w:t>nemocenské</w:t>
            </w:r>
          </w:p>
        </w:tc>
        <w:tc>
          <w:tcPr>
            <w:tcW w:w="673" w:type="dxa"/>
            <w:tcBorders>
              <w:top w:val="nil"/>
              <w:left w:val="nil"/>
              <w:bottom w:val="nil"/>
              <w:right w:val="nil"/>
            </w:tcBorders>
            <w:shd w:val="clear" w:color="000000" w:fill="F5DADD"/>
            <w:noWrap/>
            <w:vAlign w:val="center"/>
            <w:hideMark/>
          </w:tcPr>
          <w:p w14:paraId="573EA154" w14:textId="77777777" w:rsidR="00661E9C" w:rsidRPr="00D92E20" w:rsidRDefault="00661E9C" w:rsidP="00661E9C">
            <w:pPr>
              <w:spacing w:after="0" w:line="240" w:lineRule="auto"/>
              <w:jc w:val="right"/>
              <w:rPr>
                <w:rFonts w:cs="Arial"/>
                <w:sz w:val="16"/>
                <w:szCs w:val="16"/>
              </w:rPr>
            </w:pPr>
            <w:r w:rsidRPr="00D92E20">
              <w:rPr>
                <w:rFonts w:cs="Arial"/>
                <w:sz w:val="16"/>
                <w:szCs w:val="16"/>
              </w:rPr>
              <w:t>13,35</w:t>
            </w:r>
          </w:p>
        </w:tc>
        <w:tc>
          <w:tcPr>
            <w:tcW w:w="673" w:type="dxa"/>
            <w:tcBorders>
              <w:top w:val="nil"/>
              <w:left w:val="nil"/>
              <w:bottom w:val="nil"/>
              <w:right w:val="nil"/>
            </w:tcBorders>
            <w:shd w:val="clear" w:color="000000" w:fill="F5DADD"/>
            <w:noWrap/>
            <w:vAlign w:val="center"/>
            <w:hideMark/>
          </w:tcPr>
          <w:p w14:paraId="18C001ED" w14:textId="77777777" w:rsidR="00661E9C" w:rsidRPr="00D92E20" w:rsidRDefault="00661E9C" w:rsidP="00661E9C">
            <w:pPr>
              <w:spacing w:after="0" w:line="240" w:lineRule="auto"/>
              <w:jc w:val="right"/>
              <w:rPr>
                <w:rFonts w:cs="Arial"/>
                <w:sz w:val="16"/>
                <w:szCs w:val="16"/>
              </w:rPr>
            </w:pPr>
            <w:r w:rsidRPr="00D92E20">
              <w:rPr>
                <w:rFonts w:cs="Arial"/>
                <w:sz w:val="16"/>
                <w:szCs w:val="16"/>
              </w:rPr>
              <w:t>11,47</w:t>
            </w:r>
          </w:p>
        </w:tc>
        <w:tc>
          <w:tcPr>
            <w:tcW w:w="673" w:type="dxa"/>
            <w:tcBorders>
              <w:top w:val="nil"/>
              <w:left w:val="nil"/>
              <w:bottom w:val="nil"/>
              <w:right w:val="nil"/>
            </w:tcBorders>
            <w:shd w:val="clear" w:color="000000" w:fill="F5DADD"/>
            <w:noWrap/>
            <w:vAlign w:val="center"/>
            <w:hideMark/>
          </w:tcPr>
          <w:p w14:paraId="19169A32" w14:textId="77777777" w:rsidR="00661E9C" w:rsidRPr="00D92E20" w:rsidRDefault="00661E9C" w:rsidP="00661E9C">
            <w:pPr>
              <w:spacing w:after="0" w:line="240" w:lineRule="auto"/>
              <w:jc w:val="right"/>
              <w:rPr>
                <w:rFonts w:cs="Arial"/>
                <w:sz w:val="16"/>
                <w:szCs w:val="16"/>
              </w:rPr>
            </w:pPr>
            <w:r w:rsidRPr="00D92E20">
              <w:rPr>
                <w:rFonts w:cs="Arial"/>
                <w:sz w:val="16"/>
                <w:szCs w:val="16"/>
              </w:rPr>
              <w:t>12,04</w:t>
            </w:r>
          </w:p>
        </w:tc>
        <w:tc>
          <w:tcPr>
            <w:tcW w:w="673" w:type="dxa"/>
            <w:tcBorders>
              <w:top w:val="nil"/>
              <w:left w:val="nil"/>
              <w:bottom w:val="nil"/>
              <w:right w:val="nil"/>
            </w:tcBorders>
            <w:shd w:val="clear" w:color="000000" w:fill="F5DADD"/>
            <w:noWrap/>
            <w:vAlign w:val="center"/>
            <w:hideMark/>
          </w:tcPr>
          <w:p w14:paraId="13263361" w14:textId="77777777" w:rsidR="00661E9C" w:rsidRPr="00D92E20" w:rsidRDefault="00661E9C" w:rsidP="00661E9C">
            <w:pPr>
              <w:spacing w:after="0" w:line="240" w:lineRule="auto"/>
              <w:jc w:val="right"/>
              <w:rPr>
                <w:rFonts w:cs="Arial"/>
                <w:sz w:val="16"/>
                <w:szCs w:val="16"/>
              </w:rPr>
            </w:pPr>
            <w:r w:rsidRPr="00D92E20">
              <w:rPr>
                <w:rFonts w:cs="Arial"/>
                <w:sz w:val="16"/>
                <w:szCs w:val="16"/>
              </w:rPr>
              <w:t>13,88</w:t>
            </w:r>
          </w:p>
        </w:tc>
        <w:tc>
          <w:tcPr>
            <w:tcW w:w="673" w:type="dxa"/>
            <w:tcBorders>
              <w:top w:val="nil"/>
              <w:left w:val="nil"/>
              <w:bottom w:val="nil"/>
              <w:right w:val="nil"/>
            </w:tcBorders>
            <w:shd w:val="clear" w:color="000000" w:fill="F5DADD"/>
            <w:noWrap/>
            <w:vAlign w:val="center"/>
            <w:hideMark/>
          </w:tcPr>
          <w:p w14:paraId="3B8DC118" w14:textId="77777777" w:rsidR="00661E9C" w:rsidRPr="00D92E20" w:rsidRDefault="00661E9C" w:rsidP="00661E9C">
            <w:pPr>
              <w:spacing w:after="0" w:line="240" w:lineRule="auto"/>
              <w:jc w:val="right"/>
              <w:rPr>
                <w:rFonts w:cs="Arial"/>
                <w:sz w:val="16"/>
                <w:szCs w:val="16"/>
              </w:rPr>
            </w:pPr>
            <w:r w:rsidRPr="00D92E20">
              <w:rPr>
                <w:rFonts w:cs="Arial"/>
                <w:sz w:val="16"/>
                <w:szCs w:val="16"/>
              </w:rPr>
              <w:t>15,43</w:t>
            </w:r>
          </w:p>
        </w:tc>
        <w:tc>
          <w:tcPr>
            <w:tcW w:w="673" w:type="dxa"/>
            <w:tcBorders>
              <w:top w:val="nil"/>
              <w:left w:val="nil"/>
              <w:bottom w:val="nil"/>
              <w:right w:val="nil"/>
            </w:tcBorders>
            <w:shd w:val="clear" w:color="000000" w:fill="F5DADD"/>
            <w:noWrap/>
            <w:vAlign w:val="center"/>
            <w:hideMark/>
          </w:tcPr>
          <w:p w14:paraId="483579AE" w14:textId="77777777" w:rsidR="00661E9C" w:rsidRPr="00D92E20" w:rsidRDefault="00661E9C" w:rsidP="00661E9C">
            <w:pPr>
              <w:spacing w:after="0" w:line="240" w:lineRule="auto"/>
              <w:jc w:val="right"/>
              <w:rPr>
                <w:rFonts w:cs="Arial"/>
                <w:sz w:val="16"/>
                <w:szCs w:val="16"/>
              </w:rPr>
            </w:pPr>
            <w:r w:rsidRPr="00D92E20">
              <w:rPr>
                <w:rFonts w:cs="Arial"/>
                <w:sz w:val="16"/>
                <w:szCs w:val="16"/>
              </w:rPr>
              <w:t>16,99</w:t>
            </w:r>
          </w:p>
        </w:tc>
        <w:tc>
          <w:tcPr>
            <w:tcW w:w="673" w:type="dxa"/>
            <w:tcBorders>
              <w:top w:val="nil"/>
              <w:left w:val="nil"/>
              <w:bottom w:val="nil"/>
              <w:right w:val="nil"/>
            </w:tcBorders>
            <w:shd w:val="clear" w:color="000000" w:fill="F5DADD"/>
            <w:noWrap/>
            <w:vAlign w:val="center"/>
            <w:hideMark/>
          </w:tcPr>
          <w:p w14:paraId="4689D862"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18,29</w:t>
            </w:r>
          </w:p>
        </w:tc>
        <w:tc>
          <w:tcPr>
            <w:tcW w:w="673" w:type="dxa"/>
            <w:tcBorders>
              <w:top w:val="nil"/>
              <w:left w:val="nil"/>
              <w:bottom w:val="nil"/>
              <w:right w:val="nil"/>
            </w:tcBorders>
            <w:shd w:val="clear" w:color="000000" w:fill="F5DADD"/>
            <w:noWrap/>
            <w:vAlign w:val="center"/>
            <w:hideMark/>
          </w:tcPr>
          <w:p w14:paraId="313F0F14"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22,68</w:t>
            </w:r>
          </w:p>
        </w:tc>
        <w:tc>
          <w:tcPr>
            <w:tcW w:w="673" w:type="dxa"/>
            <w:tcBorders>
              <w:top w:val="nil"/>
              <w:left w:val="nil"/>
              <w:bottom w:val="nil"/>
              <w:right w:val="nil"/>
            </w:tcBorders>
            <w:shd w:val="clear" w:color="000000" w:fill="F5DADD"/>
            <w:noWrap/>
            <w:vAlign w:val="center"/>
            <w:hideMark/>
          </w:tcPr>
          <w:p w14:paraId="5B32462F"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26,67</w:t>
            </w:r>
          </w:p>
        </w:tc>
        <w:tc>
          <w:tcPr>
            <w:tcW w:w="673" w:type="dxa"/>
            <w:tcBorders>
              <w:top w:val="nil"/>
              <w:left w:val="nil"/>
              <w:bottom w:val="nil"/>
              <w:right w:val="nil"/>
            </w:tcBorders>
            <w:shd w:val="clear" w:color="000000" w:fill="F5DADD"/>
            <w:noWrap/>
            <w:vAlign w:val="center"/>
            <w:hideMark/>
          </w:tcPr>
          <w:p w14:paraId="32BB63B3"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32,77</w:t>
            </w:r>
          </w:p>
        </w:tc>
        <w:tc>
          <w:tcPr>
            <w:tcW w:w="675" w:type="dxa"/>
            <w:shd w:val="clear" w:color="auto" w:fill="F5DADD"/>
            <w:vAlign w:val="center"/>
          </w:tcPr>
          <w:p w14:paraId="59EC8FB6" w14:textId="77777777" w:rsidR="00661E9C" w:rsidRPr="00D92E20" w:rsidRDefault="00661E9C" w:rsidP="00661E9C">
            <w:pPr>
              <w:spacing w:after="0" w:line="240" w:lineRule="auto"/>
              <w:jc w:val="right"/>
            </w:pPr>
            <w:r w:rsidRPr="00661E9C">
              <w:rPr>
                <w:rFonts w:cs="Arial"/>
                <w:color w:val="000000"/>
                <w:sz w:val="16"/>
                <w:szCs w:val="16"/>
                <w:shd w:val="clear" w:color="auto" w:fill="F5DADD"/>
              </w:rPr>
              <w:t>34,04</w:t>
            </w:r>
          </w:p>
        </w:tc>
      </w:tr>
      <w:tr w:rsidR="00661E9C" w:rsidRPr="00D92E20" w14:paraId="1471549B" w14:textId="77777777" w:rsidTr="00661E9C">
        <w:trPr>
          <w:trHeight w:val="300"/>
        </w:trPr>
        <w:tc>
          <w:tcPr>
            <w:tcW w:w="2333" w:type="dxa"/>
            <w:tcBorders>
              <w:top w:val="nil"/>
              <w:left w:val="nil"/>
              <w:bottom w:val="nil"/>
              <w:right w:val="single" w:sz="4" w:space="0" w:color="auto"/>
            </w:tcBorders>
            <w:shd w:val="clear" w:color="auto" w:fill="auto"/>
            <w:vAlign w:val="center"/>
            <w:hideMark/>
          </w:tcPr>
          <w:p w14:paraId="5E40D797" w14:textId="77777777" w:rsidR="00661E9C" w:rsidRPr="00495305" w:rsidRDefault="00661E9C" w:rsidP="00661E9C">
            <w:pPr>
              <w:spacing w:after="0" w:line="240" w:lineRule="auto"/>
              <w:ind w:firstLineChars="100" w:firstLine="160"/>
              <w:rPr>
                <w:rFonts w:cs="Arial"/>
                <w:sz w:val="16"/>
                <w:szCs w:val="16"/>
              </w:rPr>
            </w:pPr>
            <w:r w:rsidRPr="00495305">
              <w:rPr>
                <w:rFonts w:cs="Arial"/>
                <w:sz w:val="16"/>
                <w:szCs w:val="16"/>
              </w:rPr>
              <w:t>ošetřovné</w:t>
            </w:r>
          </w:p>
        </w:tc>
        <w:tc>
          <w:tcPr>
            <w:tcW w:w="673" w:type="dxa"/>
            <w:tcBorders>
              <w:top w:val="nil"/>
              <w:left w:val="nil"/>
              <w:bottom w:val="nil"/>
              <w:right w:val="nil"/>
            </w:tcBorders>
            <w:shd w:val="clear" w:color="auto" w:fill="auto"/>
            <w:noWrap/>
            <w:vAlign w:val="center"/>
            <w:hideMark/>
          </w:tcPr>
          <w:p w14:paraId="789B9864" w14:textId="77777777" w:rsidR="00661E9C" w:rsidRPr="00495305" w:rsidRDefault="00661E9C" w:rsidP="00661E9C">
            <w:pPr>
              <w:spacing w:after="0" w:line="240" w:lineRule="auto"/>
              <w:jc w:val="right"/>
              <w:rPr>
                <w:rFonts w:cs="Arial"/>
                <w:sz w:val="16"/>
                <w:szCs w:val="16"/>
              </w:rPr>
            </w:pPr>
            <w:r w:rsidRPr="00495305">
              <w:rPr>
                <w:rFonts w:cs="Arial"/>
                <w:sz w:val="16"/>
                <w:szCs w:val="16"/>
              </w:rPr>
              <w:t>0,64</w:t>
            </w:r>
          </w:p>
        </w:tc>
        <w:tc>
          <w:tcPr>
            <w:tcW w:w="673" w:type="dxa"/>
            <w:tcBorders>
              <w:top w:val="nil"/>
              <w:left w:val="nil"/>
              <w:bottom w:val="nil"/>
              <w:right w:val="nil"/>
            </w:tcBorders>
            <w:shd w:val="clear" w:color="auto" w:fill="auto"/>
            <w:noWrap/>
            <w:vAlign w:val="center"/>
            <w:hideMark/>
          </w:tcPr>
          <w:p w14:paraId="04321AAF" w14:textId="77777777" w:rsidR="00661E9C" w:rsidRPr="00495305" w:rsidRDefault="00661E9C" w:rsidP="00661E9C">
            <w:pPr>
              <w:spacing w:after="0" w:line="240" w:lineRule="auto"/>
              <w:jc w:val="right"/>
              <w:rPr>
                <w:rFonts w:cs="Arial"/>
                <w:sz w:val="16"/>
                <w:szCs w:val="16"/>
              </w:rPr>
            </w:pPr>
            <w:r w:rsidRPr="00495305">
              <w:rPr>
                <w:rFonts w:cs="Arial"/>
                <w:sz w:val="16"/>
                <w:szCs w:val="16"/>
              </w:rPr>
              <w:t>0,68</w:t>
            </w:r>
          </w:p>
        </w:tc>
        <w:tc>
          <w:tcPr>
            <w:tcW w:w="673" w:type="dxa"/>
            <w:tcBorders>
              <w:top w:val="nil"/>
              <w:left w:val="nil"/>
              <w:bottom w:val="nil"/>
              <w:right w:val="nil"/>
            </w:tcBorders>
            <w:shd w:val="clear" w:color="auto" w:fill="auto"/>
            <w:noWrap/>
            <w:vAlign w:val="center"/>
            <w:hideMark/>
          </w:tcPr>
          <w:p w14:paraId="113663D9" w14:textId="77777777" w:rsidR="00661E9C" w:rsidRPr="00495305" w:rsidRDefault="00661E9C" w:rsidP="00661E9C">
            <w:pPr>
              <w:spacing w:after="0" w:line="240" w:lineRule="auto"/>
              <w:jc w:val="right"/>
              <w:rPr>
                <w:rFonts w:cs="Arial"/>
                <w:sz w:val="16"/>
                <w:szCs w:val="16"/>
              </w:rPr>
            </w:pPr>
            <w:r w:rsidRPr="00495305">
              <w:rPr>
                <w:rFonts w:cs="Arial"/>
                <w:sz w:val="16"/>
                <w:szCs w:val="16"/>
              </w:rPr>
              <w:t>0,84</w:t>
            </w:r>
          </w:p>
        </w:tc>
        <w:tc>
          <w:tcPr>
            <w:tcW w:w="673" w:type="dxa"/>
            <w:tcBorders>
              <w:top w:val="nil"/>
              <w:left w:val="nil"/>
              <w:bottom w:val="nil"/>
              <w:right w:val="nil"/>
            </w:tcBorders>
            <w:shd w:val="clear" w:color="auto" w:fill="auto"/>
            <w:noWrap/>
            <w:vAlign w:val="center"/>
            <w:hideMark/>
          </w:tcPr>
          <w:p w14:paraId="6EA13F1D" w14:textId="77777777" w:rsidR="00661E9C" w:rsidRPr="00495305" w:rsidRDefault="00661E9C" w:rsidP="00661E9C">
            <w:pPr>
              <w:spacing w:after="0" w:line="240" w:lineRule="auto"/>
              <w:jc w:val="right"/>
              <w:rPr>
                <w:rFonts w:cs="Arial"/>
                <w:sz w:val="16"/>
                <w:szCs w:val="16"/>
              </w:rPr>
            </w:pPr>
            <w:r w:rsidRPr="00495305">
              <w:rPr>
                <w:rFonts w:cs="Arial"/>
                <w:sz w:val="16"/>
                <w:szCs w:val="16"/>
              </w:rPr>
              <w:t>0,85</w:t>
            </w:r>
          </w:p>
        </w:tc>
        <w:tc>
          <w:tcPr>
            <w:tcW w:w="673" w:type="dxa"/>
            <w:tcBorders>
              <w:top w:val="nil"/>
              <w:left w:val="nil"/>
              <w:bottom w:val="nil"/>
              <w:right w:val="nil"/>
            </w:tcBorders>
            <w:shd w:val="clear" w:color="auto" w:fill="auto"/>
            <w:noWrap/>
            <w:vAlign w:val="center"/>
            <w:hideMark/>
          </w:tcPr>
          <w:p w14:paraId="3AFF4015" w14:textId="77777777" w:rsidR="00661E9C" w:rsidRPr="00495305" w:rsidRDefault="00661E9C" w:rsidP="00661E9C">
            <w:pPr>
              <w:spacing w:after="0" w:line="240" w:lineRule="auto"/>
              <w:jc w:val="right"/>
              <w:rPr>
                <w:rFonts w:cs="Arial"/>
                <w:sz w:val="16"/>
                <w:szCs w:val="16"/>
              </w:rPr>
            </w:pPr>
            <w:r w:rsidRPr="00495305">
              <w:rPr>
                <w:rFonts w:cs="Arial"/>
                <w:sz w:val="16"/>
                <w:szCs w:val="16"/>
              </w:rPr>
              <w:t>1,06</w:t>
            </w:r>
          </w:p>
        </w:tc>
        <w:tc>
          <w:tcPr>
            <w:tcW w:w="673" w:type="dxa"/>
            <w:tcBorders>
              <w:top w:val="nil"/>
              <w:left w:val="nil"/>
              <w:bottom w:val="nil"/>
              <w:right w:val="nil"/>
            </w:tcBorders>
            <w:shd w:val="clear" w:color="auto" w:fill="auto"/>
            <w:noWrap/>
            <w:vAlign w:val="center"/>
            <w:hideMark/>
          </w:tcPr>
          <w:p w14:paraId="6D4A4BE7" w14:textId="77777777" w:rsidR="00661E9C" w:rsidRPr="00495305" w:rsidRDefault="00661E9C" w:rsidP="00661E9C">
            <w:pPr>
              <w:spacing w:after="0" w:line="240" w:lineRule="auto"/>
              <w:jc w:val="right"/>
              <w:rPr>
                <w:rFonts w:cs="Arial"/>
                <w:sz w:val="16"/>
                <w:szCs w:val="16"/>
              </w:rPr>
            </w:pPr>
            <w:r w:rsidRPr="00495305">
              <w:rPr>
                <w:rFonts w:cs="Arial"/>
                <w:sz w:val="16"/>
                <w:szCs w:val="16"/>
              </w:rPr>
              <w:t>1,18</w:t>
            </w:r>
          </w:p>
        </w:tc>
        <w:tc>
          <w:tcPr>
            <w:tcW w:w="673" w:type="dxa"/>
            <w:tcBorders>
              <w:top w:val="nil"/>
              <w:left w:val="nil"/>
              <w:bottom w:val="nil"/>
              <w:right w:val="nil"/>
            </w:tcBorders>
            <w:shd w:val="clear" w:color="auto" w:fill="auto"/>
            <w:noWrap/>
            <w:vAlign w:val="center"/>
            <w:hideMark/>
          </w:tcPr>
          <w:p w14:paraId="564EDACC" w14:textId="77777777" w:rsidR="00661E9C" w:rsidRPr="00495305" w:rsidRDefault="00661E9C" w:rsidP="00661E9C">
            <w:pPr>
              <w:spacing w:after="0" w:line="240" w:lineRule="auto"/>
              <w:jc w:val="right"/>
              <w:rPr>
                <w:rFonts w:cs="Arial"/>
                <w:sz w:val="16"/>
                <w:szCs w:val="16"/>
              </w:rPr>
            </w:pPr>
            <w:r w:rsidRPr="00495305">
              <w:rPr>
                <w:rFonts w:cs="Arial"/>
                <w:sz w:val="16"/>
                <w:szCs w:val="16"/>
              </w:rPr>
              <w:t>1,40</w:t>
            </w:r>
          </w:p>
        </w:tc>
        <w:tc>
          <w:tcPr>
            <w:tcW w:w="673" w:type="dxa"/>
            <w:tcBorders>
              <w:top w:val="nil"/>
              <w:left w:val="nil"/>
              <w:bottom w:val="nil"/>
              <w:right w:val="nil"/>
            </w:tcBorders>
            <w:shd w:val="clear" w:color="auto" w:fill="auto"/>
            <w:noWrap/>
            <w:vAlign w:val="center"/>
            <w:hideMark/>
          </w:tcPr>
          <w:p w14:paraId="2A2CA3F2" w14:textId="77777777" w:rsidR="00661E9C" w:rsidRPr="00495305" w:rsidRDefault="00661E9C" w:rsidP="00661E9C">
            <w:pPr>
              <w:spacing w:after="0" w:line="240" w:lineRule="auto"/>
              <w:jc w:val="right"/>
              <w:rPr>
                <w:rFonts w:cs="Arial"/>
                <w:sz w:val="16"/>
                <w:szCs w:val="16"/>
              </w:rPr>
            </w:pPr>
            <w:r w:rsidRPr="00495305">
              <w:rPr>
                <w:rFonts w:cs="Arial"/>
                <w:sz w:val="16"/>
                <w:szCs w:val="16"/>
              </w:rPr>
              <w:t>1,63</w:t>
            </w:r>
          </w:p>
        </w:tc>
        <w:tc>
          <w:tcPr>
            <w:tcW w:w="673" w:type="dxa"/>
            <w:tcBorders>
              <w:top w:val="nil"/>
              <w:left w:val="nil"/>
              <w:bottom w:val="nil"/>
              <w:right w:val="nil"/>
            </w:tcBorders>
            <w:shd w:val="clear" w:color="auto" w:fill="auto"/>
            <w:noWrap/>
            <w:vAlign w:val="center"/>
            <w:hideMark/>
          </w:tcPr>
          <w:p w14:paraId="0D9A3A9B" w14:textId="77777777" w:rsidR="00661E9C" w:rsidRPr="00495305" w:rsidRDefault="00661E9C" w:rsidP="00661E9C">
            <w:pPr>
              <w:spacing w:after="0" w:line="240" w:lineRule="auto"/>
              <w:jc w:val="right"/>
              <w:rPr>
                <w:rFonts w:cs="Arial"/>
                <w:sz w:val="16"/>
                <w:szCs w:val="16"/>
              </w:rPr>
            </w:pPr>
            <w:r w:rsidRPr="00495305">
              <w:rPr>
                <w:rFonts w:cs="Arial"/>
                <w:sz w:val="16"/>
                <w:szCs w:val="16"/>
              </w:rPr>
              <w:t>1,73</w:t>
            </w:r>
          </w:p>
        </w:tc>
        <w:tc>
          <w:tcPr>
            <w:tcW w:w="673" w:type="dxa"/>
            <w:tcBorders>
              <w:top w:val="nil"/>
              <w:left w:val="nil"/>
              <w:bottom w:val="nil"/>
              <w:right w:val="nil"/>
            </w:tcBorders>
            <w:shd w:val="clear" w:color="auto" w:fill="auto"/>
            <w:noWrap/>
            <w:vAlign w:val="center"/>
            <w:hideMark/>
          </w:tcPr>
          <w:p w14:paraId="70C70EEB" w14:textId="77777777" w:rsidR="00661E9C" w:rsidRPr="00495305" w:rsidRDefault="00661E9C" w:rsidP="00661E9C">
            <w:pPr>
              <w:spacing w:after="0" w:line="240" w:lineRule="auto"/>
              <w:jc w:val="right"/>
              <w:rPr>
                <w:rFonts w:cs="Arial"/>
                <w:sz w:val="16"/>
                <w:szCs w:val="16"/>
              </w:rPr>
            </w:pPr>
            <w:r w:rsidRPr="00495305">
              <w:rPr>
                <w:rFonts w:cs="Arial"/>
                <w:sz w:val="16"/>
                <w:szCs w:val="16"/>
              </w:rPr>
              <w:t>11,44</w:t>
            </w:r>
          </w:p>
        </w:tc>
        <w:tc>
          <w:tcPr>
            <w:tcW w:w="675" w:type="dxa"/>
            <w:vAlign w:val="center"/>
          </w:tcPr>
          <w:p w14:paraId="1F943992" w14:textId="77777777" w:rsidR="00661E9C" w:rsidRPr="00D92E20" w:rsidRDefault="00661E9C" w:rsidP="00661E9C">
            <w:pPr>
              <w:spacing w:after="0" w:line="240" w:lineRule="auto"/>
              <w:jc w:val="right"/>
            </w:pPr>
            <w:r>
              <w:rPr>
                <w:rFonts w:cs="Arial"/>
                <w:sz w:val="16"/>
                <w:szCs w:val="16"/>
              </w:rPr>
              <w:t>5,66</w:t>
            </w:r>
          </w:p>
        </w:tc>
      </w:tr>
      <w:tr w:rsidR="00661E9C" w:rsidRPr="00D92E20" w14:paraId="29D0DCFD" w14:textId="77777777" w:rsidTr="00661E9C">
        <w:trPr>
          <w:trHeight w:val="300"/>
        </w:trPr>
        <w:tc>
          <w:tcPr>
            <w:tcW w:w="2333" w:type="dxa"/>
            <w:tcBorders>
              <w:top w:val="nil"/>
              <w:left w:val="nil"/>
              <w:bottom w:val="nil"/>
              <w:right w:val="single" w:sz="4" w:space="0" w:color="auto"/>
            </w:tcBorders>
            <w:shd w:val="clear" w:color="auto" w:fill="auto"/>
            <w:vAlign w:val="center"/>
            <w:hideMark/>
          </w:tcPr>
          <w:p w14:paraId="5AC78B7C" w14:textId="77777777" w:rsidR="00661E9C" w:rsidRPr="00D92E20" w:rsidRDefault="00661E9C" w:rsidP="00661E9C">
            <w:pPr>
              <w:spacing w:after="0" w:line="240" w:lineRule="auto"/>
              <w:ind w:firstLineChars="100" w:firstLine="160"/>
              <w:rPr>
                <w:rFonts w:cs="Arial"/>
                <w:sz w:val="16"/>
                <w:szCs w:val="16"/>
              </w:rPr>
            </w:pPr>
            <w:r w:rsidRPr="00D92E20">
              <w:rPr>
                <w:rFonts w:cs="Arial"/>
                <w:sz w:val="16"/>
                <w:szCs w:val="16"/>
              </w:rPr>
              <w:t>peněžitá pomoc v mateřství</w:t>
            </w:r>
          </w:p>
        </w:tc>
        <w:tc>
          <w:tcPr>
            <w:tcW w:w="673" w:type="dxa"/>
            <w:tcBorders>
              <w:top w:val="nil"/>
              <w:left w:val="nil"/>
              <w:bottom w:val="nil"/>
              <w:right w:val="nil"/>
            </w:tcBorders>
            <w:shd w:val="clear" w:color="auto" w:fill="auto"/>
            <w:noWrap/>
            <w:vAlign w:val="center"/>
            <w:hideMark/>
          </w:tcPr>
          <w:p w14:paraId="343EF155" w14:textId="77777777" w:rsidR="00661E9C" w:rsidRPr="00D92E20" w:rsidRDefault="00661E9C" w:rsidP="00661E9C">
            <w:pPr>
              <w:spacing w:after="0" w:line="240" w:lineRule="auto"/>
              <w:jc w:val="right"/>
              <w:rPr>
                <w:rFonts w:cs="Arial"/>
                <w:sz w:val="16"/>
                <w:szCs w:val="16"/>
              </w:rPr>
            </w:pPr>
            <w:r w:rsidRPr="00D92E20">
              <w:rPr>
                <w:rFonts w:cs="Arial"/>
                <w:sz w:val="16"/>
                <w:szCs w:val="16"/>
              </w:rPr>
              <w:t>7,51</w:t>
            </w:r>
          </w:p>
        </w:tc>
        <w:tc>
          <w:tcPr>
            <w:tcW w:w="673" w:type="dxa"/>
            <w:tcBorders>
              <w:top w:val="nil"/>
              <w:left w:val="nil"/>
              <w:bottom w:val="nil"/>
              <w:right w:val="nil"/>
            </w:tcBorders>
            <w:shd w:val="clear" w:color="auto" w:fill="auto"/>
            <w:noWrap/>
            <w:vAlign w:val="center"/>
            <w:hideMark/>
          </w:tcPr>
          <w:p w14:paraId="6DBD292F" w14:textId="77777777" w:rsidR="00661E9C" w:rsidRPr="00D92E20" w:rsidRDefault="00661E9C" w:rsidP="00661E9C">
            <w:pPr>
              <w:spacing w:after="0" w:line="240" w:lineRule="auto"/>
              <w:jc w:val="right"/>
              <w:rPr>
                <w:rFonts w:cs="Arial"/>
                <w:sz w:val="16"/>
                <w:szCs w:val="16"/>
              </w:rPr>
            </w:pPr>
            <w:r w:rsidRPr="00D92E20">
              <w:rPr>
                <w:rFonts w:cs="Arial"/>
                <w:sz w:val="16"/>
                <w:szCs w:val="16"/>
              </w:rPr>
              <w:t>7,22</w:t>
            </w:r>
          </w:p>
        </w:tc>
        <w:tc>
          <w:tcPr>
            <w:tcW w:w="673" w:type="dxa"/>
            <w:tcBorders>
              <w:top w:val="nil"/>
              <w:left w:val="nil"/>
              <w:bottom w:val="nil"/>
              <w:right w:val="nil"/>
            </w:tcBorders>
            <w:shd w:val="clear" w:color="auto" w:fill="auto"/>
            <w:noWrap/>
            <w:vAlign w:val="center"/>
            <w:hideMark/>
          </w:tcPr>
          <w:p w14:paraId="0CE1F214" w14:textId="77777777" w:rsidR="00661E9C" w:rsidRPr="00D92E20" w:rsidRDefault="00661E9C" w:rsidP="00661E9C">
            <w:pPr>
              <w:spacing w:after="0" w:line="240" w:lineRule="auto"/>
              <w:jc w:val="right"/>
              <w:rPr>
                <w:rFonts w:cs="Arial"/>
                <w:sz w:val="16"/>
                <w:szCs w:val="16"/>
              </w:rPr>
            </w:pPr>
            <w:r w:rsidRPr="00D92E20">
              <w:rPr>
                <w:rFonts w:cs="Arial"/>
                <w:sz w:val="16"/>
                <w:szCs w:val="16"/>
              </w:rPr>
              <w:t>7,26</w:t>
            </w:r>
          </w:p>
        </w:tc>
        <w:tc>
          <w:tcPr>
            <w:tcW w:w="673" w:type="dxa"/>
            <w:tcBorders>
              <w:top w:val="nil"/>
              <w:left w:val="nil"/>
              <w:bottom w:val="nil"/>
              <w:right w:val="nil"/>
            </w:tcBorders>
            <w:shd w:val="clear" w:color="auto" w:fill="auto"/>
            <w:noWrap/>
            <w:vAlign w:val="center"/>
            <w:hideMark/>
          </w:tcPr>
          <w:p w14:paraId="5310A26F" w14:textId="77777777" w:rsidR="00661E9C" w:rsidRPr="00D92E20" w:rsidRDefault="00661E9C" w:rsidP="00661E9C">
            <w:pPr>
              <w:spacing w:after="0" w:line="240" w:lineRule="auto"/>
              <w:jc w:val="right"/>
              <w:rPr>
                <w:rFonts w:cs="Arial"/>
                <w:sz w:val="16"/>
                <w:szCs w:val="16"/>
              </w:rPr>
            </w:pPr>
            <w:r w:rsidRPr="00D92E20">
              <w:rPr>
                <w:rFonts w:cs="Arial"/>
                <w:sz w:val="16"/>
                <w:szCs w:val="16"/>
              </w:rPr>
              <w:t>7,33</w:t>
            </w:r>
          </w:p>
        </w:tc>
        <w:tc>
          <w:tcPr>
            <w:tcW w:w="673" w:type="dxa"/>
            <w:tcBorders>
              <w:top w:val="nil"/>
              <w:left w:val="nil"/>
              <w:bottom w:val="nil"/>
              <w:right w:val="nil"/>
            </w:tcBorders>
            <w:shd w:val="clear" w:color="auto" w:fill="auto"/>
            <w:noWrap/>
            <w:vAlign w:val="center"/>
            <w:hideMark/>
          </w:tcPr>
          <w:p w14:paraId="40346CDE" w14:textId="77777777" w:rsidR="00661E9C" w:rsidRPr="00D92E20" w:rsidRDefault="00661E9C" w:rsidP="00661E9C">
            <w:pPr>
              <w:spacing w:after="0" w:line="240" w:lineRule="auto"/>
              <w:jc w:val="right"/>
              <w:rPr>
                <w:rFonts w:cs="Arial"/>
                <w:sz w:val="16"/>
                <w:szCs w:val="16"/>
              </w:rPr>
            </w:pPr>
            <w:r w:rsidRPr="00D92E20">
              <w:rPr>
                <w:rFonts w:cs="Arial"/>
                <w:sz w:val="16"/>
                <w:szCs w:val="16"/>
              </w:rPr>
              <w:t>7,61</w:t>
            </w:r>
          </w:p>
        </w:tc>
        <w:tc>
          <w:tcPr>
            <w:tcW w:w="673" w:type="dxa"/>
            <w:tcBorders>
              <w:top w:val="nil"/>
              <w:left w:val="nil"/>
              <w:bottom w:val="nil"/>
              <w:right w:val="nil"/>
            </w:tcBorders>
            <w:shd w:val="clear" w:color="auto" w:fill="auto"/>
            <w:noWrap/>
            <w:vAlign w:val="center"/>
            <w:hideMark/>
          </w:tcPr>
          <w:p w14:paraId="364153BF" w14:textId="77777777" w:rsidR="00661E9C" w:rsidRPr="00D92E20" w:rsidRDefault="00661E9C" w:rsidP="00661E9C">
            <w:pPr>
              <w:spacing w:after="0" w:line="240" w:lineRule="auto"/>
              <w:jc w:val="right"/>
              <w:rPr>
                <w:rFonts w:cs="Arial"/>
                <w:sz w:val="16"/>
                <w:szCs w:val="16"/>
              </w:rPr>
            </w:pPr>
            <w:r w:rsidRPr="00D92E20">
              <w:rPr>
                <w:rFonts w:cs="Arial"/>
                <w:sz w:val="16"/>
                <w:szCs w:val="16"/>
              </w:rPr>
              <w:t>8,11</w:t>
            </w:r>
          </w:p>
        </w:tc>
        <w:tc>
          <w:tcPr>
            <w:tcW w:w="673" w:type="dxa"/>
            <w:tcBorders>
              <w:top w:val="nil"/>
              <w:left w:val="nil"/>
              <w:bottom w:val="nil"/>
              <w:right w:val="nil"/>
            </w:tcBorders>
            <w:shd w:val="clear" w:color="auto" w:fill="auto"/>
            <w:noWrap/>
            <w:vAlign w:val="center"/>
            <w:hideMark/>
          </w:tcPr>
          <w:p w14:paraId="03368ABA"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8,62</w:t>
            </w:r>
          </w:p>
        </w:tc>
        <w:tc>
          <w:tcPr>
            <w:tcW w:w="673" w:type="dxa"/>
            <w:tcBorders>
              <w:top w:val="nil"/>
              <w:left w:val="nil"/>
              <w:bottom w:val="nil"/>
              <w:right w:val="nil"/>
            </w:tcBorders>
            <w:shd w:val="clear" w:color="auto" w:fill="auto"/>
            <w:noWrap/>
            <w:vAlign w:val="center"/>
            <w:hideMark/>
          </w:tcPr>
          <w:p w14:paraId="5E74A7DB"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9,40</w:t>
            </w:r>
          </w:p>
        </w:tc>
        <w:tc>
          <w:tcPr>
            <w:tcW w:w="673" w:type="dxa"/>
            <w:tcBorders>
              <w:top w:val="nil"/>
              <w:left w:val="nil"/>
              <w:bottom w:val="nil"/>
              <w:right w:val="nil"/>
            </w:tcBorders>
            <w:shd w:val="clear" w:color="auto" w:fill="auto"/>
            <w:noWrap/>
            <w:vAlign w:val="center"/>
            <w:hideMark/>
          </w:tcPr>
          <w:p w14:paraId="3C5875CC"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10,10</w:t>
            </w:r>
          </w:p>
        </w:tc>
        <w:tc>
          <w:tcPr>
            <w:tcW w:w="673" w:type="dxa"/>
            <w:tcBorders>
              <w:top w:val="nil"/>
              <w:left w:val="nil"/>
              <w:bottom w:val="nil"/>
              <w:right w:val="nil"/>
            </w:tcBorders>
            <w:shd w:val="clear" w:color="auto" w:fill="auto"/>
            <w:noWrap/>
            <w:vAlign w:val="center"/>
            <w:hideMark/>
          </w:tcPr>
          <w:p w14:paraId="28ABD98B"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10,58</w:t>
            </w:r>
          </w:p>
        </w:tc>
        <w:tc>
          <w:tcPr>
            <w:tcW w:w="675" w:type="dxa"/>
            <w:vAlign w:val="center"/>
          </w:tcPr>
          <w:p w14:paraId="63C57971" w14:textId="77777777" w:rsidR="00661E9C" w:rsidRPr="00D92E20" w:rsidRDefault="00661E9C" w:rsidP="00661E9C">
            <w:pPr>
              <w:spacing w:after="0" w:line="240" w:lineRule="auto"/>
              <w:jc w:val="right"/>
            </w:pPr>
            <w:r>
              <w:rPr>
                <w:rFonts w:cs="Arial"/>
                <w:color w:val="000000"/>
                <w:sz w:val="16"/>
                <w:szCs w:val="16"/>
              </w:rPr>
              <w:t>11,32</w:t>
            </w:r>
          </w:p>
        </w:tc>
      </w:tr>
      <w:tr w:rsidR="00661E9C" w:rsidRPr="00D92E20" w14:paraId="6B8CC4AE" w14:textId="77777777" w:rsidTr="00661E9C">
        <w:trPr>
          <w:trHeight w:val="480"/>
        </w:trPr>
        <w:tc>
          <w:tcPr>
            <w:tcW w:w="2333" w:type="dxa"/>
            <w:tcBorders>
              <w:top w:val="nil"/>
              <w:left w:val="nil"/>
              <w:bottom w:val="nil"/>
              <w:right w:val="single" w:sz="4" w:space="0" w:color="auto"/>
            </w:tcBorders>
            <w:shd w:val="clear" w:color="auto" w:fill="auto"/>
            <w:vAlign w:val="center"/>
            <w:hideMark/>
          </w:tcPr>
          <w:p w14:paraId="4CBA8FD4" w14:textId="77777777" w:rsidR="00661E9C" w:rsidRPr="00D92E20" w:rsidRDefault="00661E9C" w:rsidP="00661E9C">
            <w:pPr>
              <w:spacing w:after="0" w:line="240" w:lineRule="auto"/>
              <w:ind w:firstLineChars="100" w:firstLine="160"/>
              <w:rPr>
                <w:rFonts w:cs="Arial"/>
                <w:sz w:val="16"/>
                <w:szCs w:val="16"/>
              </w:rPr>
            </w:pPr>
            <w:r w:rsidRPr="00D92E20">
              <w:rPr>
                <w:rFonts w:cs="Arial"/>
                <w:sz w:val="16"/>
                <w:szCs w:val="16"/>
              </w:rPr>
              <w:t xml:space="preserve">vyrovnávací příspěvek </w:t>
            </w:r>
            <w:r w:rsidRPr="00D92E20">
              <w:rPr>
                <w:rFonts w:cs="Arial"/>
                <w:sz w:val="16"/>
                <w:szCs w:val="16"/>
              </w:rPr>
              <w:br/>
              <w:t xml:space="preserve">    v těhotenství a mateřství</w:t>
            </w:r>
          </w:p>
        </w:tc>
        <w:tc>
          <w:tcPr>
            <w:tcW w:w="673" w:type="dxa"/>
            <w:tcBorders>
              <w:top w:val="nil"/>
              <w:left w:val="nil"/>
              <w:bottom w:val="nil"/>
              <w:right w:val="nil"/>
            </w:tcBorders>
            <w:shd w:val="clear" w:color="auto" w:fill="auto"/>
            <w:noWrap/>
            <w:vAlign w:val="center"/>
            <w:hideMark/>
          </w:tcPr>
          <w:p w14:paraId="2C2CA184" w14:textId="77777777" w:rsidR="00661E9C" w:rsidRPr="00D92E20" w:rsidRDefault="00661E9C" w:rsidP="00661E9C">
            <w:pPr>
              <w:spacing w:after="0" w:line="240" w:lineRule="auto"/>
              <w:jc w:val="right"/>
              <w:rPr>
                <w:rFonts w:cs="Arial"/>
                <w:sz w:val="16"/>
                <w:szCs w:val="16"/>
              </w:rPr>
            </w:pPr>
            <w:r w:rsidRPr="00D92E20">
              <w:rPr>
                <w:rFonts w:cs="Arial"/>
                <w:sz w:val="16"/>
                <w:szCs w:val="16"/>
              </w:rPr>
              <w:t>0,006</w:t>
            </w:r>
          </w:p>
        </w:tc>
        <w:tc>
          <w:tcPr>
            <w:tcW w:w="673" w:type="dxa"/>
            <w:tcBorders>
              <w:top w:val="nil"/>
              <w:left w:val="nil"/>
              <w:bottom w:val="nil"/>
              <w:right w:val="nil"/>
            </w:tcBorders>
            <w:shd w:val="clear" w:color="auto" w:fill="auto"/>
            <w:noWrap/>
            <w:vAlign w:val="center"/>
            <w:hideMark/>
          </w:tcPr>
          <w:p w14:paraId="473D1534" w14:textId="77777777" w:rsidR="00661E9C" w:rsidRPr="00D92E20" w:rsidRDefault="00661E9C" w:rsidP="00661E9C">
            <w:pPr>
              <w:spacing w:after="0" w:line="240" w:lineRule="auto"/>
              <w:jc w:val="right"/>
              <w:rPr>
                <w:rFonts w:cs="Arial"/>
                <w:sz w:val="16"/>
                <w:szCs w:val="16"/>
              </w:rPr>
            </w:pPr>
            <w:r w:rsidRPr="00D92E20">
              <w:rPr>
                <w:rFonts w:cs="Arial"/>
                <w:sz w:val="16"/>
                <w:szCs w:val="16"/>
              </w:rPr>
              <w:t>0,007</w:t>
            </w:r>
          </w:p>
        </w:tc>
        <w:tc>
          <w:tcPr>
            <w:tcW w:w="673" w:type="dxa"/>
            <w:tcBorders>
              <w:top w:val="nil"/>
              <w:left w:val="nil"/>
              <w:bottom w:val="nil"/>
              <w:right w:val="nil"/>
            </w:tcBorders>
            <w:shd w:val="clear" w:color="auto" w:fill="auto"/>
            <w:noWrap/>
            <w:vAlign w:val="center"/>
            <w:hideMark/>
          </w:tcPr>
          <w:p w14:paraId="0D6333FA" w14:textId="77777777" w:rsidR="00661E9C" w:rsidRPr="00D92E20" w:rsidRDefault="00661E9C" w:rsidP="00661E9C">
            <w:pPr>
              <w:spacing w:after="0" w:line="240" w:lineRule="auto"/>
              <w:jc w:val="right"/>
              <w:rPr>
                <w:rFonts w:cs="Arial"/>
                <w:sz w:val="16"/>
                <w:szCs w:val="16"/>
              </w:rPr>
            </w:pPr>
            <w:r w:rsidRPr="00D92E20">
              <w:rPr>
                <w:rFonts w:cs="Arial"/>
                <w:sz w:val="16"/>
                <w:szCs w:val="16"/>
              </w:rPr>
              <w:t>0,007</w:t>
            </w:r>
          </w:p>
        </w:tc>
        <w:tc>
          <w:tcPr>
            <w:tcW w:w="673" w:type="dxa"/>
            <w:tcBorders>
              <w:top w:val="nil"/>
              <w:left w:val="nil"/>
              <w:bottom w:val="nil"/>
              <w:right w:val="nil"/>
            </w:tcBorders>
            <w:shd w:val="clear" w:color="auto" w:fill="auto"/>
            <w:noWrap/>
            <w:vAlign w:val="center"/>
            <w:hideMark/>
          </w:tcPr>
          <w:p w14:paraId="31CDA742" w14:textId="77777777" w:rsidR="00661E9C" w:rsidRPr="00D92E20" w:rsidRDefault="00661E9C" w:rsidP="00661E9C">
            <w:pPr>
              <w:spacing w:after="0" w:line="240" w:lineRule="auto"/>
              <w:jc w:val="right"/>
              <w:rPr>
                <w:rFonts w:cs="Arial"/>
                <w:sz w:val="16"/>
                <w:szCs w:val="16"/>
              </w:rPr>
            </w:pPr>
            <w:r w:rsidRPr="00D92E20">
              <w:rPr>
                <w:rFonts w:cs="Arial"/>
                <w:sz w:val="16"/>
                <w:szCs w:val="16"/>
              </w:rPr>
              <w:t>0,009</w:t>
            </w:r>
          </w:p>
        </w:tc>
        <w:tc>
          <w:tcPr>
            <w:tcW w:w="673" w:type="dxa"/>
            <w:tcBorders>
              <w:top w:val="nil"/>
              <w:left w:val="nil"/>
              <w:bottom w:val="nil"/>
              <w:right w:val="nil"/>
            </w:tcBorders>
            <w:shd w:val="clear" w:color="auto" w:fill="auto"/>
            <w:noWrap/>
            <w:vAlign w:val="center"/>
            <w:hideMark/>
          </w:tcPr>
          <w:p w14:paraId="3996539D" w14:textId="77777777" w:rsidR="00661E9C" w:rsidRPr="00D92E20" w:rsidRDefault="00661E9C" w:rsidP="00661E9C">
            <w:pPr>
              <w:spacing w:after="0" w:line="240" w:lineRule="auto"/>
              <w:jc w:val="right"/>
              <w:rPr>
                <w:rFonts w:cs="Arial"/>
                <w:sz w:val="16"/>
                <w:szCs w:val="16"/>
              </w:rPr>
            </w:pPr>
            <w:r w:rsidRPr="00D92E20">
              <w:rPr>
                <w:rFonts w:cs="Arial"/>
                <w:sz w:val="16"/>
                <w:szCs w:val="16"/>
              </w:rPr>
              <w:t>0,009</w:t>
            </w:r>
          </w:p>
        </w:tc>
        <w:tc>
          <w:tcPr>
            <w:tcW w:w="673" w:type="dxa"/>
            <w:tcBorders>
              <w:top w:val="nil"/>
              <w:left w:val="nil"/>
              <w:bottom w:val="nil"/>
              <w:right w:val="nil"/>
            </w:tcBorders>
            <w:shd w:val="clear" w:color="auto" w:fill="auto"/>
            <w:noWrap/>
            <w:vAlign w:val="center"/>
            <w:hideMark/>
          </w:tcPr>
          <w:p w14:paraId="57127032" w14:textId="77777777" w:rsidR="00661E9C" w:rsidRPr="00D92E20" w:rsidRDefault="00661E9C" w:rsidP="00661E9C">
            <w:pPr>
              <w:spacing w:after="0" w:line="240" w:lineRule="auto"/>
              <w:jc w:val="right"/>
              <w:rPr>
                <w:rFonts w:cs="Arial"/>
                <w:sz w:val="16"/>
                <w:szCs w:val="16"/>
              </w:rPr>
            </w:pPr>
            <w:r w:rsidRPr="00D92E20">
              <w:rPr>
                <w:rFonts w:cs="Arial"/>
                <w:sz w:val="16"/>
                <w:szCs w:val="16"/>
              </w:rPr>
              <w:t>0,009</w:t>
            </w:r>
          </w:p>
        </w:tc>
        <w:tc>
          <w:tcPr>
            <w:tcW w:w="673" w:type="dxa"/>
            <w:tcBorders>
              <w:top w:val="nil"/>
              <w:left w:val="nil"/>
              <w:bottom w:val="nil"/>
              <w:right w:val="nil"/>
            </w:tcBorders>
            <w:shd w:val="clear" w:color="auto" w:fill="auto"/>
            <w:noWrap/>
            <w:vAlign w:val="center"/>
            <w:hideMark/>
          </w:tcPr>
          <w:p w14:paraId="796716E9"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0,008</w:t>
            </w:r>
          </w:p>
        </w:tc>
        <w:tc>
          <w:tcPr>
            <w:tcW w:w="673" w:type="dxa"/>
            <w:tcBorders>
              <w:top w:val="nil"/>
              <w:left w:val="nil"/>
              <w:bottom w:val="nil"/>
              <w:right w:val="nil"/>
            </w:tcBorders>
            <w:shd w:val="clear" w:color="auto" w:fill="auto"/>
            <w:noWrap/>
            <w:vAlign w:val="center"/>
            <w:hideMark/>
          </w:tcPr>
          <w:p w14:paraId="02E6E64E"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0,009</w:t>
            </w:r>
          </w:p>
        </w:tc>
        <w:tc>
          <w:tcPr>
            <w:tcW w:w="673" w:type="dxa"/>
            <w:tcBorders>
              <w:top w:val="nil"/>
              <w:left w:val="nil"/>
              <w:bottom w:val="nil"/>
              <w:right w:val="nil"/>
            </w:tcBorders>
            <w:shd w:val="clear" w:color="auto" w:fill="auto"/>
            <w:noWrap/>
            <w:vAlign w:val="center"/>
            <w:hideMark/>
          </w:tcPr>
          <w:p w14:paraId="6F1DE2F9"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0,009</w:t>
            </w:r>
          </w:p>
        </w:tc>
        <w:tc>
          <w:tcPr>
            <w:tcW w:w="673" w:type="dxa"/>
            <w:tcBorders>
              <w:top w:val="nil"/>
              <w:left w:val="nil"/>
              <w:bottom w:val="nil"/>
              <w:right w:val="nil"/>
            </w:tcBorders>
            <w:shd w:val="clear" w:color="auto" w:fill="auto"/>
            <w:noWrap/>
            <w:vAlign w:val="center"/>
            <w:hideMark/>
          </w:tcPr>
          <w:p w14:paraId="689963D7"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0,007</w:t>
            </w:r>
          </w:p>
        </w:tc>
        <w:tc>
          <w:tcPr>
            <w:tcW w:w="675" w:type="dxa"/>
            <w:vAlign w:val="center"/>
          </w:tcPr>
          <w:p w14:paraId="5F9829E9" w14:textId="77777777" w:rsidR="00661E9C" w:rsidRPr="00D92E20" w:rsidRDefault="00661E9C" w:rsidP="00661E9C">
            <w:pPr>
              <w:spacing w:after="0" w:line="240" w:lineRule="auto"/>
              <w:jc w:val="right"/>
            </w:pPr>
            <w:r>
              <w:rPr>
                <w:rFonts w:cs="Arial"/>
                <w:color w:val="000000"/>
                <w:sz w:val="16"/>
                <w:szCs w:val="16"/>
              </w:rPr>
              <w:t>0,006</w:t>
            </w:r>
          </w:p>
        </w:tc>
      </w:tr>
      <w:tr w:rsidR="00661E9C" w:rsidRPr="00D92E20" w14:paraId="79DD80C8" w14:textId="77777777" w:rsidTr="00661E9C">
        <w:trPr>
          <w:trHeight w:val="300"/>
        </w:trPr>
        <w:tc>
          <w:tcPr>
            <w:tcW w:w="2333" w:type="dxa"/>
            <w:tcBorders>
              <w:top w:val="nil"/>
              <w:left w:val="nil"/>
              <w:bottom w:val="nil"/>
              <w:right w:val="single" w:sz="4" w:space="0" w:color="auto"/>
            </w:tcBorders>
            <w:shd w:val="clear" w:color="auto" w:fill="auto"/>
            <w:vAlign w:val="center"/>
            <w:hideMark/>
          </w:tcPr>
          <w:p w14:paraId="12623CC7" w14:textId="77777777" w:rsidR="00661E9C" w:rsidRPr="00D92E20" w:rsidRDefault="00661E9C" w:rsidP="00661E9C">
            <w:pPr>
              <w:spacing w:after="0" w:line="240" w:lineRule="auto"/>
              <w:ind w:firstLineChars="100" w:firstLine="160"/>
              <w:rPr>
                <w:rFonts w:cs="Arial"/>
                <w:sz w:val="16"/>
                <w:szCs w:val="16"/>
              </w:rPr>
            </w:pPr>
            <w:r w:rsidRPr="00D92E20">
              <w:rPr>
                <w:rFonts w:cs="Arial"/>
                <w:sz w:val="16"/>
                <w:szCs w:val="16"/>
              </w:rPr>
              <w:t>otcovská poporodní péče</w:t>
            </w:r>
            <w:r w:rsidRPr="00D92E20">
              <w:rPr>
                <w:rFonts w:cs="Arial"/>
                <w:sz w:val="16"/>
                <w:szCs w:val="16"/>
                <w:vertAlign w:val="superscript"/>
              </w:rPr>
              <w:t>1)</w:t>
            </w:r>
          </w:p>
        </w:tc>
        <w:tc>
          <w:tcPr>
            <w:tcW w:w="673" w:type="dxa"/>
            <w:tcBorders>
              <w:top w:val="nil"/>
              <w:left w:val="nil"/>
              <w:bottom w:val="nil"/>
              <w:right w:val="nil"/>
            </w:tcBorders>
            <w:shd w:val="clear" w:color="auto" w:fill="auto"/>
            <w:noWrap/>
            <w:vAlign w:val="bottom"/>
            <w:hideMark/>
          </w:tcPr>
          <w:p w14:paraId="5DC2519E"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02C20480"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68335DC4"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15A11C0C"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60BDBBCB"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69DA46DE"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75DD909B"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center"/>
            <w:hideMark/>
          </w:tcPr>
          <w:p w14:paraId="500181F8"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0,221</w:t>
            </w:r>
          </w:p>
        </w:tc>
        <w:tc>
          <w:tcPr>
            <w:tcW w:w="673" w:type="dxa"/>
            <w:tcBorders>
              <w:top w:val="nil"/>
              <w:left w:val="nil"/>
              <w:bottom w:val="nil"/>
              <w:right w:val="nil"/>
            </w:tcBorders>
            <w:shd w:val="clear" w:color="auto" w:fill="auto"/>
            <w:noWrap/>
            <w:vAlign w:val="center"/>
            <w:hideMark/>
          </w:tcPr>
          <w:p w14:paraId="64E3E414"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0,273</w:t>
            </w:r>
          </w:p>
        </w:tc>
        <w:tc>
          <w:tcPr>
            <w:tcW w:w="673" w:type="dxa"/>
            <w:tcBorders>
              <w:top w:val="nil"/>
              <w:left w:val="nil"/>
              <w:bottom w:val="nil"/>
              <w:right w:val="nil"/>
            </w:tcBorders>
            <w:shd w:val="clear" w:color="auto" w:fill="auto"/>
            <w:noWrap/>
            <w:vAlign w:val="center"/>
            <w:hideMark/>
          </w:tcPr>
          <w:p w14:paraId="15B1BD11"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0,269</w:t>
            </w:r>
          </w:p>
        </w:tc>
        <w:tc>
          <w:tcPr>
            <w:tcW w:w="675" w:type="dxa"/>
            <w:vAlign w:val="center"/>
          </w:tcPr>
          <w:p w14:paraId="5EAEFAEF" w14:textId="77777777" w:rsidR="00661E9C" w:rsidRPr="00D92E20" w:rsidRDefault="00661E9C" w:rsidP="00661E9C">
            <w:pPr>
              <w:spacing w:after="0" w:line="240" w:lineRule="auto"/>
              <w:jc w:val="right"/>
            </w:pPr>
            <w:r>
              <w:rPr>
                <w:rFonts w:cs="Arial"/>
                <w:color w:val="000000"/>
                <w:sz w:val="16"/>
                <w:szCs w:val="16"/>
              </w:rPr>
              <w:t>0,291</w:t>
            </w:r>
          </w:p>
        </w:tc>
      </w:tr>
      <w:tr w:rsidR="00661E9C" w:rsidRPr="00D92E20" w14:paraId="4AAA453E" w14:textId="77777777" w:rsidTr="00661E9C">
        <w:trPr>
          <w:trHeight w:val="300"/>
        </w:trPr>
        <w:tc>
          <w:tcPr>
            <w:tcW w:w="2333" w:type="dxa"/>
            <w:tcBorders>
              <w:top w:val="nil"/>
              <w:left w:val="nil"/>
              <w:bottom w:val="nil"/>
              <w:right w:val="single" w:sz="4" w:space="0" w:color="auto"/>
            </w:tcBorders>
            <w:shd w:val="clear" w:color="auto" w:fill="auto"/>
            <w:vAlign w:val="center"/>
            <w:hideMark/>
          </w:tcPr>
          <w:p w14:paraId="41A27051" w14:textId="77777777" w:rsidR="00661E9C" w:rsidRPr="00D92E20" w:rsidRDefault="00661E9C" w:rsidP="00661E9C">
            <w:pPr>
              <w:spacing w:after="0" w:line="240" w:lineRule="auto"/>
              <w:ind w:firstLineChars="100" w:firstLine="160"/>
              <w:rPr>
                <w:rFonts w:cs="Arial"/>
                <w:sz w:val="16"/>
                <w:szCs w:val="16"/>
              </w:rPr>
            </w:pPr>
            <w:r w:rsidRPr="00D92E20">
              <w:rPr>
                <w:rFonts w:cs="Arial"/>
                <w:sz w:val="16"/>
                <w:szCs w:val="16"/>
              </w:rPr>
              <w:t>dlouhodobé ošetřovné</w:t>
            </w:r>
            <w:r w:rsidRPr="00D92E20">
              <w:rPr>
                <w:rFonts w:cs="Arial"/>
                <w:sz w:val="16"/>
                <w:szCs w:val="16"/>
                <w:vertAlign w:val="superscript"/>
              </w:rPr>
              <w:t>2)</w:t>
            </w:r>
          </w:p>
        </w:tc>
        <w:tc>
          <w:tcPr>
            <w:tcW w:w="673" w:type="dxa"/>
            <w:tcBorders>
              <w:top w:val="nil"/>
              <w:left w:val="nil"/>
              <w:bottom w:val="nil"/>
              <w:right w:val="nil"/>
            </w:tcBorders>
            <w:shd w:val="clear" w:color="auto" w:fill="auto"/>
            <w:noWrap/>
            <w:vAlign w:val="bottom"/>
            <w:hideMark/>
          </w:tcPr>
          <w:p w14:paraId="0FBBB06A"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2E6B95F2"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70642AAB"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4DC5E672"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3C2674DD"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2A5E06C5"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74368E27"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center"/>
            <w:hideMark/>
          </w:tcPr>
          <w:p w14:paraId="6BF85F28"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0,032</w:t>
            </w:r>
          </w:p>
        </w:tc>
        <w:tc>
          <w:tcPr>
            <w:tcW w:w="673" w:type="dxa"/>
            <w:tcBorders>
              <w:top w:val="nil"/>
              <w:left w:val="nil"/>
              <w:bottom w:val="nil"/>
              <w:right w:val="nil"/>
            </w:tcBorders>
            <w:shd w:val="clear" w:color="auto" w:fill="auto"/>
            <w:noWrap/>
            <w:vAlign w:val="center"/>
            <w:hideMark/>
          </w:tcPr>
          <w:p w14:paraId="32677E70"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0,110</w:t>
            </w:r>
          </w:p>
        </w:tc>
        <w:tc>
          <w:tcPr>
            <w:tcW w:w="673" w:type="dxa"/>
            <w:tcBorders>
              <w:top w:val="nil"/>
              <w:left w:val="nil"/>
              <w:bottom w:val="nil"/>
              <w:right w:val="nil"/>
            </w:tcBorders>
            <w:shd w:val="clear" w:color="auto" w:fill="auto"/>
            <w:noWrap/>
            <w:vAlign w:val="center"/>
            <w:hideMark/>
          </w:tcPr>
          <w:p w14:paraId="476A60BC"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0,138</w:t>
            </w:r>
          </w:p>
        </w:tc>
        <w:tc>
          <w:tcPr>
            <w:tcW w:w="675" w:type="dxa"/>
            <w:vAlign w:val="center"/>
          </w:tcPr>
          <w:p w14:paraId="570DE22A" w14:textId="77777777" w:rsidR="00661E9C" w:rsidRPr="00D92E20" w:rsidRDefault="00661E9C" w:rsidP="00661E9C">
            <w:pPr>
              <w:spacing w:after="0" w:line="240" w:lineRule="auto"/>
              <w:jc w:val="right"/>
            </w:pPr>
            <w:r>
              <w:rPr>
                <w:rFonts w:cs="Arial"/>
                <w:color w:val="000000"/>
                <w:sz w:val="16"/>
                <w:szCs w:val="16"/>
              </w:rPr>
              <w:t>0,157</w:t>
            </w:r>
          </w:p>
        </w:tc>
      </w:tr>
    </w:tbl>
    <w:p w14:paraId="012F2927" w14:textId="77777777" w:rsidR="007A1E96" w:rsidRDefault="007A1E96" w:rsidP="007A1E96">
      <w:pPr>
        <w:spacing w:after="0"/>
        <w:rPr>
          <w:rFonts w:cs="Arial"/>
          <w:color w:val="000000"/>
          <w:sz w:val="16"/>
          <w:szCs w:val="16"/>
          <w:vertAlign w:val="superscript"/>
        </w:rPr>
      </w:pPr>
    </w:p>
    <w:p w14:paraId="094A778A" w14:textId="77777777" w:rsidR="007A1E96" w:rsidRPr="00D92E20" w:rsidRDefault="007A1E96" w:rsidP="007A1E96">
      <w:pPr>
        <w:spacing w:after="0"/>
        <w:rPr>
          <w:rFonts w:cs="Arial"/>
          <w:szCs w:val="20"/>
        </w:rPr>
      </w:pPr>
      <w:r w:rsidRPr="00D92E20">
        <w:rPr>
          <w:rFonts w:cs="Arial"/>
          <w:color w:val="000000"/>
          <w:sz w:val="16"/>
          <w:szCs w:val="16"/>
          <w:vertAlign w:val="superscript"/>
        </w:rPr>
        <w:t xml:space="preserve">1) </w:t>
      </w:r>
      <w:r w:rsidRPr="00D92E20">
        <w:rPr>
          <w:rFonts w:cs="Arial"/>
          <w:color w:val="000000"/>
          <w:sz w:val="16"/>
          <w:szCs w:val="16"/>
        </w:rPr>
        <w:t xml:space="preserve">Zavedení dávky otcovské poporodní péče, tzv. „otcovská“ – účinnost od 1. února 2018. </w:t>
      </w:r>
      <w:r w:rsidRPr="00D92E20">
        <w:rPr>
          <w:rFonts w:cs="Arial"/>
          <w:color w:val="000000"/>
          <w:sz w:val="16"/>
          <w:szCs w:val="16"/>
        </w:rPr>
        <w:br/>
      </w:r>
      <w:r w:rsidRPr="00D92E20">
        <w:rPr>
          <w:rFonts w:cs="Arial"/>
          <w:color w:val="000000"/>
          <w:sz w:val="16"/>
          <w:szCs w:val="16"/>
          <w:vertAlign w:val="superscript"/>
        </w:rPr>
        <w:t>2)</w:t>
      </w:r>
      <w:r w:rsidRPr="00D92E20">
        <w:rPr>
          <w:rFonts w:cs="Arial"/>
          <w:color w:val="000000"/>
          <w:sz w:val="16"/>
          <w:szCs w:val="16"/>
        </w:rPr>
        <w:t xml:space="preserve"> Zavedení dávky dlouhodobé ošetřovné – účinnost od 1. června 2018.</w:t>
      </w:r>
    </w:p>
    <w:p w14:paraId="08D8AFB8" w14:textId="77777777" w:rsidR="007A1E96" w:rsidRPr="00D92E20" w:rsidRDefault="007A1E96" w:rsidP="007A1E96">
      <w:pPr>
        <w:spacing w:after="120"/>
        <w:jc w:val="both"/>
      </w:pPr>
      <w:r w:rsidRPr="00D92E20">
        <w:rPr>
          <w:rFonts w:cs="Arial"/>
          <w:sz w:val="16"/>
          <w:szCs w:val="16"/>
        </w:rPr>
        <w:t>– pomlčka značí, že se jev nevyskytoval</w:t>
      </w:r>
    </w:p>
    <w:p w14:paraId="7BD9E8DD" w14:textId="77777777" w:rsidR="007A1E96" w:rsidRPr="00D92E20" w:rsidRDefault="007A1E96" w:rsidP="007A1E96">
      <w:pPr>
        <w:spacing w:before="120" w:after="120"/>
        <w:rPr>
          <w:sz w:val="16"/>
        </w:rPr>
      </w:pPr>
      <w:r w:rsidRPr="00D92E20">
        <w:rPr>
          <w:sz w:val="16"/>
        </w:rPr>
        <w:t>Zdroj: ČSSZ</w:t>
      </w:r>
    </w:p>
    <w:p w14:paraId="71C765A0" w14:textId="30B213D5" w:rsidR="007A1E96" w:rsidRPr="00591005" w:rsidRDefault="007A1E96" w:rsidP="007A1E96">
      <w:pPr>
        <w:spacing w:before="120" w:after="120"/>
        <w:jc w:val="both"/>
      </w:pPr>
      <w:r w:rsidRPr="00591005">
        <w:t>K </w:t>
      </w:r>
      <w:r w:rsidR="006C0527">
        <w:t>podstatnému</w:t>
      </w:r>
      <w:r w:rsidR="006C0527" w:rsidRPr="00591005">
        <w:t xml:space="preserve"> </w:t>
      </w:r>
      <w:r w:rsidRPr="00591005">
        <w:t>zvýšení však došlo i v </w:t>
      </w:r>
      <w:r>
        <w:t>roce</w:t>
      </w:r>
      <w:r w:rsidRPr="00591005">
        <w:t xml:space="preserve"> 2018. V roce 2017 </w:t>
      </w:r>
      <w:r w:rsidRPr="00591005">
        <w:rPr>
          <w:b/>
        </w:rPr>
        <w:t xml:space="preserve">bylo </w:t>
      </w:r>
      <w:r w:rsidRPr="00591005">
        <w:t xml:space="preserve">totiž </w:t>
      </w:r>
      <w:r w:rsidRPr="00591005">
        <w:rPr>
          <w:b/>
        </w:rPr>
        <w:t>přijato několik významných legislativních opatření</w:t>
      </w:r>
      <w:r w:rsidRPr="00591005">
        <w:t xml:space="preserve"> v oblasti nemocenského pojištění, </w:t>
      </w:r>
      <w:r w:rsidRPr="00591005">
        <w:rPr>
          <w:b/>
        </w:rPr>
        <w:t>s účinností od roku 2018</w:t>
      </w:r>
      <w:r w:rsidRPr="00591005">
        <w:t xml:space="preserve">, která zásadním způsobem ovlivnila jeho finanční bilanci. Jednalo se o </w:t>
      </w:r>
      <w:r w:rsidRPr="00591005">
        <w:rPr>
          <w:b/>
        </w:rPr>
        <w:t xml:space="preserve">zvýšení </w:t>
      </w:r>
      <w:r w:rsidR="00E07E2C">
        <w:rPr>
          <w:b/>
        </w:rPr>
        <w:t xml:space="preserve">procentní sazby </w:t>
      </w:r>
      <w:r w:rsidRPr="00591005">
        <w:rPr>
          <w:b/>
        </w:rPr>
        <w:t>nemocenského od 31. kalendářního dne DPN</w:t>
      </w:r>
      <w:r w:rsidRPr="00591005">
        <w:t xml:space="preserve"> nebo karantény z 60 % na 66 % redukovaného denního vyměřovacího základu a od</w:t>
      </w:r>
      <w:r w:rsidRPr="00591005">
        <w:rPr>
          <w:b/>
        </w:rPr>
        <w:t xml:space="preserve"> 61. kalendářního dne DPN</w:t>
      </w:r>
      <w:r w:rsidRPr="00591005">
        <w:t xml:space="preserve"> nebo karantény z 60 % na 72 % redukovaného denního vyměřovacího základu s účinností od</w:t>
      </w:r>
      <w:r>
        <w:t> </w:t>
      </w:r>
      <w:r w:rsidRPr="00591005">
        <w:t>1.</w:t>
      </w:r>
      <w:r>
        <w:t> </w:t>
      </w:r>
      <w:r w:rsidRPr="00591005">
        <w:t xml:space="preserve">ledna 2018. </w:t>
      </w:r>
      <w:r>
        <w:t xml:space="preserve">Kromě toho, ovšem s jen nepatrným vlivem na celkovou výši výdajů nemocenského pojištění, </w:t>
      </w:r>
      <w:r w:rsidRPr="00591005">
        <w:t>byl rozšířen okruh dávek poskytovaných z nemocenského pojištění o novou dávku otcovské poporodní péče (tzv. „otcovská“) s účinností od 1. února 2018 a dávku dlouhodobého ošetřovného s</w:t>
      </w:r>
      <w:r w:rsidR="00DC2A86">
        <w:t> </w:t>
      </w:r>
      <w:r w:rsidRPr="00591005">
        <w:t>účinností od 1. června 2018.</w:t>
      </w:r>
    </w:p>
    <w:p w14:paraId="09928C9C" w14:textId="4A756D73" w:rsidR="007A1E96" w:rsidRDefault="007A1E96" w:rsidP="007A1E96">
      <w:pPr>
        <w:spacing w:before="120" w:after="120"/>
        <w:jc w:val="both"/>
      </w:pPr>
      <w:r w:rsidRPr="00591005">
        <w:t>Pokud půjdeme ještě dále do historie, zjistíme, že k zásadním změnám v úrovni výdajů na nemocenské došlo v roce 2009 v souvislosti s</w:t>
      </w:r>
      <w:r>
        <w:t xml:space="preserve"> komplexní </w:t>
      </w:r>
      <w:r w:rsidRPr="00591005">
        <w:t>legislativní úpravou nemocenského pojištění. Nový zákon o</w:t>
      </w:r>
      <w:r>
        <w:t> </w:t>
      </w:r>
      <w:r w:rsidRPr="00591005">
        <w:t>nemocenském pojištění znatelně snížil výši dávek nemocenského pojištění</w:t>
      </w:r>
      <w:r w:rsidR="00256A43">
        <w:t>. Dále byly upraveny sazby pojistného, kdy zaměstnanci přestali odvádět pojistné na nemocenské pojištění, a zaměstnavatelům byla snížena sazba pojistného ze 4,4 % na 2,3 %. OSVČ byla snížena sazba pojistného na nemocenské pojištění ze 4,4 % na 1,4 %. Nejvýznamnější ovšem byla nová skutečnost,</w:t>
      </w:r>
      <w:r w:rsidRPr="00591005">
        <w:t xml:space="preserve"> že po dobu prvních 14 dnů pracovní neschopnosti je zaměstnanec zabezpečen náhradou mzdy nebo platu, kterou mu poskytuje zaměstnavatel (do 1. 7. 2019 s výjimkou prvních 3 pracovních dnů). Poskytování náhrady mzdy nebo platu zaměstnavatelem bylo přijetím úsporných opatření v letech 2011 až 2013 dočasně prodlouženo z prvních 14</w:t>
      </w:r>
      <w:r>
        <w:t> </w:t>
      </w:r>
      <w:r w:rsidRPr="00591005">
        <w:t xml:space="preserve">na 21 dnů pracovní neschopnosti. V důsledku těchto legislativních změn došlo k rapidnímu poklesu </w:t>
      </w:r>
      <w:r>
        <w:t>pracovní neschopnosti</w:t>
      </w:r>
      <w:r w:rsidRPr="00591005">
        <w:t xml:space="preserve">, což rovněž mělo vliv na pokles výdajů na nemocenské. Oproti </w:t>
      </w:r>
      <w:r w:rsidR="00661E9C">
        <w:t>roku</w:t>
      </w:r>
      <w:r w:rsidRPr="00591005">
        <w:t xml:space="preserve"> 2012 byly </w:t>
      </w:r>
      <w:r>
        <w:t xml:space="preserve">tudíž </w:t>
      </w:r>
      <w:r w:rsidRPr="00591005">
        <w:t>výdaje na nemocenské v</w:t>
      </w:r>
      <w:r w:rsidR="00661E9C">
        <w:t xml:space="preserve"> roce </w:t>
      </w:r>
      <w:r w:rsidRPr="00591005">
        <w:t>2021 téměř trojnásobné.</w:t>
      </w:r>
    </w:p>
    <w:p w14:paraId="5628FC49" w14:textId="77777777" w:rsidR="00661E9C" w:rsidRPr="00D92E20" w:rsidRDefault="00661E9C" w:rsidP="00661E9C">
      <w:pPr>
        <w:spacing w:before="120" w:after="120"/>
        <w:jc w:val="both"/>
        <w:rPr>
          <w:rFonts w:cs="Arial"/>
          <w:szCs w:val="16"/>
        </w:rPr>
      </w:pPr>
      <w:r>
        <w:rPr>
          <w:rFonts w:cs="Arial"/>
          <w:szCs w:val="16"/>
        </w:rPr>
        <w:lastRenderedPageBreak/>
        <w:t>J</w:t>
      </w:r>
      <w:r w:rsidRPr="00D92E20">
        <w:rPr>
          <w:rFonts w:cs="Arial"/>
          <w:szCs w:val="16"/>
        </w:rPr>
        <w:t xml:space="preserve">iž od roku 2008 </w:t>
      </w:r>
      <w:r w:rsidRPr="00CE53E0">
        <w:rPr>
          <w:rFonts w:cs="Arial"/>
          <w:szCs w:val="16"/>
        </w:rPr>
        <w:t>postupně klesal</w:t>
      </w:r>
      <w:r>
        <w:rPr>
          <w:rFonts w:cs="Arial"/>
          <w:szCs w:val="16"/>
        </w:rPr>
        <w:t>y</w:t>
      </w:r>
      <w:r w:rsidRPr="00CE53E0">
        <w:rPr>
          <w:rFonts w:cs="Arial"/>
          <w:szCs w:val="16"/>
        </w:rPr>
        <w:t xml:space="preserve"> </w:t>
      </w:r>
      <w:r>
        <w:rPr>
          <w:rFonts w:cs="Arial"/>
          <w:szCs w:val="16"/>
        </w:rPr>
        <w:t xml:space="preserve">výdaje na </w:t>
      </w:r>
      <w:r w:rsidRPr="00CE53E0">
        <w:rPr>
          <w:rFonts w:cs="Arial"/>
          <w:szCs w:val="16"/>
        </w:rPr>
        <w:t>dávk</w:t>
      </w:r>
      <w:r>
        <w:rPr>
          <w:rFonts w:cs="Arial"/>
          <w:szCs w:val="16"/>
        </w:rPr>
        <w:t>y</w:t>
      </w:r>
      <w:r w:rsidRPr="00CE53E0">
        <w:rPr>
          <w:rFonts w:cs="Arial"/>
          <w:szCs w:val="16"/>
        </w:rPr>
        <w:t xml:space="preserve"> nemocenského</w:t>
      </w:r>
      <w:r>
        <w:rPr>
          <w:rFonts w:cs="Arial"/>
          <w:szCs w:val="16"/>
        </w:rPr>
        <w:t xml:space="preserve">, a sice z 24,8 mld. Kč </w:t>
      </w:r>
      <w:r w:rsidRPr="00D92E20">
        <w:rPr>
          <w:rFonts w:cs="Arial"/>
          <w:szCs w:val="16"/>
        </w:rPr>
        <w:t xml:space="preserve">až </w:t>
      </w:r>
      <w:r>
        <w:rPr>
          <w:rFonts w:cs="Arial"/>
          <w:szCs w:val="16"/>
        </w:rPr>
        <w:t xml:space="preserve">na 11,5 mld. Kč v roce 2012. Tehdy dosáhly pouze </w:t>
      </w:r>
      <w:r w:rsidRPr="00C55296">
        <w:rPr>
          <w:rFonts w:cs="Arial"/>
          <w:szCs w:val="16"/>
        </w:rPr>
        <w:t>46 %</w:t>
      </w:r>
      <w:r w:rsidR="00C55296" w:rsidRPr="00C55296">
        <w:rPr>
          <w:rFonts w:cs="Arial"/>
          <w:szCs w:val="16"/>
        </w:rPr>
        <w:t xml:space="preserve"> částky </w:t>
      </w:r>
      <w:r w:rsidRPr="00C55296">
        <w:rPr>
          <w:rFonts w:cs="Arial"/>
          <w:szCs w:val="16"/>
        </w:rPr>
        <w:t>vyplacené v roce 2008.</w:t>
      </w:r>
      <w:r w:rsidRPr="00D92E20">
        <w:rPr>
          <w:rFonts w:cs="Arial"/>
          <w:szCs w:val="16"/>
        </w:rPr>
        <w:t xml:space="preserve"> </w:t>
      </w:r>
      <w:r w:rsidR="00495305">
        <w:rPr>
          <w:rFonts w:cs="Arial"/>
          <w:szCs w:val="16"/>
        </w:rPr>
        <w:t xml:space="preserve">Od roku 2012 však </w:t>
      </w:r>
      <w:r w:rsidR="00B25EC1">
        <w:rPr>
          <w:rFonts w:cs="Arial"/>
          <w:szCs w:val="16"/>
        </w:rPr>
        <w:t xml:space="preserve">výdaje na nemocenské </w:t>
      </w:r>
      <w:r w:rsidR="00495305">
        <w:rPr>
          <w:rFonts w:cs="Arial"/>
          <w:szCs w:val="16"/>
        </w:rPr>
        <w:t xml:space="preserve">kontinuálně rostou. </w:t>
      </w:r>
      <w:r w:rsidRPr="00D92E20">
        <w:rPr>
          <w:rFonts w:cs="Arial"/>
          <w:szCs w:val="16"/>
        </w:rPr>
        <w:t>Oproti</w:t>
      </w:r>
      <w:r w:rsidR="00C55296">
        <w:rPr>
          <w:rFonts w:cs="Arial"/>
          <w:szCs w:val="16"/>
        </w:rPr>
        <w:t xml:space="preserve"> roku 2019, tj. období před pandemií,</w:t>
      </w:r>
      <w:r w:rsidRPr="00D92E20">
        <w:rPr>
          <w:rFonts w:cs="Arial"/>
          <w:szCs w:val="16"/>
        </w:rPr>
        <w:t xml:space="preserve"> se </w:t>
      </w:r>
      <w:r w:rsidR="000D1D1E">
        <w:rPr>
          <w:rFonts w:cs="Arial"/>
          <w:szCs w:val="16"/>
        </w:rPr>
        <w:t xml:space="preserve">v roce 2021 </w:t>
      </w:r>
      <w:r w:rsidRPr="00D92E20">
        <w:rPr>
          <w:rFonts w:cs="Arial"/>
          <w:szCs w:val="16"/>
        </w:rPr>
        <w:t xml:space="preserve">zvýšily o </w:t>
      </w:r>
      <w:r w:rsidR="00C55296">
        <w:rPr>
          <w:rFonts w:cs="Arial"/>
          <w:szCs w:val="16"/>
        </w:rPr>
        <w:t>7 mld. Kč, tj</w:t>
      </w:r>
      <w:r w:rsidRPr="00D92E20">
        <w:rPr>
          <w:rFonts w:cs="Arial"/>
          <w:szCs w:val="16"/>
        </w:rPr>
        <w:t xml:space="preserve">. o </w:t>
      </w:r>
      <w:r w:rsidR="00C55296">
        <w:rPr>
          <w:rFonts w:cs="Arial"/>
          <w:szCs w:val="16"/>
        </w:rPr>
        <w:t>28</w:t>
      </w:r>
      <w:r w:rsidRPr="00D92E20">
        <w:rPr>
          <w:rFonts w:cs="Arial"/>
          <w:szCs w:val="16"/>
        </w:rPr>
        <w:t xml:space="preserve"> %.</w:t>
      </w:r>
    </w:p>
    <w:p w14:paraId="4E345D44" w14:textId="6189ACFC" w:rsidR="004229D4" w:rsidRDefault="00661E9C" w:rsidP="00CC38CC">
      <w:pPr>
        <w:spacing w:before="120" w:after="120"/>
        <w:jc w:val="both"/>
        <w:rPr>
          <w:rFonts w:cs="Arial"/>
          <w:b/>
          <w:bCs/>
          <w:color w:val="000000"/>
          <w:szCs w:val="20"/>
        </w:rPr>
      </w:pPr>
      <w:r w:rsidRPr="00D92E20">
        <w:t xml:space="preserve">Podrobnější informace k výdajům na nemocenské a dalším dávkám, které jsou poskytovány ze systému nemocenského pojištění, naleznete v analýze </w:t>
      </w:r>
      <w:hyperlink r:id="rId35" w:history="1">
        <w:r w:rsidR="00B25EC1" w:rsidRPr="00B25EC1">
          <w:rPr>
            <w:rStyle w:val="Hypertextovodkaz"/>
          </w:rPr>
          <w:t>Informace o vyplacených dávkách v resortu MPSV ČR</w:t>
        </w:r>
      </w:hyperlink>
      <w:r w:rsidRPr="00D92E20">
        <w:t>.</w:t>
      </w:r>
    </w:p>
    <w:p w14:paraId="49EAD15E" w14:textId="77777777" w:rsidR="00661E9C" w:rsidRDefault="00661E9C" w:rsidP="00661E9C">
      <w:pPr>
        <w:spacing w:after="0" w:line="240" w:lineRule="auto"/>
        <w:jc w:val="both"/>
        <w:rPr>
          <w:rFonts w:cs="Arial"/>
          <w:b/>
          <w:bCs/>
          <w:color w:val="000000"/>
          <w:szCs w:val="20"/>
        </w:rPr>
      </w:pPr>
      <w:r w:rsidRPr="00661E9C">
        <w:rPr>
          <w:rFonts w:cs="Arial"/>
          <w:b/>
          <w:bCs/>
          <w:color w:val="000000"/>
          <w:szCs w:val="20"/>
        </w:rPr>
        <w:t xml:space="preserve">Graf 4.1: Výdaje na nemocenské a průměrné </w:t>
      </w:r>
      <w:r w:rsidR="009B2EAF">
        <w:rPr>
          <w:rFonts w:cs="Arial"/>
          <w:b/>
          <w:bCs/>
          <w:color w:val="000000"/>
          <w:szCs w:val="20"/>
        </w:rPr>
        <w:t>výdaje na jednoho pojištěnce</w:t>
      </w:r>
      <w:r w:rsidRPr="00661E9C">
        <w:rPr>
          <w:rFonts w:cs="Arial"/>
          <w:b/>
          <w:bCs/>
          <w:color w:val="000000"/>
          <w:szCs w:val="20"/>
        </w:rPr>
        <w:t>, 2011–2021</w:t>
      </w:r>
    </w:p>
    <w:p w14:paraId="506EF0EB" w14:textId="77777777" w:rsidR="00661E9C" w:rsidRDefault="00661E9C" w:rsidP="00661E9C">
      <w:pPr>
        <w:spacing w:after="0" w:line="240" w:lineRule="auto"/>
        <w:jc w:val="both"/>
        <w:rPr>
          <w:rFonts w:cs="Arial"/>
          <w:b/>
          <w:bCs/>
          <w:color w:val="000000"/>
          <w:szCs w:val="20"/>
        </w:rPr>
      </w:pPr>
      <w:r>
        <w:rPr>
          <w:noProof/>
        </w:rPr>
        <w:drawing>
          <wp:inline distT="0" distB="0" distL="0" distR="0" wp14:anchorId="17606EC2" wp14:editId="6985D9D9">
            <wp:extent cx="6120130" cy="2916555"/>
            <wp:effectExtent l="0" t="0" r="13970" b="17145"/>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B1D452E" w14:textId="77777777" w:rsidR="00661E9C" w:rsidRPr="00D92E20" w:rsidRDefault="00661E9C" w:rsidP="00661E9C">
      <w:pPr>
        <w:spacing w:after="120"/>
        <w:jc w:val="both"/>
        <w:rPr>
          <w:sz w:val="16"/>
        </w:rPr>
      </w:pPr>
      <w:r w:rsidRPr="00D92E20">
        <w:rPr>
          <w:sz w:val="16"/>
        </w:rPr>
        <w:t>Zdroj: ČSSZ, ČSÚ</w:t>
      </w:r>
    </w:p>
    <w:p w14:paraId="3CF3DF6F" w14:textId="77777777" w:rsidR="007A1E96" w:rsidRPr="00BC6026" w:rsidRDefault="00C55296" w:rsidP="00841DC4">
      <w:pPr>
        <w:pStyle w:val="Nadpis4"/>
      </w:pPr>
      <w:bookmarkStart w:id="20" w:name="_Toc104792914"/>
      <w:r w:rsidRPr="00BC6026">
        <w:t>4.4.1 Vliv pandemie covid-19 na dávky nemocenského pojištění</w:t>
      </w:r>
      <w:bookmarkEnd w:id="20"/>
    </w:p>
    <w:p w14:paraId="72CF8A7A" w14:textId="682DB72F" w:rsidR="00C55296" w:rsidRPr="00BC6026" w:rsidRDefault="00C55296" w:rsidP="00C55296">
      <w:pPr>
        <w:pStyle w:val="Default"/>
        <w:spacing w:before="120" w:after="120" w:line="288" w:lineRule="auto"/>
        <w:jc w:val="both"/>
        <w:rPr>
          <w:rFonts w:eastAsia="Times New Roman" w:cs="Times New Roman"/>
          <w:color w:val="auto"/>
          <w:sz w:val="20"/>
          <w:lang w:eastAsia="cs-CZ"/>
        </w:rPr>
      </w:pPr>
      <w:r w:rsidRPr="00BC6026">
        <w:rPr>
          <w:rFonts w:eastAsia="Times New Roman" w:cs="Times New Roman"/>
          <w:color w:val="auto"/>
          <w:sz w:val="20"/>
          <w:lang w:eastAsia="cs-CZ"/>
        </w:rPr>
        <w:t>Zatímco do března roku 2020 bylo vyplácení dávky nemocenského pro případ karantény</w:t>
      </w:r>
      <w:r w:rsidRPr="00BC6026">
        <w:rPr>
          <w:rStyle w:val="Znakapoznpodarou"/>
          <w:rFonts w:eastAsia="Times New Roman" w:cs="Times New Roman"/>
          <w:color w:val="auto"/>
          <w:sz w:val="20"/>
          <w:lang w:eastAsia="cs-CZ"/>
        </w:rPr>
        <w:footnoteReference w:id="9"/>
      </w:r>
      <w:r w:rsidRPr="00BC6026">
        <w:rPr>
          <w:rFonts w:eastAsia="Times New Roman" w:cs="Times New Roman"/>
          <w:color w:val="auto"/>
          <w:sz w:val="20"/>
          <w:lang w:eastAsia="cs-CZ"/>
        </w:rPr>
        <w:t xml:space="preserve"> spíše teoretickým nárokem, kvůli vyhlášení nouzového stavu 12. 3. 2020 se stalo běžnou praxí</w:t>
      </w:r>
      <w:r w:rsidR="00AE767B" w:rsidRPr="00BC6026">
        <w:rPr>
          <w:rFonts w:eastAsia="Times New Roman" w:cs="Times New Roman"/>
          <w:color w:val="auto"/>
          <w:sz w:val="20"/>
          <w:lang w:eastAsia="cs-CZ"/>
        </w:rPr>
        <w:t>, která trvala více než</w:t>
      </w:r>
      <w:r w:rsidRPr="00BC6026">
        <w:rPr>
          <w:rFonts w:eastAsia="Times New Roman" w:cs="Times New Roman"/>
          <w:color w:val="auto"/>
          <w:sz w:val="20"/>
          <w:lang w:eastAsia="cs-CZ"/>
        </w:rPr>
        <w:t xml:space="preserve"> 2 roky. </w:t>
      </w:r>
      <w:r w:rsidR="00613B5C" w:rsidRPr="00BC6026">
        <w:rPr>
          <w:rFonts w:eastAsia="Times New Roman" w:cs="Times New Roman"/>
          <w:color w:val="auto"/>
          <w:sz w:val="20"/>
          <w:lang w:eastAsia="cs-CZ"/>
        </w:rPr>
        <w:t>Během roku 2021 bylo vydáno celkem 8</w:t>
      </w:r>
      <w:r w:rsidR="009E00DD">
        <w:rPr>
          <w:rFonts w:eastAsia="Times New Roman" w:cs="Times New Roman"/>
          <w:color w:val="auto"/>
          <w:sz w:val="20"/>
          <w:lang w:eastAsia="cs-CZ"/>
        </w:rPr>
        <w:t>60</w:t>
      </w:r>
      <w:r w:rsidR="00613B5C" w:rsidRPr="00BC6026">
        <w:rPr>
          <w:rFonts w:eastAsia="Times New Roman" w:cs="Times New Roman"/>
          <w:color w:val="auto"/>
          <w:sz w:val="20"/>
          <w:lang w:eastAsia="cs-CZ"/>
        </w:rPr>
        <w:t xml:space="preserve"> tis. </w:t>
      </w:r>
      <w:r w:rsidRPr="00BC6026">
        <w:rPr>
          <w:rFonts w:eastAsia="Times New Roman" w:cs="Times New Roman"/>
          <w:color w:val="auto"/>
          <w:sz w:val="20"/>
          <w:lang w:eastAsia="cs-CZ"/>
        </w:rPr>
        <w:t>neschopenek pro karanténu či izolaci</w:t>
      </w:r>
      <w:r w:rsidRPr="00BC6026">
        <w:rPr>
          <w:rStyle w:val="Znakapoznpodarou"/>
          <w:rFonts w:eastAsia="Times New Roman" w:cs="Times New Roman"/>
          <w:color w:val="auto"/>
          <w:sz w:val="20"/>
          <w:lang w:eastAsia="cs-CZ"/>
        </w:rPr>
        <w:footnoteReference w:id="10"/>
      </w:r>
      <w:r w:rsidRPr="00BC6026">
        <w:rPr>
          <w:rFonts w:eastAsia="Times New Roman" w:cs="Times New Roman"/>
          <w:color w:val="auto"/>
          <w:sz w:val="20"/>
          <w:lang w:eastAsia="cs-CZ"/>
        </w:rPr>
        <w:t xml:space="preserve">. Představovaly </w:t>
      </w:r>
      <w:r w:rsidR="00613B5C" w:rsidRPr="00BC6026">
        <w:rPr>
          <w:rFonts w:eastAsia="Times New Roman" w:cs="Times New Roman"/>
          <w:color w:val="auto"/>
          <w:sz w:val="20"/>
          <w:lang w:eastAsia="cs-CZ"/>
        </w:rPr>
        <w:t>29 %</w:t>
      </w:r>
      <w:r w:rsidRPr="00BC6026">
        <w:rPr>
          <w:rFonts w:eastAsia="Times New Roman" w:cs="Times New Roman"/>
          <w:color w:val="auto"/>
          <w:sz w:val="20"/>
          <w:lang w:eastAsia="cs-CZ"/>
        </w:rPr>
        <w:t xml:space="preserve"> nově vydaných neschopenek</w:t>
      </w:r>
      <w:r w:rsidRPr="00BC6026">
        <w:rPr>
          <w:rStyle w:val="Znakapoznpodarou"/>
          <w:rFonts w:eastAsia="Times New Roman" w:cs="Times New Roman"/>
          <w:color w:val="auto"/>
          <w:sz w:val="20"/>
          <w:lang w:eastAsia="cs-CZ"/>
        </w:rPr>
        <w:footnoteReference w:id="11"/>
      </w:r>
      <w:r w:rsidRPr="00BC6026">
        <w:rPr>
          <w:rFonts w:eastAsia="Times New Roman" w:cs="Times New Roman"/>
          <w:color w:val="auto"/>
          <w:sz w:val="20"/>
          <w:lang w:eastAsia="cs-CZ"/>
        </w:rPr>
        <w:t>. Vrchol nastal v březnu, kdy každá druhá neschopenka kompenzovala ztrátu příjmu kvůli karanténě či izolaci.</w:t>
      </w:r>
    </w:p>
    <w:p w14:paraId="1F004C67" w14:textId="305423B4" w:rsidR="00C55296" w:rsidRDefault="00C55296" w:rsidP="00C55296">
      <w:pPr>
        <w:pStyle w:val="Default"/>
        <w:spacing w:before="120" w:after="120" w:line="288" w:lineRule="auto"/>
        <w:jc w:val="both"/>
        <w:rPr>
          <w:rFonts w:eastAsia="Times New Roman" w:cs="Times New Roman"/>
          <w:color w:val="auto"/>
          <w:sz w:val="20"/>
          <w:lang w:eastAsia="cs-CZ"/>
        </w:rPr>
      </w:pPr>
      <w:r w:rsidRPr="00BC6026">
        <w:rPr>
          <w:rFonts w:eastAsia="Times New Roman" w:cs="Times New Roman"/>
          <w:color w:val="auto"/>
          <w:sz w:val="20"/>
          <w:lang w:eastAsia="cs-CZ"/>
        </w:rPr>
        <w:t>Nutno doplnit, že tato čísla odráží pouze případy pojištěnců, kteří mají na dávku nemocenského nárok a také o ni zažádali. Nerovná se počtu nařízených karantén od krajských hygienických stanic (karanténa může být nařízena i dětem, studentům či nepracujícím seniorům). Vzhledem k širším možnostem práce z domova mohly osoby v nařízené karanténě (pokud to povaha jejich práce dovolovala) i nadále pracovat za plnou mzdu, aniž by porušovaly pravidla karantény.</w:t>
      </w:r>
    </w:p>
    <w:p w14:paraId="26EA8D14" w14:textId="68C0DDD7" w:rsidR="00477DA3" w:rsidRDefault="00BC6026" w:rsidP="00C55296">
      <w:pPr>
        <w:pStyle w:val="Default"/>
        <w:spacing w:before="120" w:after="120" w:line="288" w:lineRule="auto"/>
        <w:jc w:val="both"/>
        <w:rPr>
          <w:rFonts w:eastAsia="Times New Roman" w:cs="Times New Roman"/>
          <w:color w:val="auto"/>
          <w:sz w:val="20"/>
          <w:lang w:eastAsia="cs-CZ"/>
        </w:rPr>
      </w:pPr>
      <w:r>
        <w:rPr>
          <w:rFonts w:eastAsia="Times New Roman" w:cs="Times New Roman"/>
          <w:color w:val="auto"/>
          <w:sz w:val="20"/>
          <w:lang w:eastAsia="cs-CZ"/>
        </w:rPr>
        <w:t xml:space="preserve">Následující graf ukazuje odlišný vývoj počtu vydaných neschopenek kvůli karanténě či izolaci v průběhu roku 2021. </w:t>
      </w:r>
      <w:r w:rsidR="00A436D7">
        <w:rPr>
          <w:rFonts w:eastAsia="Times New Roman" w:cs="Times New Roman"/>
          <w:color w:val="auto"/>
          <w:sz w:val="20"/>
          <w:lang w:eastAsia="cs-CZ"/>
        </w:rPr>
        <w:t xml:space="preserve">Jen za první čtvrtletí bylo vydáno o 80 tis. více takovýchto neschopenek než ve zbytku roku. Je zřejmé, že pandemie během letních měsíců slábne. Zároveň však bývá obvyklé, že v době letních měsíců pojištěnci </w:t>
      </w:r>
      <w:r w:rsidR="00A436D7">
        <w:rPr>
          <w:rFonts w:eastAsia="Times New Roman" w:cs="Times New Roman"/>
          <w:color w:val="auto"/>
          <w:sz w:val="20"/>
          <w:lang w:eastAsia="cs-CZ"/>
        </w:rPr>
        <w:lastRenderedPageBreak/>
        <w:t>nastupují v menší míře na neschopenku. A tak zatímco v již zmiňovaném 1. čtvrtletí se podíl karantén či izolací na celkovém počtu nově vydaných neschopenek podílel téměř 50 %, v létě a i v průběhu září kolísal okolo 3 %.</w:t>
      </w:r>
      <w:r w:rsidR="00477DA3">
        <w:rPr>
          <w:rFonts w:eastAsia="Times New Roman" w:cs="Times New Roman"/>
          <w:color w:val="auto"/>
          <w:sz w:val="20"/>
          <w:lang w:eastAsia="cs-CZ"/>
        </w:rPr>
        <w:t xml:space="preserve"> V listopadu již opět představoval třetinu všech neschopností.</w:t>
      </w:r>
    </w:p>
    <w:p w14:paraId="194A7899" w14:textId="265FF8FB" w:rsidR="00C55296" w:rsidRDefault="00C55296" w:rsidP="00C55296">
      <w:pPr>
        <w:spacing w:after="0"/>
        <w:jc w:val="both"/>
        <w:rPr>
          <w:b/>
        </w:rPr>
      </w:pPr>
      <w:r w:rsidRPr="00BC6026">
        <w:rPr>
          <w:b/>
        </w:rPr>
        <w:t>Graf 4.2: Počet případů pracovní neschopnosti z důvodu karantény či izolace a jejich podíl na celkovém počtu vydaných neschopenek, 2021</w:t>
      </w:r>
    </w:p>
    <w:p w14:paraId="50C5E1F6" w14:textId="57CDFBB9" w:rsidR="00BC6026" w:rsidRPr="00D92E20" w:rsidRDefault="00CB68DD" w:rsidP="00C55296">
      <w:pPr>
        <w:spacing w:after="0"/>
        <w:jc w:val="both"/>
        <w:rPr>
          <w:b/>
        </w:rPr>
      </w:pPr>
      <w:r>
        <w:rPr>
          <w:noProof/>
        </w:rPr>
        <w:drawing>
          <wp:inline distT="0" distB="0" distL="0" distR="0" wp14:anchorId="1827ED8E" wp14:editId="185977B9">
            <wp:extent cx="6120130" cy="3211195"/>
            <wp:effectExtent l="0" t="0" r="13970" b="8255"/>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9014DF6" w14:textId="77777777" w:rsidR="00C55296" w:rsidRPr="00D92E20" w:rsidRDefault="00C55296" w:rsidP="00C55296">
      <w:pPr>
        <w:spacing w:after="120"/>
        <w:jc w:val="both"/>
        <w:rPr>
          <w:sz w:val="16"/>
        </w:rPr>
      </w:pPr>
      <w:r w:rsidRPr="00D92E20">
        <w:rPr>
          <w:sz w:val="16"/>
        </w:rPr>
        <w:t>Zdroj: ČSSZ</w:t>
      </w:r>
    </w:p>
    <w:p w14:paraId="2218C20B" w14:textId="77777777" w:rsidR="00C55296" w:rsidRPr="00C55296" w:rsidRDefault="00C55296" w:rsidP="00C55296">
      <w:pPr>
        <w:spacing w:after="0" w:line="240" w:lineRule="auto"/>
        <w:rPr>
          <w:rFonts w:cs="Arial"/>
          <w:b/>
          <w:bCs/>
          <w:color w:val="000000"/>
          <w:szCs w:val="20"/>
        </w:rPr>
      </w:pPr>
      <w:r w:rsidRPr="00C55296">
        <w:rPr>
          <w:rFonts w:cs="Arial"/>
          <w:b/>
          <w:bCs/>
          <w:color w:val="000000"/>
          <w:szCs w:val="20"/>
        </w:rPr>
        <w:t>Graf 4.3: Počet hlášených případů karantény podle jednotlivých dnů v ČR, 2021</w:t>
      </w:r>
    </w:p>
    <w:p w14:paraId="2AD8D426" w14:textId="77777777" w:rsidR="00C55296" w:rsidRPr="00C55296" w:rsidRDefault="00C55296" w:rsidP="00C55296">
      <w:r>
        <w:rPr>
          <w:noProof/>
        </w:rPr>
        <w:drawing>
          <wp:inline distT="0" distB="0" distL="0" distR="0" wp14:anchorId="4F033DB6" wp14:editId="4A634DD4">
            <wp:extent cx="6120130" cy="2676525"/>
            <wp:effectExtent l="0" t="0" r="13970" b="9525"/>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B4F7977" w14:textId="7D632E96" w:rsidR="00C55296" w:rsidRDefault="00C55296" w:rsidP="00C55296">
      <w:pPr>
        <w:spacing w:after="120"/>
        <w:jc w:val="both"/>
        <w:rPr>
          <w:sz w:val="16"/>
        </w:rPr>
      </w:pPr>
      <w:r w:rsidRPr="00D92E20">
        <w:rPr>
          <w:sz w:val="16"/>
        </w:rPr>
        <w:t>Zdroj: ČSSZ</w:t>
      </w:r>
    </w:p>
    <w:p w14:paraId="60FF2887" w14:textId="1BC7C3F8" w:rsidR="005C663E" w:rsidRPr="005C663E" w:rsidRDefault="005C663E" w:rsidP="005C663E">
      <w:pPr>
        <w:pStyle w:val="Default"/>
        <w:spacing w:before="120" w:after="120" w:line="288" w:lineRule="auto"/>
        <w:jc w:val="both"/>
        <w:rPr>
          <w:rFonts w:eastAsia="Times New Roman" w:cs="Times New Roman"/>
          <w:color w:val="auto"/>
          <w:sz w:val="20"/>
          <w:lang w:eastAsia="cs-CZ"/>
        </w:rPr>
      </w:pPr>
      <w:r w:rsidRPr="00977173">
        <w:rPr>
          <w:rFonts w:eastAsia="Times New Roman" w:cs="Times New Roman"/>
          <w:color w:val="auto"/>
          <w:sz w:val="20"/>
          <w:lang w:eastAsia="cs-CZ"/>
        </w:rPr>
        <w:t xml:space="preserve">Pandemie se na výdajové stránce nemocenského pojištění podepsala nejen v dávce nemocenské, ale rovněž ošetřovné. Zatímco do roku 2019 činil podíl výdajů za ošetřovné méně než 5 % celkových výdajů na dávky nemocenského pojištění, v roce 2020 to byla více než pětina. Navýšení nákladů bylo způsobeno jednak vyšším počtem případů, jednak zvýšením částky pro výpočet ošetřovného při epidemii uzákoněné na podzim </w:t>
      </w:r>
      <w:r w:rsidRPr="00977173">
        <w:rPr>
          <w:rFonts w:eastAsia="Times New Roman" w:cs="Times New Roman"/>
          <w:color w:val="auto"/>
          <w:sz w:val="20"/>
          <w:lang w:eastAsia="cs-CZ"/>
        </w:rPr>
        <w:lastRenderedPageBreak/>
        <w:t>roku 2020 (tzv. krizové ošetřovné</w:t>
      </w:r>
      <w:r w:rsidRPr="00977173">
        <w:rPr>
          <w:rStyle w:val="Znakapoznpodarou"/>
          <w:rFonts w:eastAsia="Times New Roman" w:cs="Times New Roman"/>
          <w:color w:val="auto"/>
          <w:sz w:val="20"/>
          <w:lang w:eastAsia="cs-CZ"/>
        </w:rPr>
        <w:footnoteReference w:id="12"/>
      </w:r>
      <w:r w:rsidRPr="00977173">
        <w:rPr>
          <w:rFonts w:eastAsia="Times New Roman" w:cs="Times New Roman"/>
          <w:color w:val="auto"/>
          <w:sz w:val="20"/>
          <w:lang w:eastAsia="cs-CZ"/>
        </w:rPr>
        <w:t>). Z dosud počítaných 60 % byl</w:t>
      </w:r>
      <w:r>
        <w:rPr>
          <w:rFonts w:eastAsia="Times New Roman" w:cs="Times New Roman"/>
          <w:color w:val="auto"/>
          <w:sz w:val="20"/>
          <w:lang w:eastAsia="cs-CZ"/>
        </w:rPr>
        <w:t>a sazba</w:t>
      </w:r>
      <w:r w:rsidRPr="00977173">
        <w:rPr>
          <w:rFonts w:eastAsia="Times New Roman" w:cs="Times New Roman"/>
          <w:color w:val="auto"/>
          <w:sz w:val="20"/>
          <w:lang w:eastAsia="cs-CZ"/>
        </w:rPr>
        <w:t xml:space="preserve"> zvýšen</w:t>
      </w:r>
      <w:r>
        <w:rPr>
          <w:rFonts w:eastAsia="Times New Roman" w:cs="Times New Roman"/>
          <w:color w:val="auto"/>
          <w:sz w:val="20"/>
          <w:lang w:eastAsia="cs-CZ"/>
        </w:rPr>
        <w:t>a</w:t>
      </w:r>
      <w:r w:rsidRPr="00977173">
        <w:rPr>
          <w:rFonts w:eastAsia="Times New Roman" w:cs="Times New Roman"/>
          <w:color w:val="auto"/>
          <w:sz w:val="20"/>
          <w:lang w:eastAsia="cs-CZ"/>
        </w:rPr>
        <w:t xml:space="preserve"> na 70 %</w:t>
      </w:r>
      <w:r w:rsidRPr="00977173">
        <w:rPr>
          <w:rStyle w:val="Znakapoznpodarou"/>
          <w:rFonts w:eastAsia="Times New Roman" w:cs="Times New Roman"/>
          <w:color w:val="auto"/>
          <w:sz w:val="20"/>
          <w:lang w:eastAsia="cs-CZ"/>
        </w:rPr>
        <w:footnoteReference w:id="13"/>
      </w:r>
      <w:r w:rsidRPr="00977173">
        <w:rPr>
          <w:rFonts w:eastAsia="Times New Roman" w:cs="Times New Roman"/>
          <w:color w:val="auto"/>
          <w:sz w:val="20"/>
          <w:lang w:eastAsia="cs-CZ"/>
        </w:rPr>
        <w:t xml:space="preserve"> redukovaného denního vyměřovacího základu. Zatímco dříve bylo možné čerpat ošetřovné maximálně 9 dnů, při uzavření školních a dětských zařízení trvala podpůrčí doba po celou dobu mimořádných vládních opatření. Náklady na ošetřovné v roce 2020 dosáhly rekordní výše 11,4 mld. Kč, tj. téměř o 10 mld. více v porovnání s předchozím rokem. V roce 2021 došlo k poklesu, výdaje činily 5,7 mld. Tvořily tak desetinu výdajů na dávky systému nemocenského pojištění.</w:t>
      </w:r>
    </w:p>
    <w:p w14:paraId="2809B6CA" w14:textId="77777777" w:rsidR="00AE767B" w:rsidRPr="0049149F" w:rsidRDefault="00AE767B" w:rsidP="00AE767B">
      <w:pPr>
        <w:pStyle w:val="Nadpis2"/>
      </w:pPr>
      <w:bookmarkStart w:id="21" w:name="_Toc104792915"/>
      <w:r>
        <w:t>4.5 Pracovní úrazy</w:t>
      </w:r>
      <w:bookmarkEnd w:id="21"/>
    </w:p>
    <w:p w14:paraId="17B635CF" w14:textId="77777777" w:rsidR="00AE767B" w:rsidRPr="00D92E20" w:rsidRDefault="00AE767B" w:rsidP="00AE767B">
      <w:pPr>
        <w:spacing w:after="120"/>
        <w:jc w:val="both"/>
      </w:pPr>
      <w:r w:rsidRPr="00D92E20">
        <w:t xml:space="preserve">V oblasti pracovní úrazovosti ukládá česká i evropská legislativa zaměstnavatelům řadu povinností souvisejících s evidencí, hlášením a objasněním příčin a okolností vzniku každého pracovního úrazu. </w:t>
      </w:r>
    </w:p>
    <w:p w14:paraId="443AF22F" w14:textId="77777777" w:rsidR="00AE767B" w:rsidRPr="00D92E20" w:rsidRDefault="00AE767B" w:rsidP="00AE767B">
      <w:pPr>
        <w:pStyle w:val="Box1"/>
        <w:spacing w:before="120" w:after="120"/>
        <w:ind w:left="0"/>
        <w:contextualSpacing w:val="0"/>
        <w:jc w:val="both"/>
        <w:rPr>
          <w:i/>
        </w:rPr>
      </w:pPr>
      <w:r w:rsidRPr="00D92E20">
        <w:rPr>
          <w:b/>
          <w:i/>
        </w:rPr>
        <w:t xml:space="preserve">Pracovní úraz </w:t>
      </w:r>
      <w:r w:rsidRPr="00D92E20">
        <w:rPr>
          <w:i/>
        </w:rPr>
        <w:t>– pracovním úrazem se rozumí poškození zdraví nebo smrt zaměstnance, došlo-li k nim nezávisle na jeho vůli krátkodobým, náhlým a násilným působením zevních vlivů při plnění pracovních úkolů nebo v přímé souvislosti s ním (viz § 271k odst. 1 až 3 zákona č. 262/2006 Sb., zákoník práce, ve znění pozdějších předpisů).</w:t>
      </w:r>
    </w:p>
    <w:p w14:paraId="2469C074" w14:textId="77777777" w:rsidR="00AE767B" w:rsidRPr="00D92E20" w:rsidRDefault="00AE767B" w:rsidP="00AE767B">
      <w:pPr>
        <w:pStyle w:val="Box1"/>
        <w:spacing w:before="120" w:after="120"/>
        <w:ind w:left="0"/>
        <w:contextualSpacing w:val="0"/>
        <w:jc w:val="both"/>
        <w:rPr>
          <w:b/>
          <w:i/>
        </w:rPr>
      </w:pPr>
      <w:r w:rsidRPr="00D92E20">
        <w:rPr>
          <w:b/>
          <w:i/>
        </w:rPr>
        <w:t>Smrtelný pracovní úraz</w:t>
      </w:r>
      <w:r w:rsidRPr="00D92E20">
        <w:rPr>
          <w:i/>
        </w:rPr>
        <w:t xml:space="preserve"> – je takové poškození zdraví, na jehož následky úrazem postižený zaměstnanec nejpozději do 1 roku zemřel.</w:t>
      </w:r>
    </w:p>
    <w:p w14:paraId="0808F1A5" w14:textId="77777777" w:rsidR="00AE767B" w:rsidRPr="00D92E20" w:rsidRDefault="00AE767B" w:rsidP="00AE767B">
      <w:pPr>
        <w:pStyle w:val="Box1"/>
        <w:spacing w:before="120" w:after="120"/>
        <w:ind w:left="0"/>
        <w:contextualSpacing w:val="0"/>
        <w:jc w:val="both"/>
        <w:rPr>
          <w:b/>
          <w:i/>
        </w:rPr>
      </w:pPr>
      <w:r w:rsidRPr="00D92E20">
        <w:rPr>
          <w:b/>
          <w:i/>
        </w:rPr>
        <w:t>Závažný pracovní úraz</w:t>
      </w:r>
      <w:r w:rsidRPr="00D92E20">
        <w:rPr>
          <w:i/>
        </w:rPr>
        <w:t xml:space="preserve"> – je takové poškození zdraví, trvá-li hospitalizace úrazem postiženého zaměstnance déle než 5 dnů.</w:t>
      </w:r>
    </w:p>
    <w:p w14:paraId="5A2AEFB3" w14:textId="77777777" w:rsidR="00AE767B" w:rsidRPr="00D92E20" w:rsidRDefault="00AE767B" w:rsidP="00AE767B">
      <w:pPr>
        <w:pStyle w:val="Box1"/>
        <w:spacing w:before="120" w:after="120"/>
        <w:ind w:left="0"/>
        <w:contextualSpacing w:val="0"/>
        <w:jc w:val="both"/>
        <w:rPr>
          <w:i/>
        </w:rPr>
      </w:pPr>
      <w:r w:rsidRPr="00D92E20">
        <w:rPr>
          <w:b/>
          <w:i/>
        </w:rPr>
        <w:t xml:space="preserve">Pracovní úraz s pracovní neschopností delší než 3 dny </w:t>
      </w:r>
      <w:r w:rsidRPr="00D92E20">
        <w:rPr>
          <w:i/>
        </w:rPr>
        <w:t>– ukazatel zahrnuje případy pracovních úrazů, které měly za následek dočasnou pracovní neschopnost delší než tři kalendářní dny. Do těchto tří dnů se nezapočítává den, ve kterém k úrazu došlo.</w:t>
      </w:r>
    </w:p>
    <w:p w14:paraId="3C3A9F09" w14:textId="2D3D89CD" w:rsidR="00AE767B" w:rsidRPr="00D92E20" w:rsidRDefault="00AE767B" w:rsidP="00AE767B">
      <w:pPr>
        <w:spacing w:before="120" w:after="120"/>
        <w:jc w:val="both"/>
      </w:pPr>
      <w:r w:rsidRPr="00D92E20">
        <w:t>Ohlášení pracovního úrazu místně příslušnému Oblastnímu inspektorátu práce (OIP) podléhá smrtelný pracovní úraz a pracovní úraz s hospitalizací delší než 5 dnů (tzv. závažný pracovní úraz) nebo lze-li vzhledem k povaze zranění takovou dobu hospitalizace předpokládat. Vyhotovit záznam o úrazu (vč. případného hlášení změn) a zaslat jej na místně příslušný OIP je zaměstnavatel povinen i u pracovního úrazu s pracovní neschopností delší než 3 dny. V závislosti na druhu a okolnostech vzniku pracovního úrazu se pracovní úraz ohlašuje a záznam o něm se zasílá ještě na další stanovené orgány a instituce. Evidenci všech úrazů, tedy i takových, kterými nebyla způsobena pracovní neschopnost nebo jimi byla způsobena pracovní neschopnost nepřesahující 3 kalendářní dny, je zaměstnavatel povinen vést v knize úrazů.</w:t>
      </w:r>
    </w:p>
    <w:p w14:paraId="2FF40386" w14:textId="3CF36FD7" w:rsidR="00AE767B" w:rsidRDefault="00AE767B" w:rsidP="00AE767B">
      <w:pPr>
        <w:spacing w:before="120" w:after="120"/>
        <w:jc w:val="both"/>
        <w:rPr>
          <w:rFonts w:cs="Arial"/>
        </w:rPr>
      </w:pPr>
      <w:r w:rsidRPr="00D92E20">
        <w:rPr>
          <w:bCs/>
        </w:rPr>
        <w:t>Absolutní počet nově hlášených případů dočasné pracovní neschopnosti</w:t>
      </w:r>
      <w:r w:rsidRPr="00D92E20">
        <w:rPr>
          <w:rFonts w:cs="Arial"/>
        </w:rPr>
        <w:t xml:space="preserve"> pro pracovní úraz </w:t>
      </w:r>
      <w:r>
        <w:rPr>
          <w:rFonts w:cs="Arial"/>
        </w:rPr>
        <w:t xml:space="preserve">po propadu </w:t>
      </w:r>
      <w:r w:rsidR="009233ED">
        <w:rPr>
          <w:rFonts w:cs="Arial"/>
        </w:rPr>
        <w:t xml:space="preserve">z roku 2020 </w:t>
      </w:r>
      <w:r>
        <w:rPr>
          <w:rFonts w:cs="Arial"/>
        </w:rPr>
        <w:t>vzrostl</w:t>
      </w:r>
      <w:r w:rsidRPr="00D92E20">
        <w:rPr>
          <w:rFonts w:cs="Arial"/>
        </w:rPr>
        <w:t xml:space="preserve"> ze </w:t>
      </w:r>
      <w:r>
        <w:rPr>
          <w:rFonts w:cs="Arial"/>
        </w:rPr>
        <w:t>41 358</w:t>
      </w:r>
      <w:r w:rsidRPr="00D92E20">
        <w:rPr>
          <w:rFonts w:cs="Arial"/>
        </w:rPr>
        <w:t> případů v roce 20</w:t>
      </w:r>
      <w:r>
        <w:rPr>
          <w:rFonts w:cs="Arial"/>
        </w:rPr>
        <w:t>20 na 44 933 případů v roce 2021</w:t>
      </w:r>
      <w:r w:rsidRPr="00D92E20">
        <w:rPr>
          <w:rFonts w:cs="Arial"/>
        </w:rPr>
        <w:t xml:space="preserve"> (tj. o 8 %). Z tohoto celkového počtu bylo </w:t>
      </w:r>
      <w:r>
        <w:rPr>
          <w:rFonts w:cs="Arial"/>
        </w:rPr>
        <w:t>43 980</w:t>
      </w:r>
      <w:r w:rsidRPr="00D92E20">
        <w:rPr>
          <w:rFonts w:cs="Arial"/>
        </w:rPr>
        <w:t xml:space="preserve"> případů (98 %) </w:t>
      </w:r>
      <w:r w:rsidRPr="00D92E20">
        <w:rPr>
          <w:rFonts w:cs="Arial"/>
          <w:b/>
        </w:rPr>
        <w:t>pracovních úrazů s pracovní neschopností delší než 3 kalendářní dny</w:t>
      </w:r>
      <w:r w:rsidRPr="00D92E20">
        <w:rPr>
          <w:rFonts w:cs="Arial"/>
        </w:rPr>
        <w:t xml:space="preserve"> (tedy těch, které podléhají povinnosti vyhotovit záznam o úrazu a zaslat jej OIP).</w:t>
      </w:r>
    </w:p>
    <w:p w14:paraId="379CF983" w14:textId="24015670" w:rsidR="005C663E" w:rsidRDefault="005C663E" w:rsidP="005C663E">
      <w:pPr>
        <w:spacing w:before="120" w:after="120"/>
        <w:jc w:val="both"/>
        <w:rPr>
          <w:rFonts w:cs="Arial"/>
        </w:rPr>
      </w:pPr>
      <w:r w:rsidRPr="00951947">
        <w:rPr>
          <w:rFonts w:cs="Arial"/>
        </w:rPr>
        <w:t xml:space="preserve">V pracovní úrazovosti je dlouhodobě patrný rozdíl mezi </w:t>
      </w:r>
      <w:r w:rsidRPr="00951947">
        <w:rPr>
          <w:rFonts w:cs="Arial"/>
          <w:b/>
        </w:rPr>
        <w:t>pohlavími</w:t>
      </w:r>
      <w:r w:rsidRPr="00951947">
        <w:rPr>
          <w:rFonts w:cs="Arial"/>
        </w:rPr>
        <w:t>, muži zde výrazně dominují. Z celkového počtu pracovních úrazů připadaly v </w:t>
      </w:r>
      <w:r>
        <w:rPr>
          <w:rFonts w:cs="Arial"/>
        </w:rPr>
        <w:t>roce</w:t>
      </w:r>
      <w:r w:rsidRPr="00951947">
        <w:rPr>
          <w:rFonts w:cs="Arial"/>
        </w:rPr>
        <w:t xml:space="preserve"> 2021 na muže více než dvě třetiny (69 %), což je </w:t>
      </w:r>
      <w:r w:rsidRPr="00951947">
        <w:rPr>
          <w:rFonts w:cs="Arial"/>
          <w:b/>
        </w:rPr>
        <w:t>dáno</w:t>
      </w:r>
      <w:r w:rsidRPr="00951947">
        <w:rPr>
          <w:rFonts w:cs="Arial"/>
        </w:rPr>
        <w:t xml:space="preserve"> především</w:t>
      </w:r>
      <w:r w:rsidRPr="00951947">
        <w:rPr>
          <w:rFonts w:cs="Arial"/>
          <w:b/>
        </w:rPr>
        <w:t> odlišnou strukturou zaměstnanosti žen a mužů</w:t>
      </w:r>
      <w:r w:rsidRPr="00951947">
        <w:rPr>
          <w:rFonts w:cs="Arial"/>
        </w:rPr>
        <w:t xml:space="preserve">. V odvětvích rizikovějších na pracovní úrazy jako je např. </w:t>
      </w:r>
      <w:r w:rsidRPr="00951947">
        <w:t>T</w:t>
      </w:r>
      <w:r w:rsidRPr="00951947">
        <w:rPr>
          <w:rFonts w:cs="Arial"/>
        </w:rPr>
        <w:t>ěžba a dobývání, Zpracovatelský průmysl, S</w:t>
      </w:r>
      <w:r w:rsidRPr="00951947">
        <w:t xml:space="preserve">tavebnictví, Doprava a skladování </w:t>
      </w:r>
      <w:r w:rsidRPr="00D92E20">
        <w:rPr>
          <w:bCs/>
        </w:rPr>
        <w:t>či Ze</w:t>
      </w:r>
      <w:r>
        <w:rPr>
          <w:bCs/>
        </w:rPr>
        <w:t xml:space="preserve">mědělství, lesnictví, rybářství </w:t>
      </w:r>
      <w:r w:rsidRPr="00951947">
        <w:t>mezi zaměstnanci převládají muži. Ještě výraznější rozdíl hodnot mezi pohlavími lze vidět u smrtelných pracovních úrazů. V </w:t>
      </w:r>
      <w:r>
        <w:t>roce</w:t>
      </w:r>
      <w:r w:rsidRPr="00951947">
        <w:t xml:space="preserve"> 2021 se 9</w:t>
      </w:r>
      <w:r>
        <w:t>3</w:t>
      </w:r>
      <w:r w:rsidRPr="00951947">
        <w:t xml:space="preserve"> %</w:t>
      </w:r>
      <w:r>
        <w:t xml:space="preserve"> </w:t>
      </w:r>
      <w:r w:rsidRPr="00951947">
        <w:t xml:space="preserve">smrtelných </w:t>
      </w:r>
      <w:r>
        <w:t>pracovních úrazů přihodilo</w:t>
      </w:r>
      <w:r w:rsidRPr="00951947">
        <w:t xml:space="preserve"> muž</w:t>
      </w:r>
      <w:r>
        <w:t>ům</w:t>
      </w:r>
      <w:r w:rsidRPr="00951947">
        <w:t>. Oproti předchozí</w:t>
      </w:r>
      <w:r>
        <w:t>mu</w:t>
      </w:r>
      <w:r w:rsidRPr="00951947">
        <w:t xml:space="preserve"> roku došlo k poklesu smrtelných pracovních úrazů ze </w:t>
      </w:r>
      <w:r>
        <w:t>108</w:t>
      </w:r>
      <w:r w:rsidRPr="00951947">
        <w:t xml:space="preserve"> na </w:t>
      </w:r>
      <w:r>
        <w:t>88</w:t>
      </w:r>
      <w:r w:rsidRPr="00951947">
        <w:t xml:space="preserve"> tj. o 1</w:t>
      </w:r>
      <w:r w:rsidR="00FD1578">
        <w:t>9</w:t>
      </w:r>
      <w:r w:rsidRPr="00951947">
        <w:t xml:space="preserve"> %. Muži zaznamenali </w:t>
      </w:r>
      <w:r>
        <w:t>82</w:t>
      </w:r>
      <w:r w:rsidRPr="00951947">
        <w:t xml:space="preserve"> smrtelných pracovních úrazů, což je meziročně o </w:t>
      </w:r>
      <w:r>
        <w:t>23</w:t>
      </w:r>
      <w:r w:rsidRPr="00951947">
        <w:t xml:space="preserve"> méně.</w:t>
      </w:r>
    </w:p>
    <w:p w14:paraId="026E89A1" w14:textId="77777777" w:rsidR="00966E11" w:rsidRDefault="00966E11">
      <w:pPr>
        <w:spacing w:after="0" w:line="240" w:lineRule="auto"/>
        <w:rPr>
          <w:rFonts w:cs="Arial"/>
          <w:b/>
        </w:rPr>
      </w:pPr>
      <w:r>
        <w:rPr>
          <w:rFonts w:cs="Arial"/>
          <w:b/>
        </w:rPr>
        <w:br w:type="page"/>
      </w:r>
    </w:p>
    <w:p w14:paraId="3F37EAB2" w14:textId="06519284" w:rsidR="00AE767B" w:rsidRPr="00D92E20" w:rsidRDefault="00AE767B" w:rsidP="00AE767B">
      <w:pPr>
        <w:spacing w:after="0"/>
        <w:jc w:val="both"/>
        <w:rPr>
          <w:rFonts w:cs="Arial"/>
          <w:b/>
        </w:rPr>
      </w:pPr>
      <w:r w:rsidRPr="00D92E20">
        <w:rPr>
          <w:rFonts w:cs="Arial"/>
          <w:b/>
        </w:rPr>
        <w:lastRenderedPageBreak/>
        <w:t>Tab. 5.1: Pracovní úrazy podle závažnosti a pohlaví, 201</w:t>
      </w:r>
      <w:r>
        <w:rPr>
          <w:rFonts w:cs="Arial"/>
          <w:b/>
        </w:rPr>
        <w:t>1–2021</w:t>
      </w: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AE767B" w:rsidRPr="00D92E20" w14:paraId="4EAB2CA1" w14:textId="77777777" w:rsidTr="00C13658">
        <w:trPr>
          <w:trHeight w:val="300"/>
        </w:trPr>
        <w:tc>
          <w:tcPr>
            <w:tcW w:w="960" w:type="dxa"/>
            <w:vMerge w:val="restart"/>
            <w:tcBorders>
              <w:top w:val="single" w:sz="4" w:space="0" w:color="auto"/>
              <w:left w:val="nil"/>
              <w:bottom w:val="single" w:sz="4" w:space="0" w:color="auto"/>
              <w:right w:val="single" w:sz="4" w:space="0" w:color="auto"/>
            </w:tcBorders>
            <w:shd w:val="clear" w:color="000000" w:fill="F5DADD"/>
            <w:vAlign w:val="center"/>
            <w:hideMark/>
          </w:tcPr>
          <w:p w14:paraId="5F337F49"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Rok</w:t>
            </w:r>
          </w:p>
        </w:tc>
        <w:tc>
          <w:tcPr>
            <w:tcW w:w="2880" w:type="dxa"/>
            <w:gridSpan w:val="3"/>
            <w:vMerge w:val="restart"/>
            <w:tcBorders>
              <w:top w:val="single" w:sz="4" w:space="0" w:color="auto"/>
              <w:left w:val="single" w:sz="4" w:space="0" w:color="auto"/>
              <w:bottom w:val="single" w:sz="4" w:space="0" w:color="000000"/>
              <w:right w:val="single" w:sz="4" w:space="0" w:color="000000"/>
            </w:tcBorders>
            <w:shd w:val="clear" w:color="000000" w:fill="F5DADD"/>
            <w:vAlign w:val="center"/>
            <w:hideMark/>
          </w:tcPr>
          <w:p w14:paraId="55A6FE71"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 xml:space="preserve">Počet pracovních úrazů s pracovní neschopností </w:t>
            </w:r>
          </w:p>
        </w:tc>
        <w:tc>
          <w:tcPr>
            <w:tcW w:w="2880" w:type="dxa"/>
            <w:gridSpan w:val="3"/>
            <w:vMerge w:val="restart"/>
            <w:tcBorders>
              <w:top w:val="single" w:sz="4" w:space="0" w:color="auto"/>
              <w:left w:val="single" w:sz="4" w:space="0" w:color="auto"/>
              <w:bottom w:val="single" w:sz="4" w:space="0" w:color="000000"/>
              <w:right w:val="single" w:sz="4" w:space="0" w:color="000000"/>
            </w:tcBorders>
            <w:shd w:val="clear" w:color="000000" w:fill="F5DADD"/>
            <w:vAlign w:val="center"/>
            <w:hideMark/>
          </w:tcPr>
          <w:p w14:paraId="027C169D"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Počet pracovních úrazů s pracovní neschopností delší než 3 dny</w:t>
            </w:r>
          </w:p>
        </w:tc>
        <w:tc>
          <w:tcPr>
            <w:tcW w:w="2880" w:type="dxa"/>
            <w:gridSpan w:val="3"/>
            <w:vMerge w:val="restart"/>
            <w:tcBorders>
              <w:top w:val="single" w:sz="4" w:space="0" w:color="auto"/>
              <w:left w:val="single" w:sz="4" w:space="0" w:color="auto"/>
              <w:bottom w:val="single" w:sz="4" w:space="0" w:color="000000"/>
              <w:right w:val="nil"/>
            </w:tcBorders>
            <w:shd w:val="clear" w:color="000000" w:fill="F5DADD"/>
            <w:vAlign w:val="center"/>
            <w:hideMark/>
          </w:tcPr>
          <w:p w14:paraId="6D7C252D"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Počet smrtelných pracovních úrazů</w:t>
            </w:r>
          </w:p>
        </w:tc>
      </w:tr>
      <w:tr w:rsidR="00AE767B" w:rsidRPr="00D92E20" w14:paraId="798A52B5" w14:textId="77777777" w:rsidTr="00C13658">
        <w:trPr>
          <w:trHeight w:val="300"/>
        </w:trPr>
        <w:tc>
          <w:tcPr>
            <w:tcW w:w="960" w:type="dxa"/>
            <w:vMerge/>
            <w:tcBorders>
              <w:top w:val="single" w:sz="4" w:space="0" w:color="auto"/>
              <w:left w:val="nil"/>
              <w:bottom w:val="single" w:sz="4" w:space="0" w:color="auto"/>
              <w:right w:val="single" w:sz="4" w:space="0" w:color="auto"/>
            </w:tcBorders>
            <w:vAlign w:val="center"/>
            <w:hideMark/>
          </w:tcPr>
          <w:p w14:paraId="17DC0205" w14:textId="77777777" w:rsidR="00AE767B" w:rsidRPr="00D92E20"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single" w:sz="4" w:space="0" w:color="000000"/>
            </w:tcBorders>
            <w:vAlign w:val="center"/>
            <w:hideMark/>
          </w:tcPr>
          <w:p w14:paraId="6E463203" w14:textId="77777777" w:rsidR="00AE767B" w:rsidRPr="00D92E20"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single" w:sz="4" w:space="0" w:color="000000"/>
            </w:tcBorders>
            <w:vAlign w:val="center"/>
            <w:hideMark/>
          </w:tcPr>
          <w:p w14:paraId="15F97FC6" w14:textId="77777777" w:rsidR="00AE767B" w:rsidRPr="00D92E20"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nil"/>
            </w:tcBorders>
            <w:vAlign w:val="center"/>
            <w:hideMark/>
          </w:tcPr>
          <w:p w14:paraId="1FA78AF3" w14:textId="77777777" w:rsidR="00AE767B" w:rsidRPr="00D92E20" w:rsidRDefault="00AE767B" w:rsidP="00C13658">
            <w:pPr>
              <w:spacing w:after="0" w:line="240" w:lineRule="auto"/>
              <w:rPr>
                <w:rFonts w:cs="Arial"/>
                <w:color w:val="000000"/>
                <w:sz w:val="16"/>
                <w:szCs w:val="16"/>
              </w:rPr>
            </w:pPr>
          </w:p>
        </w:tc>
      </w:tr>
      <w:tr w:rsidR="00AE767B" w:rsidRPr="00D92E20" w14:paraId="4FB52636" w14:textId="77777777" w:rsidTr="00C13658">
        <w:trPr>
          <w:trHeight w:val="300"/>
        </w:trPr>
        <w:tc>
          <w:tcPr>
            <w:tcW w:w="960" w:type="dxa"/>
            <w:vMerge/>
            <w:tcBorders>
              <w:top w:val="single" w:sz="4" w:space="0" w:color="auto"/>
              <w:left w:val="nil"/>
              <w:bottom w:val="single" w:sz="4" w:space="0" w:color="auto"/>
              <w:right w:val="single" w:sz="4" w:space="0" w:color="auto"/>
            </w:tcBorders>
            <w:vAlign w:val="center"/>
            <w:hideMark/>
          </w:tcPr>
          <w:p w14:paraId="4A93E011" w14:textId="77777777" w:rsidR="00AE767B" w:rsidRPr="00D92E20"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single" w:sz="4" w:space="0" w:color="000000"/>
            </w:tcBorders>
            <w:vAlign w:val="center"/>
            <w:hideMark/>
          </w:tcPr>
          <w:p w14:paraId="2607BED3" w14:textId="77777777" w:rsidR="00AE767B" w:rsidRPr="00D92E20"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single" w:sz="4" w:space="0" w:color="000000"/>
            </w:tcBorders>
            <w:vAlign w:val="center"/>
            <w:hideMark/>
          </w:tcPr>
          <w:p w14:paraId="1230658B" w14:textId="77777777" w:rsidR="00AE767B" w:rsidRPr="00D92E20"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nil"/>
            </w:tcBorders>
            <w:vAlign w:val="center"/>
            <w:hideMark/>
          </w:tcPr>
          <w:p w14:paraId="65B44482" w14:textId="77777777" w:rsidR="00AE767B" w:rsidRPr="00D92E20" w:rsidRDefault="00AE767B" w:rsidP="00C13658">
            <w:pPr>
              <w:spacing w:after="0" w:line="240" w:lineRule="auto"/>
              <w:rPr>
                <w:rFonts w:cs="Arial"/>
                <w:color w:val="000000"/>
                <w:sz w:val="16"/>
                <w:szCs w:val="16"/>
              </w:rPr>
            </w:pPr>
          </w:p>
        </w:tc>
      </w:tr>
      <w:tr w:rsidR="00AE767B" w:rsidRPr="00D92E20" w14:paraId="1A6A8549" w14:textId="77777777" w:rsidTr="00C13658">
        <w:trPr>
          <w:trHeight w:val="300"/>
        </w:trPr>
        <w:tc>
          <w:tcPr>
            <w:tcW w:w="960" w:type="dxa"/>
            <w:vMerge/>
            <w:tcBorders>
              <w:top w:val="single" w:sz="4" w:space="0" w:color="auto"/>
              <w:left w:val="nil"/>
              <w:bottom w:val="single" w:sz="4" w:space="0" w:color="auto"/>
              <w:right w:val="single" w:sz="4" w:space="0" w:color="auto"/>
            </w:tcBorders>
            <w:vAlign w:val="center"/>
            <w:hideMark/>
          </w:tcPr>
          <w:p w14:paraId="7387D089" w14:textId="77777777" w:rsidR="00AE767B" w:rsidRPr="00D92E20" w:rsidRDefault="00AE767B" w:rsidP="00C13658">
            <w:pPr>
              <w:spacing w:after="0" w:line="240" w:lineRule="auto"/>
              <w:rPr>
                <w:rFonts w:cs="Arial"/>
                <w:color w:val="000000"/>
                <w:sz w:val="16"/>
                <w:szCs w:val="16"/>
              </w:rPr>
            </w:pPr>
          </w:p>
        </w:tc>
        <w:tc>
          <w:tcPr>
            <w:tcW w:w="960" w:type="dxa"/>
            <w:vMerge w:val="restart"/>
            <w:tcBorders>
              <w:top w:val="nil"/>
              <w:left w:val="single" w:sz="4" w:space="0" w:color="auto"/>
              <w:bottom w:val="single" w:sz="4" w:space="0" w:color="auto"/>
              <w:right w:val="single" w:sz="4" w:space="0" w:color="auto"/>
            </w:tcBorders>
            <w:shd w:val="clear" w:color="000000" w:fill="F5DADD"/>
            <w:vAlign w:val="center"/>
            <w:hideMark/>
          </w:tcPr>
          <w:p w14:paraId="3C581FB1" w14:textId="77777777" w:rsidR="00AE767B" w:rsidRPr="00D92E20" w:rsidRDefault="00AE767B" w:rsidP="00C13658">
            <w:pPr>
              <w:spacing w:after="0" w:line="240" w:lineRule="auto"/>
              <w:jc w:val="center"/>
              <w:rPr>
                <w:rFonts w:cs="Arial"/>
                <w:b/>
                <w:color w:val="000000"/>
                <w:sz w:val="16"/>
                <w:szCs w:val="16"/>
              </w:rPr>
            </w:pPr>
            <w:r w:rsidRPr="00D92E20">
              <w:rPr>
                <w:rFonts w:cs="Arial"/>
                <w:b/>
                <w:color w:val="000000"/>
                <w:sz w:val="16"/>
                <w:szCs w:val="16"/>
              </w:rPr>
              <w:t>Celkem</w:t>
            </w:r>
          </w:p>
        </w:tc>
        <w:tc>
          <w:tcPr>
            <w:tcW w:w="1920" w:type="dxa"/>
            <w:gridSpan w:val="2"/>
            <w:tcBorders>
              <w:top w:val="single" w:sz="4" w:space="0" w:color="auto"/>
              <w:left w:val="nil"/>
              <w:bottom w:val="single" w:sz="4" w:space="0" w:color="auto"/>
              <w:right w:val="single" w:sz="4" w:space="0" w:color="auto"/>
            </w:tcBorders>
            <w:shd w:val="clear" w:color="000000" w:fill="F5DADD"/>
            <w:vAlign w:val="center"/>
            <w:hideMark/>
          </w:tcPr>
          <w:p w14:paraId="1BC48FF6"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podle pohlaví</w:t>
            </w:r>
          </w:p>
        </w:tc>
        <w:tc>
          <w:tcPr>
            <w:tcW w:w="960" w:type="dxa"/>
            <w:vMerge w:val="restart"/>
            <w:tcBorders>
              <w:top w:val="nil"/>
              <w:left w:val="single" w:sz="4" w:space="0" w:color="auto"/>
              <w:bottom w:val="single" w:sz="4" w:space="0" w:color="auto"/>
              <w:right w:val="single" w:sz="4" w:space="0" w:color="auto"/>
            </w:tcBorders>
            <w:shd w:val="clear" w:color="000000" w:fill="F5DADD"/>
            <w:vAlign w:val="center"/>
            <w:hideMark/>
          </w:tcPr>
          <w:p w14:paraId="5ED38EDB" w14:textId="77777777" w:rsidR="00AE767B" w:rsidRPr="00D92E20" w:rsidRDefault="00AE767B" w:rsidP="00C13658">
            <w:pPr>
              <w:spacing w:after="0" w:line="240" w:lineRule="auto"/>
              <w:jc w:val="center"/>
              <w:rPr>
                <w:rFonts w:cs="Arial"/>
                <w:b/>
                <w:color w:val="000000"/>
                <w:sz w:val="16"/>
                <w:szCs w:val="16"/>
              </w:rPr>
            </w:pPr>
            <w:r w:rsidRPr="00D92E20">
              <w:rPr>
                <w:rFonts w:cs="Arial"/>
                <w:b/>
                <w:color w:val="000000"/>
                <w:sz w:val="16"/>
                <w:szCs w:val="16"/>
              </w:rPr>
              <w:t>Celkem</w:t>
            </w:r>
          </w:p>
        </w:tc>
        <w:tc>
          <w:tcPr>
            <w:tcW w:w="1920" w:type="dxa"/>
            <w:gridSpan w:val="2"/>
            <w:tcBorders>
              <w:top w:val="single" w:sz="4" w:space="0" w:color="auto"/>
              <w:left w:val="nil"/>
              <w:bottom w:val="single" w:sz="4" w:space="0" w:color="auto"/>
              <w:right w:val="single" w:sz="4" w:space="0" w:color="auto"/>
            </w:tcBorders>
            <w:shd w:val="clear" w:color="000000" w:fill="F5DADD"/>
            <w:vAlign w:val="center"/>
            <w:hideMark/>
          </w:tcPr>
          <w:p w14:paraId="751C5420"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podle pohlaví</w:t>
            </w:r>
          </w:p>
        </w:tc>
        <w:tc>
          <w:tcPr>
            <w:tcW w:w="960" w:type="dxa"/>
            <w:vMerge w:val="restart"/>
            <w:tcBorders>
              <w:top w:val="nil"/>
              <w:left w:val="single" w:sz="4" w:space="0" w:color="auto"/>
              <w:bottom w:val="single" w:sz="4" w:space="0" w:color="auto"/>
              <w:right w:val="single" w:sz="4" w:space="0" w:color="auto"/>
            </w:tcBorders>
            <w:shd w:val="clear" w:color="000000" w:fill="F5DADD"/>
            <w:vAlign w:val="center"/>
            <w:hideMark/>
          </w:tcPr>
          <w:p w14:paraId="5AD45765" w14:textId="77777777" w:rsidR="00AE767B" w:rsidRPr="00D92E20" w:rsidRDefault="00AE767B" w:rsidP="00C13658">
            <w:pPr>
              <w:spacing w:after="0" w:line="240" w:lineRule="auto"/>
              <w:jc w:val="center"/>
              <w:rPr>
                <w:rFonts w:cs="Arial"/>
                <w:b/>
                <w:color w:val="000000"/>
                <w:sz w:val="16"/>
                <w:szCs w:val="16"/>
              </w:rPr>
            </w:pPr>
            <w:r w:rsidRPr="00D92E20">
              <w:rPr>
                <w:rFonts w:cs="Arial"/>
                <w:b/>
                <w:color w:val="000000"/>
                <w:sz w:val="16"/>
                <w:szCs w:val="16"/>
              </w:rPr>
              <w:t>Celkem</w:t>
            </w:r>
          </w:p>
        </w:tc>
        <w:tc>
          <w:tcPr>
            <w:tcW w:w="1920" w:type="dxa"/>
            <w:gridSpan w:val="2"/>
            <w:tcBorders>
              <w:top w:val="single" w:sz="4" w:space="0" w:color="auto"/>
              <w:left w:val="nil"/>
              <w:bottom w:val="single" w:sz="4" w:space="0" w:color="auto"/>
            </w:tcBorders>
            <w:shd w:val="clear" w:color="000000" w:fill="F5DADD"/>
            <w:vAlign w:val="center"/>
            <w:hideMark/>
          </w:tcPr>
          <w:p w14:paraId="1F299CA1"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podle pohlaví</w:t>
            </w:r>
          </w:p>
        </w:tc>
      </w:tr>
      <w:tr w:rsidR="00AE767B" w:rsidRPr="00D92E20" w14:paraId="35908494" w14:textId="77777777" w:rsidTr="00C13658">
        <w:trPr>
          <w:trHeight w:val="300"/>
        </w:trPr>
        <w:tc>
          <w:tcPr>
            <w:tcW w:w="960" w:type="dxa"/>
            <w:vMerge/>
            <w:tcBorders>
              <w:top w:val="single" w:sz="4" w:space="0" w:color="auto"/>
              <w:left w:val="nil"/>
              <w:bottom w:val="single" w:sz="4" w:space="0" w:color="auto"/>
              <w:right w:val="single" w:sz="4" w:space="0" w:color="auto"/>
            </w:tcBorders>
            <w:vAlign w:val="center"/>
            <w:hideMark/>
          </w:tcPr>
          <w:p w14:paraId="03880F39" w14:textId="77777777" w:rsidR="00AE767B" w:rsidRPr="00D92E20" w:rsidRDefault="00AE767B" w:rsidP="00C13658">
            <w:pPr>
              <w:spacing w:after="0" w:line="240" w:lineRule="auto"/>
              <w:rPr>
                <w:rFonts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15BCBF0C" w14:textId="77777777" w:rsidR="00AE767B" w:rsidRPr="00D92E20" w:rsidRDefault="00AE767B" w:rsidP="00C13658">
            <w:pPr>
              <w:spacing w:after="0" w:line="240" w:lineRule="auto"/>
              <w:rPr>
                <w:rFonts w:cs="Arial"/>
                <w:color w:val="000000"/>
                <w:sz w:val="16"/>
                <w:szCs w:val="16"/>
              </w:rPr>
            </w:pPr>
          </w:p>
        </w:tc>
        <w:tc>
          <w:tcPr>
            <w:tcW w:w="960" w:type="dxa"/>
            <w:tcBorders>
              <w:top w:val="nil"/>
              <w:left w:val="nil"/>
              <w:bottom w:val="single" w:sz="4" w:space="0" w:color="auto"/>
              <w:right w:val="single" w:sz="4" w:space="0" w:color="auto"/>
            </w:tcBorders>
            <w:shd w:val="clear" w:color="000000" w:fill="F5DADD"/>
            <w:vAlign w:val="center"/>
            <w:hideMark/>
          </w:tcPr>
          <w:p w14:paraId="04F9F1D3"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muži</w:t>
            </w:r>
          </w:p>
        </w:tc>
        <w:tc>
          <w:tcPr>
            <w:tcW w:w="960" w:type="dxa"/>
            <w:tcBorders>
              <w:top w:val="nil"/>
              <w:left w:val="nil"/>
              <w:bottom w:val="single" w:sz="4" w:space="0" w:color="auto"/>
              <w:right w:val="single" w:sz="4" w:space="0" w:color="auto"/>
            </w:tcBorders>
            <w:shd w:val="clear" w:color="000000" w:fill="F5DADD"/>
            <w:vAlign w:val="center"/>
            <w:hideMark/>
          </w:tcPr>
          <w:p w14:paraId="03BEE38E"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ženy</w:t>
            </w:r>
          </w:p>
        </w:tc>
        <w:tc>
          <w:tcPr>
            <w:tcW w:w="960" w:type="dxa"/>
            <w:vMerge/>
            <w:tcBorders>
              <w:top w:val="nil"/>
              <w:left w:val="single" w:sz="4" w:space="0" w:color="auto"/>
              <w:bottom w:val="single" w:sz="4" w:space="0" w:color="auto"/>
              <w:right w:val="single" w:sz="4" w:space="0" w:color="auto"/>
            </w:tcBorders>
            <w:vAlign w:val="center"/>
            <w:hideMark/>
          </w:tcPr>
          <w:p w14:paraId="4D2C5F08" w14:textId="77777777" w:rsidR="00AE767B" w:rsidRPr="00D92E20" w:rsidRDefault="00AE767B" w:rsidP="00C13658">
            <w:pPr>
              <w:spacing w:after="0" w:line="240" w:lineRule="auto"/>
              <w:rPr>
                <w:rFonts w:cs="Arial"/>
                <w:color w:val="000000"/>
                <w:sz w:val="16"/>
                <w:szCs w:val="16"/>
              </w:rPr>
            </w:pPr>
          </w:p>
        </w:tc>
        <w:tc>
          <w:tcPr>
            <w:tcW w:w="960" w:type="dxa"/>
            <w:tcBorders>
              <w:top w:val="nil"/>
              <w:left w:val="nil"/>
              <w:bottom w:val="single" w:sz="4" w:space="0" w:color="auto"/>
              <w:right w:val="single" w:sz="4" w:space="0" w:color="auto"/>
            </w:tcBorders>
            <w:shd w:val="clear" w:color="000000" w:fill="F5DADD"/>
            <w:vAlign w:val="center"/>
            <w:hideMark/>
          </w:tcPr>
          <w:p w14:paraId="3A468255"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muži</w:t>
            </w:r>
          </w:p>
        </w:tc>
        <w:tc>
          <w:tcPr>
            <w:tcW w:w="960" w:type="dxa"/>
            <w:tcBorders>
              <w:top w:val="nil"/>
              <w:left w:val="nil"/>
              <w:bottom w:val="single" w:sz="4" w:space="0" w:color="auto"/>
              <w:right w:val="single" w:sz="4" w:space="0" w:color="auto"/>
            </w:tcBorders>
            <w:shd w:val="clear" w:color="000000" w:fill="F5DADD"/>
            <w:vAlign w:val="center"/>
            <w:hideMark/>
          </w:tcPr>
          <w:p w14:paraId="3E02DB35"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ženy</w:t>
            </w:r>
          </w:p>
        </w:tc>
        <w:tc>
          <w:tcPr>
            <w:tcW w:w="960" w:type="dxa"/>
            <w:vMerge/>
            <w:tcBorders>
              <w:top w:val="nil"/>
              <w:left w:val="single" w:sz="4" w:space="0" w:color="auto"/>
              <w:bottom w:val="single" w:sz="4" w:space="0" w:color="auto"/>
              <w:right w:val="single" w:sz="4" w:space="0" w:color="auto"/>
            </w:tcBorders>
            <w:vAlign w:val="center"/>
            <w:hideMark/>
          </w:tcPr>
          <w:p w14:paraId="0EA0626A" w14:textId="77777777" w:rsidR="00AE767B" w:rsidRPr="00D92E20" w:rsidRDefault="00AE767B" w:rsidP="00C13658">
            <w:pPr>
              <w:spacing w:after="0" w:line="240" w:lineRule="auto"/>
              <w:rPr>
                <w:rFonts w:cs="Arial"/>
                <w:color w:val="000000"/>
                <w:sz w:val="16"/>
                <w:szCs w:val="16"/>
              </w:rPr>
            </w:pPr>
          </w:p>
        </w:tc>
        <w:tc>
          <w:tcPr>
            <w:tcW w:w="960" w:type="dxa"/>
            <w:tcBorders>
              <w:top w:val="nil"/>
              <w:left w:val="nil"/>
              <w:bottom w:val="single" w:sz="4" w:space="0" w:color="auto"/>
              <w:right w:val="single" w:sz="4" w:space="0" w:color="auto"/>
            </w:tcBorders>
            <w:shd w:val="clear" w:color="000000" w:fill="F5DADD"/>
            <w:vAlign w:val="center"/>
            <w:hideMark/>
          </w:tcPr>
          <w:p w14:paraId="39EC2E09"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muži</w:t>
            </w:r>
          </w:p>
        </w:tc>
        <w:tc>
          <w:tcPr>
            <w:tcW w:w="960" w:type="dxa"/>
            <w:tcBorders>
              <w:top w:val="nil"/>
              <w:left w:val="nil"/>
              <w:bottom w:val="single" w:sz="4" w:space="0" w:color="auto"/>
              <w:right w:val="nil"/>
            </w:tcBorders>
            <w:shd w:val="clear" w:color="000000" w:fill="F5DADD"/>
            <w:vAlign w:val="center"/>
            <w:hideMark/>
          </w:tcPr>
          <w:p w14:paraId="34AEEB95"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ženy</w:t>
            </w:r>
          </w:p>
        </w:tc>
      </w:tr>
      <w:tr w:rsidR="00AE767B" w:rsidRPr="00D92E20" w14:paraId="33530D7A"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043AE641"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2011</w:t>
            </w:r>
          </w:p>
        </w:tc>
        <w:tc>
          <w:tcPr>
            <w:tcW w:w="960" w:type="dxa"/>
            <w:tcBorders>
              <w:top w:val="nil"/>
              <w:left w:val="nil"/>
              <w:bottom w:val="nil"/>
              <w:right w:val="nil"/>
            </w:tcBorders>
            <w:shd w:val="clear" w:color="auto" w:fill="auto"/>
            <w:noWrap/>
            <w:vAlign w:val="center"/>
            <w:hideMark/>
          </w:tcPr>
          <w:p w14:paraId="629FFFD6"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47 111</w:t>
            </w:r>
          </w:p>
        </w:tc>
        <w:tc>
          <w:tcPr>
            <w:tcW w:w="960" w:type="dxa"/>
            <w:tcBorders>
              <w:top w:val="nil"/>
              <w:left w:val="nil"/>
              <w:bottom w:val="nil"/>
              <w:right w:val="nil"/>
            </w:tcBorders>
            <w:shd w:val="clear" w:color="auto" w:fill="auto"/>
            <w:noWrap/>
            <w:vAlign w:val="center"/>
            <w:hideMark/>
          </w:tcPr>
          <w:p w14:paraId="2F26A5BC"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33 619</w:t>
            </w:r>
          </w:p>
        </w:tc>
        <w:tc>
          <w:tcPr>
            <w:tcW w:w="960" w:type="dxa"/>
            <w:tcBorders>
              <w:top w:val="nil"/>
              <w:left w:val="nil"/>
              <w:bottom w:val="nil"/>
              <w:right w:val="single" w:sz="4" w:space="0" w:color="auto"/>
            </w:tcBorders>
            <w:shd w:val="clear" w:color="auto" w:fill="auto"/>
            <w:noWrap/>
            <w:vAlign w:val="center"/>
            <w:hideMark/>
          </w:tcPr>
          <w:p w14:paraId="78B0F3D6"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13 492</w:t>
            </w:r>
          </w:p>
        </w:tc>
        <w:tc>
          <w:tcPr>
            <w:tcW w:w="960" w:type="dxa"/>
            <w:tcBorders>
              <w:top w:val="nil"/>
              <w:left w:val="nil"/>
              <w:bottom w:val="nil"/>
              <w:right w:val="nil"/>
            </w:tcBorders>
            <w:shd w:val="clear" w:color="auto" w:fill="auto"/>
            <w:noWrap/>
            <w:vAlign w:val="center"/>
            <w:hideMark/>
          </w:tcPr>
          <w:p w14:paraId="37875114"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45 482</w:t>
            </w:r>
          </w:p>
        </w:tc>
        <w:tc>
          <w:tcPr>
            <w:tcW w:w="960" w:type="dxa"/>
            <w:tcBorders>
              <w:top w:val="nil"/>
              <w:left w:val="nil"/>
              <w:bottom w:val="nil"/>
              <w:right w:val="nil"/>
            </w:tcBorders>
            <w:shd w:val="clear" w:color="auto" w:fill="auto"/>
            <w:vAlign w:val="center"/>
            <w:hideMark/>
          </w:tcPr>
          <w:p w14:paraId="5D3E3B50"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32 354</w:t>
            </w:r>
          </w:p>
        </w:tc>
        <w:tc>
          <w:tcPr>
            <w:tcW w:w="960" w:type="dxa"/>
            <w:tcBorders>
              <w:top w:val="nil"/>
              <w:left w:val="nil"/>
              <w:bottom w:val="nil"/>
              <w:right w:val="single" w:sz="4" w:space="0" w:color="auto"/>
            </w:tcBorders>
            <w:shd w:val="clear" w:color="auto" w:fill="auto"/>
            <w:vAlign w:val="center"/>
            <w:hideMark/>
          </w:tcPr>
          <w:p w14:paraId="37765E1B"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13 128</w:t>
            </w:r>
          </w:p>
        </w:tc>
        <w:tc>
          <w:tcPr>
            <w:tcW w:w="960" w:type="dxa"/>
            <w:tcBorders>
              <w:top w:val="nil"/>
              <w:left w:val="nil"/>
              <w:bottom w:val="nil"/>
              <w:right w:val="nil"/>
            </w:tcBorders>
            <w:shd w:val="clear" w:color="auto" w:fill="auto"/>
            <w:vAlign w:val="center"/>
            <w:hideMark/>
          </w:tcPr>
          <w:p w14:paraId="5304F6D1"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125</w:t>
            </w:r>
          </w:p>
        </w:tc>
        <w:tc>
          <w:tcPr>
            <w:tcW w:w="960" w:type="dxa"/>
            <w:tcBorders>
              <w:top w:val="nil"/>
              <w:left w:val="nil"/>
              <w:bottom w:val="nil"/>
              <w:right w:val="nil"/>
            </w:tcBorders>
            <w:shd w:val="clear" w:color="auto" w:fill="auto"/>
            <w:vAlign w:val="center"/>
            <w:hideMark/>
          </w:tcPr>
          <w:p w14:paraId="007D94EF"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117</w:t>
            </w:r>
          </w:p>
        </w:tc>
        <w:tc>
          <w:tcPr>
            <w:tcW w:w="960" w:type="dxa"/>
            <w:tcBorders>
              <w:top w:val="nil"/>
              <w:left w:val="nil"/>
              <w:bottom w:val="nil"/>
              <w:right w:val="nil"/>
            </w:tcBorders>
            <w:shd w:val="clear" w:color="auto" w:fill="auto"/>
            <w:vAlign w:val="center"/>
            <w:hideMark/>
          </w:tcPr>
          <w:p w14:paraId="6CC7429A"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8</w:t>
            </w:r>
          </w:p>
        </w:tc>
      </w:tr>
      <w:tr w:rsidR="00AE767B" w:rsidRPr="00D92E20" w14:paraId="2F2BBFEF"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1438C62F"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2012</w:t>
            </w:r>
          </w:p>
        </w:tc>
        <w:tc>
          <w:tcPr>
            <w:tcW w:w="960" w:type="dxa"/>
            <w:tcBorders>
              <w:top w:val="nil"/>
              <w:left w:val="nil"/>
              <w:bottom w:val="nil"/>
              <w:right w:val="nil"/>
            </w:tcBorders>
            <w:shd w:val="clear" w:color="auto" w:fill="auto"/>
            <w:noWrap/>
            <w:vAlign w:val="center"/>
            <w:hideMark/>
          </w:tcPr>
          <w:p w14:paraId="6117A9C7"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44 108</w:t>
            </w:r>
          </w:p>
        </w:tc>
        <w:tc>
          <w:tcPr>
            <w:tcW w:w="960" w:type="dxa"/>
            <w:tcBorders>
              <w:top w:val="nil"/>
              <w:left w:val="nil"/>
              <w:bottom w:val="nil"/>
              <w:right w:val="nil"/>
            </w:tcBorders>
            <w:shd w:val="clear" w:color="auto" w:fill="auto"/>
            <w:noWrap/>
            <w:vAlign w:val="center"/>
            <w:hideMark/>
          </w:tcPr>
          <w:p w14:paraId="63D913AD"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31 455</w:t>
            </w:r>
          </w:p>
        </w:tc>
        <w:tc>
          <w:tcPr>
            <w:tcW w:w="960" w:type="dxa"/>
            <w:tcBorders>
              <w:top w:val="nil"/>
              <w:left w:val="nil"/>
              <w:bottom w:val="nil"/>
              <w:right w:val="single" w:sz="4" w:space="0" w:color="auto"/>
            </w:tcBorders>
            <w:shd w:val="clear" w:color="auto" w:fill="auto"/>
            <w:noWrap/>
            <w:vAlign w:val="center"/>
            <w:hideMark/>
          </w:tcPr>
          <w:p w14:paraId="19D4D2A1"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12 653</w:t>
            </w:r>
          </w:p>
        </w:tc>
        <w:tc>
          <w:tcPr>
            <w:tcW w:w="960" w:type="dxa"/>
            <w:tcBorders>
              <w:top w:val="nil"/>
              <w:left w:val="nil"/>
              <w:bottom w:val="nil"/>
              <w:right w:val="nil"/>
            </w:tcBorders>
            <w:shd w:val="clear" w:color="auto" w:fill="auto"/>
            <w:noWrap/>
            <w:vAlign w:val="center"/>
            <w:hideMark/>
          </w:tcPr>
          <w:p w14:paraId="14A12ADB"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43 543</w:t>
            </w:r>
          </w:p>
        </w:tc>
        <w:tc>
          <w:tcPr>
            <w:tcW w:w="960" w:type="dxa"/>
            <w:tcBorders>
              <w:top w:val="nil"/>
              <w:left w:val="nil"/>
              <w:bottom w:val="nil"/>
              <w:right w:val="nil"/>
            </w:tcBorders>
            <w:shd w:val="clear" w:color="auto" w:fill="auto"/>
            <w:vAlign w:val="center"/>
            <w:hideMark/>
          </w:tcPr>
          <w:p w14:paraId="05F5C82A"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31 019</w:t>
            </w:r>
          </w:p>
        </w:tc>
        <w:tc>
          <w:tcPr>
            <w:tcW w:w="960" w:type="dxa"/>
            <w:tcBorders>
              <w:top w:val="nil"/>
              <w:left w:val="nil"/>
              <w:bottom w:val="nil"/>
              <w:right w:val="single" w:sz="4" w:space="0" w:color="auto"/>
            </w:tcBorders>
            <w:shd w:val="clear" w:color="auto" w:fill="auto"/>
            <w:vAlign w:val="center"/>
            <w:hideMark/>
          </w:tcPr>
          <w:p w14:paraId="410C9400"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12 524</w:t>
            </w:r>
          </w:p>
        </w:tc>
        <w:tc>
          <w:tcPr>
            <w:tcW w:w="960" w:type="dxa"/>
            <w:tcBorders>
              <w:top w:val="nil"/>
              <w:left w:val="nil"/>
              <w:bottom w:val="nil"/>
              <w:right w:val="nil"/>
            </w:tcBorders>
            <w:shd w:val="clear" w:color="auto" w:fill="auto"/>
            <w:vAlign w:val="center"/>
            <w:hideMark/>
          </w:tcPr>
          <w:p w14:paraId="1A96AC4E"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113</w:t>
            </w:r>
          </w:p>
        </w:tc>
        <w:tc>
          <w:tcPr>
            <w:tcW w:w="960" w:type="dxa"/>
            <w:tcBorders>
              <w:top w:val="nil"/>
              <w:left w:val="nil"/>
              <w:bottom w:val="nil"/>
              <w:right w:val="nil"/>
            </w:tcBorders>
            <w:shd w:val="clear" w:color="auto" w:fill="auto"/>
            <w:vAlign w:val="center"/>
            <w:hideMark/>
          </w:tcPr>
          <w:p w14:paraId="215CD9D2"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111</w:t>
            </w:r>
          </w:p>
        </w:tc>
        <w:tc>
          <w:tcPr>
            <w:tcW w:w="960" w:type="dxa"/>
            <w:tcBorders>
              <w:top w:val="nil"/>
              <w:left w:val="nil"/>
              <w:bottom w:val="nil"/>
              <w:right w:val="nil"/>
            </w:tcBorders>
            <w:shd w:val="clear" w:color="auto" w:fill="auto"/>
            <w:vAlign w:val="center"/>
            <w:hideMark/>
          </w:tcPr>
          <w:p w14:paraId="021D0A96"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2</w:t>
            </w:r>
          </w:p>
        </w:tc>
      </w:tr>
      <w:tr w:rsidR="00AE767B" w:rsidRPr="00D92E20" w14:paraId="2B5034FD"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3C6F0A72"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2013</w:t>
            </w:r>
          </w:p>
        </w:tc>
        <w:tc>
          <w:tcPr>
            <w:tcW w:w="960" w:type="dxa"/>
            <w:tcBorders>
              <w:top w:val="nil"/>
              <w:left w:val="nil"/>
              <w:bottom w:val="nil"/>
              <w:right w:val="nil"/>
            </w:tcBorders>
            <w:shd w:val="clear" w:color="auto" w:fill="auto"/>
            <w:noWrap/>
            <w:vAlign w:val="center"/>
            <w:hideMark/>
          </w:tcPr>
          <w:p w14:paraId="0AF080FF"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42 927</w:t>
            </w:r>
          </w:p>
        </w:tc>
        <w:tc>
          <w:tcPr>
            <w:tcW w:w="960" w:type="dxa"/>
            <w:tcBorders>
              <w:top w:val="nil"/>
              <w:left w:val="nil"/>
              <w:bottom w:val="nil"/>
              <w:right w:val="nil"/>
            </w:tcBorders>
            <w:shd w:val="clear" w:color="auto" w:fill="auto"/>
            <w:noWrap/>
            <w:vAlign w:val="center"/>
            <w:hideMark/>
          </w:tcPr>
          <w:p w14:paraId="47917859"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30 418</w:t>
            </w:r>
          </w:p>
        </w:tc>
        <w:tc>
          <w:tcPr>
            <w:tcW w:w="960" w:type="dxa"/>
            <w:tcBorders>
              <w:top w:val="nil"/>
              <w:left w:val="nil"/>
              <w:bottom w:val="nil"/>
              <w:right w:val="single" w:sz="4" w:space="0" w:color="auto"/>
            </w:tcBorders>
            <w:shd w:val="clear" w:color="auto" w:fill="auto"/>
            <w:noWrap/>
            <w:vAlign w:val="center"/>
            <w:hideMark/>
          </w:tcPr>
          <w:p w14:paraId="32C2D3A3"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12 509</w:t>
            </w:r>
          </w:p>
        </w:tc>
        <w:tc>
          <w:tcPr>
            <w:tcW w:w="960" w:type="dxa"/>
            <w:tcBorders>
              <w:top w:val="nil"/>
              <w:left w:val="nil"/>
              <w:bottom w:val="nil"/>
              <w:right w:val="nil"/>
            </w:tcBorders>
            <w:shd w:val="clear" w:color="auto" w:fill="auto"/>
            <w:noWrap/>
            <w:vAlign w:val="center"/>
            <w:hideMark/>
          </w:tcPr>
          <w:p w14:paraId="773DDDDE"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42 355</w:t>
            </w:r>
          </w:p>
        </w:tc>
        <w:tc>
          <w:tcPr>
            <w:tcW w:w="960" w:type="dxa"/>
            <w:tcBorders>
              <w:top w:val="nil"/>
              <w:left w:val="nil"/>
              <w:bottom w:val="nil"/>
              <w:right w:val="nil"/>
            </w:tcBorders>
            <w:shd w:val="clear" w:color="auto" w:fill="auto"/>
            <w:vAlign w:val="center"/>
            <w:hideMark/>
          </w:tcPr>
          <w:p w14:paraId="1B757CB2"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29 955</w:t>
            </w:r>
          </w:p>
        </w:tc>
        <w:tc>
          <w:tcPr>
            <w:tcW w:w="960" w:type="dxa"/>
            <w:tcBorders>
              <w:top w:val="nil"/>
              <w:left w:val="nil"/>
              <w:bottom w:val="nil"/>
              <w:right w:val="single" w:sz="4" w:space="0" w:color="auto"/>
            </w:tcBorders>
            <w:shd w:val="clear" w:color="auto" w:fill="auto"/>
            <w:vAlign w:val="center"/>
            <w:hideMark/>
          </w:tcPr>
          <w:p w14:paraId="053D73A3"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12 400</w:t>
            </w:r>
          </w:p>
        </w:tc>
        <w:tc>
          <w:tcPr>
            <w:tcW w:w="960" w:type="dxa"/>
            <w:tcBorders>
              <w:top w:val="nil"/>
              <w:left w:val="nil"/>
              <w:bottom w:val="nil"/>
              <w:right w:val="nil"/>
            </w:tcBorders>
            <w:shd w:val="clear" w:color="auto" w:fill="auto"/>
            <w:vAlign w:val="center"/>
            <w:hideMark/>
          </w:tcPr>
          <w:p w14:paraId="2189E5D2"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113</w:t>
            </w:r>
          </w:p>
        </w:tc>
        <w:tc>
          <w:tcPr>
            <w:tcW w:w="960" w:type="dxa"/>
            <w:tcBorders>
              <w:top w:val="nil"/>
              <w:left w:val="nil"/>
              <w:bottom w:val="nil"/>
              <w:right w:val="nil"/>
            </w:tcBorders>
            <w:shd w:val="clear" w:color="auto" w:fill="auto"/>
            <w:vAlign w:val="center"/>
            <w:hideMark/>
          </w:tcPr>
          <w:p w14:paraId="42426635"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106</w:t>
            </w:r>
          </w:p>
        </w:tc>
        <w:tc>
          <w:tcPr>
            <w:tcW w:w="960" w:type="dxa"/>
            <w:tcBorders>
              <w:top w:val="nil"/>
              <w:left w:val="nil"/>
              <w:bottom w:val="nil"/>
              <w:right w:val="nil"/>
            </w:tcBorders>
            <w:shd w:val="clear" w:color="auto" w:fill="auto"/>
            <w:vAlign w:val="center"/>
            <w:hideMark/>
          </w:tcPr>
          <w:p w14:paraId="0857CC95"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7</w:t>
            </w:r>
          </w:p>
        </w:tc>
      </w:tr>
      <w:tr w:rsidR="00AE767B" w:rsidRPr="00D92E20" w14:paraId="65AD52BA"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3F0DA4FA"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2014</w:t>
            </w:r>
          </w:p>
        </w:tc>
        <w:tc>
          <w:tcPr>
            <w:tcW w:w="960" w:type="dxa"/>
            <w:tcBorders>
              <w:top w:val="nil"/>
              <w:left w:val="nil"/>
              <w:bottom w:val="nil"/>
              <w:right w:val="nil"/>
            </w:tcBorders>
            <w:shd w:val="clear" w:color="auto" w:fill="auto"/>
            <w:vAlign w:val="center"/>
            <w:hideMark/>
          </w:tcPr>
          <w:p w14:paraId="097EE736"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45 058</w:t>
            </w:r>
          </w:p>
        </w:tc>
        <w:tc>
          <w:tcPr>
            <w:tcW w:w="960" w:type="dxa"/>
            <w:tcBorders>
              <w:top w:val="nil"/>
              <w:left w:val="nil"/>
              <w:bottom w:val="nil"/>
              <w:right w:val="nil"/>
            </w:tcBorders>
            <w:shd w:val="clear" w:color="auto" w:fill="auto"/>
            <w:noWrap/>
            <w:vAlign w:val="center"/>
            <w:hideMark/>
          </w:tcPr>
          <w:p w14:paraId="6478B4AB"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31 737</w:t>
            </w:r>
          </w:p>
        </w:tc>
        <w:tc>
          <w:tcPr>
            <w:tcW w:w="960" w:type="dxa"/>
            <w:tcBorders>
              <w:top w:val="nil"/>
              <w:left w:val="nil"/>
              <w:bottom w:val="nil"/>
              <w:right w:val="single" w:sz="4" w:space="0" w:color="auto"/>
            </w:tcBorders>
            <w:shd w:val="clear" w:color="auto" w:fill="auto"/>
            <w:noWrap/>
            <w:vAlign w:val="center"/>
            <w:hideMark/>
          </w:tcPr>
          <w:p w14:paraId="05B7EADA"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13 321</w:t>
            </w:r>
          </w:p>
        </w:tc>
        <w:tc>
          <w:tcPr>
            <w:tcW w:w="960" w:type="dxa"/>
            <w:tcBorders>
              <w:top w:val="nil"/>
              <w:left w:val="nil"/>
              <w:bottom w:val="nil"/>
              <w:right w:val="nil"/>
            </w:tcBorders>
            <w:shd w:val="clear" w:color="auto" w:fill="auto"/>
            <w:noWrap/>
            <w:vAlign w:val="center"/>
            <w:hideMark/>
          </w:tcPr>
          <w:p w14:paraId="7BB961CB"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44 301</w:t>
            </w:r>
          </w:p>
        </w:tc>
        <w:tc>
          <w:tcPr>
            <w:tcW w:w="960" w:type="dxa"/>
            <w:tcBorders>
              <w:top w:val="nil"/>
              <w:left w:val="nil"/>
              <w:bottom w:val="nil"/>
              <w:right w:val="nil"/>
            </w:tcBorders>
            <w:shd w:val="clear" w:color="auto" w:fill="auto"/>
            <w:vAlign w:val="center"/>
            <w:hideMark/>
          </w:tcPr>
          <w:p w14:paraId="11E99638"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31 188</w:t>
            </w:r>
          </w:p>
        </w:tc>
        <w:tc>
          <w:tcPr>
            <w:tcW w:w="960" w:type="dxa"/>
            <w:tcBorders>
              <w:top w:val="nil"/>
              <w:left w:val="nil"/>
              <w:bottom w:val="nil"/>
              <w:right w:val="single" w:sz="4" w:space="0" w:color="auto"/>
            </w:tcBorders>
            <w:shd w:val="clear" w:color="auto" w:fill="auto"/>
            <w:vAlign w:val="center"/>
            <w:hideMark/>
          </w:tcPr>
          <w:p w14:paraId="4934A45B"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13 113</w:t>
            </w:r>
          </w:p>
        </w:tc>
        <w:tc>
          <w:tcPr>
            <w:tcW w:w="960" w:type="dxa"/>
            <w:tcBorders>
              <w:top w:val="nil"/>
              <w:left w:val="nil"/>
              <w:bottom w:val="nil"/>
              <w:right w:val="nil"/>
            </w:tcBorders>
            <w:shd w:val="clear" w:color="auto" w:fill="auto"/>
            <w:vAlign w:val="center"/>
            <w:hideMark/>
          </w:tcPr>
          <w:p w14:paraId="039211E0"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117</w:t>
            </w:r>
          </w:p>
        </w:tc>
        <w:tc>
          <w:tcPr>
            <w:tcW w:w="960" w:type="dxa"/>
            <w:tcBorders>
              <w:top w:val="nil"/>
              <w:left w:val="nil"/>
              <w:bottom w:val="nil"/>
              <w:right w:val="nil"/>
            </w:tcBorders>
            <w:shd w:val="clear" w:color="auto" w:fill="auto"/>
            <w:vAlign w:val="center"/>
            <w:hideMark/>
          </w:tcPr>
          <w:p w14:paraId="15C4778C"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115</w:t>
            </w:r>
          </w:p>
        </w:tc>
        <w:tc>
          <w:tcPr>
            <w:tcW w:w="960" w:type="dxa"/>
            <w:tcBorders>
              <w:top w:val="nil"/>
              <w:left w:val="nil"/>
              <w:bottom w:val="nil"/>
              <w:right w:val="nil"/>
            </w:tcBorders>
            <w:shd w:val="clear" w:color="auto" w:fill="auto"/>
            <w:vAlign w:val="center"/>
            <w:hideMark/>
          </w:tcPr>
          <w:p w14:paraId="2D2B000A"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2</w:t>
            </w:r>
          </w:p>
        </w:tc>
      </w:tr>
      <w:tr w:rsidR="00AE767B" w:rsidRPr="00D92E20" w14:paraId="5A266680"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454B9445"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2015</w:t>
            </w:r>
          </w:p>
        </w:tc>
        <w:tc>
          <w:tcPr>
            <w:tcW w:w="960" w:type="dxa"/>
            <w:tcBorders>
              <w:top w:val="nil"/>
              <w:left w:val="nil"/>
              <w:bottom w:val="nil"/>
              <w:right w:val="nil"/>
            </w:tcBorders>
            <w:shd w:val="clear" w:color="auto" w:fill="auto"/>
            <w:noWrap/>
            <w:vAlign w:val="center"/>
            <w:hideMark/>
          </w:tcPr>
          <w:p w14:paraId="7F83E7B7"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46 331</w:t>
            </w:r>
          </w:p>
        </w:tc>
        <w:tc>
          <w:tcPr>
            <w:tcW w:w="960" w:type="dxa"/>
            <w:tcBorders>
              <w:top w:val="nil"/>
              <w:left w:val="nil"/>
              <w:bottom w:val="nil"/>
              <w:right w:val="nil"/>
            </w:tcBorders>
            <w:shd w:val="clear" w:color="auto" w:fill="auto"/>
            <w:noWrap/>
            <w:vAlign w:val="center"/>
            <w:hideMark/>
          </w:tcPr>
          <w:p w14:paraId="025D50B8"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32 117</w:t>
            </w:r>
          </w:p>
        </w:tc>
        <w:tc>
          <w:tcPr>
            <w:tcW w:w="960" w:type="dxa"/>
            <w:tcBorders>
              <w:top w:val="nil"/>
              <w:left w:val="nil"/>
              <w:bottom w:val="nil"/>
              <w:right w:val="single" w:sz="4" w:space="0" w:color="auto"/>
            </w:tcBorders>
            <w:shd w:val="clear" w:color="auto" w:fill="auto"/>
            <w:noWrap/>
            <w:vAlign w:val="center"/>
            <w:hideMark/>
          </w:tcPr>
          <w:p w14:paraId="50EE526C"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14 214</w:t>
            </w:r>
          </w:p>
        </w:tc>
        <w:tc>
          <w:tcPr>
            <w:tcW w:w="960" w:type="dxa"/>
            <w:tcBorders>
              <w:top w:val="nil"/>
              <w:left w:val="nil"/>
              <w:bottom w:val="nil"/>
              <w:right w:val="nil"/>
            </w:tcBorders>
            <w:shd w:val="clear" w:color="auto" w:fill="auto"/>
            <w:noWrap/>
            <w:vAlign w:val="center"/>
            <w:hideMark/>
          </w:tcPr>
          <w:p w14:paraId="61DCE030"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45 621</w:t>
            </w:r>
          </w:p>
        </w:tc>
        <w:tc>
          <w:tcPr>
            <w:tcW w:w="960" w:type="dxa"/>
            <w:tcBorders>
              <w:top w:val="nil"/>
              <w:left w:val="nil"/>
              <w:bottom w:val="nil"/>
              <w:right w:val="nil"/>
            </w:tcBorders>
            <w:shd w:val="clear" w:color="auto" w:fill="auto"/>
            <w:vAlign w:val="center"/>
            <w:hideMark/>
          </w:tcPr>
          <w:p w14:paraId="719171F1"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31 605</w:t>
            </w:r>
          </w:p>
        </w:tc>
        <w:tc>
          <w:tcPr>
            <w:tcW w:w="960" w:type="dxa"/>
            <w:tcBorders>
              <w:top w:val="nil"/>
              <w:left w:val="nil"/>
              <w:bottom w:val="nil"/>
              <w:right w:val="single" w:sz="4" w:space="0" w:color="auto"/>
            </w:tcBorders>
            <w:shd w:val="clear" w:color="auto" w:fill="auto"/>
            <w:vAlign w:val="center"/>
            <w:hideMark/>
          </w:tcPr>
          <w:p w14:paraId="73CD28F4"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14 016</w:t>
            </w:r>
          </w:p>
        </w:tc>
        <w:tc>
          <w:tcPr>
            <w:tcW w:w="960" w:type="dxa"/>
            <w:tcBorders>
              <w:top w:val="nil"/>
              <w:left w:val="nil"/>
              <w:bottom w:val="nil"/>
              <w:right w:val="nil"/>
            </w:tcBorders>
            <w:shd w:val="clear" w:color="auto" w:fill="auto"/>
            <w:vAlign w:val="center"/>
            <w:hideMark/>
          </w:tcPr>
          <w:p w14:paraId="20A902F7"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131</w:t>
            </w:r>
          </w:p>
        </w:tc>
        <w:tc>
          <w:tcPr>
            <w:tcW w:w="960" w:type="dxa"/>
            <w:tcBorders>
              <w:top w:val="nil"/>
              <w:left w:val="nil"/>
              <w:bottom w:val="nil"/>
              <w:right w:val="nil"/>
            </w:tcBorders>
            <w:shd w:val="clear" w:color="auto" w:fill="auto"/>
            <w:vAlign w:val="center"/>
            <w:hideMark/>
          </w:tcPr>
          <w:p w14:paraId="0EE38DFB"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120</w:t>
            </w:r>
          </w:p>
        </w:tc>
        <w:tc>
          <w:tcPr>
            <w:tcW w:w="960" w:type="dxa"/>
            <w:tcBorders>
              <w:top w:val="nil"/>
              <w:left w:val="nil"/>
              <w:bottom w:val="nil"/>
              <w:right w:val="nil"/>
            </w:tcBorders>
            <w:shd w:val="clear" w:color="auto" w:fill="auto"/>
            <w:vAlign w:val="center"/>
            <w:hideMark/>
          </w:tcPr>
          <w:p w14:paraId="4ACA9E44"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11</w:t>
            </w:r>
          </w:p>
        </w:tc>
      </w:tr>
      <w:tr w:rsidR="00AE767B" w:rsidRPr="00D92E20" w14:paraId="1DC6D94B"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0E372780"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2016</w:t>
            </w:r>
          </w:p>
        </w:tc>
        <w:tc>
          <w:tcPr>
            <w:tcW w:w="960" w:type="dxa"/>
            <w:tcBorders>
              <w:top w:val="nil"/>
              <w:left w:val="nil"/>
              <w:bottom w:val="nil"/>
              <w:right w:val="nil"/>
            </w:tcBorders>
            <w:shd w:val="clear" w:color="auto" w:fill="auto"/>
            <w:noWrap/>
            <w:vAlign w:val="center"/>
            <w:hideMark/>
          </w:tcPr>
          <w:p w14:paraId="74F31BA9"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47 379</w:t>
            </w:r>
          </w:p>
        </w:tc>
        <w:tc>
          <w:tcPr>
            <w:tcW w:w="960" w:type="dxa"/>
            <w:tcBorders>
              <w:top w:val="nil"/>
              <w:left w:val="nil"/>
              <w:bottom w:val="nil"/>
              <w:right w:val="nil"/>
            </w:tcBorders>
            <w:shd w:val="clear" w:color="auto" w:fill="auto"/>
            <w:noWrap/>
            <w:vAlign w:val="center"/>
            <w:hideMark/>
          </w:tcPr>
          <w:p w14:paraId="2D790B25"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32 592</w:t>
            </w:r>
          </w:p>
        </w:tc>
        <w:tc>
          <w:tcPr>
            <w:tcW w:w="960" w:type="dxa"/>
            <w:tcBorders>
              <w:top w:val="nil"/>
              <w:left w:val="nil"/>
              <w:bottom w:val="nil"/>
              <w:right w:val="single" w:sz="4" w:space="0" w:color="auto"/>
            </w:tcBorders>
            <w:shd w:val="clear" w:color="auto" w:fill="auto"/>
            <w:noWrap/>
            <w:vAlign w:val="center"/>
            <w:hideMark/>
          </w:tcPr>
          <w:p w14:paraId="17AD61E3"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14 787</w:t>
            </w:r>
          </w:p>
        </w:tc>
        <w:tc>
          <w:tcPr>
            <w:tcW w:w="960" w:type="dxa"/>
            <w:tcBorders>
              <w:top w:val="nil"/>
              <w:left w:val="nil"/>
              <w:bottom w:val="nil"/>
              <w:right w:val="nil"/>
            </w:tcBorders>
            <w:shd w:val="clear" w:color="auto" w:fill="auto"/>
            <w:noWrap/>
            <w:vAlign w:val="center"/>
            <w:hideMark/>
          </w:tcPr>
          <w:p w14:paraId="7190F3F7"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46 713</w:t>
            </w:r>
          </w:p>
        </w:tc>
        <w:tc>
          <w:tcPr>
            <w:tcW w:w="960" w:type="dxa"/>
            <w:tcBorders>
              <w:top w:val="nil"/>
              <w:left w:val="nil"/>
              <w:bottom w:val="nil"/>
              <w:right w:val="nil"/>
            </w:tcBorders>
            <w:shd w:val="clear" w:color="auto" w:fill="auto"/>
            <w:vAlign w:val="center"/>
            <w:hideMark/>
          </w:tcPr>
          <w:p w14:paraId="60EC34E7"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32 102</w:t>
            </w:r>
          </w:p>
        </w:tc>
        <w:tc>
          <w:tcPr>
            <w:tcW w:w="960" w:type="dxa"/>
            <w:tcBorders>
              <w:top w:val="nil"/>
              <w:left w:val="nil"/>
              <w:bottom w:val="nil"/>
              <w:right w:val="single" w:sz="4" w:space="0" w:color="auto"/>
            </w:tcBorders>
            <w:shd w:val="clear" w:color="auto" w:fill="auto"/>
            <w:vAlign w:val="center"/>
            <w:hideMark/>
          </w:tcPr>
          <w:p w14:paraId="60B66A97"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14 611</w:t>
            </w:r>
          </w:p>
        </w:tc>
        <w:tc>
          <w:tcPr>
            <w:tcW w:w="960" w:type="dxa"/>
            <w:tcBorders>
              <w:top w:val="nil"/>
              <w:left w:val="nil"/>
              <w:bottom w:val="nil"/>
              <w:right w:val="nil"/>
            </w:tcBorders>
            <w:shd w:val="clear" w:color="auto" w:fill="auto"/>
            <w:vAlign w:val="center"/>
            <w:hideMark/>
          </w:tcPr>
          <w:p w14:paraId="5124198B"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104</w:t>
            </w:r>
          </w:p>
        </w:tc>
        <w:tc>
          <w:tcPr>
            <w:tcW w:w="960" w:type="dxa"/>
            <w:tcBorders>
              <w:top w:val="nil"/>
              <w:left w:val="nil"/>
              <w:bottom w:val="nil"/>
              <w:right w:val="nil"/>
            </w:tcBorders>
            <w:shd w:val="clear" w:color="auto" w:fill="auto"/>
            <w:vAlign w:val="center"/>
            <w:hideMark/>
          </w:tcPr>
          <w:p w14:paraId="70F4B88B"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101</w:t>
            </w:r>
          </w:p>
        </w:tc>
        <w:tc>
          <w:tcPr>
            <w:tcW w:w="960" w:type="dxa"/>
            <w:tcBorders>
              <w:top w:val="nil"/>
              <w:left w:val="nil"/>
              <w:bottom w:val="nil"/>
              <w:right w:val="nil"/>
            </w:tcBorders>
            <w:shd w:val="clear" w:color="auto" w:fill="auto"/>
            <w:vAlign w:val="center"/>
            <w:hideMark/>
          </w:tcPr>
          <w:p w14:paraId="77589E89"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w:t>
            </w:r>
          </w:p>
        </w:tc>
      </w:tr>
      <w:tr w:rsidR="00AE767B" w:rsidRPr="00D92E20" w14:paraId="5099DF48"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708ADEE5"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2017</w:t>
            </w:r>
          </w:p>
        </w:tc>
        <w:tc>
          <w:tcPr>
            <w:tcW w:w="960" w:type="dxa"/>
            <w:tcBorders>
              <w:top w:val="nil"/>
              <w:left w:val="nil"/>
              <w:bottom w:val="nil"/>
              <w:right w:val="nil"/>
            </w:tcBorders>
            <w:shd w:val="clear" w:color="auto" w:fill="auto"/>
            <w:vAlign w:val="center"/>
            <w:hideMark/>
          </w:tcPr>
          <w:p w14:paraId="1A95F06E"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47 491</w:t>
            </w:r>
          </w:p>
        </w:tc>
        <w:tc>
          <w:tcPr>
            <w:tcW w:w="960" w:type="dxa"/>
            <w:tcBorders>
              <w:top w:val="nil"/>
              <w:left w:val="nil"/>
              <w:bottom w:val="nil"/>
              <w:right w:val="nil"/>
            </w:tcBorders>
            <w:shd w:val="clear" w:color="auto" w:fill="auto"/>
            <w:noWrap/>
            <w:vAlign w:val="center"/>
            <w:hideMark/>
          </w:tcPr>
          <w:p w14:paraId="05355B8B"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32 575</w:t>
            </w:r>
          </w:p>
        </w:tc>
        <w:tc>
          <w:tcPr>
            <w:tcW w:w="960" w:type="dxa"/>
            <w:tcBorders>
              <w:top w:val="nil"/>
              <w:left w:val="nil"/>
              <w:bottom w:val="nil"/>
              <w:right w:val="single" w:sz="4" w:space="0" w:color="auto"/>
            </w:tcBorders>
            <w:shd w:val="clear" w:color="auto" w:fill="auto"/>
            <w:noWrap/>
            <w:vAlign w:val="center"/>
            <w:hideMark/>
          </w:tcPr>
          <w:p w14:paraId="6B05A415"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14 916</w:t>
            </w:r>
          </w:p>
        </w:tc>
        <w:tc>
          <w:tcPr>
            <w:tcW w:w="960" w:type="dxa"/>
            <w:tcBorders>
              <w:top w:val="nil"/>
              <w:left w:val="nil"/>
              <w:bottom w:val="nil"/>
              <w:right w:val="nil"/>
            </w:tcBorders>
            <w:shd w:val="clear" w:color="auto" w:fill="auto"/>
            <w:noWrap/>
            <w:vAlign w:val="center"/>
            <w:hideMark/>
          </w:tcPr>
          <w:p w14:paraId="5274A97F"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46 870</w:t>
            </w:r>
          </w:p>
        </w:tc>
        <w:tc>
          <w:tcPr>
            <w:tcW w:w="960" w:type="dxa"/>
            <w:tcBorders>
              <w:top w:val="nil"/>
              <w:left w:val="nil"/>
              <w:bottom w:val="nil"/>
              <w:right w:val="nil"/>
            </w:tcBorders>
            <w:shd w:val="clear" w:color="auto" w:fill="auto"/>
            <w:vAlign w:val="center"/>
            <w:hideMark/>
          </w:tcPr>
          <w:p w14:paraId="60974E51"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32 120</w:t>
            </w:r>
          </w:p>
        </w:tc>
        <w:tc>
          <w:tcPr>
            <w:tcW w:w="960" w:type="dxa"/>
            <w:tcBorders>
              <w:top w:val="nil"/>
              <w:left w:val="nil"/>
              <w:bottom w:val="nil"/>
              <w:right w:val="single" w:sz="4" w:space="0" w:color="auto"/>
            </w:tcBorders>
            <w:shd w:val="clear" w:color="auto" w:fill="auto"/>
            <w:vAlign w:val="center"/>
            <w:hideMark/>
          </w:tcPr>
          <w:p w14:paraId="27A469D2"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14 750</w:t>
            </w:r>
          </w:p>
        </w:tc>
        <w:tc>
          <w:tcPr>
            <w:tcW w:w="960" w:type="dxa"/>
            <w:tcBorders>
              <w:top w:val="nil"/>
              <w:left w:val="nil"/>
              <w:bottom w:val="nil"/>
              <w:right w:val="nil"/>
            </w:tcBorders>
            <w:shd w:val="clear" w:color="auto" w:fill="auto"/>
            <w:vAlign w:val="center"/>
            <w:hideMark/>
          </w:tcPr>
          <w:p w14:paraId="697C6272"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95</w:t>
            </w:r>
          </w:p>
        </w:tc>
        <w:tc>
          <w:tcPr>
            <w:tcW w:w="960" w:type="dxa"/>
            <w:tcBorders>
              <w:top w:val="nil"/>
              <w:left w:val="nil"/>
              <w:bottom w:val="nil"/>
              <w:right w:val="nil"/>
            </w:tcBorders>
            <w:shd w:val="clear" w:color="auto" w:fill="auto"/>
            <w:vAlign w:val="center"/>
            <w:hideMark/>
          </w:tcPr>
          <w:p w14:paraId="63D9A25A"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91</w:t>
            </w:r>
          </w:p>
        </w:tc>
        <w:tc>
          <w:tcPr>
            <w:tcW w:w="960" w:type="dxa"/>
            <w:tcBorders>
              <w:top w:val="nil"/>
              <w:left w:val="nil"/>
              <w:bottom w:val="nil"/>
              <w:right w:val="nil"/>
            </w:tcBorders>
            <w:shd w:val="clear" w:color="auto" w:fill="auto"/>
            <w:vAlign w:val="center"/>
            <w:hideMark/>
          </w:tcPr>
          <w:p w14:paraId="2F3648F6"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w:t>
            </w:r>
          </w:p>
        </w:tc>
      </w:tr>
      <w:tr w:rsidR="00AE767B" w:rsidRPr="00D92E20" w14:paraId="2E4EF511"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3A17A5CC"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2018</w:t>
            </w:r>
          </w:p>
        </w:tc>
        <w:tc>
          <w:tcPr>
            <w:tcW w:w="960" w:type="dxa"/>
            <w:tcBorders>
              <w:top w:val="nil"/>
              <w:left w:val="nil"/>
              <w:bottom w:val="nil"/>
              <w:right w:val="nil"/>
            </w:tcBorders>
            <w:shd w:val="clear" w:color="auto" w:fill="auto"/>
            <w:noWrap/>
            <w:vAlign w:val="center"/>
            <w:hideMark/>
          </w:tcPr>
          <w:p w14:paraId="38405861"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46 223</w:t>
            </w:r>
          </w:p>
        </w:tc>
        <w:tc>
          <w:tcPr>
            <w:tcW w:w="960" w:type="dxa"/>
            <w:tcBorders>
              <w:top w:val="nil"/>
              <w:left w:val="nil"/>
              <w:bottom w:val="nil"/>
              <w:right w:val="nil"/>
            </w:tcBorders>
            <w:shd w:val="clear" w:color="auto" w:fill="auto"/>
            <w:vAlign w:val="center"/>
            <w:hideMark/>
          </w:tcPr>
          <w:p w14:paraId="178B4FD7"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31 340</w:t>
            </w:r>
          </w:p>
        </w:tc>
        <w:tc>
          <w:tcPr>
            <w:tcW w:w="960" w:type="dxa"/>
            <w:tcBorders>
              <w:top w:val="nil"/>
              <w:left w:val="nil"/>
              <w:bottom w:val="nil"/>
              <w:right w:val="single" w:sz="4" w:space="0" w:color="auto"/>
            </w:tcBorders>
            <w:shd w:val="clear" w:color="auto" w:fill="auto"/>
            <w:vAlign w:val="center"/>
            <w:hideMark/>
          </w:tcPr>
          <w:p w14:paraId="5682B356"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14 883</w:t>
            </w:r>
          </w:p>
        </w:tc>
        <w:tc>
          <w:tcPr>
            <w:tcW w:w="960" w:type="dxa"/>
            <w:tcBorders>
              <w:top w:val="nil"/>
              <w:left w:val="nil"/>
              <w:bottom w:val="nil"/>
              <w:right w:val="nil"/>
            </w:tcBorders>
            <w:shd w:val="clear" w:color="auto" w:fill="auto"/>
            <w:noWrap/>
            <w:vAlign w:val="center"/>
            <w:hideMark/>
          </w:tcPr>
          <w:p w14:paraId="6F26C7FA"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45 666</w:t>
            </w:r>
          </w:p>
        </w:tc>
        <w:tc>
          <w:tcPr>
            <w:tcW w:w="960" w:type="dxa"/>
            <w:tcBorders>
              <w:top w:val="nil"/>
              <w:left w:val="nil"/>
              <w:bottom w:val="nil"/>
              <w:right w:val="nil"/>
            </w:tcBorders>
            <w:shd w:val="clear" w:color="auto" w:fill="auto"/>
            <w:vAlign w:val="center"/>
            <w:hideMark/>
          </w:tcPr>
          <w:p w14:paraId="3DD2A494"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30 947</w:t>
            </w:r>
          </w:p>
        </w:tc>
        <w:tc>
          <w:tcPr>
            <w:tcW w:w="960" w:type="dxa"/>
            <w:tcBorders>
              <w:top w:val="nil"/>
              <w:left w:val="nil"/>
              <w:bottom w:val="nil"/>
              <w:right w:val="single" w:sz="4" w:space="0" w:color="auto"/>
            </w:tcBorders>
            <w:shd w:val="clear" w:color="auto" w:fill="auto"/>
            <w:vAlign w:val="center"/>
            <w:hideMark/>
          </w:tcPr>
          <w:p w14:paraId="550084D3"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14 719</w:t>
            </w:r>
          </w:p>
        </w:tc>
        <w:tc>
          <w:tcPr>
            <w:tcW w:w="960" w:type="dxa"/>
            <w:tcBorders>
              <w:top w:val="nil"/>
              <w:left w:val="nil"/>
              <w:bottom w:val="nil"/>
              <w:right w:val="nil"/>
            </w:tcBorders>
            <w:shd w:val="clear" w:color="auto" w:fill="auto"/>
            <w:vAlign w:val="center"/>
            <w:hideMark/>
          </w:tcPr>
          <w:p w14:paraId="0FF4824C"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123</w:t>
            </w:r>
          </w:p>
        </w:tc>
        <w:tc>
          <w:tcPr>
            <w:tcW w:w="960" w:type="dxa"/>
            <w:tcBorders>
              <w:top w:val="nil"/>
              <w:left w:val="nil"/>
              <w:bottom w:val="nil"/>
              <w:right w:val="nil"/>
            </w:tcBorders>
            <w:shd w:val="clear" w:color="auto" w:fill="auto"/>
            <w:vAlign w:val="center"/>
            <w:hideMark/>
          </w:tcPr>
          <w:p w14:paraId="323769D0"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117</w:t>
            </w:r>
          </w:p>
        </w:tc>
        <w:tc>
          <w:tcPr>
            <w:tcW w:w="960" w:type="dxa"/>
            <w:tcBorders>
              <w:top w:val="nil"/>
              <w:left w:val="nil"/>
              <w:bottom w:val="nil"/>
              <w:right w:val="nil"/>
            </w:tcBorders>
            <w:shd w:val="clear" w:color="auto" w:fill="auto"/>
            <w:vAlign w:val="center"/>
            <w:hideMark/>
          </w:tcPr>
          <w:p w14:paraId="12E31FFD"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6</w:t>
            </w:r>
          </w:p>
        </w:tc>
      </w:tr>
      <w:tr w:rsidR="00AE767B" w:rsidRPr="00D92E20" w14:paraId="69E9CD01"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261C63F2"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2019</w:t>
            </w:r>
          </w:p>
        </w:tc>
        <w:tc>
          <w:tcPr>
            <w:tcW w:w="960" w:type="dxa"/>
            <w:tcBorders>
              <w:top w:val="nil"/>
              <w:left w:val="nil"/>
              <w:bottom w:val="nil"/>
              <w:right w:val="nil"/>
            </w:tcBorders>
            <w:shd w:val="clear" w:color="auto" w:fill="auto"/>
            <w:noWrap/>
            <w:vAlign w:val="center"/>
            <w:hideMark/>
          </w:tcPr>
          <w:p w14:paraId="2A32FB6E"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44 552</w:t>
            </w:r>
          </w:p>
        </w:tc>
        <w:tc>
          <w:tcPr>
            <w:tcW w:w="960" w:type="dxa"/>
            <w:tcBorders>
              <w:top w:val="nil"/>
              <w:left w:val="nil"/>
              <w:bottom w:val="nil"/>
              <w:right w:val="nil"/>
            </w:tcBorders>
            <w:shd w:val="clear" w:color="auto" w:fill="auto"/>
            <w:vAlign w:val="center"/>
            <w:hideMark/>
          </w:tcPr>
          <w:p w14:paraId="00E46D80"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30 068</w:t>
            </w:r>
          </w:p>
        </w:tc>
        <w:tc>
          <w:tcPr>
            <w:tcW w:w="960" w:type="dxa"/>
            <w:tcBorders>
              <w:top w:val="nil"/>
              <w:left w:val="nil"/>
              <w:bottom w:val="nil"/>
              <w:right w:val="single" w:sz="4" w:space="0" w:color="auto"/>
            </w:tcBorders>
            <w:shd w:val="clear" w:color="auto" w:fill="auto"/>
            <w:vAlign w:val="center"/>
            <w:hideMark/>
          </w:tcPr>
          <w:p w14:paraId="5649865D"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14 484</w:t>
            </w:r>
          </w:p>
        </w:tc>
        <w:tc>
          <w:tcPr>
            <w:tcW w:w="960" w:type="dxa"/>
            <w:tcBorders>
              <w:top w:val="nil"/>
              <w:left w:val="nil"/>
              <w:bottom w:val="nil"/>
              <w:right w:val="nil"/>
            </w:tcBorders>
            <w:shd w:val="clear" w:color="auto" w:fill="auto"/>
            <w:noWrap/>
            <w:vAlign w:val="center"/>
            <w:hideMark/>
          </w:tcPr>
          <w:p w14:paraId="5DB486D6"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43 959</w:t>
            </w:r>
          </w:p>
        </w:tc>
        <w:tc>
          <w:tcPr>
            <w:tcW w:w="960" w:type="dxa"/>
            <w:tcBorders>
              <w:top w:val="nil"/>
              <w:left w:val="nil"/>
              <w:bottom w:val="nil"/>
              <w:right w:val="nil"/>
            </w:tcBorders>
            <w:shd w:val="clear" w:color="auto" w:fill="auto"/>
            <w:vAlign w:val="center"/>
            <w:hideMark/>
          </w:tcPr>
          <w:p w14:paraId="71A59801"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29 663</w:t>
            </w:r>
          </w:p>
        </w:tc>
        <w:tc>
          <w:tcPr>
            <w:tcW w:w="960" w:type="dxa"/>
            <w:tcBorders>
              <w:top w:val="nil"/>
              <w:left w:val="nil"/>
              <w:bottom w:val="nil"/>
              <w:right w:val="single" w:sz="4" w:space="0" w:color="auto"/>
            </w:tcBorders>
            <w:shd w:val="clear" w:color="auto" w:fill="auto"/>
            <w:vAlign w:val="center"/>
            <w:hideMark/>
          </w:tcPr>
          <w:p w14:paraId="78C55D83"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14 296</w:t>
            </w:r>
          </w:p>
        </w:tc>
        <w:tc>
          <w:tcPr>
            <w:tcW w:w="960" w:type="dxa"/>
            <w:tcBorders>
              <w:top w:val="nil"/>
              <w:left w:val="nil"/>
              <w:bottom w:val="nil"/>
              <w:right w:val="nil"/>
            </w:tcBorders>
            <w:shd w:val="clear" w:color="auto" w:fill="auto"/>
            <w:vAlign w:val="center"/>
            <w:hideMark/>
          </w:tcPr>
          <w:p w14:paraId="46A1743C"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92</w:t>
            </w:r>
          </w:p>
        </w:tc>
        <w:tc>
          <w:tcPr>
            <w:tcW w:w="960" w:type="dxa"/>
            <w:tcBorders>
              <w:top w:val="nil"/>
              <w:left w:val="nil"/>
              <w:bottom w:val="nil"/>
              <w:right w:val="nil"/>
            </w:tcBorders>
            <w:shd w:val="clear" w:color="auto" w:fill="auto"/>
            <w:vAlign w:val="center"/>
            <w:hideMark/>
          </w:tcPr>
          <w:p w14:paraId="3AF4EF33"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87</w:t>
            </w:r>
          </w:p>
        </w:tc>
        <w:tc>
          <w:tcPr>
            <w:tcW w:w="960" w:type="dxa"/>
            <w:tcBorders>
              <w:top w:val="nil"/>
              <w:left w:val="nil"/>
              <w:bottom w:val="nil"/>
              <w:right w:val="nil"/>
            </w:tcBorders>
            <w:shd w:val="clear" w:color="auto" w:fill="auto"/>
            <w:vAlign w:val="center"/>
            <w:hideMark/>
          </w:tcPr>
          <w:p w14:paraId="6189435A"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5</w:t>
            </w:r>
          </w:p>
        </w:tc>
      </w:tr>
      <w:tr w:rsidR="00AE767B" w:rsidRPr="00D92E20" w14:paraId="298064B4"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496A7C20"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2020</w:t>
            </w:r>
          </w:p>
        </w:tc>
        <w:tc>
          <w:tcPr>
            <w:tcW w:w="960" w:type="dxa"/>
            <w:tcBorders>
              <w:top w:val="nil"/>
              <w:left w:val="nil"/>
              <w:bottom w:val="nil"/>
              <w:right w:val="nil"/>
            </w:tcBorders>
            <w:shd w:val="clear" w:color="auto" w:fill="auto"/>
            <w:noWrap/>
            <w:vAlign w:val="center"/>
            <w:hideMark/>
          </w:tcPr>
          <w:p w14:paraId="1528AC86"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41 358</w:t>
            </w:r>
          </w:p>
        </w:tc>
        <w:tc>
          <w:tcPr>
            <w:tcW w:w="960" w:type="dxa"/>
            <w:tcBorders>
              <w:top w:val="nil"/>
              <w:left w:val="nil"/>
              <w:bottom w:val="nil"/>
              <w:right w:val="nil"/>
            </w:tcBorders>
            <w:shd w:val="clear" w:color="auto" w:fill="auto"/>
            <w:vAlign w:val="center"/>
            <w:hideMark/>
          </w:tcPr>
          <w:p w14:paraId="546F3C70"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28 681</w:t>
            </w:r>
          </w:p>
        </w:tc>
        <w:tc>
          <w:tcPr>
            <w:tcW w:w="960" w:type="dxa"/>
            <w:tcBorders>
              <w:top w:val="nil"/>
              <w:left w:val="nil"/>
              <w:bottom w:val="nil"/>
              <w:right w:val="single" w:sz="4" w:space="0" w:color="auto"/>
            </w:tcBorders>
            <w:shd w:val="clear" w:color="auto" w:fill="auto"/>
            <w:vAlign w:val="center"/>
            <w:hideMark/>
          </w:tcPr>
          <w:p w14:paraId="4A6E7186"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12 677</w:t>
            </w:r>
          </w:p>
        </w:tc>
        <w:tc>
          <w:tcPr>
            <w:tcW w:w="960" w:type="dxa"/>
            <w:tcBorders>
              <w:top w:val="nil"/>
              <w:left w:val="nil"/>
              <w:bottom w:val="nil"/>
              <w:right w:val="nil"/>
            </w:tcBorders>
            <w:shd w:val="clear" w:color="auto" w:fill="auto"/>
            <w:noWrap/>
            <w:vAlign w:val="center"/>
            <w:hideMark/>
          </w:tcPr>
          <w:p w14:paraId="0A05FD8C"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40 569</w:t>
            </w:r>
          </w:p>
        </w:tc>
        <w:tc>
          <w:tcPr>
            <w:tcW w:w="960" w:type="dxa"/>
            <w:tcBorders>
              <w:top w:val="nil"/>
              <w:left w:val="nil"/>
              <w:bottom w:val="nil"/>
              <w:right w:val="nil"/>
            </w:tcBorders>
            <w:shd w:val="clear" w:color="auto" w:fill="auto"/>
            <w:vAlign w:val="center"/>
            <w:hideMark/>
          </w:tcPr>
          <w:p w14:paraId="22DC8B80"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28 104</w:t>
            </w:r>
          </w:p>
        </w:tc>
        <w:tc>
          <w:tcPr>
            <w:tcW w:w="960" w:type="dxa"/>
            <w:tcBorders>
              <w:top w:val="nil"/>
              <w:left w:val="nil"/>
              <w:bottom w:val="nil"/>
              <w:right w:val="single" w:sz="4" w:space="0" w:color="auto"/>
            </w:tcBorders>
            <w:shd w:val="clear" w:color="auto" w:fill="auto"/>
            <w:vAlign w:val="center"/>
            <w:hideMark/>
          </w:tcPr>
          <w:p w14:paraId="01E0645A"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12 465</w:t>
            </w:r>
          </w:p>
        </w:tc>
        <w:tc>
          <w:tcPr>
            <w:tcW w:w="960" w:type="dxa"/>
            <w:tcBorders>
              <w:top w:val="nil"/>
              <w:left w:val="nil"/>
              <w:bottom w:val="nil"/>
              <w:right w:val="nil"/>
            </w:tcBorders>
            <w:shd w:val="clear" w:color="auto" w:fill="auto"/>
            <w:vAlign w:val="center"/>
            <w:hideMark/>
          </w:tcPr>
          <w:p w14:paraId="187682AD"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108</w:t>
            </w:r>
          </w:p>
        </w:tc>
        <w:tc>
          <w:tcPr>
            <w:tcW w:w="960" w:type="dxa"/>
            <w:tcBorders>
              <w:top w:val="nil"/>
              <w:left w:val="nil"/>
              <w:bottom w:val="nil"/>
              <w:right w:val="nil"/>
            </w:tcBorders>
            <w:shd w:val="clear" w:color="auto" w:fill="auto"/>
            <w:vAlign w:val="center"/>
            <w:hideMark/>
          </w:tcPr>
          <w:p w14:paraId="157FE03F"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105</w:t>
            </w:r>
          </w:p>
        </w:tc>
        <w:tc>
          <w:tcPr>
            <w:tcW w:w="960" w:type="dxa"/>
            <w:tcBorders>
              <w:top w:val="nil"/>
              <w:left w:val="nil"/>
              <w:bottom w:val="nil"/>
              <w:right w:val="nil"/>
            </w:tcBorders>
            <w:shd w:val="clear" w:color="auto" w:fill="auto"/>
            <w:vAlign w:val="center"/>
            <w:hideMark/>
          </w:tcPr>
          <w:p w14:paraId="65CAA09C"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w:t>
            </w:r>
          </w:p>
        </w:tc>
      </w:tr>
      <w:tr w:rsidR="00AE767B" w:rsidRPr="00AE767B" w14:paraId="71F76496" w14:textId="77777777" w:rsidTr="00AE767B">
        <w:trPr>
          <w:trHeight w:val="300"/>
        </w:trPr>
        <w:tc>
          <w:tcPr>
            <w:tcW w:w="960" w:type="dxa"/>
            <w:tcBorders>
              <w:top w:val="nil"/>
              <w:left w:val="nil"/>
              <w:bottom w:val="nil"/>
              <w:right w:val="single" w:sz="4" w:space="0" w:color="auto"/>
            </w:tcBorders>
            <w:shd w:val="clear" w:color="auto" w:fill="auto"/>
            <w:vAlign w:val="center"/>
            <w:hideMark/>
          </w:tcPr>
          <w:p w14:paraId="3DA413AD" w14:textId="77777777" w:rsidR="00AE767B" w:rsidRPr="00AE767B" w:rsidRDefault="00AE767B" w:rsidP="00AE767B">
            <w:pPr>
              <w:spacing w:after="0" w:line="240" w:lineRule="auto"/>
              <w:jc w:val="center"/>
              <w:rPr>
                <w:rFonts w:cs="Arial"/>
                <w:color w:val="000000"/>
                <w:sz w:val="16"/>
                <w:szCs w:val="16"/>
              </w:rPr>
            </w:pPr>
            <w:r w:rsidRPr="00AE767B">
              <w:rPr>
                <w:rFonts w:cs="Arial"/>
                <w:color w:val="000000"/>
                <w:sz w:val="16"/>
                <w:szCs w:val="16"/>
              </w:rPr>
              <w:t>2021</w:t>
            </w:r>
          </w:p>
        </w:tc>
        <w:tc>
          <w:tcPr>
            <w:tcW w:w="960" w:type="dxa"/>
            <w:tcBorders>
              <w:top w:val="nil"/>
              <w:left w:val="nil"/>
              <w:bottom w:val="nil"/>
              <w:right w:val="nil"/>
            </w:tcBorders>
            <w:shd w:val="clear" w:color="auto" w:fill="auto"/>
            <w:noWrap/>
            <w:vAlign w:val="center"/>
            <w:hideMark/>
          </w:tcPr>
          <w:p w14:paraId="5A9395DC" w14:textId="77777777" w:rsidR="00AE767B" w:rsidRPr="00AE767B" w:rsidRDefault="00AE767B" w:rsidP="00AE767B">
            <w:pPr>
              <w:spacing w:after="0" w:line="240" w:lineRule="auto"/>
              <w:jc w:val="right"/>
              <w:rPr>
                <w:rFonts w:cs="Arial"/>
                <w:color w:val="000000"/>
                <w:sz w:val="16"/>
                <w:szCs w:val="16"/>
              </w:rPr>
            </w:pPr>
            <w:r w:rsidRPr="00AE767B">
              <w:rPr>
                <w:rFonts w:cs="Arial"/>
                <w:color w:val="000000"/>
                <w:sz w:val="16"/>
                <w:szCs w:val="16"/>
              </w:rPr>
              <w:t>44 933</w:t>
            </w:r>
          </w:p>
        </w:tc>
        <w:tc>
          <w:tcPr>
            <w:tcW w:w="960" w:type="dxa"/>
            <w:tcBorders>
              <w:top w:val="nil"/>
              <w:left w:val="nil"/>
              <w:bottom w:val="nil"/>
              <w:right w:val="nil"/>
            </w:tcBorders>
            <w:shd w:val="clear" w:color="auto" w:fill="auto"/>
            <w:vAlign w:val="center"/>
            <w:hideMark/>
          </w:tcPr>
          <w:p w14:paraId="6AE8F3BC" w14:textId="77777777" w:rsidR="00AE767B" w:rsidRPr="00AE767B" w:rsidRDefault="00AE767B" w:rsidP="00AE767B">
            <w:pPr>
              <w:spacing w:after="0" w:line="240" w:lineRule="auto"/>
              <w:jc w:val="right"/>
              <w:rPr>
                <w:rFonts w:cs="Arial"/>
                <w:color w:val="000000"/>
                <w:sz w:val="16"/>
                <w:szCs w:val="16"/>
              </w:rPr>
            </w:pPr>
            <w:r w:rsidRPr="00AE767B">
              <w:rPr>
                <w:rFonts w:cs="Arial"/>
                <w:color w:val="000000"/>
                <w:sz w:val="16"/>
                <w:szCs w:val="16"/>
              </w:rPr>
              <w:t>31 115</w:t>
            </w:r>
          </w:p>
        </w:tc>
        <w:tc>
          <w:tcPr>
            <w:tcW w:w="960" w:type="dxa"/>
            <w:tcBorders>
              <w:top w:val="nil"/>
              <w:left w:val="nil"/>
              <w:bottom w:val="nil"/>
              <w:right w:val="single" w:sz="4" w:space="0" w:color="auto"/>
            </w:tcBorders>
            <w:shd w:val="clear" w:color="auto" w:fill="auto"/>
            <w:vAlign w:val="center"/>
            <w:hideMark/>
          </w:tcPr>
          <w:p w14:paraId="05DB52D6" w14:textId="77777777" w:rsidR="00AE767B" w:rsidRPr="00AE767B" w:rsidRDefault="00AE767B" w:rsidP="00AE767B">
            <w:pPr>
              <w:spacing w:after="0" w:line="240" w:lineRule="auto"/>
              <w:jc w:val="right"/>
              <w:rPr>
                <w:rFonts w:cs="Arial"/>
                <w:color w:val="000000"/>
                <w:sz w:val="16"/>
                <w:szCs w:val="16"/>
              </w:rPr>
            </w:pPr>
            <w:r w:rsidRPr="00AE767B">
              <w:rPr>
                <w:rFonts w:cs="Arial"/>
                <w:color w:val="000000"/>
                <w:sz w:val="16"/>
                <w:szCs w:val="16"/>
              </w:rPr>
              <w:t>13 818</w:t>
            </w:r>
          </w:p>
        </w:tc>
        <w:tc>
          <w:tcPr>
            <w:tcW w:w="960" w:type="dxa"/>
            <w:tcBorders>
              <w:top w:val="nil"/>
              <w:left w:val="nil"/>
              <w:bottom w:val="nil"/>
              <w:right w:val="nil"/>
            </w:tcBorders>
            <w:shd w:val="clear" w:color="auto" w:fill="auto"/>
            <w:noWrap/>
            <w:vAlign w:val="center"/>
            <w:hideMark/>
          </w:tcPr>
          <w:p w14:paraId="4A057FA2" w14:textId="77777777" w:rsidR="00AE767B" w:rsidRPr="00AE767B" w:rsidRDefault="00AE767B" w:rsidP="00AE767B">
            <w:pPr>
              <w:spacing w:after="0" w:line="240" w:lineRule="auto"/>
              <w:jc w:val="right"/>
              <w:rPr>
                <w:rFonts w:cs="Arial"/>
                <w:color w:val="000000"/>
                <w:sz w:val="16"/>
                <w:szCs w:val="16"/>
              </w:rPr>
            </w:pPr>
            <w:r w:rsidRPr="00AE767B">
              <w:rPr>
                <w:rFonts w:cs="Arial"/>
                <w:color w:val="000000"/>
                <w:sz w:val="16"/>
                <w:szCs w:val="16"/>
              </w:rPr>
              <w:t>43 980</w:t>
            </w:r>
          </w:p>
        </w:tc>
        <w:tc>
          <w:tcPr>
            <w:tcW w:w="960" w:type="dxa"/>
            <w:tcBorders>
              <w:top w:val="nil"/>
              <w:left w:val="nil"/>
              <w:bottom w:val="nil"/>
              <w:right w:val="nil"/>
            </w:tcBorders>
            <w:shd w:val="clear" w:color="auto" w:fill="auto"/>
            <w:vAlign w:val="center"/>
            <w:hideMark/>
          </w:tcPr>
          <w:p w14:paraId="4FFE43EA" w14:textId="77777777" w:rsidR="00AE767B" w:rsidRPr="00AE767B" w:rsidRDefault="00AE767B" w:rsidP="00AE767B">
            <w:pPr>
              <w:spacing w:after="0" w:line="240" w:lineRule="auto"/>
              <w:jc w:val="right"/>
              <w:rPr>
                <w:rFonts w:cs="Arial"/>
                <w:color w:val="000000"/>
                <w:sz w:val="16"/>
                <w:szCs w:val="16"/>
              </w:rPr>
            </w:pPr>
            <w:r w:rsidRPr="00AE767B">
              <w:rPr>
                <w:rFonts w:cs="Arial"/>
                <w:color w:val="000000"/>
                <w:sz w:val="16"/>
                <w:szCs w:val="16"/>
              </w:rPr>
              <w:t>30 411</w:t>
            </w:r>
          </w:p>
        </w:tc>
        <w:tc>
          <w:tcPr>
            <w:tcW w:w="960" w:type="dxa"/>
            <w:tcBorders>
              <w:top w:val="nil"/>
              <w:left w:val="nil"/>
              <w:bottom w:val="nil"/>
              <w:right w:val="single" w:sz="4" w:space="0" w:color="auto"/>
            </w:tcBorders>
            <w:shd w:val="clear" w:color="auto" w:fill="auto"/>
            <w:vAlign w:val="center"/>
            <w:hideMark/>
          </w:tcPr>
          <w:p w14:paraId="68804E95" w14:textId="77777777" w:rsidR="00AE767B" w:rsidRPr="00AE767B" w:rsidRDefault="00AE767B" w:rsidP="00AE767B">
            <w:pPr>
              <w:spacing w:after="0" w:line="240" w:lineRule="auto"/>
              <w:jc w:val="right"/>
              <w:rPr>
                <w:rFonts w:cs="Arial"/>
                <w:color w:val="000000"/>
                <w:sz w:val="16"/>
                <w:szCs w:val="16"/>
              </w:rPr>
            </w:pPr>
            <w:r w:rsidRPr="00AE767B">
              <w:rPr>
                <w:rFonts w:cs="Arial"/>
                <w:color w:val="000000"/>
                <w:sz w:val="16"/>
                <w:szCs w:val="16"/>
              </w:rPr>
              <w:t>13 569</w:t>
            </w:r>
          </w:p>
        </w:tc>
        <w:tc>
          <w:tcPr>
            <w:tcW w:w="960" w:type="dxa"/>
            <w:tcBorders>
              <w:top w:val="nil"/>
              <w:left w:val="nil"/>
              <w:bottom w:val="nil"/>
              <w:right w:val="nil"/>
            </w:tcBorders>
            <w:shd w:val="clear" w:color="auto" w:fill="auto"/>
            <w:vAlign w:val="center"/>
            <w:hideMark/>
          </w:tcPr>
          <w:p w14:paraId="1D539D85" w14:textId="77777777" w:rsidR="00AE767B" w:rsidRPr="00AE767B" w:rsidRDefault="00AE767B" w:rsidP="00AE767B">
            <w:pPr>
              <w:spacing w:after="0" w:line="240" w:lineRule="auto"/>
              <w:jc w:val="right"/>
              <w:rPr>
                <w:rFonts w:cs="Arial"/>
                <w:color w:val="000000"/>
                <w:sz w:val="16"/>
                <w:szCs w:val="16"/>
              </w:rPr>
            </w:pPr>
            <w:r w:rsidRPr="00AE767B">
              <w:rPr>
                <w:rFonts w:cs="Arial"/>
                <w:color w:val="000000"/>
                <w:sz w:val="16"/>
                <w:szCs w:val="16"/>
              </w:rPr>
              <w:t>88</w:t>
            </w:r>
          </w:p>
        </w:tc>
        <w:tc>
          <w:tcPr>
            <w:tcW w:w="960" w:type="dxa"/>
            <w:tcBorders>
              <w:top w:val="nil"/>
              <w:left w:val="nil"/>
              <w:bottom w:val="nil"/>
              <w:right w:val="nil"/>
            </w:tcBorders>
            <w:shd w:val="clear" w:color="auto" w:fill="auto"/>
            <w:vAlign w:val="center"/>
            <w:hideMark/>
          </w:tcPr>
          <w:p w14:paraId="2BCEC6AB" w14:textId="77777777" w:rsidR="00AE767B" w:rsidRPr="00AE767B" w:rsidRDefault="00AE767B" w:rsidP="00AE767B">
            <w:pPr>
              <w:spacing w:after="0" w:line="240" w:lineRule="auto"/>
              <w:jc w:val="right"/>
              <w:rPr>
                <w:rFonts w:cs="Arial"/>
                <w:color w:val="000000"/>
                <w:sz w:val="16"/>
                <w:szCs w:val="16"/>
              </w:rPr>
            </w:pPr>
            <w:r w:rsidRPr="00AE767B">
              <w:rPr>
                <w:rFonts w:cs="Arial"/>
                <w:color w:val="000000"/>
                <w:sz w:val="16"/>
                <w:szCs w:val="16"/>
              </w:rPr>
              <w:t>82</w:t>
            </w:r>
          </w:p>
        </w:tc>
        <w:tc>
          <w:tcPr>
            <w:tcW w:w="960" w:type="dxa"/>
            <w:tcBorders>
              <w:top w:val="nil"/>
              <w:left w:val="nil"/>
              <w:bottom w:val="nil"/>
              <w:right w:val="nil"/>
            </w:tcBorders>
            <w:shd w:val="clear" w:color="auto" w:fill="auto"/>
            <w:vAlign w:val="center"/>
            <w:hideMark/>
          </w:tcPr>
          <w:p w14:paraId="36A84F4F" w14:textId="77777777" w:rsidR="00AE767B" w:rsidRPr="00AE767B" w:rsidRDefault="00AE767B" w:rsidP="00AE767B">
            <w:pPr>
              <w:spacing w:after="0" w:line="240" w:lineRule="auto"/>
              <w:jc w:val="right"/>
              <w:rPr>
                <w:rFonts w:cs="Arial"/>
                <w:color w:val="000000"/>
                <w:sz w:val="16"/>
                <w:szCs w:val="16"/>
              </w:rPr>
            </w:pPr>
            <w:r w:rsidRPr="00AE767B">
              <w:rPr>
                <w:rFonts w:cs="Arial"/>
                <w:color w:val="000000"/>
                <w:sz w:val="16"/>
                <w:szCs w:val="16"/>
              </w:rPr>
              <w:t>6</w:t>
            </w:r>
          </w:p>
        </w:tc>
      </w:tr>
    </w:tbl>
    <w:p w14:paraId="3ADAB4FF" w14:textId="77777777" w:rsidR="00AE767B" w:rsidRPr="00D92E20" w:rsidRDefault="00AE767B" w:rsidP="00AE767B">
      <w:pPr>
        <w:spacing w:before="120" w:after="120"/>
        <w:jc w:val="both"/>
        <w:rPr>
          <w:sz w:val="16"/>
        </w:rPr>
      </w:pPr>
      <w:r w:rsidRPr="00D92E20">
        <w:rPr>
          <w:sz w:val="16"/>
        </w:rPr>
        <w:t>Zdroj: ČSÚ, SÚIP</w:t>
      </w:r>
    </w:p>
    <w:p w14:paraId="336EABDD" w14:textId="77777777" w:rsidR="00966E11" w:rsidRPr="00D92E20" w:rsidRDefault="00966E11" w:rsidP="00966E11">
      <w:pPr>
        <w:spacing w:before="120" w:after="120"/>
        <w:jc w:val="both"/>
        <w:rPr>
          <w:rFonts w:cs="Arial"/>
        </w:rPr>
      </w:pPr>
      <w:r w:rsidRPr="00D92E20">
        <w:rPr>
          <w:rFonts w:cs="Arial"/>
        </w:rPr>
        <w:t>Nadále se v této kapitole budeme věnovat pracovním úrazům s pracovní neschopností delší než 3 kalendářní dny.</w:t>
      </w:r>
    </w:p>
    <w:p w14:paraId="3764DFAE" w14:textId="4D12466E" w:rsidR="00346833" w:rsidRPr="00D92E20" w:rsidRDefault="00346833" w:rsidP="00346833">
      <w:pPr>
        <w:spacing w:before="120" w:after="120"/>
        <w:jc w:val="both"/>
        <w:rPr>
          <w:rFonts w:cs="Arial"/>
          <w:b/>
        </w:rPr>
      </w:pPr>
      <w:r w:rsidRPr="004C3917">
        <w:t>Za posledních pět let (od roku 2017) došlo k celkovému poklesu počtu pracovních úrazů s DPN delší než 3</w:t>
      </w:r>
      <w:r w:rsidR="00B25EC1">
        <w:t> </w:t>
      </w:r>
      <w:r w:rsidRPr="004C3917">
        <w:t>dny o 6 %, přičemž výraznější byl pokles u žen (o 8 %) než u mužů (o 5 %). Pokles byl přerušen až letošním navýšením po propadu v roce 2020. Podobný trend má i relativní ukazatel počtu pracovních úrazů s DPN delší než 3 dny na 100 000 nemocensky pojištěných osob (viz graf 5.1).</w:t>
      </w:r>
    </w:p>
    <w:p w14:paraId="33E5DC32" w14:textId="77777777" w:rsidR="00346833" w:rsidRDefault="00346833" w:rsidP="00346833">
      <w:pPr>
        <w:spacing w:after="0"/>
        <w:jc w:val="both"/>
        <w:rPr>
          <w:rFonts w:cs="Arial"/>
          <w:b/>
        </w:rPr>
      </w:pPr>
      <w:r w:rsidRPr="00D92E20">
        <w:rPr>
          <w:rFonts w:cs="Arial"/>
          <w:b/>
        </w:rPr>
        <w:t>Graf 5.1: Pracovní úrazy s pracovní neschopností delší než 3 dny na 100 tis</w:t>
      </w:r>
      <w:r>
        <w:rPr>
          <w:rFonts w:cs="Arial"/>
          <w:b/>
        </w:rPr>
        <w:t>. pojištěnců podle pohlaví, 2011–2021</w:t>
      </w:r>
    </w:p>
    <w:p w14:paraId="143D36AB" w14:textId="77777777" w:rsidR="00346833" w:rsidRPr="00D92E20" w:rsidRDefault="00346833" w:rsidP="00346833">
      <w:pPr>
        <w:spacing w:after="0"/>
        <w:jc w:val="both"/>
        <w:rPr>
          <w:rFonts w:cs="Arial"/>
          <w:b/>
        </w:rPr>
      </w:pPr>
      <w:r>
        <w:rPr>
          <w:noProof/>
        </w:rPr>
        <w:drawing>
          <wp:inline distT="0" distB="0" distL="0" distR="0" wp14:anchorId="5EAD8845" wp14:editId="591EC018">
            <wp:extent cx="6055744" cy="2743200"/>
            <wp:effectExtent l="0" t="0" r="2540" b="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B67030F" w14:textId="77777777" w:rsidR="00346833" w:rsidRPr="00D92E20" w:rsidRDefault="00346833" w:rsidP="00346833">
      <w:pPr>
        <w:spacing w:after="120"/>
        <w:jc w:val="both"/>
        <w:rPr>
          <w:sz w:val="16"/>
        </w:rPr>
      </w:pPr>
      <w:r w:rsidRPr="00D92E20">
        <w:rPr>
          <w:sz w:val="16"/>
        </w:rPr>
        <w:t>Zdroj: ČSÚ</w:t>
      </w:r>
    </w:p>
    <w:p w14:paraId="66439386" w14:textId="0EA3FCF6" w:rsidR="004229D4" w:rsidRDefault="004C3917" w:rsidP="00966E11">
      <w:pPr>
        <w:spacing w:before="120" w:after="120"/>
        <w:jc w:val="both"/>
        <w:rPr>
          <w:b/>
        </w:rPr>
      </w:pPr>
      <w:r w:rsidRPr="00D92E20">
        <w:rPr>
          <w:rFonts w:cs="Arial"/>
          <w:bCs/>
          <w:color w:val="000000"/>
          <w:szCs w:val="20"/>
        </w:rPr>
        <w:t xml:space="preserve">V absolutním vyjádření </w:t>
      </w:r>
      <w:r w:rsidRPr="00D92E20">
        <w:rPr>
          <w:rFonts w:cs="Arial"/>
          <w:b/>
          <w:bCs/>
          <w:color w:val="000000"/>
          <w:szCs w:val="20"/>
        </w:rPr>
        <w:t>nejvíce pracovních úrazů</w:t>
      </w:r>
      <w:r w:rsidRPr="00D92E20">
        <w:rPr>
          <w:rFonts w:cs="Arial"/>
          <w:bCs/>
          <w:color w:val="000000"/>
          <w:szCs w:val="20"/>
        </w:rPr>
        <w:t xml:space="preserve"> s DPN delší než 3 dny se v roce 202</w:t>
      </w:r>
      <w:r>
        <w:rPr>
          <w:rFonts w:cs="Arial"/>
          <w:bCs/>
          <w:color w:val="000000"/>
          <w:szCs w:val="20"/>
        </w:rPr>
        <w:t>1</w:t>
      </w:r>
      <w:r w:rsidRPr="00D92E20">
        <w:rPr>
          <w:rFonts w:cs="Arial"/>
          <w:bCs/>
          <w:color w:val="000000"/>
          <w:szCs w:val="20"/>
        </w:rPr>
        <w:t xml:space="preserve"> událo </w:t>
      </w:r>
      <w:r w:rsidRPr="00D92E20">
        <w:rPr>
          <w:rFonts w:cs="Arial"/>
          <w:b/>
          <w:bCs/>
          <w:color w:val="000000"/>
          <w:szCs w:val="20"/>
        </w:rPr>
        <w:t>ve Zpracovatelském průmyslu</w:t>
      </w:r>
      <w:r w:rsidRPr="00D92E20">
        <w:rPr>
          <w:rFonts w:cs="Arial"/>
          <w:bCs/>
          <w:color w:val="000000"/>
          <w:szCs w:val="20"/>
        </w:rPr>
        <w:t xml:space="preserve"> (</w:t>
      </w:r>
      <w:r>
        <w:rPr>
          <w:rFonts w:cs="Arial"/>
          <w:bCs/>
          <w:color w:val="000000"/>
          <w:szCs w:val="20"/>
        </w:rPr>
        <w:t>17 446</w:t>
      </w:r>
      <w:r w:rsidRPr="00D92E20">
        <w:rPr>
          <w:rFonts w:cs="Arial"/>
          <w:bCs/>
          <w:color w:val="000000"/>
          <w:szCs w:val="20"/>
        </w:rPr>
        <w:t xml:space="preserve"> případů), následují odvětví Velkoobchod a maloobchod, opravy a údržba motorových vozidel (</w:t>
      </w:r>
      <w:r>
        <w:rPr>
          <w:rFonts w:cs="Arial"/>
          <w:bCs/>
          <w:color w:val="000000"/>
          <w:szCs w:val="20"/>
        </w:rPr>
        <w:t>5 274</w:t>
      </w:r>
      <w:r w:rsidRPr="00D92E20">
        <w:rPr>
          <w:rFonts w:cs="Arial"/>
          <w:bCs/>
          <w:color w:val="000000"/>
          <w:szCs w:val="20"/>
        </w:rPr>
        <w:t xml:space="preserve">) a Doprava a skladování (4 </w:t>
      </w:r>
      <w:r>
        <w:rPr>
          <w:rFonts w:cs="Arial"/>
          <w:bCs/>
          <w:color w:val="000000"/>
          <w:szCs w:val="20"/>
        </w:rPr>
        <w:t>627</w:t>
      </w:r>
      <w:r w:rsidRPr="00D92E20">
        <w:rPr>
          <w:rFonts w:cs="Arial"/>
          <w:bCs/>
          <w:color w:val="000000"/>
          <w:szCs w:val="20"/>
        </w:rPr>
        <w:t xml:space="preserve">). Pokud však zohledníme zaměstnanost v jednotlivých odvětvích a pomineme míru zastoupení jednotlivých sekcí, je vhodné použít </w:t>
      </w:r>
      <w:r w:rsidRPr="00D92E20">
        <w:rPr>
          <w:rFonts w:cs="Arial"/>
          <w:b/>
          <w:bCs/>
          <w:color w:val="000000"/>
          <w:szCs w:val="20"/>
        </w:rPr>
        <w:t>relativní ukazatel</w:t>
      </w:r>
      <w:r w:rsidRPr="00D92E20">
        <w:rPr>
          <w:rFonts w:cs="Arial"/>
          <w:bCs/>
          <w:color w:val="000000"/>
          <w:szCs w:val="20"/>
        </w:rPr>
        <w:t xml:space="preserve"> vztažený na 100 tis. pojištěnců. </w:t>
      </w:r>
      <w:r w:rsidRPr="00D92E20">
        <w:rPr>
          <w:rFonts w:cs="Arial"/>
          <w:b/>
          <w:bCs/>
          <w:color w:val="000000"/>
          <w:szCs w:val="20"/>
        </w:rPr>
        <w:t>Nejrizikovějším</w:t>
      </w:r>
      <w:r w:rsidRPr="00D92E20">
        <w:rPr>
          <w:rFonts w:cs="Arial"/>
          <w:bCs/>
          <w:color w:val="000000"/>
          <w:szCs w:val="20"/>
        </w:rPr>
        <w:t xml:space="preserve"> odvětvím je pak </w:t>
      </w:r>
      <w:r w:rsidRPr="00D92E20">
        <w:rPr>
          <w:rFonts w:cs="Arial"/>
          <w:b/>
          <w:bCs/>
          <w:color w:val="000000"/>
          <w:szCs w:val="20"/>
        </w:rPr>
        <w:t>Zemědělství, lesnictví, rybářství</w:t>
      </w:r>
      <w:r w:rsidRPr="00D92E20">
        <w:rPr>
          <w:rFonts w:cs="Arial"/>
          <w:bCs/>
          <w:color w:val="000000"/>
          <w:szCs w:val="20"/>
        </w:rPr>
        <w:t xml:space="preserve"> </w:t>
      </w:r>
      <w:r w:rsidRPr="00D92E20">
        <w:rPr>
          <w:rFonts w:cs="Arial"/>
          <w:bCs/>
          <w:color w:val="000000"/>
          <w:szCs w:val="20"/>
        </w:rPr>
        <w:lastRenderedPageBreak/>
        <w:t>(2 </w:t>
      </w:r>
      <w:r>
        <w:rPr>
          <w:rFonts w:cs="Arial"/>
          <w:bCs/>
          <w:color w:val="000000"/>
          <w:szCs w:val="20"/>
        </w:rPr>
        <w:t>449</w:t>
      </w:r>
      <w:r w:rsidRPr="00D92E20">
        <w:rPr>
          <w:rFonts w:cs="Arial"/>
          <w:bCs/>
          <w:color w:val="000000"/>
          <w:szCs w:val="20"/>
        </w:rPr>
        <w:t> pracovních úrazů na 100 tis. pojištěnců), dále odvětví Zásobování vodou, činnosti související s odpady a sanacemi (</w:t>
      </w:r>
      <w:r>
        <w:rPr>
          <w:rFonts w:cs="Arial"/>
          <w:bCs/>
          <w:color w:val="000000"/>
          <w:szCs w:val="20"/>
        </w:rPr>
        <w:t>2 018</w:t>
      </w:r>
      <w:r w:rsidRPr="00D92E20">
        <w:rPr>
          <w:rFonts w:cs="Arial"/>
          <w:bCs/>
          <w:color w:val="000000"/>
          <w:szCs w:val="20"/>
        </w:rPr>
        <w:t>), Těžba a dobývání (1 6</w:t>
      </w:r>
      <w:r>
        <w:rPr>
          <w:rFonts w:cs="Arial"/>
          <w:bCs/>
          <w:color w:val="000000"/>
          <w:szCs w:val="20"/>
        </w:rPr>
        <w:t>8</w:t>
      </w:r>
      <w:r w:rsidRPr="00D92E20">
        <w:rPr>
          <w:rFonts w:cs="Arial"/>
          <w:bCs/>
          <w:color w:val="000000"/>
          <w:szCs w:val="20"/>
        </w:rPr>
        <w:t xml:space="preserve">5), Doprava a skladování (1 </w:t>
      </w:r>
      <w:r>
        <w:rPr>
          <w:rFonts w:cs="Arial"/>
          <w:bCs/>
          <w:color w:val="000000"/>
          <w:szCs w:val="20"/>
        </w:rPr>
        <w:t>577</w:t>
      </w:r>
      <w:r w:rsidRPr="00D92E20">
        <w:rPr>
          <w:rFonts w:cs="Arial"/>
          <w:bCs/>
          <w:color w:val="000000"/>
          <w:szCs w:val="20"/>
        </w:rPr>
        <w:t xml:space="preserve">) a teprve poté následuje Zpracovatelský průmysl (1 </w:t>
      </w:r>
      <w:r>
        <w:rPr>
          <w:rFonts w:cs="Arial"/>
          <w:bCs/>
          <w:color w:val="000000"/>
          <w:szCs w:val="20"/>
        </w:rPr>
        <w:t>46</w:t>
      </w:r>
      <w:r w:rsidRPr="00D92E20">
        <w:rPr>
          <w:rFonts w:cs="Arial"/>
          <w:bCs/>
          <w:color w:val="000000"/>
          <w:szCs w:val="20"/>
        </w:rPr>
        <w:t xml:space="preserve">0). Průměrně na 100 tis. nemocensky pojištěných připadalo </w:t>
      </w:r>
      <w:r>
        <w:rPr>
          <w:rFonts w:cs="Arial"/>
          <w:bCs/>
          <w:color w:val="000000"/>
          <w:szCs w:val="20"/>
        </w:rPr>
        <w:t xml:space="preserve">934 </w:t>
      </w:r>
      <w:r w:rsidRPr="00D92E20">
        <w:rPr>
          <w:rFonts w:cs="Arial"/>
          <w:bCs/>
          <w:color w:val="000000"/>
          <w:szCs w:val="20"/>
        </w:rPr>
        <w:t>pracovních úrazů s pracovní neschopností delší než 3 dny. Nejméně rizikovými se jeví odvětví Peněžnictví a pojišťovnictví a Informační a komunikační činnosti</w:t>
      </w:r>
      <w:r>
        <w:rPr>
          <w:rFonts w:cs="Arial"/>
          <w:bCs/>
          <w:color w:val="000000"/>
          <w:szCs w:val="20"/>
        </w:rPr>
        <w:t>, které vykázaly 63 resp. 81 pracovních</w:t>
      </w:r>
      <w:r w:rsidRPr="00D92E20">
        <w:rPr>
          <w:rFonts w:cs="Arial"/>
          <w:bCs/>
          <w:color w:val="000000"/>
          <w:szCs w:val="20"/>
        </w:rPr>
        <w:t xml:space="preserve"> úraz</w:t>
      </w:r>
      <w:r>
        <w:rPr>
          <w:rFonts w:cs="Arial"/>
          <w:bCs/>
          <w:color w:val="000000"/>
          <w:szCs w:val="20"/>
        </w:rPr>
        <w:t>ů s </w:t>
      </w:r>
      <w:r w:rsidRPr="00D92E20">
        <w:rPr>
          <w:rFonts w:cs="Arial"/>
          <w:bCs/>
          <w:color w:val="000000"/>
          <w:szCs w:val="20"/>
        </w:rPr>
        <w:t xml:space="preserve">3denní a delší </w:t>
      </w:r>
      <w:r>
        <w:rPr>
          <w:rFonts w:cs="Arial"/>
          <w:bCs/>
          <w:color w:val="000000"/>
          <w:szCs w:val="20"/>
        </w:rPr>
        <w:t>pracovní neschopností</w:t>
      </w:r>
      <w:r w:rsidRPr="00D92E20">
        <w:rPr>
          <w:rFonts w:cs="Arial"/>
          <w:bCs/>
          <w:color w:val="000000"/>
          <w:szCs w:val="20"/>
        </w:rPr>
        <w:t xml:space="preserve"> v přepočtu na 100 tis. pojištěnců.</w:t>
      </w:r>
    </w:p>
    <w:p w14:paraId="497F7AD5" w14:textId="77777777" w:rsidR="00DB10B3" w:rsidRPr="00D92E20" w:rsidRDefault="00DB10B3" w:rsidP="00DB10B3">
      <w:pPr>
        <w:spacing w:after="0"/>
        <w:jc w:val="both"/>
        <w:rPr>
          <w:b/>
        </w:rPr>
      </w:pPr>
      <w:r w:rsidRPr="00D92E20">
        <w:rPr>
          <w:b/>
        </w:rPr>
        <w:t>Graf 5.2: Pracovní úrazy s pracovní neschopností delší než 3 dny na 100 tis. pojištěnců pod</w:t>
      </w:r>
      <w:r>
        <w:rPr>
          <w:b/>
        </w:rPr>
        <w:t>le odvětví (sekce CZ-NACE), 2021</w:t>
      </w:r>
    </w:p>
    <w:p w14:paraId="3A982096" w14:textId="77777777" w:rsidR="004C3917" w:rsidRPr="00D92E20" w:rsidRDefault="00DB10B3" w:rsidP="004C3917">
      <w:pPr>
        <w:jc w:val="both"/>
      </w:pPr>
      <w:r>
        <w:rPr>
          <w:noProof/>
        </w:rPr>
        <w:drawing>
          <wp:inline distT="0" distB="0" distL="0" distR="0" wp14:anchorId="4F6C6D91" wp14:editId="447F860F">
            <wp:extent cx="6120130" cy="4160520"/>
            <wp:effectExtent l="0" t="0" r="13970" b="11430"/>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926E0D9" w14:textId="77777777" w:rsidR="00DB10B3" w:rsidRPr="00D92E20" w:rsidRDefault="00DB10B3" w:rsidP="00DB10B3">
      <w:pPr>
        <w:spacing w:after="120"/>
        <w:jc w:val="both"/>
        <w:rPr>
          <w:sz w:val="16"/>
        </w:rPr>
      </w:pPr>
      <w:r w:rsidRPr="00D92E20">
        <w:rPr>
          <w:sz w:val="16"/>
        </w:rPr>
        <w:t>Zdroj: ČSÚ</w:t>
      </w:r>
    </w:p>
    <w:p w14:paraId="638CD42C" w14:textId="0BF2AA9C" w:rsidR="00E267D1" w:rsidRPr="00D92E20" w:rsidRDefault="00E267D1" w:rsidP="00E267D1">
      <w:pPr>
        <w:spacing w:before="120" w:after="120"/>
        <w:jc w:val="both"/>
      </w:pPr>
      <w:r w:rsidRPr="00D92E20">
        <w:t xml:space="preserve">Z hlediska </w:t>
      </w:r>
      <w:r w:rsidRPr="00D92E20">
        <w:rPr>
          <w:b/>
        </w:rPr>
        <w:t>územního členění</w:t>
      </w:r>
      <w:r w:rsidRPr="00D92E20">
        <w:t xml:space="preserve"> bylo v roce 202</w:t>
      </w:r>
      <w:r>
        <w:t>1</w:t>
      </w:r>
      <w:r w:rsidRPr="00D92E20">
        <w:t xml:space="preserve"> nejvíce případů pracovních úrazů s pracovní neschopností delší než 3 kalendářní dny na 100 tis. nemocensky pojištěných osob hlášeno v </w:t>
      </w:r>
      <w:r w:rsidR="00C85265">
        <w:t>K</w:t>
      </w:r>
      <w:r w:rsidRPr="00D92E20">
        <w:t>raji Vysočina (</w:t>
      </w:r>
      <w:r>
        <w:t>1 385</w:t>
      </w:r>
      <w:r w:rsidRPr="00D92E20">
        <w:t>), Jihočeském (1 </w:t>
      </w:r>
      <w:r>
        <w:t>3</w:t>
      </w:r>
      <w:r w:rsidRPr="00D92E20">
        <w:t>5</w:t>
      </w:r>
      <w:r>
        <w:t>6</w:t>
      </w:r>
      <w:r w:rsidRPr="00D92E20">
        <w:t>) a Plzeňském kraji (1 2</w:t>
      </w:r>
      <w:r>
        <w:t>56</w:t>
      </w:r>
      <w:r w:rsidRPr="00D92E20">
        <w:t xml:space="preserve">). Nejméně neschopností pak bylo </w:t>
      </w:r>
      <w:r>
        <w:t>zaznamenáno</w:t>
      </w:r>
      <w:r w:rsidRPr="00D92E20">
        <w:t xml:space="preserve"> v Hlavním městě Praze, a sice 5</w:t>
      </w:r>
      <w:r>
        <w:t>63</w:t>
      </w:r>
      <w:r w:rsidRPr="00D92E20">
        <w:t xml:space="preserve"> případů, což je 2,</w:t>
      </w:r>
      <w:r>
        <w:t>5</w:t>
      </w:r>
      <w:r w:rsidRPr="00D92E20">
        <w:t xml:space="preserve">krát méně než na Vysočině. Klíčovým faktorem ovlivňujícím tuto skutečnost je </w:t>
      </w:r>
      <w:r w:rsidRPr="00D92E20">
        <w:rPr>
          <w:b/>
        </w:rPr>
        <w:t>odvětvová struktura</w:t>
      </w:r>
      <w:r w:rsidRPr="00D92E20">
        <w:t xml:space="preserve"> v jednotlivých krajích. Zatímco v Praze je vysoký podíl zaměstnaných pracujících ve službách, nejen na Vysočině, ale i ve zbylých krajích je tento podíl výrazně nižší. Pod hranicí republikového průměru (</w:t>
      </w:r>
      <w:r>
        <w:t>934</w:t>
      </w:r>
      <w:r w:rsidRPr="00D92E20">
        <w:t xml:space="preserve"> </w:t>
      </w:r>
      <w:r w:rsidR="004B5F96">
        <w:t xml:space="preserve">pracovních </w:t>
      </w:r>
      <w:r w:rsidRPr="00D92E20">
        <w:t>úrazů na 100 tis. nemocensky pojištěných osob) se nachází kraje s největšími českými městy. Kromě již zmiňované Prahy také Jihomoravský kraj (8</w:t>
      </w:r>
      <w:r>
        <w:t>43</w:t>
      </w:r>
      <w:r w:rsidRPr="00D92E20">
        <w:t xml:space="preserve"> úrazů). Na Vysočině a</w:t>
      </w:r>
      <w:r w:rsidR="00ED6587">
        <w:t> </w:t>
      </w:r>
      <w:r w:rsidRPr="00D92E20">
        <w:t>v Jihočeském kraji je z celé republiky nejvyšší podíl pojištěnců v sekci Zemědělství, lesnictví, rybářství, které je z hlediska úrazovosti nejrizikovější. Na Vysočině představoval podíl pojištěnců v tomto odvětví 6 %, v Jihočeském kraji necelých 5 %. Celorepublikový průměr přitom činil 2 %.</w:t>
      </w:r>
    </w:p>
    <w:p w14:paraId="2CB49931" w14:textId="77777777" w:rsidR="00E267D1" w:rsidRDefault="00E267D1" w:rsidP="00E267D1">
      <w:pPr>
        <w:spacing w:before="120" w:after="120"/>
        <w:jc w:val="both"/>
      </w:pPr>
      <w:r w:rsidRPr="00D92E20">
        <w:t>Rozdíly výskytu pracovních úrazů podle územního členění jsou tedy do značné míry ovlivněny strukturou zaměstnanosti, charakterem převažující ekonomické činnosti a mírou nezaměstnanosti v daném regionu. Je nutné připomenout i metodiku zpracování dat, kdy krajská příslušnost vychází z údaje o sídle útvaru, který vede evidenci mezd zaměstnavateli osoby v pracovní neschopnosti.</w:t>
      </w:r>
    </w:p>
    <w:p w14:paraId="03C212F0" w14:textId="18FB3DCB" w:rsidR="004229D4" w:rsidRDefault="00E267D1" w:rsidP="00966E11">
      <w:pPr>
        <w:spacing w:before="120" w:after="120"/>
        <w:jc w:val="both"/>
        <w:rPr>
          <w:rFonts w:cs="Arial"/>
          <w:b/>
          <w:bCs/>
          <w:color w:val="000000"/>
          <w:szCs w:val="20"/>
        </w:rPr>
      </w:pPr>
      <w:r>
        <w:lastRenderedPageBreak/>
        <w:t>Graf 5.3 porovnává počet pracovních úrazů na 100 tis. pojištěnců v roce 2021 s obdobím před pandemií. Nejvyšší nárůst zaznamenal Olomoucký kraj, kde přibylo 59 pracovních úrazů na 100 tis. pojištěnců, naopak úbytek 44 úrazů zaznamenal Plzeňský kraj.</w:t>
      </w:r>
    </w:p>
    <w:p w14:paraId="475D406D" w14:textId="77777777" w:rsidR="00E267D1" w:rsidRPr="00E267D1" w:rsidRDefault="00E267D1" w:rsidP="00E267D1">
      <w:pPr>
        <w:spacing w:after="0" w:line="240" w:lineRule="auto"/>
        <w:rPr>
          <w:rFonts w:cs="Arial"/>
          <w:b/>
          <w:bCs/>
          <w:color w:val="000000"/>
          <w:szCs w:val="20"/>
        </w:rPr>
      </w:pPr>
      <w:r w:rsidRPr="00E267D1">
        <w:rPr>
          <w:rFonts w:cs="Arial"/>
          <w:b/>
          <w:bCs/>
          <w:color w:val="000000"/>
          <w:szCs w:val="20"/>
        </w:rPr>
        <w:t>Graf 5.3: Pracovní úrazy s pracovní neschopností delší než 3 dny na 100 tis. pojištěnců podle krajů ČR, 2019, 2021</w:t>
      </w:r>
    </w:p>
    <w:p w14:paraId="26C09252" w14:textId="2B755EAA" w:rsidR="00E07811" w:rsidRDefault="00E07811" w:rsidP="00F40B8C">
      <w:r>
        <w:rPr>
          <w:noProof/>
        </w:rPr>
        <w:drawing>
          <wp:inline distT="0" distB="0" distL="0" distR="0" wp14:anchorId="50BD67C3" wp14:editId="4B8B6FAE">
            <wp:extent cx="6115050" cy="2743200"/>
            <wp:effectExtent l="0" t="0" r="0" b="0"/>
            <wp:docPr id="50" name="Graf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BE9592F" w14:textId="77777777" w:rsidR="00E267D1" w:rsidRPr="00D92E20" w:rsidRDefault="00E267D1" w:rsidP="00E267D1">
      <w:pPr>
        <w:spacing w:after="120"/>
        <w:jc w:val="both"/>
        <w:rPr>
          <w:sz w:val="16"/>
        </w:rPr>
      </w:pPr>
      <w:r w:rsidRPr="00D92E20">
        <w:rPr>
          <w:sz w:val="16"/>
        </w:rPr>
        <w:t>Zdroj: ČSÚ</w:t>
      </w:r>
    </w:p>
    <w:p w14:paraId="720F42C1" w14:textId="77777777" w:rsidR="00C13658" w:rsidRPr="00C13658" w:rsidRDefault="00C13658" w:rsidP="00C13658">
      <w:pPr>
        <w:pStyle w:val="Nadpis2"/>
      </w:pPr>
      <w:bookmarkStart w:id="22" w:name="_Toc70950136"/>
      <w:bookmarkStart w:id="23" w:name="_Toc104792916"/>
      <w:r w:rsidRPr="00C13658">
        <w:t>4.6 Evropská statistika pracovních úrazů (ESAW)</w:t>
      </w:r>
      <w:bookmarkEnd w:id="22"/>
      <w:bookmarkEnd w:id="23"/>
    </w:p>
    <w:p w14:paraId="4E80C87E" w14:textId="77777777" w:rsidR="00C13658" w:rsidRPr="00D92E20" w:rsidRDefault="00C13658" w:rsidP="00C13658">
      <w:pPr>
        <w:spacing w:after="120"/>
        <w:jc w:val="both"/>
      </w:pPr>
      <w:r w:rsidRPr="00D92E20">
        <w:rPr>
          <w:rFonts w:cs="Arial"/>
          <w:szCs w:val="20"/>
        </w:rPr>
        <w:t xml:space="preserve">Evropská statistika pracovních úrazů – systém </w:t>
      </w:r>
      <w:r w:rsidRPr="00D92E20">
        <w:rPr>
          <w:rFonts w:cs="Arial"/>
          <w:b/>
          <w:szCs w:val="20"/>
        </w:rPr>
        <w:t>ESAW</w:t>
      </w:r>
      <w:r w:rsidRPr="00D92E20">
        <w:rPr>
          <w:rFonts w:cs="Arial"/>
          <w:szCs w:val="20"/>
        </w:rPr>
        <w:t xml:space="preserve"> (European Statistics on Accidents at Work) – umožňuje sledovat pracovní úrazovost na základě jednotné metodiky, kterou připravil Eurostat. Hlavním cílem je </w:t>
      </w:r>
      <w:r w:rsidRPr="00D92E20">
        <w:rPr>
          <w:rFonts w:cs="Arial"/>
          <w:b/>
          <w:szCs w:val="20"/>
        </w:rPr>
        <w:t>snížit</w:t>
      </w:r>
      <w:r w:rsidRPr="00D92E20">
        <w:rPr>
          <w:rFonts w:cs="Arial"/>
          <w:szCs w:val="20"/>
        </w:rPr>
        <w:t xml:space="preserve"> jak </w:t>
      </w:r>
      <w:r w:rsidRPr="00D92E20">
        <w:rPr>
          <w:rFonts w:cs="Arial"/>
          <w:b/>
          <w:szCs w:val="20"/>
        </w:rPr>
        <w:t>výskyt pracovních úrazů</w:t>
      </w:r>
      <w:r w:rsidRPr="00D92E20">
        <w:rPr>
          <w:rFonts w:cs="Arial"/>
          <w:szCs w:val="20"/>
        </w:rPr>
        <w:t xml:space="preserve">, tak dopady s nimi spojené (sociální problémy, ekonomické ztráty). Projekt ESAW na evropské úrovni svými výsledky významnou měrou přispívá k hlavnímu cíli statistiky pracovních úrazů, tj. </w:t>
      </w:r>
      <w:r w:rsidRPr="00D92E20">
        <w:rPr>
          <w:rFonts w:cs="Arial"/>
          <w:b/>
          <w:szCs w:val="20"/>
        </w:rPr>
        <w:t>vytvoření</w:t>
      </w:r>
      <w:r w:rsidRPr="00D92E20">
        <w:rPr>
          <w:rFonts w:cs="Arial"/>
          <w:szCs w:val="20"/>
        </w:rPr>
        <w:t xml:space="preserve"> dostatečného </w:t>
      </w:r>
      <w:r w:rsidRPr="00D92E20">
        <w:rPr>
          <w:rFonts w:cs="Arial"/>
          <w:b/>
          <w:szCs w:val="20"/>
        </w:rPr>
        <w:t>objemu údajů</w:t>
      </w:r>
      <w:r w:rsidRPr="00D92E20">
        <w:rPr>
          <w:rFonts w:cs="Arial"/>
          <w:szCs w:val="20"/>
        </w:rPr>
        <w:t xml:space="preserve"> o pracovní úrazovosti, na jejichž základě je zvyšována bezpečnost a ochrana zdraví při práci prostřednictvím účinných opatření, která umožňují aktivním způsobem předcházet pracovním úrazům, a tak snižovat jejich počet</w:t>
      </w:r>
      <w:r w:rsidRPr="00D92E20">
        <w:t>.</w:t>
      </w:r>
    </w:p>
    <w:p w14:paraId="3D9876A5" w14:textId="77777777" w:rsidR="00C13658" w:rsidRPr="00D92E20" w:rsidRDefault="00C13658" w:rsidP="00C13658">
      <w:pPr>
        <w:spacing w:after="120"/>
        <w:jc w:val="both"/>
        <w:rPr>
          <w:rFonts w:cs="Arial"/>
          <w:szCs w:val="20"/>
        </w:rPr>
      </w:pPr>
      <w:r w:rsidRPr="00D92E20">
        <w:rPr>
          <w:rFonts w:cs="Arial"/>
          <w:szCs w:val="20"/>
        </w:rPr>
        <w:t>Rámcová směrnice 89/391/EHS týkající se opatření pro zlepšení bezpečnosti a ochrany zdraví zaměstnanců při práci zavedla povinnost pro zaměstnavatele vést seznam pracovních úrazů, které měly za následek pracovní neschopnost delší než 3 pracovní dny</w:t>
      </w:r>
      <w:r w:rsidR="00CF4293">
        <w:rPr>
          <w:rFonts w:cs="Arial"/>
          <w:szCs w:val="20"/>
        </w:rPr>
        <w:t>,</w:t>
      </w:r>
      <w:r w:rsidRPr="00D92E20">
        <w:rPr>
          <w:rFonts w:cs="Arial"/>
          <w:szCs w:val="20"/>
        </w:rPr>
        <w:t xml:space="preserve"> a vypracovávat v souladu s vnitrostátními právními předpisy nebo zvyklostmi zprávy o pracovních úrazech, které utrpěli jeho zaměstnanci. Na tomto základě byl v roce 1990 zahájen projekt evropské statistiky pracovních úrazů s cílem harmonizovat údaje o všech pracovních úrazech, které měly za následek </w:t>
      </w:r>
      <w:r>
        <w:rPr>
          <w:rFonts w:cs="Arial"/>
          <w:szCs w:val="20"/>
        </w:rPr>
        <w:t>delší</w:t>
      </w:r>
      <w:r w:rsidRPr="00D92E20">
        <w:rPr>
          <w:rFonts w:cs="Arial"/>
          <w:szCs w:val="20"/>
        </w:rPr>
        <w:t xml:space="preserve"> než třídenní pracovní neschopnost. Nařízení Evropského parlamentu a Rady (ES) č. 1338/2008 ze dne 16. prosince 2008 o statistice Společenství v oblasti veřejného zdraví a bezpečnosti a ochrany zdraví při práci stanoví povinnost poskytovat statistiky pracovních úrazů Komisi (Eurostatu). </w:t>
      </w:r>
    </w:p>
    <w:p w14:paraId="1D0C6EDC" w14:textId="77777777" w:rsidR="00C13658" w:rsidRDefault="00C13658" w:rsidP="00C13658">
      <w:pPr>
        <w:spacing w:after="120"/>
        <w:jc w:val="both"/>
        <w:rPr>
          <w:rFonts w:cs="Arial"/>
          <w:szCs w:val="20"/>
        </w:rPr>
      </w:pPr>
      <w:r w:rsidRPr="00D92E20">
        <w:rPr>
          <w:rFonts w:cs="Arial"/>
          <w:szCs w:val="20"/>
        </w:rPr>
        <w:t xml:space="preserve">V České republice byl rozhodnutím Ministerstva práce a sociálních věcí zpracováním Zprávy o pracovní úrazovosti v České republice a správou databáze statistických údajů o pracovních úrazech ve formátu ESAW k zaslání do Eurostatu pověřen </w:t>
      </w:r>
      <w:r w:rsidRPr="00D92E20">
        <w:rPr>
          <w:rFonts w:cs="Arial"/>
          <w:b/>
          <w:szCs w:val="20"/>
        </w:rPr>
        <w:t>Státní úřad inspekce práce</w:t>
      </w:r>
      <w:r w:rsidRPr="00D92E20">
        <w:rPr>
          <w:rFonts w:cs="Arial"/>
          <w:szCs w:val="20"/>
        </w:rPr>
        <w:t>. Státní úřad inspekce práce (SÚIP) v této oblasti úzce spolupracuje s Českým báňským úřadem (ČBÚ) a ČSÚ.</w:t>
      </w:r>
    </w:p>
    <w:p w14:paraId="0105BC60" w14:textId="77777777" w:rsidR="00C13658" w:rsidRPr="00D92E20" w:rsidRDefault="00C13658" w:rsidP="00C13658">
      <w:pPr>
        <w:spacing w:after="120"/>
        <w:jc w:val="both"/>
        <w:rPr>
          <w:rFonts w:cs="Arial"/>
          <w:szCs w:val="20"/>
        </w:rPr>
      </w:pPr>
      <w:r w:rsidRPr="00D92E20">
        <w:rPr>
          <w:rFonts w:cs="Arial"/>
          <w:b/>
          <w:szCs w:val="20"/>
        </w:rPr>
        <w:t>Statistiky</w:t>
      </w:r>
      <w:r w:rsidRPr="00D92E20">
        <w:rPr>
          <w:rFonts w:cs="Arial"/>
          <w:szCs w:val="20"/>
        </w:rPr>
        <w:t xml:space="preserve"> se Eurostatu poskytují </w:t>
      </w:r>
      <w:r w:rsidRPr="00D92E20">
        <w:rPr>
          <w:rFonts w:cs="Arial"/>
          <w:b/>
          <w:szCs w:val="20"/>
        </w:rPr>
        <w:t>každoročně</w:t>
      </w:r>
      <w:r w:rsidRPr="00D92E20">
        <w:rPr>
          <w:rFonts w:cs="Arial"/>
          <w:szCs w:val="20"/>
        </w:rPr>
        <w:t xml:space="preserve"> a předkládají se nejpozději 18 měsíců po skončení referenčního roku. Eurostat zveřejňuje na svých stránkách výsledky zpracování dat za členské země EU, a to podle závažnosti pracovního úrazu, samostatně za smrtelné pracovní úrazy a za ostatní pracovní úrazy, které mají za následek pracovní neschopnost delší než 3 pracovní dny. K dispozici jsou dva základní ukazatele </w:t>
      </w:r>
      <w:r w:rsidRPr="00D92E20">
        <w:rPr>
          <w:rFonts w:cs="Arial"/>
          <w:szCs w:val="20"/>
        </w:rPr>
        <w:br/>
      </w:r>
      <w:r w:rsidRPr="00D92E20">
        <w:rPr>
          <w:rFonts w:cs="Arial"/>
          <w:szCs w:val="20"/>
        </w:rPr>
        <w:lastRenderedPageBreak/>
        <w:t>– absolutní ukazatel počtu pracovních úrazů a relativní ukazatel standardizovaná míra výskytu. Data jsou tříděna podle pohlaví, věku, zaměstnání pojištěnce, ekonomické činnosti zaměstnavatele a dalších kritérií</w:t>
      </w:r>
      <w:r w:rsidRPr="00D92E20">
        <w:rPr>
          <w:rStyle w:val="Znakapoznpodarou"/>
          <w:rFonts w:cs="Arial"/>
          <w:szCs w:val="20"/>
        </w:rPr>
        <w:footnoteReference w:id="14"/>
      </w:r>
      <w:r w:rsidRPr="00D92E20">
        <w:rPr>
          <w:rFonts w:cs="Arial"/>
          <w:szCs w:val="20"/>
        </w:rPr>
        <w:t>.</w:t>
      </w:r>
    </w:p>
    <w:p w14:paraId="5418692B" w14:textId="77777777" w:rsidR="00C13658" w:rsidRPr="00D92E20" w:rsidRDefault="00C13658" w:rsidP="00C13658">
      <w:pPr>
        <w:spacing w:after="120"/>
        <w:jc w:val="both"/>
      </w:pPr>
      <w:r w:rsidRPr="00D92E20">
        <w:t xml:space="preserve">Pro mezinárodní srovnání za členské státy EU byl v této publikaci použit relativní ukazatel – </w:t>
      </w:r>
      <w:r w:rsidRPr="00D92E20">
        <w:rPr>
          <w:b/>
        </w:rPr>
        <w:t>standardizovaná míra výskytu pracovních úrazů</w:t>
      </w:r>
      <w:r w:rsidRPr="00D92E20">
        <w:t xml:space="preserve"> na 100 tis. zaměstnaných osob, který je pro srovnání zemí různé velikosti vhodnějším ukazatelem než absolutní</w:t>
      </w:r>
      <w:r w:rsidR="00102EAE">
        <w:t xml:space="preserve"> počet pracovních úrazů</w:t>
      </w:r>
      <w:r w:rsidRPr="00D92E20">
        <w:t>. Navíc ošetřuje problém rozdílné odvětvové struktury v jednotlivých zemích. Pro zachycení vývoje míry úrazovosti v členských zemích EU</w:t>
      </w:r>
      <w:r>
        <w:t xml:space="preserve"> byly využity údaje za roky 2011</w:t>
      </w:r>
      <w:r w:rsidRPr="00D92E20">
        <w:t>–201</w:t>
      </w:r>
      <w:r>
        <w:t>9</w:t>
      </w:r>
      <w:r w:rsidRPr="00D92E20">
        <w:t>.</w:t>
      </w:r>
    </w:p>
    <w:p w14:paraId="47877C99" w14:textId="77777777" w:rsidR="00C13658" w:rsidRDefault="00C13658" w:rsidP="00C13658">
      <w:pPr>
        <w:spacing w:after="120"/>
        <w:jc w:val="both"/>
      </w:pPr>
      <w:r w:rsidRPr="00D92E20">
        <w:t>Je však nutné upozornit na skutečnost, že vnitrostátní legislativa nebo zvyklosti v oblasti pracovní úrazovosti se mohou v jednotlivých zemích poměrně značně lišit, a tak i data předávaná do Eurostatu, přes veškerou snahu statistiků o harmonizaci a standardizaci, nemusí být zcela srovnatelná.</w:t>
      </w:r>
    </w:p>
    <w:p w14:paraId="33C3E70E" w14:textId="77777777" w:rsidR="00C13658" w:rsidRPr="00D92E20" w:rsidRDefault="00C13658" w:rsidP="00C13658">
      <w:pPr>
        <w:pStyle w:val="Box1"/>
        <w:spacing w:before="120" w:after="120"/>
        <w:ind w:left="0"/>
        <w:jc w:val="both"/>
        <w:rPr>
          <w:i/>
        </w:rPr>
      </w:pPr>
      <w:r w:rsidRPr="00D92E20">
        <w:rPr>
          <w:b/>
          <w:i/>
        </w:rPr>
        <w:t xml:space="preserve">Míra výskytu (četnost) </w:t>
      </w:r>
      <w:r w:rsidRPr="00D92E20">
        <w:rPr>
          <w:i/>
        </w:rPr>
        <w:t xml:space="preserve">– ukazatel vyjadřuje počet pracovních úrazů na 100 000 zaměstnaných osob. Samostatné míry výskytu se počítají u smrtelných pracovních úrazů a pracovních úrazů, které mají za následek pracovní neschopnost delší než 3 pracovní dny. </w:t>
      </w:r>
    </w:p>
    <w:p w14:paraId="7D83C605" w14:textId="77777777" w:rsidR="00C13658" w:rsidRPr="00D92E20" w:rsidRDefault="00C13658" w:rsidP="00C13658">
      <w:pPr>
        <w:pStyle w:val="Box1"/>
        <w:ind w:left="0"/>
        <w:jc w:val="both"/>
        <w:rPr>
          <w:i/>
          <w:u w:val="single"/>
        </w:rPr>
      </w:pPr>
      <w:r w:rsidRPr="00D92E20">
        <w:rPr>
          <w:i/>
          <w:u w:val="single"/>
        </w:rPr>
        <w:t>Způsob výpočtu:</w:t>
      </w:r>
    </w:p>
    <w:p w14:paraId="4350A806" w14:textId="77777777" w:rsidR="00C13658" w:rsidRPr="00D92E20" w:rsidRDefault="00C13658" w:rsidP="00C13658">
      <w:pPr>
        <w:pStyle w:val="Box1"/>
        <w:spacing w:before="120" w:after="120"/>
        <w:ind w:left="0"/>
        <w:contextualSpacing w:val="0"/>
        <w:jc w:val="both"/>
        <w:rPr>
          <w:i/>
          <w:sz w:val="16"/>
          <w:szCs w:val="16"/>
        </w:rPr>
      </w:pPr>
      <w:r w:rsidRPr="00D92E20">
        <w:rPr>
          <w:i/>
        </w:rPr>
        <w:t>Míra výskytu = počet úrazů (smrtelných nebo ostatních) / počet zaměstnaných osob ve sledované populaci x 100 000.</w:t>
      </w:r>
    </w:p>
    <w:p w14:paraId="084AD1EA" w14:textId="77777777" w:rsidR="00C13658" w:rsidRPr="00D92E20" w:rsidRDefault="00C13658" w:rsidP="00C13658">
      <w:pPr>
        <w:pStyle w:val="Box1"/>
        <w:spacing w:before="120" w:after="120"/>
        <w:ind w:left="0"/>
        <w:contextualSpacing w:val="0"/>
        <w:jc w:val="both"/>
        <w:rPr>
          <w:i/>
        </w:rPr>
      </w:pPr>
      <w:r w:rsidRPr="00D92E20">
        <w:rPr>
          <w:b/>
          <w:i/>
        </w:rPr>
        <w:t>Standardizovaná míra výskytu</w:t>
      </w:r>
      <w:r w:rsidRPr="00D92E20">
        <w:rPr>
          <w:i/>
        </w:rPr>
        <w:t xml:space="preserve"> – standardizovaný počet pracovních úrazů na 100 000 zaměstnaných osob spočívající v použití stejné (standardizované) váhy v každém odvětví v každé zemi, jako je celková v rámci EU („standardizovaná“ míra úrazovosti). Použití standardizovaného ukazatele řeší problém častějšího výskytu pracovních úrazů v některých zaměstnáních v závislosti na vyšším podílu vysoce rizikových odvětví v průmyslové struktuře země. Standardizovaná míra pokrývá následující sekce klasifikace NACE: A, C–N, tj. bez sekcí B (Těžba a dobývání) a O–U (zahrnující některé služby).</w:t>
      </w:r>
    </w:p>
    <w:p w14:paraId="3963A86B" w14:textId="77777777" w:rsidR="00C13658" w:rsidRDefault="00C13658" w:rsidP="00C13658">
      <w:pPr>
        <w:spacing w:after="120"/>
        <w:jc w:val="both"/>
      </w:pPr>
      <w:r w:rsidRPr="00D92E20">
        <w:t xml:space="preserve">Co se týče </w:t>
      </w:r>
      <w:r w:rsidRPr="00D92E20">
        <w:rPr>
          <w:b/>
        </w:rPr>
        <w:t>pracovních úrazů</w:t>
      </w:r>
      <w:r w:rsidRPr="00D92E20">
        <w:t xml:space="preserve">, které si vyžádaly </w:t>
      </w:r>
      <w:r w:rsidRPr="00D92E20">
        <w:rPr>
          <w:b/>
        </w:rPr>
        <w:t>pracovní neschopnost delší než 3 pracovní dny</w:t>
      </w:r>
      <w:r w:rsidRPr="00D92E20">
        <w:t xml:space="preserve">, se </w:t>
      </w:r>
      <w:r w:rsidRPr="00D92E20">
        <w:rPr>
          <w:b/>
        </w:rPr>
        <w:t>Česká republika</w:t>
      </w:r>
      <w:r w:rsidRPr="00D92E20">
        <w:t xml:space="preserve"> s hodnotou 9</w:t>
      </w:r>
      <w:r>
        <w:t>34</w:t>
      </w:r>
      <w:r w:rsidRPr="00D92E20">
        <w:t xml:space="preserve"> pracovních úrazů na 100 tis. zaměstnaných osob v roce 201</w:t>
      </w:r>
      <w:r>
        <w:t>9</w:t>
      </w:r>
      <w:r w:rsidRPr="00D92E20">
        <w:t xml:space="preserve"> řadila na </w:t>
      </w:r>
      <w:r w:rsidRPr="00D92E20">
        <w:rPr>
          <w:b/>
        </w:rPr>
        <w:t>1</w:t>
      </w:r>
      <w:r>
        <w:rPr>
          <w:b/>
        </w:rPr>
        <w:t>6</w:t>
      </w:r>
      <w:r w:rsidRPr="00D92E20">
        <w:rPr>
          <w:b/>
        </w:rPr>
        <w:t xml:space="preserve">. místo </w:t>
      </w:r>
      <w:r w:rsidRPr="00D92E20">
        <w:t xml:space="preserve">v rámci </w:t>
      </w:r>
      <w:r w:rsidRPr="00D92E20">
        <w:rPr>
          <w:b/>
        </w:rPr>
        <w:t>EU2</w:t>
      </w:r>
      <w:r w:rsidR="007E0FFD">
        <w:rPr>
          <w:b/>
        </w:rPr>
        <w:t>7</w:t>
      </w:r>
      <w:r w:rsidRPr="00D92E20">
        <w:t>. Nejvyšší míra pracovní úrazovosti je podle Eurostatu dlouhodobě ve </w:t>
      </w:r>
      <w:r w:rsidR="007E0FFD" w:rsidRPr="00D92E20">
        <w:t>Španělsku</w:t>
      </w:r>
      <w:r w:rsidR="007E0FFD">
        <w:t>,</w:t>
      </w:r>
      <w:r w:rsidR="007E0FFD" w:rsidRPr="00D92E20">
        <w:t xml:space="preserve"> </w:t>
      </w:r>
      <w:r w:rsidRPr="00D92E20">
        <w:t>Francii</w:t>
      </w:r>
      <w:r w:rsidR="007E0FFD">
        <w:t xml:space="preserve"> a</w:t>
      </w:r>
      <w:r w:rsidR="00B25EC1">
        <w:t> </w:t>
      </w:r>
      <w:r w:rsidR="007E0FFD">
        <w:t>Portugalsku</w:t>
      </w:r>
      <w:r w:rsidRPr="00D92E20">
        <w:t>. V roce 201</w:t>
      </w:r>
      <w:r w:rsidR="007E0FFD">
        <w:t>9</w:t>
      </w:r>
      <w:r w:rsidRPr="00D92E20">
        <w:t xml:space="preserve"> činila </w:t>
      </w:r>
      <w:r w:rsidR="007E0FFD">
        <w:t xml:space="preserve">v těchto zemích </w:t>
      </w:r>
      <w:r w:rsidRPr="00D92E20">
        <w:t xml:space="preserve">více než </w:t>
      </w:r>
      <w:r w:rsidR="00B25EC1">
        <w:t xml:space="preserve">3 200 </w:t>
      </w:r>
      <w:r w:rsidRPr="00D92E20">
        <w:t xml:space="preserve">pracovních úrazů na 100 tis. zaměstnaných osob. S odstupem následovalo Lucembursko s mírou výskytu </w:t>
      </w:r>
      <w:r w:rsidR="00B25EC1">
        <w:t>2 289</w:t>
      </w:r>
      <w:r w:rsidRPr="00D92E20">
        <w:t xml:space="preserve"> pracovních úrazů na 100 tis. zaměstnaných osob. Dvěma tisícům se blížilo Německo</w:t>
      </w:r>
      <w:r w:rsidR="007E0FFD">
        <w:t xml:space="preserve"> a Dánsko</w:t>
      </w:r>
      <w:r w:rsidRPr="00D92E20">
        <w:t>. Nejnižší míra pracovní úrazovosti (pod hranicí 500 pr</w:t>
      </w:r>
      <w:r w:rsidR="007E0FFD">
        <w:t>acovních úrazů) byla v roce 2019</w:t>
      </w:r>
      <w:r w:rsidRPr="00D92E20">
        <w:t xml:space="preserve"> vykázána v</w:t>
      </w:r>
      <w:r w:rsidR="007E0FFD">
        <w:t> </w:t>
      </w:r>
      <w:r w:rsidR="007E0FFD" w:rsidRPr="00D92E20">
        <w:t>Rumunsku</w:t>
      </w:r>
      <w:r w:rsidR="007E0FFD">
        <w:t>,</w:t>
      </w:r>
      <w:r w:rsidR="007E0FFD" w:rsidRPr="00D92E20">
        <w:t xml:space="preserve"> </w:t>
      </w:r>
      <w:r w:rsidRPr="00D92E20">
        <w:t>Bulharsku, Řecku, Lotyšsku a Litvě. V </w:t>
      </w:r>
      <w:r w:rsidR="007E0FFD" w:rsidRPr="00D92E20">
        <w:t xml:space="preserve">Rumunsku </w:t>
      </w:r>
      <w:r w:rsidRPr="00D92E20">
        <w:t xml:space="preserve">bylo na 100 000 zaměstnaných hlášeno pouze </w:t>
      </w:r>
      <w:r w:rsidR="007E0FFD">
        <w:t>80</w:t>
      </w:r>
      <w:r w:rsidRPr="00D92E20">
        <w:t xml:space="preserve"> pracovních úrazů s pracovní neschopností </w:t>
      </w:r>
      <w:r w:rsidR="007E0FFD">
        <w:t xml:space="preserve">delší než 3 dny, v </w:t>
      </w:r>
      <w:r w:rsidR="007E0FFD" w:rsidRPr="00D92E20">
        <w:t xml:space="preserve">Bulharsku </w:t>
      </w:r>
      <w:r w:rsidR="007E0FFD">
        <w:t>8</w:t>
      </w:r>
      <w:r w:rsidRPr="00D92E20">
        <w:t>3.</w:t>
      </w:r>
    </w:p>
    <w:p w14:paraId="375F6677" w14:textId="3A420344" w:rsidR="004229D4" w:rsidRDefault="005C2B7D" w:rsidP="00927AB2">
      <w:pPr>
        <w:spacing w:after="120"/>
        <w:jc w:val="both"/>
        <w:rPr>
          <w:rFonts w:cs="Arial"/>
          <w:b/>
          <w:bCs/>
          <w:color w:val="000000"/>
          <w:szCs w:val="20"/>
        </w:rPr>
      </w:pPr>
      <w:r w:rsidRPr="0083282F">
        <w:t>Podle informací Eurostatu je v zemích s nejvyšší mírou výskytu pracovních úrazů (</w:t>
      </w:r>
      <w:r w:rsidR="00523A05" w:rsidRPr="0083282F">
        <w:t xml:space="preserve">Španělsko, </w:t>
      </w:r>
      <w:r w:rsidRPr="0083282F">
        <w:t xml:space="preserve">Francie, </w:t>
      </w:r>
      <w:r w:rsidR="0083282F" w:rsidRPr="0083282F">
        <w:t xml:space="preserve">či </w:t>
      </w:r>
      <w:r w:rsidRPr="0083282F">
        <w:t>Portugalsko) zaveden systém hlášení úrazů na základě pojištění. Osoba postižená úrazem obdrží při nahlášení úrazu významnou peněžní kompenzaci od pojišťovny. V zemích východní Evropy pracovní úrazovost nejčastěji spadá do systému sociálního zabezpečení. Z těchto zemí jediné Slovinsko vykázalo více než 1 000 pracovních úrazů s pracovní neschopností delší než 3 dny na 100 000 zaměstnaných osob. Nejnižší míra v Rumunsku a Bulharsku patrně do značné míry odráží vysoký podíl nenahlášených pracovních úrazů.</w:t>
      </w:r>
    </w:p>
    <w:p w14:paraId="60566B56" w14:textId="77777777" w:rsidR="00966E11" w:rsidRDefault="00966E11">
      <w:pPr>
        <w:spacing w:after="0" w:line="240" w:lineRule="auto"/>
        <w:rPr>
          <w:rFonts w:cs="Arial"/>
          <w:b/>
          <w:bCs/>
          <w:color w:val="000000"/>
          <w:szCs w:val="20"/>
        </w:rPr>
      </w:pPr>
      <w:r>
        <w:rPr>
          <w:rFonts w:cs="Arial"/>
          <w:b/>
          <w:bCs/>
          <w:color w:val="000000"/>
          <w:szCs w:val="20"/>
        </w:rPr>
        <w:br w:type="page"/>
      </w:r>
    </w:p>
    <w:p w14:paraId="61EAAA7C" w14:textId="52B40CA8" w:rsidR="005C2B7D" w:rsidRPr="00D92E20" w:rsidRDefault="005C2B7D" w:rsidP="00B25EC1">
      <w:pPr>
        <w:spacing w:after="0" w:line="240" w:lineRule="auto"/>
        <w:jc w:val="both"/>
      </w:pPr>
      <w:r w:rsidRPr="005C2B7D">
        <w:rPr>
          <w:rFonts w:cs="Arial"/>
          <w:b/>
          <w:bCs/>
          <w:color w:val="000000"/>
          <w:szCs w:val="20"/>
        </w:rPr>
        <w:lastRenderedPageBreak/>
        <w:t>Graf 6.1: Pracovní úrazy s pracovní neschopností delší než 3 pracovní dny v zemích EU (standardizovaná míra výskytu na 100 tis. zaměstnaných osob), 2019</w:t>
      </w:r>
    </w:p>
    <w:p w14:paraId="029B4D4A" w14:textId="77777777" w:rsidR="00C13658" w:rsidRPr="00D92E20" w:rsidRDefault="005C2B7D" w:rsidP="00C13658">
      <w:pPr>
        <w:spacing w:after="120"/>
        <w:jc w:val="both"/>
      </w:pPr>
      <w:r>
        <w:rPr>
          <w:noProof/>
        </w:rPr>
        <w:drawing>
          <wp:inline distT="0" distB="0" distL="0" distR="0" wp14:anchorId="5E13AC81" wp14:editId="3337E026">
            <wp:extent cx="6115050" cy="5076825"/>
            <wp:effectExtent l="0" t="0" r="0" b="9525"/>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AF0B520" w14:textId="77777777" w:rsidR="005C2B7D" w:rsidRPr="00D92E20" w:rsidRDefault="005C2B7D" w:rsidP="005C2B7D">
      <w:pPr>
        <w:spacing w:after="120"/>
        <w:jc w:val="both"/>
        <w:rPr>
          <w:sz w:val="16"/>
        </w:rPr>
      </w:pPr>
      <w:r w:rsidRPr="00D92E20">
        <w:rPr>
          <w:sz w:val="16"/>
        </w:rPr>
        <w:t>Zdroj: Eurostat (ESAW)</w:t>
      </w:r>
    </w:p>
    <w:p w14:paraId="1F614AAC" w14:textId="3C378AC3" w:rsidR="00523A05" w:rsidRPr="00D92E20" w:rsidRDefault="00523A05" w:rsidP="00523A05">
      <w:pPr>
        <w:spacing w:after="120"/>
        <w:jc w:val="both"/>
      </w:pPr>
      <w:r w:rsidRPr="0083282F">
        <w:t xml:space="preserve">Vývoj pracovní úrazovosti je v posledních letech v jednotlivých zemích EU odlišný (viz tab. 6.1). Pomineme-li Řecko a Nizozemsko, kde došlo k přerušení v časové řadě, největší pokles </w:t>
      </w:r>
      <w:r w:rsidR="0083282F" w:rsidRPr="0083282F">
        <w:t xml:space="preserve">za posledních 5 let </w:t>
      </w:r>
      <w:r w:rsidRPr="0083282F">
        <w:t xml:space="preserve">(o </w:t>
      </w:r>
      <w:r w:rsidR="0083282F" w:rsidRPr="0083282F">
        <w:t>48 %) zaznamenalo Irsko</w:t>
      </w:r>
      <w:r w:rsidRPr="0083282F">
        <w:t>. Zatímco v roce 201</w:t>
      </w:r>
      <w:r w:rsidR="0083282F" w:rsidRPr="0083282F">
        <w:t>4</w:t>
      </w:r>
      <w:r w:rsidRPr="0083282F">
        <w:t xml:space="preserve"> připadalo na 100 000 zaměstnaných osob </w:t>
      </w:r>
      <w:r w:rsidR="0083282F" w:rsidRPr="0083282F">
        <w:t>1 072</w:t>
      </w:r>
      <w:r w:rsidRPr="0083282F">
        <w:t xml:space="preserve"> pracovních úrazů obnášejících pracovní neschopnost delší než 3 dny, v roce 201</w:t>
      </w:r>
      <w:r w:rsidR="0083282F" w:rsidRPr="0083282F">
        <w:t>9</w:t>
      </w:r>
      <w:r w:rsidRPr="0083282F">
        <w:t xml:space="preserve"> hodnota poklesla </w:t>
      </w:r>
      <w:r w:rsidR="0083282F" w:rsidRPr="0083282F">
        <w:t>téměř o více než 500</w:t>
      </w:r>
      <w:r w:rsidR="00DC2A86">
        <w:t> </w:t>
      </w:r>
      <w:r w:rsidR="0083282F" w:rsidRPr="0083282F">
        <w:t>případů</w:t>
      </w:r>
      <w:r w:rsidRPr="0083282F">
        <w:t xml:space="preserve"> na </w:t>
      </w:r>
      <w:r w:rsidR="0083282F" w:rsidRPr="0083282F">
        <w:t>560</w:t>
      </w:r>
      <w:r w:rsidRPr="0083282F">
        <w:t xml:space="preserve"> úrazů. Naopak největší nárůst za uvedené období byl patrný v Litvě (o </w:t>
      </w:r>
      <w:r w:rsidR="0083282F" w:rsidRPr="0083282F">
        <w:t>48 %) z 297</w:t>
      </w:r>
      <w:r w:rsidRPr="0083282F">
        <w:t xml:space="preserve"> případů na </w:t>
      </w:r>
      <w:r w:rsidR="0083282F" w:rsidRPr="0083282F">
        <w:t xml:space="preserve">438 </w:t>
      </w:r>
      <w:r w:rsidRPr="0083282F">
        <w:t>pracovních úrazů. V</w:t>
      </w:r>
      <w:r w:rsidR="0083282F" w:rsidRPr="0083282F">
        <w:t xml:space="preserve">e srovnání s těmito zeměmi se situace v </w:t>
      </w:r>
      <w:r w:rsidRPr="0083282F">
        <w:t xml:space="preserve">České republice za </w:t>
      </w:r>
      <w:r w:rsidR="0083282F" w:rsidRPr="0083282F">
        <w:t xml:space="preserve">toto </w:t>
      </w:r>
      <w:r w:rsidRPr="0083282F">
        <w:t>5leté období příliš nezměnila, oproti roku 201</w:t>
      </w:r>
      <w:r w:rsidR="0083282F" w:rsidRPr="0083282F">
        <w:t>4</w:t>
      </w:r>
      <w:r w:rsidRPr="0083282F">
        <w:t xml:space="preserve"> bylo v roce 201</w:t>
      </w:r>
      <w:r w:rsidR="0083282F" w:rsidRPr="0083282F">
        <w:t>9</w:t>
      </w:r>
      <w:r w:rsidRPr="0083282F">
        <w:t xml:space="preserve"> o </w:t>
      </w:r>
      <w:r w:rsidR="0083282F" w:rsidRPr="0083282F">
        <w:t>27</w:t>
      </w:r>
      <w:r w:rsidRPr="0083282F">
        <w:t> pracovních úrazů (vyžadujících neschopenku delší než 3</w:t>
      </w:r>
      <w:r w:rsidR="00B25EC1">
        <w:t> </w:t>
      </w:r>
      <w:r w:rsidRPr="0083282F">
        <w:t xml:space="preserve">dny) </w:t>
      </w:r>
      <w:r w:rsidR="00B71800">
        <w:t xml:space="preserve">na 100 000 zaměstnaných </w:t>
      </w:r>
      <w:r w:rsidRPr="0083282F">
        <w:t xml:space="preserve">více, tj. nárůst o </w:t>
      </w:r>
      <w:r w:rsidR="0083282F" w:rsidRPr="0083282F">
        <w:t>necelá</w:t>
      </w:r>
      <w:r w:rsidRPr="0083282F">
        <w:t xml:space="preserve"> </w:t>
      </w:r>
      <w:r w:rsidR="0083282F" w:rsidRPr="0083282F">
        <w:t>3</w:t>
      </w:r>
      <w:r w:rsidRPr="0083282F">
        <w:t xml:space="preserve"> %.</w:t>
      </w:r>
    </w:p>
    <w:p w14:paraId="727A5BE2" w14:textId="77777777" w:rsidR="004229D4" w:rsidRDefault="004229D4">
      <w:pPr>
        <w:spacing w:after="0" w:line="240" w:lineRule="auto"/>
        <w:rPr>
          <w:rFonts w:cs="Arial"/>
          <w:b/>
          <w:bCs/>
          <w:color w:val="000000"/>
          <w:szCs w:val="20"/>
        </w:rPr>
      </w:pPr>
      <w:r>
        <w:rPr>
          <w:rFonts w:cs="Arial"/>
          <w:b/>
          <w:bCs/>
          <w:color w:val="000000"/>
          <w:szCs w:val="20"/>
        </w:rPr>
        <w:br w:type="page"/>
      </w:r>
    </w:p>
    <w:p w14:paraId="5B23DE2B" w14:textId="77777777" w:rsidR="00C13658" w:rsidRPr="00D92E20" w:rsidRDefault="0083282F" w:rsidP="004229D4">
      <w:pPr>
        <w:spacing w:after="0" w:line="240" w:lineRule="auto"/>
        <w:jc w:val="both"/>
        <w:rPr>
          <w:rFonts w:cs="Arial"/>
          <w:szCs w:val="20"/>
        </w:rPr>
      </w:pPr>
      <w:r w:rsidRPr="0083282F">
        <w:rPr>
          <w:rFonts w:cs="Arial"/>
          <w:b/>
          <w:bCs/>
          <w:color w:val="000000"/>
          <w:szCs w:val="20"/>
        </w:rPr>
        <w:lastRenderedPageBreak/>
        <w:t>Tab. 6.1: Pracovní úrazy s pracovní neschopností delší než 3 pracovní dny v zemích EU (standardizovaná míra výskytu na 100 tis. zaměstnaných osob), 2011–2019</w:t>
      </w:r>
    </w:p>
    <w:tbl>
      <w:tblPr>
        <w:tblW w:w="9580" w:type="dxa"/>
        <w:tblCellMar>
          <w:left w:w="70" w:type="dxa"/>
          <w:right w:w="70" w:type="dxa"/>
        </w:tblCellMar>
        <w:tblLook w:val="04A0" w:firstRow="1" w:lastRow="0" w:firstColumn="1" w:lastColumn="0" w:noHBand="0" w:noVBand="1"/>
      </w:tblPr>
      <w:tblGrid>
        <w:gridCol w:w="1417"/>
        <w:gridCol w:w="907"/>
        <w:gridCol w:w="907"/>
        <w:gridCol w:w="907"/>
        <w:gridCol w:w="907"/>
        <w:gridCol w:w="907"/>
        <w:gridCol w:w="907"/>
        <w:gridCol w:w="907"/>
        <w:gridCol w:w="907"/>
        <w:gridCol w:w="907"/>
      </w:tblGrid>
      <w:tr w:rsidR="0083282F" w:rsidRPr="0083282F" w14:paraId="571E6577" w14:textId="77777777" w:rsidTr="0083282F">
        <w:trPr>
          <w:trHeight w:val="300"/>
        </w:trPr>
        <w:tc>
          <w:tcPr>
            <w:tcW w:w="1417" w:type="dxa"/>
            <w:tcBorders>
              <w:top w:val="single" w:sz="4" w:space="0" w:color="000000"/>
              <w:left w:val="nil"/>
              <w:bottom w:val="single" w:sz="4" w:space="0" w:color="000000"/>
              <w:right w:val="single" w:sz="4" w:space="0" w:color="000000"/>
            </w:tcBorders>
            <w:shd w:val="clear" w:color="000000" w:fill="F5DADD"/>
            <w:noWrap/>
            <w:vAlign w:val="center"/>
            <w:hideMark/>
          </w:tcPr>
          <w:p w14:paraId="0A0EF536" w14:textId="77777777" w:rsidR="0083282F" w:rsidRPr="0083282F" w:rsidRDefault="0083282F" w:rsidP="0083282F">
            <w:pPr>
              <w:spacing w:after="0" w:line="240" w:lineRule="auto"/>
              <w:rPr>
                <w:rFonts w:cs="Arial"/>
                <w:sz w:val="16"/>
                <w:szCs w:val="16"/>
              </w:rPr>
            </w:pPr>
            <w:r w:rsidRPr="0083282F">
              <w:rPr>
                <w:rFonts w:cs="Arial"/>
                <w:sz w:val="16"/>
                <w:szCs w:val="16"/>
              </w:rPr>
              <w:t>Členské státy EU</w:t>
            </w:r>
          </w:p>
        </w:tc>
        <w:tc>
          <w:tcPr>
            <w:tcW w:w="907" w:type="dxa"/>
            <w:tcBorders>
              <w:top w:val="single" w:sz="4" w:space="0" w:color="000000"/>
              <w:left w:val="nil"/>
              <w:bottom w:val="single" w:sz="4" w:space="0" w:color="auto"/>
              <w:right w:val="nil"/>
            </w:tcBorders>
            <w:shd w:val="clear" w:color="000000" w:fill="F5DADD"/>
            <w:noWrap/>
            <w:vAlign w:val="center"/>
            <w:hideMark/>
          </w:tcPr>
          <w:p w14:paraId="7AE1C712" w14:textId="77777777" w:rsidR="0083282F" w:rsidRPr="0083282F" w:rsidRDefault="0083282F" w:rsidP="0083282F">
            <w:pPr>
              <w:spacing w:after="0" w:line="240" w:lineRule="auto"/>
              <w:jc w:val="center"/>
              <w:rPr>
                <w:rFonts w:cs="Arial"/>
                <w:sz w:val="16"/>
                <w:szCs w:val="16"/>
              </w:rPr>
            </w:pPr>
            <w:r w:rsidRPr="0083282F">
              <w:rPr>
                <w:rFonts w:cs="Arial"/>
                <w:sz w:val="16"/>
                <w:szCs w:val="16"/>
              </w:rPr>
              <w:t>2011</w:t>
            </w:r>
          </w:p>
        </w:tc>
        <w:tc>
          <w:tcPr>
            <w:tcW w:w="907" w:type="dxa"/>
            <w:tcBorders>
              <w:top w:val="single" w:sz="4" w:space="0" w:color="000000"/>
              <w:left w:val="nil"/>
              <w:bottom w:val="single" w:sz="4" w:space="0" w:color="auto"/>
              <w:right w:val="nil"/>
            </w:tcBorders>
            <w:shd w:val="clear" w:color="000000" w:fill="F5DADD"/>
            <w:noWrap/>
            <w:vAlign w:val="center"/>
            <w:hideMark/>
          </w:tcPr>
          <w:p w14:paraId="429EEF0E" w14:textId="77777777" w:rsidR="0083282F" w:rsidRPr="0083282F" w:rsidRDefault="0083282F" w:rsidP="0083282F">
            <w:pPr>
              <w:spacing w:after="0" w:line="240" w:lineRule="auto"/>
              <w:jc w:val="center"/>
              <w:rPr>
                <w:rFonts w:cs="Arial"/>
                <w:sz w:val="16"/>
                <w:szCs w:val="16"/>
              </w:rPr>
            </w:pPr>
            <w:r w:rsidRPr="0083282F">
              <w:rPr>
                <w:rFonts w:cs="Arial"/>
                <w:sz w:val="16"/>
                <w:szCs w:val="16"/>
              </w:rPr>
              <w:t>2012</w:t>
            </w:r>
          </w:p>
        </w:tc>
        <w:tc>
          <w:tcPr>
            <w:tcW w:w="907" w:type="dxa"/>
            <w:tcBorders>
              <w:top w:val="single" w:sz="4" w:space="0" w:color="000000"/>
              <w:left w:val="nil"/>
              <w:bottom w:val="single" w:sz="4" w:space="0" w:color="auto"/>
              <w:right w:val="nil"/>
            </w:tcBorders>
            <w:shd w:val="clear" w:color="000000" w:fill="F5DADD"/>
            <w:noWrap/>
            <w:vAlign w:val="center"/>
            <w:hideMark/>
          </w:tcPr>
          <w:p w14:paraId="6645CD1E" w14:textId="77777777" w:rsidR="0083282F" w:rsidRPr="0083282F" w:rsidRDefault="0083282F" w:rsidP="0083282F">
            <w:pPr>
              <w:spacing w:after="0" w:line="240" w:lineRule="auto"/>
              <w:jc w:val="center"/>
              <w:rPr>
                <w:rFonts w:cs="Arial"/>
                <w:sz w:val="16"/>
                <w:szCs w:val="16"/>
              </w:rPr>
            </w:pPr>
            <w:r w:rsidRPr="0083282F">
              <w:rPr>
                <w:rFonts w:cs="Arial"/>
                <w:sz w:val="16"/>
                <w:szCs w:val="16"/>
              </w:rPr>
              <w:t>2013</w:t>
            </w:r>
          </w:p>
        </w:tc>
        <w:tc>
          <w:tcPr>
            <w:tcW w:w="907" w:type="dxa"/>
            <w:tcBorders>
              <w:top w:val="single" w:sz="4" w:space="0" w:color="000000"/>
              <w:left w:val="nil"/>
              <w:bottom w:val="single" w:sz="4" w:space="0" w:color="auto"/>
              <w:right w:val="nil"/>
            </w:tcBorders>
            <w:shd w:val="clear" w:color="000000" w:fill="F5DADD"/>
            <w:noWrap/>
            <w:vAlign w:val="center"/>
            <w:hideMark/>
          </w:tcPr>
          <w:p w14:paraId="1EDADA5B" w14:textId="77777777" w:rsidR="0083282F" w:rsidRPr="0083282F" w:rsidRDefault="0083282F" w:rsidP="0083282F">
            <w:pPr>
              <w:spacing w:after="0" w:line="240" w:lineRule="auto"/>
              <w:jc w:val="center"/>
              <w:rPr>
                <w:rFonts w:cs="Arial"/>
                <w:sz w:val="16"/>
                <w:szCs w:val="16"/>
              </w:rPr>
            </w:pPr>
            <w:r w:rsidRPr="0083282F">
              <w:rPr>
                <w:rFonts w:cs="Arial"/>
                <w:sz w:val="16"/>
                <w:szCs w:val="16"/>
              </w:rPr>
              <w:t>2014</w:t>
            </w:r>
          </w:p>
        </w:tc>
        <w:tc>
          <w:tcPr>
            <w:tcW w:w="907" w:type="dxa"/>
            <w:tcBorders>
              <w:top w:val="single" w:sz="4" w:space="0" w:color="000000"/>
              <w:left w:val="nil"/>
              <w:bottom w:val="single" w:sz="4" w:space="0" w:color="auto"/>
              <w:right w:val="nil"/>
            </w:tcBorders>
            <w:shd w:val="clear" w:color="000000" w:fill="F5DADD"/>
            <w:noWrap/>
            <w:vAlign w:val="center"/>
            <w:hideMark/>
          </w:tcPr>
          <w:p w14:paraId="4CF7A276" w14:textId="77777777" w:rsidR="0083282F" w:rsidRPr="0083282F" w:rsidRDefault="0083282F" w:rsidP="0083282F">
            <w:pPr>
              <w:spacing w:after="0" w:line="240" w:lineRule="auto"/>
              <w:jc w:val="center"/>
              <w:rPr>
                <w:rFonts w:cs="Arial"/>
                <w:sz w:val="16"/>
                <w:szCs w:val="16"/>
              </w:rPr>
            </w:pPr>
            <w:r w:rsidRPr="0083282F">
              <w:rPr>
                <w:rFonts w:cs="Arial"/>
                <w:sz w:val="16"/>
                <w:szCs w:val="16"/>
              </w:rPr>
              <w:t>2015</w:t>
            </w:r>
          </w:p>
        </w:tc>
        <w:tc>
          <w:tcPr>
            <w:tcW w:w="907" w:type="dxa"/>
            <w:tcBorders>
              <w:top w:val="single" w:sz="4" w:space="0" w:color="000000"/>
              <w:left w:val="nil"/>
              <w:bottom w:val="single" w:sz="4" w:space="0" w:color="auto"/>
              <w:right w:val="nil"/>
            </w:tcBorders>
            <w:shd w:val="clear" w:color="000000" w:fill="F5DADD"/>
            <w:noWrap/>
            <w:vAlign w:val="center"/>
            <w:hideMark/>
          </w:tcPr>
          <w:p w14:paraId="532054B2" w14:textId="77777777" w:rsidR="0083282F" w:rsidRPr="0083282F" w:rsidRDefault="0083282F" w:rsidP="0083282F">
            <w:pPr>
              <w:spacing w:after="0" w:line="240" w:lineRule="auto"/>
              <w:jc w:val="center"/>
              <w:rPr>
                <w:rFonts w:cs="Arial"/>
                <w:sz w:val="16"/>
                <w:szCs w:val="16"/>
              </w:rPr>
            </w:pPr>
            <w:r w:rsidRPr="0083282F">
              <w:rPr>
                <w:rFonts w:cs="Arial"/>
                <w:sz w:val="16"/>
                <w:szCs w:val="16"/>
              </w:rPr>
              <w:t>2016</w:t>
            </w:r>
          </w:p>
        </w:tc>
        <w:tc>
          <w:tcPr>
            <w:tcW w:w="907" w:type="dxa"/>
            <w:tcBorders>
              <w:top w:val="single" w:sz="4" w:space="0" w:color="000000"/>
              <w:left w:val="nil"/>
              <w:bottom w:val="single" w:sz="4" w:space="0" w:color="auto"/>
              <w:right w:val="nil"/>
            </w:tcBorders>
            <w:shd w:val="clear" w:color="000000" w:fill="F5DADD"/>
            <w:noWrap/>
            <w:vAlign w:val="center"/>
            <w:hideMark/>
          </w:tcPr>
          <w:p w14:paraId="1A5E039D" w14:textId="77777777" w:rsidR="0083282F" w:rsidRPr="0083282F" w:rsidRDefault="0083282F" w:rsidP="0083282F">
            <w:pPr>
              <w:spacing w:after="0" w:line="240" w:lineRule="auto"/>
              <w:jc w:val="center"/>
              <w:rPr>
                <w:rFonts w:cs="Arial"/>
                <w:sz w:val="16"/>
                <w:szCs w:val="16"/>
              </w:rPr>
            </w:pPr>
            <w:r w:rsidRPr="0083282F">
              <w:rPr>
                <w:rFonts w:cs="Arial"/>
                <w:sz w:val="16"/>
                <w:szCs w:val="16"/>
              </w:rPr>
              <w:t>2017</w:t>
            </w:r>
          </w:p>
        </w:tc>
        <w:tc>
          <w:tcPr>
            <w:tcW w:w="907" w:type="dxa"/>
            <w:tcBorders>
              <w:top w:val="single" w:sz="4" w:space="0" w:color="000000"/>
              <w:left w:val="nil"/>
              <w:bottom w:val="single" w:sz="4" w:space="0" w:color="auto"/>
              <w:right w:val="nil"/>
            </w:tcBorders>
            <w:shd w:val="clear" w:color="000000" w:fill="F5DADD"/>
            <w:noWrap/>
            <w:vAlign w:val="center"/>
            <w:hideMark/>
          </w:tcPr>
          <w:p w14:paraId="23BD546F" w14:textId="77777777" w:rsidR="0083282F" w:rsidRPr="0083282F" w:rsidRDefault="0083282F" w:rsidP="0083282F">
            <w:pPr>
              <w:spacing w:after="0" w:line="240" w:lineRule="auto"/>
              <w:jc w:val="center"/>
              <w:rPr>
                <w:rFonts w:cs="Arial"/>
                <w:sz w:val="16"/>
                <w:szCs w:val="16"/>
              </w:rPr>
            </w:pPr>
            <w:r w:rsidRPr="0083282F">
              <w:rPr>
                <w:rFonts w:cs="Arial"/>
                <w:sz w:val="16"/>
                <w:szCs w:val="16"/>
              </w:rPr>
              <w:t>2018</w:t>
            </w:r>
          </w:p>
        </w:tc>
        <w:tc>
          <w:tcPr>
            <w:tcW w:w="907" w:type="dxa"/>
            <w:tcBorders>
              <w:top w:val="single" w:sz="4" w:space="0" w:color="000000"/>
              <w:left w:val="nil"/>
              <w:bottom w:val="single" w:sz="4" w:space="0" w:color="auto"/>
              <w:right w:val="nil"/>
            </w:tcBorders>
            <w:shd w:val="clear" w:color="000000" w:fill="F5DADD"/>
            <w:noWrap/>
            <w:vAlign w:val="center"/>
            <w:hideMark/>
          </w:tcPr>
          <w:p w14:paraId="315CFB38" w14:textId="77777777" w:rsidR="0083282F" w:rsidRPr="0083282F" w:rsidRDefault="0083282F" w:rsidP="0083282F">
            <w:pPr>
              <w:spacing w:after="0" w:line="240" w:lineRule="auto"/>
              <w:jc w:val="center"/>
              <w:rPr>
                <w:rFonts w:cs="Arial"/>
                <w:sz w:val="16"/>
                <w:szCs w:val="16"/>
              </w:rPr>
            </w:pPr>
            <w:r w:rsidRPr="0083282F">
              <w:rPr>
                <w:rFonts w:cs="Arial"/>
                <w:sz w:val="16"/>
                <w:szCs w:val="16"/>
              </w:rPr>
              <w:t>2019</w:t>
            </w:r>
          </w:p>
        </w:tc>
      </w:tr>
      <w:tr w:rsidR="0083282F" w:rsidRPr="0083282F" w14:paraId="0216F360" w14:textId="77777777" w:rsidTr="001438A5">
        <w:trPr>
          <w:trHeight w:val="300"/>
        </w:trPr>
        <w:tc>
          <w:tcPr>
            <w:tcW w:w="1417" w:type="dxa"/>
            <w:tcBorders>
              <w:top w:val="nil"/>
              <w:left w:val="nil"/>
              <w:bottom w:val="nil"/>
              <w:right w:val="nil"/>
            </w:tcBorders>
            <w:shd w:val="clear" w:color="auto" w:fill="auto"/>
            <w:noWrap/>
            <w:vAlign w:val="center"/>
            <w:hideMark/>
          </w:tcPr>
          <w:p w14:paraId="44276311" w14:textId="77777777" w:rsidR="0083282F" w:rsidRPr="0083282F" w:rsidRDefault="0083282F" w:rsidP="001438A5">
            <w:pPr>
              <w:spacing w:after="0" w:line="240" w:lineRule="auto"/>
              <w:rPr>
                <w:rFonts w:cs="Arial"/>
                <w:b/>
                <w:bCs/>
                <w:sz w:val="16"/>
                <w:szCs w:val="16"/>
              </w:rPr>
            </w:pPr>
            <w:r w:rsidRPr="0083282F">
              <w:rPr>
                <w:rFonts w:cs="Arial"/>
                <w:b/>
                <w:bCs/>
                <w:sz w:val="16"/>
                <w:szCs w:val="16"/>
              </w:rPr>
              <w:t>EU27</w:t>
            </w:r>
          </w:p>
        </w:tc>
        <w:tc>
          <w:tcPr>
            <w:tcW w:w="907" w:type="dxa"/>
            <w:tcBorders>
              <w:top w:val="nil"/>
              <w:left w:val="single" w:sz="4" w:space="0" w:color="000000"/>
              <w:bottom w:val="nil"/>
              <w:right w:val="nil"/>
            </w:tcBorders>
            <w:shd w:val="clear" w:color="auto" w:fill="auto"/>
            <w:noWrap/>
            <w:vAlign w:val="center"/>
            <w:hideMark/>
          </w:tcPr>
          <w:p w14:paraId="36105F0A"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2 044,0</w:t>
            </w:r>
          </w:p>
        </w:tc>
        <w:tc>
          <w:tcPr>
            <w:tcW w:w="907" w:type="dxa"/>
            <w:tcBorders>
              <w:top w:val="nil"/>
              <w:left w:val="nil"/>
              <w:bottom w:val="nil"/>
              <w:right w:val="nil"/>
            </w:tcBorders>
            <w:shd w:val="clear" w:color="auto" w:fill="auto"/>
            <w:noWrap/>
            <w:vAlign w:val="center"/>
            <w:hideMark/>
          </w:tcPr>
          <w:p w14:paraId="2D1AD0A2"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1 862,4</w:t>
            </w:r>
          </w:p>
        </w:tc>
        <w:tc>
          <w:tcPr>
            <w:tcW w:w="907" w:type="dxa"/>
            <w:tcBorders>
              <w:top w:val="nil"/>
              <w:left w:val="nil"/>
              <w:bottom w:val="nil"/>
              <w:right w:val="nil"/>
            </w:tcBorders>
            <w:shd w:val="clear" w:color="auto" w:fill="auto"/>
            <w:noWrap/>
            <w:vAlign w:val="center"/>
            <w:hideMark/>
          </w:tcPr>
          <w:p w14:paraId="78C2B40F"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1 815,8</w:t>
            </w:r>
          </w:p>
        </w:tc>
        <w:tc>
          <w:tcPr>
            <w:tcW w:w="907" w:type="dxa"/>
            <w:tcBorders>
              <w:top w:val="nil"/>
              <w:left w:val="nil"/>
              <w:bottom w:val="nil"/>
              <w:right w:val="nil"/>
            </w:tcBorders>
            <w:shd w:val="clear" w:color="auto" w:fill="auto"/>
            <w:noWrap/>
            <w:vAlign w:val="center"/>
            <w:hideMark/>
          </w:tcPr>
          <w:p w14:paraId="6082A227"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1 768,5</w:t>
            </w:r>
          </w:p>
        </w:tc>
        <w:tc>
          <w:tcPr>
            <w:tcW w:w="907" w:type="dxa"/>
            <w:tcBorders>
              <w:top w:val="nil"/>
              <w:left w:val="nil"/>
              <w:bottom w:val="nil"/>
              <w:right w:val="nil"/>
            </w:tcBorders>
            <w:shd w:val="clear" w:color="auto" w:fill="auto"/>
            <w:noWrap/>
            <w:vAlign w:val="center"/>
            <w:hideMark/>
          </w:tcPr>
          <w:p w14:paraId="0E939201"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1 761,9</w:t>
            </w:r>
          </w:p>
        </w:tc>
        <w:tc>
          <w:tcPr>
            <w:tcW w:w="907" w:type="dxa"/>
            <w:tcBorders>
              <w:top w:val="nil"/>
              <w:left w:val="nil"/>
              <w:bottom w:val="nil"/>
              <w:right w:val="nil"/>
            </w:tcBorders>
            <w:shd w:val="clear" w:color="auto" w:fill="auto"/>
            <w:noWrap/>
            <w:vAlign w:val="center"/>
            <w:hideMark/>
          </w:tcPr>
          <w:p w14:paraId="4E54F00D"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1 772,4</w:t>
            </w:r>
          </w:p>
        </w:tc>
        <w:tc>
          <w:tcPr>
            <w:tcW w:w="907" w:type="dxa"/>
            <w:tcBorders>
              <w:top w:val="nil"/>
              <w:left w:val="nil"/>
              <w:bottom w:val="nil"/>
              <w:right w:val="nil"/>
            </w:tcBorders>
            <w:shd w:val="clear" w:color="auto" w:fill="auto"/>
            <w:noWrap/>
            <w:vAlign w:val="center"/>
            <w:hideMark/>
          </w:tcPr>
          <w:p w14:paraId="2B8A0BB3"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1 801,0</w:t>
            </w:r>
          </w:p>
        </w:tc>
        <w:tc>
          <w:tcPr>
            <w:tcW w:w="907" w:type="dxa"/>
            <w:tcBorders>
              <w:top w:val="nil"/>
              <w:left w:val="nil"/>
              <w:bottom w:val="nil"/>
              <w:right w:val="nil"/>
            </w:tcBorders>
            <w:shd w:val="clear" w:color="auto" w:fill="auto"/>
            <w:noWrap/>
            <w:vAlign w:val="center"/>
            <w:hideMark/>
          </w:tcPr>
          <w:p w14:paraId="69EF97DC"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1 768,9</w:t>
            </w:r>
          </w:p>
        </w:tc>
        <w:tc>
          <w:tcPr>
            <w:tcW w:w="907" w:type="dxa"/>
            <w:tcBorders>
              <w:top w:val="nil"/>
              <w:left w:val="nil"/>
              <w:bottom w:val="nil"/>
              <w:right w:val="nil"/>
            </w:tcBorders>
            <w:shd w:val="clear" w:color="auto" w:fill="auto"/>
            <w:noWrap/>
            <w:vAlign w:val="center"/>
            <w:hideMark/>
          </w:tcPr>
          <w:p w14:paraId="27A1B7DA"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1 712,5</w:t>
            </w:r>
          </w:p>
        </w:tc>
      </w:tr>
      <w:tr w:rsidR="0083282F" w:rsidRPr="0083282F" w14:paraId="0F69064E" w14:textId="77777777" w:rsidTr="001438A5">
        <w:trPr>
          <w:trHeight w:val="300"/>
        </w:trPr>
        <w:tc>
          <w:tcPr>
            <w:tcW w:w="1417" w:type="dxa"/>
            <w:tcBorders>
              <w:top w:val="nil"/>
              <w:left w:val="nil"/>
              <w:bottom w:val="nil"/>
              <w:right w:val="nil"/>
            </w:tcBorders>
            <w:shd w:val="clear" w:color="auto" w:fill="auto"/>
            <w:noWrap/>
            <w:vAlign w:val="center"/>
            <w:hideMark/>
          </w:tcPr>
          <w:p w14:paraId="458360CC"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Belgie</w:t>
            </w:r>
          </w:p>
        </w:tc>
        <w:tc>
          <w:tcPr>
            <w:tcW w:w="907" w:type="dxa"/>
            <w:tcBorders>
              <w:top w:val="nil"/>
              <w:left w:val="single" w:sz="4" w:space="0" w:color="000000"/>
              <w:bottom w:val="nil"/>
              <w:right w:val="nil"/>
            </w:tcBorders>
            <w:shd w:val="clear" w:color="auto" w:fill="auto"/>
            <w:noWrap/>
            <w:vAlign w:val="center"/>
            <w:hideMark/>
          </w:tcPr>
          <w:p w14:paraId="5C25516B" w14:textId="77777777" w:rsidR="0083282F" w:rsidRPr="0083282F" w:rsidRDefault="0083282F" w:rsidP="001438A5">
            <w:pPr>
              <w:spacing w:after="0" w:line="240" w:lineRule="auto"/>
              <w:jc w:val="right"/>
              <w:rPr>
                <w:rFonts w:cs="Arial"/>
                <w:sz w:val="16"/>
                <w:szCs w:val="16"/>
              </w:rPr>
            </w:pPr>
            <w:r w:rsidRPr="0083282F">
              <w:rPr>
                <w:rFonts w:cs="Arial"/>
                <w:sz w:val="16"/>
                <w:szCs w:val="16"/>
              </w:rPr>
              <w:t>2 523,4</w:t>
            </w:r>
          </w:p>
        </w:tc>
        <w:tc>
          <w:tcPr>
            <w:tcW w:w="907" w:type="dxa"/>
            <w:tcBorders>
              <w:top w:val="nil"/>
              <w:left w:val="nil"/>
              <w:bottom w:val="nil"/>
              <w:right w:val="nil"/>
            </w:tcBorders>
            <w:shd w:val="clear" w:color="auto" w:fill="auto"/>
            <w:noWrap/>
            <w:vAlign w:val="center"/>
            <w:hideMark/>
          </w:tcPr>
          <w:p w14:paraId="1EB16884" w14:textId="77777777" w:rsidR="0083282F" w:rsidRPr="0083282F" w:rsidRDefault="0083282F" w:rsidP="001438A5">
            <w:pPr>
              <w:spacing w:after="0" w:line="240" w:lineRule="auto"/>
              <w:jc w:val="right"/>
              <w:rPr>
                <w:rFonts w:cs="Arial"/>
                <w:sz w:val="16"/>
                <w:szCs w:val="16"/>
              </w:rPr>
            </w:pPr>
            <w:r w:rsidRPr="0083282F">
              <w:rPr>
                <w:rFonts w:cs="Arial"/>
                <w:sz w:val="16"/>
                <w:szCs w:val="16"/>
              </w:rPr>
              <w:t>2 197,3</w:t>
            </w:r>
          </w:p>
        </w:tc>
        <w:tc>
          <w:tcPr>
            <w:tcW w:w="907" w:type="dxa"/>
            <w:tcBorders>
              <w:top w:val="nil"/>
              <w:left w:val="nil"/>
              <w:bottom w:val="nil"/>
              <w:right w:val="nil"/>
            </w:tcBorders>
            <w:shd w:val="clear" w:color="auto" w:fill="auto"/>
            <w:noWrap/>
            <w:vAlign w:val="center"/>
            <w:hideMark/>
          </w:tcPr>
          <w:p w14:paraId="17033FFC" w14:textId="77777777" w:rsidR="0083282F" w:rsidRPr="0083282F" w:rsidRDefault="0083282F" w:rsidP="001438A5">
            <w:pPr>
              <w:spacing w:after="0" w:line="240" w:lineRule="auto"/>
              <w:jc w:val="right"/>
              <w:rPr>
                <w:rFonts w:cs="Arial"/>
                <w:sz w:val="16"/>
                <w:szCs w:val="16"/>
              </w:rPr>
            </w:pPr>
            <w:r w:rsidRPr="0083282F">
              <w:rPr>
                <w:rFonts w:cs="Arial"/>
                <w:sz w:val="16"/>
                <w:szCs w:val="16"/>
              </w:rPr>
              <w:t>2 147,3</w:t>
            </w:r>
          </w:p>
        </w:tc>
        <w:tc>
          <w:tcPr>
            <w:tcW w:w="907" w:type="dxa"/>
            <w:tcBorders>
              <w:top w:val="nil"/>
              <w:left w:val="nil"/>
              <w:bottom w:val="nil"/>
              <w:right w:val="nil"/>
            </w:tcBorders>
            <w:shd w:val="clear" w:color="000000" w:fill="D9D9D9"/>
            <w:noWrap/>
            <w:vAlign w:val="center"/>
            <w:hideMark/>
          </w:tcPr>
          <w:p w14:paraId="72BA6A94" w14:textId="77777777" w:rsidR="0083282F" w:rsidRPr="0083282F" w:rsidRDefault="0083282F" w:rsidP="001438A5">
            <w:pPr>
              <w:spacing w:after="0" w:line="240" w:lineRule="auto"/>
              <w:jc w:val="right"/>
              <w:rPr>
                <w:rFonts w:cs="Arial"/>
                <w:sz w:val="16"/>
                <w:szCs w:val="16"/>
              </w:rPr>
            </w:pPr>
            <w:r w:rsidRPr="0083282F">
              <w:rPr>
                <w:rFonts w:cs="Arial"/>
                <w:sz w:val="16"/>
                <w:szCs w:val="16"/>
              </w:rPr>
              <w:t>1 724,4</w:t>
            </w:r>
          </w:p>
        </w:tc>
        <w:tc>
          <w:tcPr>
            <w:tcW w:w="907" w:type="dxa"/>
            <w:tcBorders>
              <w:top w:val="nil"/>
              <w:left w:val="nil"/>
              <w:bottom w:val="nil"/>
              <w:right w:val="nil"/>
            </w:tcBorders>
            <w:shd w:val="clear" w:color="auto" w:fill="auto"/>
            <w:noWrap/>
            <w:vAlign w:val="center"/>
            <w:hideMark/>
          </w:tcPr>
          <w:p w14:paraId="7497AD45" w14:textId="77777777" w:rsidR="0083282F" w:rsidRPr="0083282F" w:rsidRDefault="0083282F" w:rsidP="001438A5">
            <w:pPr>
              <w:spacing w:after="0" w:line="240" w:lineRule="auto"/>
              <w:jc w:val="right"/>
              <w:rPr>
                <w:rFonts w:cs="Arial"/>
                <w:sz w:val="16"/>
                <w:szCs w:val="16"/>
              </w:rPr>
            </w:pPr>
            <w:r w:rsidRPr="0083282F">
              <w:rPr>
                <w:rFonts w:cs="Arial"/>
                <w:sz w:val="16"/>
                <w:szCs w:val="16"/>
              </w:rPr>
              <w:t>1 518,6</w:t>
            </w:r>
          </w:p>
        </w:tc>
        <w:tc>
          <w:tcPr>
            <w:tcW w:w="907" w:type="dxa"/>
            <w:tcBorders>
              <w:top w:val="nil"/>
              <w:left w:val="nil"/>
              <w:bottom w:val="nil"/>
              <w:right w:val="nil"/>
            </w:tcBorders>
            <w:shd w:val="clear" w:color="auto" w:fill="auto"/>
            <w:noWrap/>
            <w:vAlign w:val="center"/>
            <w:hideMark/>
          </w:tcPr>
          <w:p w14:paraId="79DF137E" w14:textId="77777777" w:rsidR="0083282F" w:rsidRPr="0083282F" w:rsidRDefault="0083282F" w:rsidP="001438A5">
            <w:pPr>
              <w:spacing w:after="0" w:line="240" w:lineRule="auto"/>
              <w:jc w:val="right"/>
              <w:rPr>
                <w:rFonts w:cs="Arial"/>
                <w:sz w:val="16"/>
                <w:szCs w:val="16"/>
              </w:rPr>
            </w:pPr>
            <w:r w:rsidRPr="0083282F">
              <w:rPr>
                <w:rFonts w:cs="Arial"/>
                <w:sz w:val="16"/>
                <w:szCs w:val="16"/>
              </w:rPr>
              <w:t>1 972,2</w:t>
            </w:r>
          </w:p>
        </w:tc>
        <w:tc>
          <w:tcPr>
            <w:tcW w:w="907" w:type="dxa"/>
            <w:tcBorders>
              <w:top w:val="nil"/>
              <w:left w:val="nil"/>
              <w:bottom w:val="nil"/>
              <w:right w:val="nil"/>
            </w:tcBorders>
            <w:shd w:val="clear" w:color="auto" w:fill="auto"/>
            <w:noWrap/>
            <w:vAlign w:val="center"/>
            <w:hideMark/>
          </w:tcPr>
          <w:p w14:paraId="7DFBCA79" w14:textId="77777777" w:rsidR="0083282F" w:rsidRPr="0083282F" w:rsidRDefault="0083282F" w:rsidP="001438A5">
            <w:pPr>
              <w:spacing w:after="0" w:line="240" w:lineRule="auto"/>
              <w:jc w:val="right"/>
              <w:rPr>
                <w:rFonts w:cs="Arial"/>
                <w:sz w:val="16"/>
                <w:szCs w:val="16"/>
              </w:rPr>
            </w:pPr>
            <w:r w:rsidRPr="0083282F">
              <w:rPr>
                <w:rFonts w:cs="Arial"/>
                <w:sz w:val="16"/>
                <w:szCs w:val="16"/>
              </w:rPr>
              <w:t>1 946,3</w:t>
            </w:r>
          </w:p>
        </w:tc>
        <w:tc>
          <w:tcPr>
            <w:tcW w:w="907" w:type="dxa"/>
            <w:tcBorders>
              <w:top w:val="nil"/>
              <w:left w:val="nil"/>
              <w:bottom w:val="nil"/>
              <w:right w:val="nil"/>
            </w:tcBorders>
            <w:shd w:val="clear" w:color="auto" w:fill="auto"/>
            <w:noWrap/>
            <w:vAlign w:val="center"/>
            <w:hideMark/>
          </w:tcPr>
          <w:p w14:paraId="3F936DFB" w14:textId="77777777" w:rsidR="0083282F" w:rsidRPr="0083282F" w:rsidRDefault="0083282F" w:rsidP="001438A5">
            <w:pPr>
              <w:spacing w:after="0" w:line="240" w:lineRule="auto"/>
              <w:jc w:val="right"/>
              <w:rPr>
                <w:rFonts w:cs="Arial"/>
                <w:sz w:val="16"/>
                <w:szCs w:val="16"/>
              </w:rPr>
            </w:pPr>
            <w:r w:rsidRPr="0083282F">
              <w:rPr>
                <w:rFonts w:cs="Arial"/>
                <w:sz w:val="16"/>
                <w:szCs w:val="16"/>
              </w:rPr>
              <w:t>1 866,3</w:t>
            </w:r>
          </w:p>
        </w:tc>
        <w:tc>
          <w:tcPr>
            <w:tcW w:w="907" w:type="dxa"/>
            <w:tcBorders>
              <w:top w:val="nil"/>
              <w:left w:val="nil"/>
              <w:bottom w:val="nil"/>
              <w:right w:val="nil"/>
            </w:tcBorders>
            <w:shd w:val="clear" w:color="auto" w:fill="auto"/>
            <w:noWrap/>
            <w:vAlign w:val="center"/>
            <w:hideMark/>
          </w:tcPr>
          <w:p w14:paraId="15EF10ED" w14:textId="77777777" w:rsidR="0083282F" w:rsidRPr="0083282F" w:rsidRDefault="0083282F" w:rsidP="001438A5">
            <w:pPr>
              <w:spacing w:after="0" w:line="240" w:lineRule="auto"/>
              <w:jc w:val="right"/>
              <w:rPr>
                <w:rFonts w:cs="Arial"/>
                <w:sz w:val="16"/>
                <w:szCs w:val="16"/>
              </w:rPr>
            </w:pPr>
            <w:r w:rsidRPr="0083282F">
              <w:rPr>
                <w:rFonts w:cs="Arial"/>
                <w:sz w:val="16"/>
                <w:szCs w:val="16"/>
              </w:rPr>
              <w:t>1 746,0</w:t>
            </w:r>
          </w:p>
        </w:tc>
      </w:tr>
      <w:tr w:rsidR="0083282F" w:rsidRPr="0083282F" w14:paraId="203EFE35" w14:textId="77777777" w:rsidTr="001438A5">
        <w:trPr>
          <w:trHeight w:val="300"/>
        </w:trPr>
        <w:tc>
          <w:tcPr>
            <w:tcW w:w="1417" w:type="dxa"/>
            <w:tcBorders>
              <w:top w:val="nil"/>
              <w:left w:val="nil"/>
              <w:bottom w:val="nil"/>
              <w:right w:val="nil"/>
            </w:tcBorders>
            <w:shd w:val="clear" w:color="auto" w:fill="auto"/>
            <w:noWrap/>
            <w:vAlign w:val="center"/>
            <w:hideMark/>
          </w:tcPr>
          <w:p w14:paraId="4B238646"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Bulharsko</w:t>
            </w:r>
          </w:p>
        </w:tc>
        <w:tc>
          <w:tcPr>
            <w:tcW w:w="907" w:type="dxa"/>
            <w:tcBorders>
              <w:top w:val="nil"/>
              <w:left w:val="single" w:sz="4" w:space="0" w:color="000000"/>
              <w:bottom w:val="nil"/>
              <w:right w:val="nil"/>
            </w:tcBorders>
            <w:shd w:val="clear" w:color="auto" w:fill="auto"/>
            <w:noWrap/>
            <w:vAlign w:val="center"/>
            <w:hideMark/>
          </w:tcPr>
          <w:p w14:paraId="2CE2FE27" w14:textId="77777777" w:rsidR="0083282F" w:rsidRPr="0083282F" w:rsidRDefault="0083282F" w:rsidP="001438A5">
            <w:pPr>
              <w:spacing w:after="0" w:line="240" w:lineRule="auto"/>
              <w:jc w:val="right"/>
              <w:rPr>
                <w:rFonts w:cs="Arial"/>
                <w:sz w:val="16"/>
                <w:szCs w:val="16"/>
              </w:rPr>
            </w:pPr>
            <w:r w:rsidRPr="0083282F">
              <w:rPr>
                <w:rFonts w:cs="Arial"/>
                <w:sz w:val="16"/>
                <w:szCs w:val="16"/>
              </w:rPr>
              <w:t>84,6</w:t>
            </w:r>
          </w:p>
        </w:tc>
        <w:tc>
          <w:tcPr>
            <w:tcW w:w="907" w:type="dxa"/>
            <w:tcBorders>
              <w:top w:val="nil"/>
              <w:left w:val="nil"/>
              <w:bottom w:val="nil"/>
              <w:right w:val="nil"/>
            </w:tcBorders>
            <w:shd w:val="clear" w:color="auto" w:fill="auto"/>
            <w:noWrap/>
            <w:vAlign w:val="center"/>
            <w:hideMark/>
          </w:tcPr>
          <w:p w14:paraId="1B3CE607" w14:textId="77777777" w:rsidR="0083282F" w:rsidRPr="0083282F" w:rsidRDefault="0083282F" w:rsidP="001438A5">
            <w:pPr>
              <w:spacing w:after="0" w:line="240" w:lineRule="auto"/>
              <w:jc w:val="right"/>
              <w:rPr>
                <w:rFonts w:cs="Arial"/>
                <w:sz w:val="16"/>
                <w:szCs w:val="16"/>
              </w:rPr>
            </w:pPr>
            <w:r w:rsidRPr="0083282F">
              <w:rPr>
                <w:rFonts w:cs="Arial"/>
                <w:sz w:val="16"/>
                <w:szCs w:val="16"/>
              </w:rPr>
              <w:t>84,9</w:t>
            </w:r>
          </w:p>
        </w:tc>
        <w:tc>
          <w:tcPr>
            <w:tcW w:w="907" w:type="dxa"/>
            <w:tcBorders>
              <w:top w:val="nil"/>
              <w:left w:val="nil"/>
              <w:bottom w:val="nil"/>
              <w:right w:val="nil"/>
            </w:tcBorders>
            <w:shd w:val="clear" w:color="auto" w:fill="auto"/>
            <w:noWrap/>
            <w:vAlign w:val="center"/>
            <w:hideMark/>
          </w:tcPr>
          <w:p w14:paraId="0A515571" w14:textId="77777777" w:rsidR="0083282F" w:rsidRPr="0083282F" w:rsidRDefault="0083282F" w:rsidP="001438A5">
            <w:pPr>
              <w:spacing w:after="0" w:line="240" w:lineRule="auto"/>
              <w:jc w:val="right"/>
              <w:rPr>
                <w:rFonts w:cs="Arial"/>
                <w:sz w:val="16"/>
                <w:szCs w:val="16"/>
              </w:rPr>
            </w:pPr>
            <w:r w:rsidRPr="0083282F">
              <w:rPr>
                <w:rFonts w:cs="Arial"/>
                <w:sz w:val="16"/>
                <w:szCs w:val="16"/>
              </w:rPr>
              <w:t>79,7</w:t>
            </w:r>
          </w:p>
        </w:tc>
        <w:tc>
          <w:tcPr>
            <w:tcW w:w="907" w:type="dxa"/>
            <w:tcBorders>
              <w:top w:val="nil"/>
              <w:left w:val="nil"/>
              <w:bottom w:val="nil"/>
              <w:right w:val="nil"/>
            </w:tcBorders>
            <w:shd w:val="clear" w:color="auto" w:fill="auto"/>
            <w:noWrap/>
            <w:vAlign w:val="center"/>
            <w:hideMark/>
          </w:tcPr>
          <w:p w14:paraId="6D477AAF" w14:textId="77777777" w:rsidR="0083282F" w:rsidRPr="0083282F" w:rsidRDefault="0083282F" w:rsidP="001438A5">
            <w:pPr>
              <w:spacing w:after="0" w:line="240" w:lineRule="auto"/>
              <w:jc w:val="right"/>
              <w:rPr>
                <w:rFonts w:cs="Arial"/>
                <w:sz w:val="16"/>
                <w:szCs w:val="16"/>
              </w:rPr>
            </w:pPr>
            <w:r w:rsidRPr="0083282F">
              <w:rPr>
                <w:rFonts w:cs="Arial"/>
                <w:sz w:val="16"/>
                <w:szCs w:val="16"/>
              </w:rPr>
              <w:t>82,5</w:t>
            </w:r>
          </w:p>
        </w:tc>
        <w:tc>
          <w:tcPr>
            <w:tcW w:w="907" w:type="dxa"/>
            <w:tcBorders>
              <w:top w:val="nil"/>
              <w:left w:val="nil"/>
              <w:bottom w:val="nil"/>
              <w:right w:val="nil"/>
            </w:tcBorders>
            <w:shd w:val="clear" w:color="auto" w:fill="auto"/>
            <w:noWrap/>
            <w:vAlign w:val="center"/>
            <w:hideMark/>
          </w:tcPr>
          <w:p w14:paraId="6A3A72F9" w14:textId="77777777" w:rsidR="0083282F" w:rsidRPr="0083282F" w:rsidRDefault="0083282F" w:rsidP="001438A5">
            <w:pPr>
              <w:spacing w:after="0" w:line="240" w:lineRule="auto"/>
              <w:jc w:val="right"/>
              <w:rPr>
                <w:rFonts w:cs="Arial"/>
                <w:sz w:val="16"/>
                <w:szCs w:val="16"/>
              </w:rPr>
            </w:pPr>
            <w:r w:rsidRPr="0083282F">
              <w:rPr>
                <w:rFonts w:cs="Arial"/>
                <w:sz w:val="16"/>
                <w:szCs w:val="16"/>
              </w:rPr>
              <w:t>82,8</w:t>
            </w:r>
          </w:p>
        </w:tc>
        <w:tc>
          <w:tcPr>
            <w:tcW w:w="907" w:type="dxa"/>
            <w:tcBorders>
              <w:top w:val="nil"/>
              <w:left w:val="nil"/>
              <w:bottom w:val="nil"/>
              <w:right w:val="nil"/>
            </w:tcBorders>
            <w:shd w:val="clear" w:color="auto" w:fill="auto"/>
            <w:noWrap/>
            <w:vAlign w:val="center"/>
            <w:hideMark/>
          </w:tcPr>
          <w:p w14:paraId="5F59ADC5" w14:textId="77777777" w:rsidR="0083282F" w:rsidRPr="0083282F" w:rsidRDefault="0083282F" w:rsidP="001438A5">
            <w:pPr>
              <w:spacing w:after="0" w:line="240" w:lineRule="auto"/>
              <w:jc w:val="right"/>
              <w:rPr>
                <w:rFonts w:cs="Arial"/>
                <w:sz w:val="16"/>
                <w:szCs w:val="16"/>
              </w:rPr>
            </w:pPr>
            <w:r w:rsidRPr="0083282F">
              <w:rPr>
                <w:rFonts w:cs="Arial"/>
                <w:sz w:val="16"/>
                <w:szCs w:val="16"/>
              </w:rPr>
              <w:t>76,0</w:t>
            </w:r>
          </w:p>
        </w:tc>
        <w:tc>
          <w:tcPr>
            <w:tcW w:w="907" w:type="dxa"/>
            <w:tcBorders>
              <w:top w:val="nil"/>
              <w:left w:val="nil"/>
              <w:bottom w:val="nil"/>
              <w:right w:val="nil"/>
            </w:tcBorders>
            <w:shd w:val="clear" w:color="auto" w:fill="auto"/>
            <w:noWrap/>
            <w:vAlign w:val="center"/>
            <w:hideMark/>
          </w:tcPr>
          <w:p w14:paraId="0E6C4D50" w14:textId="77777777" w:rsidR="0083282F" w:rsidRPr="0083282F" w:rsidRDefault="0083282F" w:rsidP="001438A5">
            <w:pPr>
              <w:spacing w:after="0" w:line="240" w:lineRule="auto"/>
              <w:jc w:val="right"/>
              <w:rPr>
                <w:rFonts w:cs="Arial"/>
                <w:sz w:val="16"/>
                <w:szCs w:val="16"/>
              </w:rPr>
            </w:pPr>
            <w:r w:rsidRPr="0083282F">
              <w:rPr>
                <w:rFonts w:cs="Arial"/>
                <w:sz w:val="16"/>
                <w:szCs w:val="16"/>
              </w:rPr>
              <w:t>79,0</w:t>
            </w:r>
          </w:p>
        </w:tc>
        <w:tc>
          <w:tcPr>
            <w:tcW w:w="907" w:type="dxa"/>
            <w:tcBorders>
              <w:top w:val="nil"/>
              <w:left w:val="nil"/>
              <w:bottom w:val="nil"/>
              <w:right w:val="nil"/>
            </w:tcBorders>
            <w:shd w:val="clear" w:color="auto" w:fill="auto"/>
            <w:noWrap/>
            <w:vAlign w:val="center"/>
            <w:hideMark/>
          </w:tcPr>
          <w:p w14:paraId="6BDEBB5E" w14:textId="77777777" w:rsidR="0083282F" w:rsidRPr="0083282F" w:rsidRDefault="0083282F" w:rsidP="001438A5">
            <w:pPr>
              <w:spacing w:after="0" w:line="240" w:lineRule="auto"/>
              <w:jc w:val="right"/>
              <w:rPr>
                <w:rFonts w:cs="Arial"/>
                <w:sz w:val="16"/>
                <w:szCs w:val="16"/>
              </w:rPr>
            </w:pPr>
            <w:r w:rsidRPr="0083282F">
              <w:rPr>
                <w:rFonts w:cs="Arial"/>
                <w:sz w:val="16"/>
                <w:szCs w:val="16"/>
              </w:rPr>
              <w:t>77,7</w:t>
            </w:r>
          </w:p>
        </w:tc>
        <w:tc>
          <w:tcPr>
            <w:tcW w:w="907" w:type="dxa"/>
            <w:tcBorders>
              <w:top w:val="nil"/>
              <w:left w:val="nil"/>
              <w:bottom w:val="nil"/>
              <w:right w:val="nil"/>
            </w:tcBorders>
            <w:shd w:val="clear" w:color="auto" w:fill="auto"/>
            <w:noWrap/>
            <w:vAlign w:val="center"/>
            <w:hideMark/>
          </w:tcPr>
          <w:p w14:paraId="5AC70606" w14:textId="77777777" w:rsidR="0083282F" w:rsidRPr="0083282F" w:rsidRDefault="0083282F" w:rsidP="001438A5">
            <w:pPr>
              <w:spacing w:after="0" w:line="240" w:lineRule="auto"/>
              <w:jc w:val="right"/>
              <w:rPr>
                <w:rFonts w:cs="Arial"/>
                <w:sz w:val="16"/>
                <w:szCs w:val="16"/>
              </w:rPr>
            </w:pPr>
            <w:r w:rsidRPr="0083282F">
              <w:rPr>
                <w:rFonts w:cs="Arial"/>
                <w:sz w:val="16"/>
                <w:szCs w:val="16"/>
              </w:rPr>
              <w:t>83,1</w:t>
            </w:r>
          </w:p>
        </w:tc>
      </w:tr>
      <w:tr w:rsidR="0083282F" w:rsidRPr="0083282F" w14:paraId="3DC9E59B" w14:textId="77777777" w:rsidTr="001438A5">
        <w:trPr>
          <w:trHeight w:val="300"/>
        </w:trPr>
        <w:tc>
          <w:tcPr>
            <w:tcW w:w="1417" w:type="dxa"/>
            <w:tcBorders>
              <w:top w:val="nil"/>
              <w:left w:val="nil"/>
              <w:bottom w:val="nil"/>
              <w:right w:val="nil"/>
            </w:tcBorders>
            <w:shd w:val="clear" w:color="auto" w:fill="F5DADD"/>
            <w:noWrap/>
            <w:vAlign w:val="center"/>
            <w:hideMark/>
          </w:tcPr>
          <w:p w14:paraId="2BAAEB8E" w14:textId="77777777" w:rsidR="0083282F" w:rsidRPr="0083282F" w:rsidRDefault="0083282F" w:rsidP="001438A5">
            <w:pPr>
              <w:spacing w:after="0" w:line="240" w:lineRule="auto"/>
              <w:ind w:firstLineChars="100" w:firstLine="160"/>
              <w:rPr>
                <w:rFonts w:cs="Arial"/>
                <w:b/>
                <w:bCs/>
                <w:sz w:val="16"/>
                <w:szCs w:val="16"/>
              </w:rPr>
            </w:pPr>
            <w:r w:rsidRPr="0083282F">
              <w:rPr>
                <w:rFonts w:cs="Arial"/>
                <w:b/>
                <w:bCs/>
                <w:sz w:val="16"/>
                <w:szCs w:val="16"/>
              </w:rPr>
              <w:t>Česko</w:t>
            </w:r>
          </w:p>
        </w:tc>
        <w:tc>
          <w:tcPr>
            <w:tcW w:w="907" w:type="dxa"/>
            <w:tcBorders>
              <w:top w:val="nil"/>
              <w:left w:val="single" w:sz="4" w:space="0" w:color="000000"/>
              <w:bottom w:val="nil"/>
              <w:right w:val="nil"/>
            </w:tcBorders>
            <w:shd w:val="clear" w:color="auto" w:fill="F5DADD"/>
            <w:noWrap/>
            <w:vAlign w:val="center"/>
            <w:hideMark/>
          </w:tcPr>
          <w:p w14:paraId="571B782F"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971,4</w:t>
            </w:r>
          </w:p>
        </w:tc>
        <w:tc>
          <w:tcPr>
            <w:tcW w:w="907" w:type="dxa"/>
            <w:tcBorders>
              <w:top w:val="nil"/>
              <w:left w:val="nil"/>
              <w:bottom w:val="nil"/>
              <w:right w:val="nil"/>
            </w:tcBorders>
            <w:shd w:val="clear" w:color="auto" w:fill="F5DADD"/>
            <w:noWrap/>
            <w:vAlign w:val="center"/>
            <w:hideMark/>
          </w:tcPr>
          <w:p w14:paraId="53DE757F"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941,4</w:t>
            </w:r>
          </w:p>
        </w:tc>
        <w:tc>
          <w:tcPr>
            <w:tcW w:w="907" w:type="dxa"/>
            <w:tcBorders>
              <w:top w:val="nil"/>
              <w:left w:val="nil"/>
              <w:bottom w:val="nil"/>
              <w:right w:val="nil"/>
            </w:tcBorders>
            <w:shd w:val="clear" w:color="auto" w:fill="F5DADD"/>
            <w:noWrap/>
            <w:vAlign w:val="center"/>
            <w:hideMark/>
          </w:tcPr>
          <w:p w14:paraId="184E5B7C"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896,1</w:t>
            </w:r>
          </w:p>
        </w:tc>
        <w:tc>
          <w:tcPr>
            <w:tcW w:w="907" w:type="dxa"/>
            <w:tcBorders>
              <w:top w:val="nil"/>
              <w:left w:val="nil"/>
              <w:bottom w:val="nil"/>
              <w:right w:val="nil"/>
            </w:tcBorders>
            <w:shd w:val="clear" w:color="auto" w:fill="F5DADD"/>
            <w:noWrap/>
            <w:vAlign w:val="center"/>
            <w:hideMark/>
          </w:tcPr>
          <w:p w14:paraId="11186F6E"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907,0</w:t>
            </w:r>
          </w:p>
        </w:tc>
        <w:tc>
          <w:tcPr>
            <w:tcW w:w="907" w:type="dxa"/>
            <w:tcBorders>
              <w:top w:val="nil"/>
              <w:left w:val="nil"/>
              <w:bottom w:val="nil"/>
              <w:right w:val="nil"/>
            </w:tcBorders>
            <w:shd w:val="clear" w:color="auto" w:fill="F5DADD"/>
            <w:noWrap/>
            <w:vAlign w:val="center"/>
            <w:hideMark/>
          </w:tcPr>
          <w:p w14:paraId="71777818"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953,3</w:t>
            </w:r>
          </w:p>
        </w:tc>
        <w:tc>
          <w:tcPr>
            <w:tcW w:w="907" w:type="dxa"/>
            <w:tcBorders>
              <w:top w:val="nil"/>
              <w:left w:val="nil"/>
              <w:bottom w:val="nil"/>
              <w:right w:val="nil"/>
            </w:tcBorders>
            <w:shd w:val="clear" w:color="auto" w:fill="F5DADD"/>
            <w:noWrap/>
            <w:vAlign w:val="center"/>
            <w:hideMark/>
          </w:tcPr>
          <w:p w14:paraId="0F472636"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917,1</w:t>
            </w:r>
          </w:p>
        </w:tc>
        <w:tc>
          <w:tcPr>
            <w:tcW w:w="907" w:type="dxa"/>
            <w:tcBorders>
              <w:top w:val="nil"/>
              <w:left w:val="nil"/>
              <w:bottom w:val="nil"/>
              <w:right w:val="nil"/>
            </w:tcBorders>
            <w:shd w:val="clear" w:color="auto" w:fill="F5DADD"/>
            <w:noWrap/>
            <w:vAlign w:val="center"/>
            <w:hideMark/>
          </w:tcPr>
          <w:p w14:paraId="379191E7"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884,2</w:t>
            </w:r>
          </w:p>
        </w:tc>
        <w:tc>
          <w:tcPr>
            <w:tcW w:w="907" w:type="dxa"/>
            <w:tcBorders>
              <w:top w:val="nil"/>
              <w:left w:val="nil"/>
              <w:bottom w:val="nil"/>
              <w:right w:val="nil"/>
            </w:tcBorders>
            <w:shd w:val="clear" w:color="auto" w:fill="F5DADD"/>
            <w:noWrap/>
            <w:vAlign w:val="center"/>
            <w:hideMark/>
          </w:tcPr>
          <w:p w14:paraId="66970BCE"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948,7</w:t>
            </w:r>
          </w:p>
        </w:tc>
        <w:tc>
          <w:tcPr>
            <w:tcW w:w="907" w:type="dxa"/>
            <w:tcBorders>
              <w:top w:val="nil"/>
              <w:left w:val="nil"/>
              <w:bottom w:val="nil"/>
              <w:right w:val="nil"/>
            </w:tcBorders>
            <w:shd w:val="clear" w:color="auto" w:fill="F5DADD"/>
            <w:noWrap/>
            <w:vAlign w:val="center"/>
            <w:hideMark/>
          </w:tcPr>
          <w:p w14:paraId="4BACC337"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933,8</w:t>
            </w:r>
          </w:p>
        </w:tc>
      </w:tr>
      <w:tr w:rsidR="0083282F" w:rsidRPr="0083282F" w14:paraId="6708DB8C" w14:textId="77777777" w:rsidTr="001438A5">
        <w:trPr>
          <w:trHeight w:val="300"/>
        </w:trPr>
        <w:tc>
          <w:tcPr>
            <w:tcW w:w="1417" w:type="dxa"/>
            <w:tcBorders>
              <w:top w:val="nil"/>
              <w:left w:val="nil"/>
              <w:bottom w:val="nil"/>
              <w:right w:val="nil"/>
            </w:tcBorders>
            <w:shd w:val="clear" w:color="auto" w:fill="auto"/>
            <w:noWrap/>
            <w:vAlign w:val="center"/>
            <w:hideMark/>
          </w:tcPr>
          <w:p w14:paraId="057A2FDF"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Dánsko</w:t>
            </w:r>
          </w:p>
        </w:tc>
        <w:tc>
          <w:tcPr>
            <w:tcW w:w="907" w:type="dxa"/>
            <w:tcBorders>
              <w:top w:val="nil"/>
              <w:left w:val="single" w:sz="4" w:space="0" w:color="000000"/>
              <w:bottom w:val="nil"/>
              <w:right w:val="nil"/>
            </w:tcBorders>
            <w:shd w:val="clear" w:color="auto" w:fill="auto"/>
            <w:noWrap/>
            <w:vAlign w:val="center"/>
            <w:hideMark/>
          </w:tcPr>
          <w:p w14:paraId="3B8B3935" w14:textId="77777777" w:rsidR="0083282F" w:rsidRPr="0083282F" w:rsidRDefault="0083282F" w:rsidP="001438A5">
            <w:pPr>
              <w:spacing w:after="0" w:line="240" w:lineRule="auto"/>
              <w:jc w:val="right"/>
              <w:rPr>
                <w:rFonts w:cs="Arial"/>
                <w:sz w:val="16"/>
                <w:szCs w:val="16"/>
              </w:rPr>
            </w:pPr>
            <w:r w:rsidRPr="0083282F">
              <w:rPr>
                <w:rFonts w:cs="Arial"/>
                <w:sz w:val="16"/>
                <w:szCs w:val="16"/>
              </w:rPr>
              <w:t>2 239,4</w:t>
            </w:r>
          </w:p>
        </w:tc>
        <w:tc>
          <w:tcPr>
            <w:tcW w:w="907" w:type="dxa"/>
            <w:tcBorders>
              <w:top w:val="nil"/>
              <w:left w:val="nil"/>
              <w:bottom w:val="nil"/>
              <w:right w:val="nil"/>
            </w:tcBorders>
            <w:shd w:val="clear" w:color="auto" w:fill="auto"/>
            <w:noWrap/>
            <w:vAlign w:val="center"/>
            <w:hideMark/>
          </w:tcPr>
          <w:p w14:paraId="671E6CC2" w14:textId="77777777" w:rsidR="0083282F" w:rsidRPr="0083282F" w:rsidRDefault="0083282F" w:rsidP="001438A5">
            <w:pPr>
              <w:spacing w:after="0" w:line="240" w:lineRule="auto"/>
              <w:jc w:val="right"/>
              <w:rPr>
                <w:rFonts w:cs="Arial"/>
                <w:sz w:val="16"/>
                <w:szCs w:val="16"/>
              </w:rPr>
            </w:pPr>
            <w:r w:rsidRPr="0083282F">
              <w:rPr>
                <w:rFonts w:cs="Arial"/>
                <w:sz w:val="16"/>
                <w:szCs w:val="16"/>
              </w:rPr>
              <w:t>2 177,9</w:t>
            </w:r>
          </w:p>
        </w:tc>
        <w:tc>
          <w:tcPr>
            <w:tcW w:w="907" w:type="dxa"/>
            <w:tcBorders>
              <w:top w:val="nil"/>
              <w:left w:val="nil"/>
              <w:bottom w:val="nil"/>
              <w:right w:val="nil"/>
            </w:tcBorders>
            <w:shd w:val="clear" w:color="auto" w:fill="auto"/>
            <w:noWrap/>
            <w:vAlign w:val="center"/>
            <w:hideMark/>
          </w:tcPr>
          <w:p w14:paraId="153F4BC2" w14:textId="77777777" w:rsidR="0083282F" w:rsidRPr="0083282F" w:rsidRDefault="0083282F" w:rsidP="001438A5">
            <w:pPr>
              <w:spacing w:after="0" w:line="240" w:lineRule="auto"/>
              <w:jc w:val="right"/>
              <w:rPr>
                <w:rFonts w:cs="Arial"/>
                <w:sz w:val="16"/>
                <w:szCs w:val="16"/>
              </w:rPr>
            </w:pPr>
            <w:r w:rsidRPr="0083282F">
              <w:rPr>
                <w:rFonts w:cs="Arial"/>
                <w:sz w:val="16"/>
                <w:szCs w:val="16"/>
              </w:rPr>
              <w:t>2 094,2</w:t>
            </w:r>
          </w:p>
        </w:tc>
        <w:tc>
          <w:tcPr>
            <w:tcW w:w="907" w:type="dxa"/>
            <w:tcBorders>
              <w:top w:val="nil"/>
              <w:left w:val="nil"/>
              <w:bottom w:val="nil"/>
              <w:right w:val="nil"/>
            </w:tcBorders>
            <w:shd w:val="clear" w:color="auto" w:fill="auto"/>
            <w:noWrap/>
            <w:vAlign w:val="center"/>
            <w:hideMark/>
          </w:tcPr>
          <w:p w14:paraId="384A1FED" w14:textId="77777777" w:rsidR="0083282F" w:rsidRPr="0083282F" w:rsidRDefault="0083282F" w:rsidP="001438A5">
            <w:pPr>
              <w:spacing w:after="0" w:line="240" w:lineRule="auto"/>
              <w:jc w:val="right"/>
              <w:rPr>
                <w:rFonts w:cs="Arial"/>
                <w:sz w:val="16"/>
                <w:szCs w:val="16"/>
              </w:rPr>
            </w:pPr>
            <w:r w:rsidRPr="0083282F">
              <w:rPr>
                <w:rFonts w:cs="Arial"/>
                <w:sz w:val="16"/>
                <w:szCs w:val="16"/>
              </w:rPr>
              <w:t>1 983,1</w:t>
            </w:r>
          </w:p>
        </w:tc>
        <w:tc>
          <w:tcPr>
            <w:tcW w:w="907" w:type="dxa"/>
            <w:tcBorders>
              <w:top w:val="nil"/>
              <w:left w:val="nil"/>
              <w:bottom w:val="nil"/>
              <w:right w:val="nil"/>
            </w:tcBorders>
            <w:shd w:val="clear" w:color="auto" w:fill="auto"/>
            <w:noWrap/>
            <w:vAlign w:val="center"/>
            <w:hideMark/>
          </w:tcPr>
          <w:p w14:paraId="0EB7A7C2" w14:textId="77777777" w:rsidR="0083282F" w:rsidRPr="0083282F" w:rsidRDefault="0083282F" w:rsidP="001438A5">
            <w:pPr>
              <w:spacing w:after="0" w:line="240" w:lineRule="auto"/>
              <w:jc w:val="right"/>
              <w:rPr>
                <w:rFonts w:cs="Arial"/>
                <w:sz w:val="16"/>
                <w:szCs w:val="16"/>
              </w:rPr>
            </w:pPr>
            <w:r w:rsidRPr="0083282F">
              <w:rPr>
                <w:rFonts w:cs="Arial"/>
                <w:sz w:val="16"/>
                <w:szCs w:val="16"/>
              </w:rPr>
              <w:t>1 787,8</w:t>
            </w:r>
          </w:p>
        </w:tc>
        <w:tc>
          <w:tcPr>
            <w:tcW w:w="907" w:type="dxa"/>
            <w:tcBorders>
              <w:top w:val="nil"/>
              <w:left w:val="nil"/>
              <w:bottom w:val="nil"/>
              <w:right w:val="nil"/>
            </w:tcBorders>
            <w:shd w:val="clear" w:color="auto" w:fill="auto"/>
            <w:noWrap/>
            <w:vAlign w:val="center"/>
            <w:hideMark/>
          </w:tcPr>
          <w:p w14:paraId="36AB7D17" w14:textId="77777777" w:rsidR="0083282F" w:rsidRPr="0083282F" w:rsidRDefault="0083282F" w:rsidP="001438A5">
            <w:pPr>
              <w:spacing w:after="0" w:line="240" w:lineRule="auto"/>
              <w:jc w:val="right"/>
              <w:rPr>
                <w:rFonts w:cs="Arial"/>
                <w:sz w:val="16"/>
                <w:szCs w:val="16"/>
              </w:rPr>
            </w:pPr>
            <w:r w:rsidRPr="0083282F">
              <w:rPr>
                <w:rFonts w:cs="Arial"/>
                <w:sz w:val="16"/>
                <w:szCs w:val="16"/>
              </w:rPr>
              <w:t>1 813,0</w:t>
            </w:r>
          </w:p>
        </w:tc>
        <w:tc>
          <w:tcPr>
            <w:tcW w:w="907" w:type="dxa"/>
            <w:tcBorders>
              <w:top w:val="nil"/>
              <w:left w:val="nil"/>
              <w:bottom w:val="nil"/>
              <w:right w:val="nil"/>
            </w:tcBorders>
            <w:shd w:val="clear" w:color="auto" w:fill="auto"/>
            <w:noWrap/>
            <w:vAlign w:val="center"/>
            <w:hideMark/>
          </w:tcPr>
          <w:p w14:paraId="6BEABD5C" w14:textId="77777777" w:rsidR="0083282F" w:rsidRPr="0083282F" w:rsidRDefault="0083282F" w:rsidP="001438A5">
            <w:pPr>
              <w:spacing w:after="0" w:line="240" w:lineRule="auto"/>
              <w:jc w:val="right"/>
              <w:rPr>
                <w:rFonts w:cs="Arial"/>
                <w:sz w:val="16"/>
                <w:szCs w:val="16"/>
              </w:rPr>
            </w:pPr>
            <w:r w:rsidRPr="0083282F">
              <w:rPr>
                <w:rFonts w:cs="Arial"/>
                <w:sz w:val="16"/>
                <w:szCs w:val="16"/>
              </w:rPr>
              <w:t>1 614,4</w:t>
            </w:r>
          </w:p>
        </w:tc>
        <w:tc>
          <w:tcPr>
            <w:tcW w:w="907" w:type="dxa"/>
            <w:tcBorders>
              <w:top w:val="nil"/>
              <w:left w:val="nil"/>
              <w:bottom w:val="nil"/>
              <w:right w:val="nil"/>
            </w:tcBorders>
            <w:shd w:val="clear" w:color="auto" w:fill="auto"/>
            <w:noWrap/>
            <w:vAlign w:val="center"/>
            <w:hideMark/>
          </w:tcPr>
          <w:p w14:paraId="276F62BE" w14:textId="77777777" w:rsidR="0083282F" w:rsidRPr="0083282F" w:rsidRDefault="0083282F" w:rsidP="001438A5">
            <w:pPr>
              <w:spacing w:after="0" w:line="240" w:lineRule="auto"/>
              <w:jc w:val="right"/>
              <w:rPr>
                <w:rFonts w:cs="Arial"/>
                <w:sz w:val="16"/>
                <w:szCs w:val="16"/>
              </w:rPr>
            </w:pPr>
            <w:r w:rsidRPr="0083282F">
              <w:rPr>
                <w:rFonts w:cs="Arial"/>
                <w:sz w:val="16"/>
                <w:szCs w:val="16"/>
              </w:rPr>
              <w:t>1 770,0</w:t>
            </w:r>
          </w:p>
        </w:tc>
        <w:tc>
          <w:tcPr>
            <w:tcW w:w="907" w:type="dxa"/>
            <w:tcBorders>
              <w:top w:val="nil"/>
              <w:left w:val="nil"/>
              <w:bottom w:val="nil"/>
              <w:right w:val="nil"/>
            </w:tcBorders>
            <w:shd w:val="clear" w:color="auto" w:fill="auto"/>
            <w:noWrap/>
            <w:vAlign w:val="center"/>
            <w:hideMark/>
          </w:tcPr>
          <w:p w14:paraId="772BD149" w14:textId="77777777" w:rsidR="0083282F" w:rsidRPr="0083282F" w:rsidRDefault="0083282F" w:rsidP="001438A5">
            <w:pPr>
              <w:spacing w:after="0" w:line="240" w:lineRule="auto"/>
              <w:jc w:val="right"/>
              <w:rPr>
                <w:rFonts w:cs="Arial"/>
                <w:sz w:val="16"/>
                <w:szCs w:val="16"/>
              </w:rPr>
            </w:pPr>
            <w:r w:rsidRPr="0083282F">
              <w:rPr>
                <w:rFonts w:cs="Arial"/>
                <w:sz w:val="16"/>
                <w:szCs w:val="16"/>
              </w:rPr>
              <w:t>1 933,9</w:t>
            </w:r>
          </w:p>
        </w:tc>
      </w:tr>
      <w:tr w:rsidR="0083282F" w:rsidRPr="0083282F" w14:paraId="0973F614" w14:textId="77777777" w:rsidTr="001438A5">
        <w:trPr>
          <w:trHeight w:val="300"/>
        </w:trPr>
        <w:tc>
          <w:tcPr>
            <w:tcW w:w="1417" w:type="dxa"/>
            <w:tcBorders>
              <w:top w:val="nil"/>
              <w:left w:val="nil"/>
              <w:bottom w:val="nil"/>
              <w:right w:val="nil"/>
            </w:tcBorders>
            <w:shd w:val="clear" w:color="auto" w:fill="auto"/>
            <w:noWrap/>
            <w:vAlign w:val="center"/>
            <w:hideMark/>
          </w:tcPr>
          <w:p w14:paraId="59DB77C7"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Estonsko</w:t>
            </w:r>
          </w:p>
        </w:tc>
        <w:tc>
          <w:tcPr>
            <w:tcW w:w="907" w:type="dxa"/>
            <w:tcBorders>
              <w:top w:val="nil"/>
              <w:left w:val="single" w:sz="4" w:space="0" w:color="000000"/>
              <w:bottom w:val="nil"/>
              <w:right w:val="nil"/>
            </w:tcBorders>
            <w:shd w:val="clear" w:color="auto" w:fill="auto"/>
            <w:noWrap/>
            <w:vAlign w:val="center"/>
            <w:hideMark/>
          </w:tcPr>
          <w:p w14:paraId="538EF90A" w14:textId="77777777" w:rsidR="0083282F" w:rsidRPr="0083282F" w:rsidRDefault="0083282F" w:rsidP="001438A5">
            <w:pPr>
              <w:spacing w:after="0" w:line="240" w:lineRule="auto"/>
              <w:jc w:val="right"/>
              <w:rPr>
                <w:rFonts w:cs="Arial"/>
                <w:sz w:val="16"/>
                <w:szCs w:val="16"/>
              </w:rPr>
            </w:pPr>
            <w:r w:rsidRPr="0083282F">
              <w:rPr>
                <w:rFonts w:cs="Arial"/>
                <w:sz w:val="16"/>
                <w:szCs w:val="16"/>
              </w:rPr>
              <w:t>1 076,2</w:t>
            </w:r>
          </w:p>
        </w:tc>
        <w:tc>
          <w:tcPr>
            <w:tcW w:w="907" w:type="dxa"/>
            <w:tcBorders>
              <w:top w:val="nil"/>
              <w:left w:val="nil"/>
              <w:bottom w:val="nil"/>
              <w:right w:val="nil"/>
            </w:tcBorders>
            <w:shd w:val="clear" w:color="auto" w:fill="auto"/>
            <w:noWrap/>
            <w:vAlign w:val="center"/>
            <w:hideMark/>
          </w:tcPr>
          <w:p w14:paraId="2EF4D61E" w14:textId="77777777" w:rsidR="0083282F" w:rsidRPr="0083282F" w:rsidRDefault="0083282F" w:rsidP="001438A5">
            <w:pPr>
              <w:spacing w:after="0" w:line="240" w:lineRule="auto"/>
              <w:jc w:val="right"/>
              <w:rPr>
                <w:rFonts w:cs="Arial"/>
                <w:sz w:val="16"/>
                <w:szCs w:val="16"/>
              </w:rPr>
            </w:pPr>
            <w:r w:rsidRPr="0083282F">
              <w:rPr>
                <w:rFonts w:cs="Arial"/>
                <w:sz w:val="16"/>
                <w:szCs w:val="16"/>
              </w:rPr>
              <w:t>1 005,5</w:t>
            </w:r>
          </w:p>
        </w:tc>
        <w:tc>
          <w:tcPr>
            <w:tcW w:w="907" w:type="dxa"/>
            <w:tcBorders>
              <w:top w:val="nil"/>
              <w:left w:val="nil"/>
              <w:bottom w:val="nil"/>
              <w:right w:val="nil"/>
            </w:tcBorders>
            <w:shd w:val="clear" w:color="auto" w:fill="auto"/>
            <w:noWrap/>
            <w:vAlign w:val="center"/>
            <w:hideMark/>
          </w:tcPr>
          <w:p w14:paraId="01C6FC71" w14:textId="77777777" w:rsidR="0083282F" w:rsidRPr="0083282F" w:rsidRDefault="0083282F" w:rsidP="001438A5">
            <w:pPr>
              <w:spacing w:after="0" w:line="240" w:lineRule="auto"/>
              <w:jc w:val="right"/>
              <w:rPr>
                <w:rFonts w:cs="Arial"/>
                <w:sz w:val="16"/>
                <w:szCs w:val="16"/>
              </w:rPr>
            </w:pPr>
            <w:r w:rsidRPr="0083282F">
              <w:rPr>
                <w:rFonts w:cs="Arial"/>
                <w:sz w:val="16"/>
                <w:szCs w:val="16"/>
              </w:rPr>
              <w:t>1 095,4</w:t>
            </w:r>
          </w:p>
        </w:tc>
        <w:tc>
          <w:tcPr>
            <w:tcW w:w="907" w:type="dxa"/>
            <w:tcBorders>
              <w:top w:val="nil"/>
              <w:left w:val="nil"/>
              <w:bottom w:val="nil"/>
              <w:right w:val="nil"/>
            </w:tcBorders>
            <w:shd w:val="clear" w:color="auto" w:fill="auto"/>
            <w:noWrap/>
            <w:vAlign w:val="center"/>
            <w:hideMark/>
          </w:tcPr>
          <w:p w14:paraId="49CF2FBA" w14:textId="77777777" w:rsidR="0083282F" w:rsidRPr="0083282F" w:rsidRDefault="0083282F" w:rsidP="001438A5">
            <w:pPr>
              <w:spacing w:after="0" w:line="240" w:lineRule="auto"/>
              <w:jc w:val="right"/>
              <w:rPr>
                <w:rFonts w:cs="Arial"/>
                <w:sz w:val="16"/>
                <w:szCs w:val="16"/>
              </w:rPr>
            </w:pPr>
            <w:r w:rsidRPr="0083282F">
              <w:rPr>
                <w:rFonts w:cs="Arial"/>
                <w:sz w:val="16"/>
                <w:szCs w:val="16"/>
              </w:rPr>
              <w:t>1 137,9</w:t>
            </w:r>
          </w:p>
        </w:tc>
        <w:tc>
          <w:tcPr>
            <w:tcW w:w="907" w:type="dxa"/>
            <w:tcBorders>
              <w:top w:val="nil"/>
              <w:left w:val="nil"/>
              <w:bottom w:val="nil"/>
              <w:right w:val="nil"/>
            </w:tcBorders>
            <w:shd w:val="clear" w:color="auto" w:fill="auto"/>
            <w:noWrap/>
            <w:vAlign w:val="center"/>
            <w:hideMark/>
          </w:tcPr>
          <w:p w14:paraId="2C66C0A6" w14:textId="77777777" w:rsidR="0083282F" w:rsidRPr="0083282F" w:rsidRDefault="0083282F" w:rsidP="001438A5">
            <w:pPr>
              <w:spacing w:after="0" w:line="240" w:lineRule="auto"/>
              <w:jc w:val="right"/>
              <w:rPr>
                <w:rFonts w:cs="Arial"/>
                <w:sz w:val="16"/>
                <w:szCs w:val="16"/>
              </w:rPr>
            </w:pPr>
            <w:r w:rsidRPr="0083282F">
              <w:rPr>
                <w:rFonts w:cs="Arial"/>
                <w:sz w:val="16"/>
                <w:szCs w:val="16"/>
              </w:rPr>
              <w:t>1 204,4</w:t>
            </w:r>
          </w:p>
        </w:tc>
        <w:tc>
          <w:tcPr>
            <w:tcW w:w="907" w:type="dxa"/>
            <w:tcBorders>
              <w:top w:val="nil"/>
              <w:left w:val="nil"/>
              <w:bottom w:val="nil"/>
              <w:right w:val="nil"/>
            </w:tcBorders>
            <w:shd w:val="clear" w:color="auto" w:fill="auto"/>
            <w:noWrap/>
            <w:vAlign w:val="center"/>
            <w:hideMark/>
          </w:tcPr>
          <w:p w14:paraId="7CF9751F" w14:textId="77777777" w:rsidR="0083282F" w:rsidRPr="0083282F" w:rsidRDefault="0083282F" w:rsidP="001438A5">
            <w:pPr>
              <w:spacing w:after="0" w:line="240" w:lineRule="auto"/>
              <w:jc w:val="right"/>
              <w:rPr>
                <w:rFonts w:cs="Arial"/>
                <w:sz w:val="16"/>
                <w:szCs w:val="16"/>
              </w:rPr>
            </w:pPr>
            <w:r w:rsidRPr="0083282F">
              <w:rPr>
                <w:rFonts w:cs="Arial"/>
                <w:sz w:val="16"/>
                <w:szCs w:val="16"/>
              </w:rPr>
              <w:t>1 210,4</w:t>
            </w:r>
          </w:p>
        </w:tc>
        <w:tc>
          <w:tcPr>
            <w:tcW w:w="907" w:type="dxa"/>
            <w:tcBorders>
              <w:top w:val="nil"/>
              <w:left w:val="nil"/>
              <w:bottom w:val="nil"/>
              <w:right w:val="nil"/>
            </w:tcBorders>
            <w:shd w:val="clear" w:color="auto" w:fill="auto"/>
            <w:noWrap/>
            <w:vAlign w:val="center"/>
            <w:hideMark/>
          </w:tcPr>
          <w:p w14:paraId="090F17C8" w14:textId="77777777" w:rsidR="0083282F" w:rsidRPr="0083282F" w:rsidRDefault="0083282F" w:rsidP="001438A5">
            <w:pPr>
              <w:spacing w:after="0" w:line="240" w:lineRule="auto"/>
              <w:jc w:val="right"/>
              <w:rPr>
                <w:rFonts w:cs="Arial"/>
                <w:sz w:val="16"/>
                <w:szCs w:val="16"/>
              </w:rPr>
            </w:pPr>
            <w:r w:rsidRPr="0083282F">
              <w:rPr>
                <w:rFonts w:cs="Arial"/>
                <w:sz w:val="16"/>
                <w:szCs w:val="16"/>
              </w:rPr>
              <w:t>1 050,6</w:t>
            </w:r>
          </w:p>
        </w:tc>
        <w:tc>
          <w:tcPr>
            <w:tcW w:w="907" w:type="dxa"/>
            <w:tcBorders>
              <w:top w:val="nil"/>
              <w:left w:val="nil"/>
              <w:bottom w:val="nil"/>
              <w:right w:val="nil"/>
            </w:tcBorders>
            <w:shd w:val="clear" w:color="auto" w:fill="auto"/>
            <w:noWrap/>
            <w:vAlign w:val="center"/>
            <w:hideMark/>
          </w:tcPr>
          <w:p w14:paraId="23100E54" w14:textId="77777777" w:rsidR="0083282F" w:rsidRPr="0083282F" w:rsidRDefault="0083282F" w:rsidP="001438A5">
            <w:pPr>
              <w:spacing w:after="0" w:line="240" w:lineRule="auto"/>
              <w:jc w:val="right"/>
              <w:rPr>
                <w:rFonts w:cs="Arial"/>
                <w:sz w:val="16"/>
                <w:szCs w:val="16"/>
              </w:rPr>
            </w:pPr>
            <w:r w:rsidRPr="0083282F">
              <w:rPr>
                <w:rFonts w:cs="Arial"/>
                <w:sz w:val="16"/>
                <w:szCs w:val="16"/>
              </w:rPr>
              <w:t>1 033,1</w:t>
            </w:r>
          </w:p>
        </w:tc>
        <w:tc>
          <w:tcPr>
            <w:tcW w:w="907" w:type="dxa"/>
            <w:tcBorders>
              <w:top w:val="nil"/>
              <w:left w:val="nil"/>
              <w:bottom w:val="nil"/>
              <w:right w:val="nil"/>
            </w:tcBorders>
            <w:shd w:val="clear" w:color="auto" w:fill="auto"/>
            <w:noWrap/>
            <w:vAlign w:val="center"/>
            <w:hideMark/>
          </w:tcPr>
          <w:p w14:paraId="3A02689C" w14:textId="77777777" w:rsidR="0083282F" w:rsidRPr="0083282F" w:rsidRDefault="0083282F" w:rsidP="001438A5">
            <w:pPr>
              <w:spacing w:after="0" w:line="240" w:lineRule="auto"/>
              <w:jc w:val="right"/>
              <w:rPr>
                <w:rFonts w:cs="Arial"/>
                <w:sz w:val="16"/>
                <w:szCs w:val="16"/>
              </w:rPr>
            </w:pPr>
            <w:r w:rsidRPr="0083282F">
              <w:rPr>
                <w:rFonts w:cs="Arial"/>
                <w:sz w:val="16"/>
                <w:szCs w:val="16"/>
              </w:rPr>
              <w:t>1 178,0</w:t>
            </w:r>
          </w:p>
        </w:tc>
      </w:tr>
      <w:tr w:rsidR="0083282F" w:rsidRPr="0083282F" w14:paraId="60F6E882" w14:textId="77777777" w:rsidTr="001438A5">
        <w:trPr>
          <w:trHeight w:val="300"/>
        </w:trPr>
        <w:tc>
          <w:tcPr>
            <w:tcW w:w="1417" w:type="dxa"/>
            <w:tcBorders>
              <w:top w:val="nil"/>
              <w:left w:val="nil"/>
              <w:bottom w:val="nil"/>
              <w:right w:val="nil"/>
            </w:tcBorders>
            <w:shd w:val="clear" w:color="auto" w:fill="auto"/>
            <w:noWrap/>
            <w:vAlign w:val="center"/>
            <w:hideMark/>
          </w:tcPr>
          <w:p w14:paraId="40B402BB"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Finsko</w:t>
            </w:r>
          </w:p>
        </w:tc>
        <w:tc>
          <w:tcPr>
            <w:tcW w:w="907" w:type="dxa"/>
            <w:tcBorders>
              <w:top w:val="nil"/>
              <w:left w:val="single" w:sz="4" w:space="0" w:color="000000"/>
              <w:bottom w:val="nil"/>
              <w:right w:val="nil"/>
            </w:tcBorders>
            <w:shd w:val="clear" w:color="auto" w:fill="auto"/>
            <w:noWrap/>
            <w:vAlign w:val="center"/>
            <w:hideMark/>
          </w:tcPr>
          <w:p w14:paraId="54D992E1" w14:textId="77777777" w:rsidR="0083282F" w:rsidRPr="0083282F" w:rsidRDefault="0083282F" w:rsidP="001438A5">
            <w:pPr>
              <w:spacing w:after="0" w:line="240" w:lineRule="auto"/>
              <w:jc w:val="right"/>
              <w:rPr>
                <w:rFonts w:cs="Arial"/>
                <w:sz w:val="16"/>
                <w:szCs w:val="16"/>
              </w:rPr>
            </w:pPr>
            <w:r w:rsidRPr="0083282F">
              <w:rPr>
                <w:rFonts w:cs="Arial"/>
                <w:sz w:val="16"/>
                <w:szCs w:val="16"/>
              </w:rPr>
              <w:t>2 481,0</w:t>
            </w:r>
          </w:p>
        </w:tc>
        <w:tc>
          <w:tcPr>
            <w:tcW w:w="907" w:type="dxa"/>
            <w:tcBorders>
              <w:top w:val="nil"/>
              <w:left w:val="nil"/>
              <w:bottom w:val="nil"/>
              <w:right w:val="nil"/>
            </w:tcBorders>
            <w:shd w:val="clear" w:color="auto" w:fill="auto"/>
            <w:noWrap/>
            <w:vAlign w:val="center"/>
            <w:hideMark/>
          </w:tcPr>
          <w:p w14:paraId="39E49E80" w14:textId="77777777" w:rsidR="0083282F" w:rsidRPr="0083282F" w:rsidRDefault="0083282F" w:rsidP="001438A5">
            <w:pPr>
              <w:spacing w:after="0" w:line="240" w:lineRule="auto"/>
              <w:jc w:val="right"/>
              <w:rPr>
                <w:rFonts w:cs="Arial"/>
                <w:sz w:val="16"/>
                <w:szCs w:val="16"/>
              </w:rPr>
            </w:pPr>
            <w:r w:rsidRPr="0083282F">
              <w:rPr>
                <w:rFonts w:cs="Arial"/>
                <w:sz w:val="16"/>
                <w:szCs w:val="16"/>
              </w:rPr>
              <w:t>2 166,1</w:t>
            </w:r>
          </w:p>
        </w:tc>
        <w:tc>
          <w:tcPr>
            <w:tcW w:w="907" w:type="dxa"/>
            <w:tcBorders>
              <w:top w:val="nil"/>
              <w:left w:val="nil"/>
              <w:bottom w:val="nil"/>
              <w:right w:val="nil"/>
            </w:tcBorders>
            <w:shd w:val="clear" w:color="auto" w:fill="auto"/>
            <w:noWrap/>
            <w:vAlign w:val="center"/>
            <w:hideMark/>
          </w:tcPr>
          <w:p w14:paraId="12A16966" w14:textId="77777777" w:rsidR="0083282F" w:rsidRPr="0083282F" w:rsidRDefault="0083282F" w:rsidP="001438A5">
            <w:pPr>
              <w:spacing w:after="0" w:line="240" w:lineRule="auto"/>
              <w:jc w:val="right"/>
              <w:rPr>
                <w:rFonts w:cs="Arial"/>
                <w:sz w:val="16"/>
                <w:szCs w:val="16"/>
              </w:rPr>
            </w:pPr>
            <w:r w:rsidRPr="0083282F">
              <w:rPr>
                <w:rFonts w:cs="Arial"/>
                <w:sz w:val="16"/>
                <w:szCs w:val="16"/>
              </w:rPr>
              <w:t>2 229,8</w:t>
            </w:r>
          </w:p>
        </w:tc>
        <w:tc>
          <w:tcPr>
            <w:tcW w:w="907" w:type="dxa"/>
            <w:tcBorders>
              <w:top w:val="nil"/>
              <w:left w:val="nil"/>
              <w:bottom w:val="nil"/>
              <w:right w:val="nil"/>
            </w:tcBorders>
            <w:shd w:val="clear" w:color="auto" w:fill="auto"/>
            <w:noWrap/>
            <w:vAlign w:val="center"/>
            <w:hideMark/>
          </w:tcPr>
          <w:p w14:paraId="555519D0" w14:textId="77777777" w:rsidR="0083282F" w:rsidRPr="0083282F" w:rsidRDefault="0083282F" w:rsidP="001438A5">
            <w:pPr>
              <w:spacing w:after="0" w:line="240" w:lineRule="auto"/>
              <w:jc w:val="right"/>
              <w:rPr>
                <w:rFonts w:cs="Arial"/>
                <w:sz w:val="16"/>
                <w:szCs w:val="16"/>
              </w:rPr>
            </w:pPr>
            <w:r w:rsidRPr="0083282F">
              <w:rPr>
                <w:rFonts w:cs="Arial"/>
                <w:sz w:val="16"/>
                <w:szCs w:val="16"/>
              </w:rPr>
              <w:t>2 083,2</w:t>
            </w:r>
          </w:p>
        </w:tc>
        <w:tc>
          <w:tcPr>
            <w:tcW w:w="907" w:type="dxa"/>
            <w:tcBorders>
              <w:top w:val="nil"/>
              <w:left w:val="nil"/>
              <w:bottom w:val="nil"/>
              <w:right w:val="nil"/>
            </w:tcBorders>
            <w:shd w:val="clear" w:color="auto" w:fill="auto"/>
            <w:noWrap/>
            <w:vAlign w:val="center"/>
            <w:hideMark/>
          </w:tcPr>
          <w:p w14:paraId="3CCC1D66" w14:textId="77777777" w:rsidR="0083282F" w:rsidRPr="0083282F" w:rsidRDefault="0083282F" w:rsidP="001438A5">
            <w:pPr>
              <w:spacing w:after="0" w:line="240" w:lineRule="auto"/>
              <w:jc w:val="right"/>
              <w:rPr>
                <w:rFonts w:cs="Arial"/>
                <w:sz w:val="16"/>
                <w:szCs w:val="16"/>
              </w:rPr>
            </w:pPr>
            <w:r w:rsidRPr="0083282F">
              <w:rPr>
                <w:rFonts w:cs="Arial"/>
                <w:sz w:val="16"/>
                <w:szCs w:val="16"/>
              </w:rPr>
              <w:t>1 963,9</w:t>
            </w:r>
          </w:p>
        </w:tc>
        <w:tc>
          <w:tcPr>
            <w:tcW w:w="907" w:type="dxa"/>
            <w:tcBorders>
              <w:top w:val="nil"/>
              <w:left w:val="nil"/>
              <w:bottom w:val="nil"/>
              <w:right w:val="nil"/>
            </w:tcBorders>
            <w:shd w:val="clear" w:color="auto" w:fill="auto"/>
            <w:noWrap/>
            <w:vAlign w:val="center"/>
            <w:hideMark/>
          </w:tcPr>
          <w:p w14:paraId="7D90ADEA" w14:textId="77777777" w:rsidR="0083282F" w:rsidRPr="0083282F" w:rsidRDefault="0083282F" w:rsidP="001438A5">
            <w:pPr>
              <w:spacing w:after="0" w:line="240" w:lineRule="auto"/>
              <w:jc w:val="right"/>
              <w:rPr>
                <w:rFonts w:cs="Arial"/>
                <w:sz w:val="16"/>
                <w:szCs w:val="16"/>
              </w:rPr>
            </w:pPr>
            <w:r w:rsidRPr="0083282F">
              <w:rPr>
                <w:rFonts w:cs="Arial"/>
                <w:sz w:val="16"/>
                <w:szCs w:val="16"/>
              </w:rPr>
              <w:t>1 860,2</w:t>
            </w:r>
          </w:p>
        </w:tc>
        <w:tc>
          <w:tcPr>
            <w:tcW w:w="907" w:type="dxa"/>
            <w:tcBorders>
              <w:top w:val="nil"/>
              <w:left w:val="nil"/>
              <w:bottom w:val="nil"/>
              <w:right w:val="nil"/>
            </w:tcBorders>
            <w:shd w:val="clear" w:color="auto" w:fill="auto"/>
            <w:noWrap/>
            <w:vAlign w:val="center"/>
            <w:hideMark/>
          </w:tcPr>
          <w:p w14:paraId="326CDE5F" w14:textId="77777777" w:rsidR="0083282F" w:rsidRPr="0083282F" w:rsidRDefault="0083282F" w:rsidP="001438A5">
            <w:pPr>
              <w:spacing w:after="0" w:line="240" w:lineRule="auto"/>
              <w:jc w:val="right"/>
              <w:rPr>
                <w:rFonts w:cs="Arial"/>
                <w:sz w:val="16"/>
                <w:szCs w:val="16"/>
              </w:rPr>
            </w:pPr>
            <w:r w:rsidRPr="0083282F">
              <w:rPr>
                <w:rFonts w:cs="Arial"/>
                <w:sz w:val="16"/>
                <w:szCs w:val="16"/>
              </w:rPr>
              <w:t>1 906,2</w:t>
            </w:r>
          </w:p>
        </w:tc>
        <w:tc>
          <w:tcPr>
            <w:tcW w:w="907" w:type="dxa"/>
            <w:tcBorders>
              <w:top w:val="nil"/>
              <w:left w:val="nil"/>
              <w:bottom w:val="nil"/>
              <w:right w:val="nil"/>
            </w:tcBorders>
            <w:shd w:val="clear" w:color="auto" w:fill="auto"/>
            <w:noWrap/>
            <w:vAlign w:val="center"/>
            <w:hideMark/>
          </w:tcPr>
          <w:p w14:paraId="159BBFCD" w14:textId="77777777" w:rsidR="0083282F" w:rsidRPr="0083282F" w:rsidRDefault="0083282F" w:rsidP="001438A5">
            <w:pPr>
              <w:spacing w:after="0" w:line="240" w:lineRule="auto"/>
              <w:jc w:val="right"/>
              <w:rPr>
                <w:rFonts w:cs="Arial"/>
                <w:sz w:val="16"/>
                <w:szCs w:val="16"/>
              </w:rPr>
            </w:pPr>
            <w:r w:rsidRPr="0083282F">
              <w:rPr>
                <w:rFonts w:cs="Arial"/>
                <w:sz w:val="16"/>
                <w:szCs w:val="16"/>
              </w:rPr>
              <w:t>1 892,1</w:t>
            </w:r>
          </w:p>
        </w:tc>
        <w:tc>
          <w:tcPr>
            <w:tcW w:w="907" w:type="dxa"/>
            <w:tcBorders>
              <w:top w:val="nil"/>
              <w:left w:val="nil"/>
              <w:bottom w:val="nil"/>
              <w:right w:val="nil"/>
            </w:tcBorders>
            <w:shd w:val="clear" w:color="auto" w:fill="auto"/>
            <w:noWrap/>
            <w:vAlign w:val="center"/>
            <w:hideMark/>
          </w:tcPr>
          <w:p w14:paraId="1319D46C" w14:textId="77777777" w:rsidR="0083282F" w:rsidRPr="0083282F" w:rsidRDefault="0083282F" w:rsidP="001438A5">
            <w:pPr>
              <w:spacing w:after="0" w:line="240" w:lineRule="auto"/>
              <w:jc w:val="right"/>
              <w:rPr>
                <w:rFonts w:cs="Arial"/>
                <w:sz w:val="16"/>
                <w:szCs w:val="16"/>
              </w:rPr>
            </w:pPr>
            <w:r w:rsidRPr="0083282F">
              <w:rPr>
                <w:rFonts w:cs="Arial"/>
                <w:sz w:val="16"/>
                <w:szCs w:val="16"/>
              </w:rPr>
              <w:t>1 850,6</w:t>
            </w:r>
          </w:p>
        </w:tc>
      </w:tr>
      <w:tr w:rsidR="0083282F" w:rsidRPr="0083282F" w14:paraId="1CFDF636" w14:textId="77777777" w:rsidTr="001438A5">
        <w:trPr>
          <w:trHeight w:val="300"/>
        </w:trPr>
        <w:tc>
          <w:tcPr>
            <w:tcW w:w="1417" w:type="dxa"/>
            <w:tcBorders>
              <w:top w:val="nil"/>
              <w:left w:val="nil"/>
              <w:bottom w:val="nil"/>
              <w:right w:val="nil"/>
            </w:tcBorders>
            <w:shd w:val="clear" w:color="auto" w:fill="auto"/>
            <w:noWrap/>
            <w:vAlign w:val="center"/>
            <w:hideMark/>
          </w:tcPr>
          <w:p w14:paraId="7B42A2AF"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Francie</w:t>
            </w:r>
          </w:p>
        </w:tc>
        <w:tc>
          <w:tcPr>
            <w:tcW w:w="907" w:type="dxa"/>
            <w:tcBorders>
              <w:top w:val="nil"/>
              <w:left w:val="single" w:sz="4" w:space="0" w:color="000000"/>
              <w:bottom w:val="nil"/>
              <w:right w:val="nil"/>
            </w:tcBorders>
            <w:shd w:val="clear" w:color="auto" w:fill="auto"/>
            <w:noWrap/>
            <w:vAlign w:val="center"/>
            <w:hideMark/>
          </w:tcPr>
          <w:p w14:paraId="4667FD26" w14:textId="77777777" w:rsidR="0083282F" w:rsidRPr="0083282F" w:rsidRDefault="0083282F" w:rsidP="001438A5">
            <w:pPr>
              <w:spacing w:after="0" w:line="240" w:lineRule="auto"/>
              <w:jc w:val="right"/>
              <w:rPr>
                <w:rFonts w:cs="Arial"/>
                <w:sz w:val="16"/>
                <w:szCs w:val="16"/>
              </w:rPr>
            </w:pPr>
            <w:r w:rsidRPr="0083282F">
              <w:rPr>
                <w:rFonts w:cs="Arial"/>
                <w:sz w:val="16"/>
                <w:szCs w:val="16"/>
              </w:rPr>
              <w:t>4 579,0</w:t>
            </w:r>
          </w:p>
        </w:tc>
        <w:tc>
          <w:tcPr>
            <w:tcW w:w="907" w:type="dxa"/>
            <w:tcBorders>
              <w:top w:val="nil"/>
              <w:left w:val="nil"/>
              <w:bottom w:val="nil"/>
              <w:right w:val="nil"/>
            </w:tcBorders>
            <w:shd w:val="clear" w:color="auto" w:fill="auto"/>
            <w:noWrap/>
            <w:vAlign w:val="center"/>
            <w:hideMark/>
          </w:tcPr>
          <w:p w14:paraId="1E677219" w14:textId="77777777" w:rsidR="0083282F" w:rsidRPr="0083282F" w:rsidRDefault="0083282F" w:rsidP="001438A5">
            <w:pPr>
              <w:spacing w:after="0" w:line="240" w:lineRule="auto"/>
              <w:jc w:val="right"/>
              <w:rPr>
                <w:rFonts w:cs="Arial"/>
                <w:sz w:val="16"/>
                <w:szCs w:val="16"/>
              </w:rPr>
            </w:pPr>
            <w:r w:rsidRPr="0083282F">
              <w:rPr>
                <w:rFonts w:cs="Arial"/>
                <w:sz w:val="16"/>
                <w:szCs w:val="16"/>
              </w:rPr>
              <w:t>3 047,9</w:t>
            </w:r>
          </w:p>
        </w:tc>
        <w:tc>
          <w:tcPr>
            <w:tcW w:w="907" w:type="dxa"/>
            <w:tcBorders>
              <w:top w:val="nil"/>
              <w:left w:val="nil"/>
              <w:bottom w:val="nil"/>
              <w:right w:val="nil"/>
            </w:tcBorders>
            <w:shd w:val="clear" w:color="auto" w:fill="auto"/>
            <w:noWrap/>
            <w:vAlign w:val="center"/>
            <w:hideMark/>
          </w:tcPr>
          <w:p w14:paraId="0190F404" w14:textId="77777777" w:rsidR="0083282F" w:rsidRPr="0083282F" w:rsidRDefault="0083282F" w:rsidP="001438A5">
            <w:pPr>
              <w:spacing w:after="0" w:line="240" w:lineRule="auto"/>
              <w:jc w:val="right"/>
              <w:rPr>
                <w:rFonts w:cs="Arial"/>
                <w:sz w:val="16"/>
                <w:szCs w:val="16"/>
              </w:rPr>
            </w:pPr>
            <w:r w:rsidRPr="0083282F">
              <w:rPr>
                <w:rFonts w:cs="Arial"/>
                <w:sz w:val="16"/>
                <w:szCs w:val="16"/>
              </w:rPr>
              <w:t>3 163,5</w:t>
            </w:r>
          </w:p>
        </w:tc>
        <w:tc>
          <w:tcPr>
            <w:tcW w:w="907" w:type="dxa"/>
            <w:tcBorders>
              <w:top w:val="nil"/>
              <w:left w:val="nil"/>
              <w:bottom w:val="nil"/>
              <w:right w:val="nil"/>
            </w:tcBorders>
            <w:shd w:val="clear" w:color="000000" w:fill="D9D9D9"/>
            <w:noWrap/>
            <w:vAlign w:val="center"/>
            <w:hideMark/>
          </w:tcPr>
          <w:p w14:paraId="30EDE325" w14:textId="77777777" w:rsidR="0083282F" w:rsidRPr="0083282F" w:rsidRDefault="0083282F" w:rsidP="001438A5">
            <w:pPr>
              <w:spacing w:after="0" w:line="240" w:lineRule="auto"/>
              <w:jc w:val="right"/>
              <w:rPr>
                <w:rFonts w:cs="Arial"/>
                <w:sz w:val="16"/>
                <w:szCs w:val="16"/>
              </w:rPr>
            </w:pPr>
            <w:r w:rsidRPr="0083282F">
              <w:rPr>
                <w:rFonts w:cs="Arial"/>
                <w:sz w:val="16"/>
                <w:szCs w:val="16"/>
              </w:rPr>
              <w:t>3 385,7</w:t>
            </w:r>
          </w:p>
        </w:tc>
        <w:tc>
          <w:tcPr>
            <w:tcW w:w="907" w:type="dxa"/>
            <w:tcBorders>
              <w:top w:val="nil"/>
              <w:left w:val="nil"/>
              <w:bottom w:val="nil"/>
              <w:right w:val="nil"/>
            </w:tcBorders>
            <w:shd w:val="clear" w:color="auto" w:fill="auto"/>
            <w:noWrap/>
            <w:vAlign w:val="center"/>
            <w:hideMark/>
          </w:tcPr>
          <w:p w14:paraId="312FC3EE" w14:textId="77777777" w:rsidR="0083282F" w:rsidRPr="0083282F" w:rsidRDefault="0083282F" w:rsidP="001438A5">
            <w:pPr>
              <w:spacing w:after="0" w:line="240" w:lineRule="auto"/>
              <w:jc w:val="right"/>
              <w:rPr>
                <w:rFonts w:cs="Arial"/>
                <w:sz w:val="16"/>
                <w:szCs w:val="16"/>
              </w:rPr>
            </w:pPr>
            <w:r w:rsidRPr="0083282F">
              <w:rPr>
                <w:rFonts w:cs="Arial"/>
                <w:sz w:val="16"/>
                <w:szCs w:val="16"/>
              </w:rPr>
              <w:t>3 490,1</w:t>
            </w:r>
          </w:p>
        </w:tc>
        <w:tc>
          <w:tcPr>
            <w:tcW w:w="907" w:type="dxa"/>
            <w:tcBorders>
              <w:top w:val="nil"/>
              <w:left w:val="nil"/>
              <w:bottom w:val="nil"/>
              <w:right w:val="nil"/>
            </w:tcBorders>
            <w:shd w:val="clear" w:color="auto" w:fill="auto"/>
            <w:noWrap/>
            <w:vAlign w:val="center"/>
            <w:hideMark/>
          </w:tcPr>
          <w:p w14:paraId="107C5D5D" w14:textId="77777777" w:rsidR="0083282F" w:rsidRPr="0083282F" w:rsidRDefault="0083282F" w:rsidP="001438A5">
            <w:pPr>
              <w:spacing w:after="0" w:line="240" w:lineRule="auto"/>
              <w:jc w:val="right"/>
              <w:rPr>
                <w:rFonts w:cs="Arial"/>
                <w:sz w:val="16"/>
                <w:szCs w:val="16"/>
              </w:rPr>
            </w:pPr>
            <w:r w:rsidRPr="0083282F">
              <w:rPr>
                <w:rFonts w:cs="Arial"/>
                <w:sz w:val="16"/>
                <w:szCs w:val="16"/>
              </w:rPr>
              <w:t>3 409,2</w:t>
            </w:r>
          </w:p>
        </w:tc>
        <w:tc>
          <w:tcPr>
            <w:tcW w:w="907" w:type="dxa"/>
            <w:tcBorders>
              <w:top w:val="nil"/>
              <w:left w:val="nil"/>
              <w:bottom w:val="nil"/>
              <w:right w:val="nil"/>
            </w:tcBorders>
            <w:shd w:val="clear" w:color="000000" w:fill="D9D9D9"/>
            <w:noWrap/>
            <w:vAlign w:val="center"/>
            <w:hideMark/>
          </w:tcPr>
          <w:p w14:paraId="0E167717" w14:textId="77777777" w:rsidR="0083282F" w:rsidRPr="0083282F" w:rsidRDefault="0083282F" w:rsidP="001438A5">
            <w:pPr>
              <w:spacing w:after="0" w:line="240" w:lineRule="auto"/>
              <w:jc w:val="right"/>
              <w:rPr>
                <w:rFonts w:cs="Arial"/>
                <w:sz w:val="16"/>
                <w:szCs w:val="16"/>
              </w:rPr>
            </w:pPr>
            <w:r w:rsidRPr="0083282F">
              <w:rPr>
                <w:rFonts w:cs="Arial"/>
                <w:sz w:val="16"/>
                <w:szCs w:val="16"/>
              </w:rPr>
              <w:t>3 307,1</w:t>
            </w:r>
          </w:p>
        </w:tc>
        <w:tc>
          <w:tcPr>
            <w:tcW w:w="907" w:type="dxa"/>
            <w:tcBorders>
              <w:top w:val="nil"/>
              <w:left w:val="nil"/>
              <w:bottom w:val="nil"/>
              <w:right w:val="nil"/>
            </w:tcBorders>
            <w:shd w:val="clear" w:color="auto" w:fill="auto"/>
            <w:noWrap/>
            <w:vAlign w:val="center"/>
            <w:hideMark/>
          </w:tcPr>
          <w:p w14:paraId="0EE37554" w14:textId="77777777" w:rsidR="0083282F" w:rsidRPr="0083282F" w:rsidRDefault="0083282F" w:rsidP="001438A5">
            <w:pPr>
              <w:spacing w:after="0" w:line="240" w:lineRule="auto"/>
              <w:jc w:val="right"/>
              <w:rPr>
                <w:rFonts w:cs="Arial"/>
                <w:sz w:val="16"/>
                <w:szCs w:val="16"/>
              </w:rPr>
            </w:pPr>
            <w:r w:rsidRPr="0083282F">
              <w:rPr>
                <w:rFonts w:cs="Arial"/>
                <w:sz w:val="16"/>
                <w:szCs w:val="16"/>
              </w:rPr>
              <w:t>3 421,2</w:t>
            </w:r>
          </w:p>
        </w:tc>
        <w:tc>
          <w:tcPr>
            <w:tcW w:w="907" w:type="dxa"/>
            <w:tcBorders>
              <w:top w:val="nil"/>
              <w:left w:val="nil"/>
              <w:bottom w:val="nil"/>
              <w:right w:val="nil"/>
            </w:tcBorders>
            <w:shd w:val="clear" w:color="auto" w:fill="auto"/>
            <w:noWrap/>
            <w:vAlign w:val="center"/>
            <w:hideMark/>
          </w:tcPr>
          <w:p w14:paraId="4718C9AE" w14:textId="77777777" w:rsidR="0083282F" w:rsidRPr="0083282F" w:rsidRDefault="0083282F" w:rsidP="001438A5">
            <w:pPr>
              <w:spacing w:after="0" w:line="240" w:lineRule="auto"/>
              <w:jc w:val="right"/>
              <w:rPr>
                <w:rFonts w:cs="Arial"/>
                <w:sz w:val="16"/>
                <w:szCs w:val="16"/>
              </w:rPr>
            </w:pPr>
            <w:r w:rsidRPr="0083282F">
              <w:rPr>
                <w:rFonts w:cs="Arial"/>
                <w:sz w:val="16"/>
                <w:szCs w:val="16"/>
              </w:rPr>
              <w:t>3 406,9</w:t>
            </w:r>
          </w:p>
        </w:tc>
      </w:tr>
      <w:tr w:rsidR="0083282F" w:rsidRPr="0083282F" w14:paraId="08F80DBC" w14:textId="77777777" w:rsidTr="001438A5">
        <w:trPr>
          <w:trHeight w:val="300"/>
        </w:trPr>
        <w:tc>
          <w:tcPr>
            <w:tcW w:w="1417" w:type="dxa"/>
            <w:tcBorders>
              <w:top w:val="nil"/>
              <w:left w:val="nil"/>
              <w:bottom w:val="nil"/>
              <w:right w:val="nil"/>
            </w:tcBorders>
            <w:shd w:val="clear" w:color="auto" w:fill="auto"/>
            <w:noWrap/>
            <w:vAlign w:val="center"/>
            <w:hideMark/>
          </w:tcPr>
          <w:p w14:paraId="55DB3741"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Chorvatsko</w:t>
            </w:r>
          </w:p>
        </w:tc>
        <w:tc>
          <w:tcPr>
            <w:tcW w:w="907" w:type="dxa"/>
            <w:tcBorders>
              <w:top w:val="nil"/>
              <w:left w:val="single" w:sz="4" w:space="0" w:color="000000"/>
              <w:bottom w:val="nil"/>
              <w:right w:val="nil"/>
            </w:tcBorders>
            <w:shd w:val="clear" w:color="auto" w:fill="auto"/>
            <w:noWrap/>
            <w:vAlign w:val="center"/>
            <w:hideMark/>
          </w:tcPr>
          <w:p w14:paraId="55E396F2" w14:textId="77777777" w:rsidR="0083282F" w:rsidRPr="0083282F" w:rsidRDefault="0083282F" w:rsidP="001438A5">
            <w:pPr>
              <w:spacing w:after="0" w:line="240" w:lineRule="auto"/>
              <w:jc w:val="right"/>
              <w:rPr>
                <w:rFonts w:cs="Arial"/>
                <w:sz w:val="16"/>
                <w:szCs w:val="16"/>
              </w:rPr>
            </w:pPr>
            <w:r w:rsidRPr="0083282F">
              <w:rPr>
                <w:rFonts w:cs="Arial"/>
                <w:sz w:val="16"/>
                <w:szCs w:val="16"/>
              </w:rPr>
              <w:t>1 012,4</w:t>
            </w:r>
          </w:p>
        </w:tc>
        <w:tc>
          <w:tcPr>
            <w:tcW w:w="907" w:type="dxa"/>
            <w:tcBorders>
              <w:top w:val="nil"/>
              <w:left w:val="nil"/>
              <w:bottom w:val="nil"/>
              <w:right w:val="nil"/>
            </w:tcBorders>
            <w:shd w:val="clear" w:color="auto" w:fill="auto"/>
            <w:noWrap/>
            <w:vAlign w:val="center"/>
            <w:hideMark/>
          </w:tcPr>
          <w:p w14:paraId="1722B60E" w14:textId="77777777" w:rsidR="0083282F" w:rsidRPr="0083282F" w:rsidRDefault="0083282F" w:rsidP="001438A5">
            <w:pPr>
              <w:spacing w:after="0" w:line="240" w:lineRule="auto"/>
              <w:jc w:val="right"/>
              <w:rPr>
                <w:rFonts w:cs="Arial"/>
                <w:sz w:val="16"/>
                <w:szCs w:val="16"/>
              </w:rPr>
            </w:pPr>
            <w:r w:rsidRPr="0083282F">
              <w:rPr>
                <w:rFonts w:cs="Arial"/>
                <w:sz w:val="16"/>
                <w:szCs w:val="16"/>
              </w:rPr>
              <w:t>835,9</w:t>
            </w:r>
          </w:p>
        </w:tc>
        <w:tc>
          <w:tcPr>
            <w:tcW w:w="907" w:type="dxa"/>
            <w:tcBorders>
              <w:top w:val="nil"/>
              <w:left w:val="nil"/>
              <w:bottom w:val="nil"/>
              <w:right w:val="nil"/>
            </w:tcBorders>
            <w:shd w:val="clear" w:color="auto" w:fill="auto"/>
            <w:noWrap/>
            <w:vAlign w:val="center"/>
            <w:hideMark/>
          </w:tcPr>
          <w:p w14:paraId="29AEFF65" w14:textId="77777777" w:rsidR="0083282F" w:rsidRPr="0083282F" w:rsidRDefault="0083282F" w:rsidP="001438A5">
            <w:pPr>
              <w:spacing w:after="0" w:line="240" w:lineRule="auto"/>
              <w:jc w:val="right"/>
              <w:rPr>
                <w:rFonts w:cs="Arial"/>
                <w:sz w:val="16"/>
                <w:szCs w:val="16"/>
              </w:rPr>
            </w:pPr>
            <w:r w:rsidRPr="0083282F">
              <w:rPr>
                <w:rFonts w:cs="Arial"/>
                <w:sz w:val="16"/>
                <w:szCs w:val="16"/>
              </w:rPr>
              <w:t>867,9</w:t>
            </w:r>
          </w:p>
        </w:tc>
        <w:tc>
          <w:tcPr>
            <w:tcW w:w="907" w:type="dxa"/>
            <w:tcBorders>
              <w:top w:val="nil"/>
              <w:left w:val="nil"/>
              <w:bottom w:val="nil"/>
              <w:right w:val="nil"/>
            </w:tcBorders>
            <w:shd w:val="clear" w:color="auto" w:fill="auto"/>
            <w:noWrap/>
            <w:vAlign w:val="center"/>
            <w:hideMark/>
          </w:tcPr>
          <w:p w14:paraId="39888408" w14:textId="77777777" w:rsidR="0083282F" w:rsidRPr="0083282F" w:rsidRDefault="0083282F" w:rsidP="001438A5">
            <w:pPr>
              <w:spacing w:after="0" w:line="240" w:lineRule="auto"/>
              <w:jc w:val="right"/>
              <w:rPr>
                <w:rFonts w:cs="Arial"/>
                <w:sz w:val="16"/>
                <w:szCs w:val="16"/>
              </w:rPr>
            </w:pPr>
            <w:r w:rsidRPr="0083282F">
              <w:rPr>
                <w:rFonts w:cs="Arial"/>
                <w:sz w:val="16"/>
                <w:szCs w:val="16"/>
              </w:rPr>
              <w:t>906,5</w:t>
            </w:r>
          </w:p>
        </w:tc>
        <w:tc>
          <w:tcPr>
            <w:tcW w:w="907" w:type="dxa"/>
            <w:tcBorders>
              <w:top w:val="nil"/>
              <w:left w:val="nil"/>
              <w:bottom w:val="nil"/>
              <w:right w:val="nil"/>
            </w:tcBorders>
            <w:shd w:val="clear" w:color="auto" w:fill="auto"/>
            <w:noWrap/>
            <w:vAlign w:val="center"/>
            <w:hideMark/>
          </w:tcPr>
          <w:p w14:paraId="453E058A" w14:textId="77777777" w:rsidR="0083282F" w:rsidRPr="0083282F" w:rsidRDefault="0083282F" w:rsidP="001438A5">
            <w:pPr>
              <w:spacing w:after="0" w:line="240" w:lineRule="auto"/>
              <w:jc w:val="right"/>
              <w:rPr>
                <w:rFonts w:cs="Arial"/>
                <w:sz w:val="16"/>
                <w:szCs w:val="16"/>
              </w:rPr>
            </w:pPr>
            <w:r w:rsidRPr="0083282F">
              <w:rPr>
                <w:rFonts w:cs="Arial"/>
                <w:sz w:val="16"/>
                <w:szCs w:val="16"/>
              </w:rPr>
              <w:t>989,0</w:t>
            </w:r>
          </w:p>
        </w:tc>
        <w:tc>
          <w:tcPr>
            <w:tcW w:w="907" w:type="dxa"/>
            <w:tcBorders>
              <w:top w:val="nil"/>
              <w:left w:val="nil"/>
              <w:bottom w:val="nil"/>
              <w:right w:val="nil"/>
            </w:tcBorders>
            <w:shd w:val="clear" w:color="auto" w:fill="auto"/>
            <w:noWrap/>
            <w:vAlign w:val="center"/>
            <w:hideMark/>
          </w:tcPr>
          <w:p w14:paraId="776768C7" w14:textId="77777777" w:rsidR="0083282F" w:rsidRPr="0083282F" w:rsidRDefault="0083282F" w:rsidP="001438A5">
            <w:pPr>
              <w:spacing w:after="0" w:line="240" w:lineRule="auto"/>
              <w:jc w:val="right"/>
              <w:rPr>
                <w:rFonts w:cs="Arial"/>
                <w:sz w:val="16"/>
                <w:szCs w:val="16"/>
              </w:rPr>
            </w:pPr>
            <w:r w:rsidRPr="0083282F">
              <w:rPr>
                <w:rFonts w:cs="Arial"/>
                <w:sz w:val="16"/>
                <w:szCs w:val="16"/>
              </w:rPr>
              <w:t>984,3</w:t>
            </w:r>
          </w:p>
        </w:tc>
        <w:tc>
          <w:tcPr>
            <w:tcW w:w="907" w:type="dxa"/>
            <w:tcBorders>
              <w:top w:val="nil"/>
              <w:left w:val="nil"/>
              <w:bottom w:val="nil"/>
              <w:right w:val="nil"/>
            </w:tcBorders>
            <w:shd w:val="clear" w:color="auto" w:fill="auto"/>
            <w:noWrap/>
            <w:vAlign w:val="center"/>
            <w:hideMark/>
          </w:tcPr>
          <w:p w14:paraId="552B9ED7" w14:textId="77777777" w:rsidR="0083282F" w:rsidRPr="0083282F" w:rsidRDefault="0083282F" w:rsidP="001438A5">
            <w:pPr>
              <w:spacing w:after="0" w:line="240" w:lineRule="auto"/>
              <w:jc w:val="right"/>
              <w:rPr>
                <w:rFonts w:cs="Arial"/>
                <w:sz w:val="16"/>
                <w:szCs w:val="16"/>
              </w:rPr>
            </w:pPr>
            <w:r w:rsidRPr="0083282F">
              <w:rPr>
                <w:rFonts w:cs="Arial"/>
                <w:sz w:val="16"/>
                <w:szCs w:val="16"/>
              </w:rPr>
              <w:t>1 044,2</w:t>
            </w:r>
          </w:p>
        </w:tc>
        <w:tc>
          <w:tcPr>
            <w:tcW w:w="907" w:type="dxa"/>
            <w:tcBorders>
              <w:top w:val="nil"/>
              <w:left w:val="nil"/>
              <w:bottom w:val="nil"/>
              <w:right w:val="nil"/>
            </w:tcBorders>
            <w:shd w:val="clear" w:color="auto" w:fill="auto"/>
            <w:noWrap/>
            <w:vAlign w:val="center"/>
            <w:hideMark/>
          </w:tcPr>
          <w:p w14:paraId="05798463" w14:textId="77777777" w:rsidR="0083282F" w:rsidRPr="0083282F" w:rsidRDefault="0083282F" w:rsidP="001438A5">
            <w:pPr>
              <w:spacing w:after="0" w:line="240" w:lineRule="auto"/>
              <w:jc w:val="right"/>
              <w:rPr>
                <w:rFonts w:cs="Arial"/>
                <w:sz w:val="16"/>
                <w:szCs w:val="16"/>
              </w:rPr>
            </w:pPr>
            <w:r w:rsidRPr="0083282F">
              <w:rPr>
                <w:rFonts w:cs="Arial"/>
                <w:sz w:val="16"/>
                <w:szCs w:val="16"/>
              </w:rPr>
              <w:t>868,2</w:t>
            </w:r>
          </w:p>
        </w:tc>
        <w:tc>
          <w:tcPr>
            <w:tcW w:w="907" w:type="dxa"/>
            <w:tcBorders>
              <w:top w:val="nil"/>
              <w:left w:val="nil"/>
              <w:bottom w:val="nil"/>
              <w:right w:val="nil"/>
            </w:tcBorders>
            <w:shd w:val="clear" w:color="auto" w:fill="auto"/>
            <w:noWrap/>
            <w:vAlign w:val="center"/>
            <w:hideMark/>
          </w:tcPr>
          <w:p w14:paraId="21D87B1F" w14:textId="77777777" w:rsidR="0083282F" w:rsidRPr="0083282F" w:rsidRDefault="0083282F" w:rsidP="001438A5">
            <w:pPr>
              <w:spacing w:after="0" w:line="240" w:lineRule="auto"/>
              <w:jc w:val="right"/>
              <w:rPr>
                <w:rFonts w:cs="Arial"/>
                <w:sz w:val="16"/>
                <w:szCs w:val="16"/>
              </w:rPr>
            </w:pPr>
            <w:r w:rsidRPr="0083282F">
              <w:rPr>
                <w:rFonts w:cs="Arial"/>
                <w:sz w:val="16"/>
                <w:szCs w:val="16"/>
              </w:rPr>
              <w:t>791,9</w:t>
            </w:r>
          </w:p>
        </w:tc>
      </w:tr>
      <w:tr w:rsidR="0083282F" w:rsidRPr="0083282F" w14:paraId="6812920C" w14:textId="77777777" w:rsidTr="001438A5">
        <w:trPr>
          <w:trHeight w:val="300"/>
        </w:trPr>
        <w:tc>
          <w:tcPr>
            <w:tcW w:w="1417" w:type="dxa"/>
            <w:tcBorders>
              <w:top w:val="nil"/>
              <w:left w:val="nil"/>
              <w:bottom w:val="nil"/>
              <w:right w:val="nil"/>
            </w:tcBorders>
            <w:shd w:val="clear" w:color="auto" w:fill="auto"/>
            <w:noWrap/>
            <w:vAlign w:val="center"/>
            <w:hideMark/>
          </w:tcPr>
          <w:p w14:paraId="2F33A4FD"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Irsko</w:t>
            </w:r>
          </w:p>
        </w:tc>
        <w:tc>
          <w:tcPr>
            <w:tcW w:w="907" w:type="dxa"/>
            <w:tcBorders>
              <w:top w:val="nil"/>
              <w:left w:val="single" w:sz="4" w:space="0" w:color="000000"/>
              <w:bottom w:val="nil"/>
              <w:right w:val="nil"/>
            </w:tcBorders>
            <w:shd w:val="clear" w:color="auto" w:fill="auto"/>
            <w:noWrap/>
            <w:vAlign w:val="center"/>
            <w:hideMark/>
          </w:tcPr>
          <w:p w14:paraId="6B4D4085" w14:textId="77777777" w:rsidR="0083282F" w:rsidRPr="0083282F" w:rsidRDefault="0083282F" w:rsidP="001438A5">
            <w:pPr>
              <w:spacing w:after="0" w:line="240" w:lineRule="auto"/>
              <w:jc w:val="right"/>
              <w:rPr>
                <w:rFonts w:cs="Arial"/>
                <w:sz w:val="16"/>
                <w:szCs w:val="16"/>
              </w:rPr>
            </w:pPr>
            <w:r w:rsidRPr="0083282F">
              <w:rPr>
                <w:rFonts w:cs="Arial"/>
                <w:sz w:val="16"/>
                <w:szCs w:val="16"/>
              </w:rPr>
              <w:t>955,0</w:t>
            </w:r>
          </w:p>
        </w:tc>
        <w:tc>
          <w:tcPr>
            <w:tcW w:w="907" w:type="dxa"/>
            <w:tcBorders>
              <w:top w:val="nil"/>
              <w:left w:val="nil"/>
              <w:bottom w:val="nil"/>
              <w:right w:val="nil"/>
            </w:tcBorders>
            <w:shd w:val="clear" w:color="auto" w:fill="auto"/>
            <w:noWrap/>
            <w:vAlign w:val="center"/>
            <w:hideMark/>
          </w:tcPr>
          <w:p w14:paraId="0DB11A84" w14:textId="77777777" w:rsidR="0083282F" w:rsidRPr="0083282F" w:rsidRDefault="0083282F" w:rsidP="001438A5">
            <w:pPr>
              <w:spacing w:after="0" w:line="240" w:lineRule="auto"/>
              <w:jc w:val="right"/>
              <w:rPr>
                <w:rFonts w:cs="Arial"/>
                <w:sz w:val="16"/>
                <w:szCs w:val="16"/>
              </w:rPr>
            </w:pPr>
            <w:r w:rsidRPr="0083282F">
              <w:rPr>
                <w:rFonts w:cs="Arial"/>
                <w:sz w:val="16"/>
                <w:szCs w:val="16"/>
              </w:rPr>
              <w:t>809,6</w:t>
            </w:r>
          </w:p>
        </w:tc>
        <w:tc>
          <w:tcPr>
            <w:tcW w:w="907" w:type="dxa"/>
            <w:tcBorders>
              <w:top w:val="nil"/>
              <w:left w:val="nil"/>
              <w:bottom w:val="nil"/>
              <w:right w:val="nil"/>
            </w:tcBorders>
            <w:shd w:val="clear" w:color="auto" w:fill="auto"/>
            <w:noWrap/>
            <w:vAlign w:val="center"/>
            <w:hideMark/>
          </w:tcPr>
          <w:p w14:paraId="5E52F884" w14:textId="77777777" w:rsidR="0083282F" w:rsidRPr="0083282F" w:rsidRDefault="0083282F" w:rsidP="001438A5">
            <w:pPr>
              <w:spacing w:after="0" w:line="240" w:lineRule="auto"/>
              <w:jc w:val="right"/>
              <w:rPr>
                <w:rFonts w:cs="Arial"/>
                <w:sz w:val="16"/>
                <w:szCs w:val="16"/>
              </w:rPr>
            </w:pPr>
            <w:r w:rsidRPr="0083282F">
              <w:rPr>
                <w:rFonts w:cs="Arial"/>
                <w:sz w:val="16"/>
                <w:szCs w:val="16"/>
              </w:rPr>
              <w:t>1 036,1</w:t>
            </w:r>
          </w:p>
        </w:tc>
        <w:tc>
          <w:tcPr>
            <w:tcW w:w="907" w:type="dxa"/>
            <w:tcBorders>
              <w:top w:val="nil"/>
              <w:left w:val="nil"/>
              <w:bottom w:val="nil"/>
              <w:right w:val="nil"/>
            </w:tcBorders>
            <w:shd w:val="clear" w:color="auto" w:fill="auto"/>
            <w:noWrap/>
            <w:vAlign w:val="center"/>
            <w:hideMark/>
          </w:tcPr>
          <w:p w14:paraId="3014D37E" w14:textId="77777777" w:rsidR="0083282F" w:rsidRPr="0083282F" w:rsidRDefault="0083282F" w:rsidP="001438A5">
            <w:pPr>
              <w:spacing w:after="0" w:line="240" w:lineRule="auto"/>
              <w:jc w:val="right"/>
              <w:rPr>
                <w:rFonts w:cs="Arial"/>
                <w:sz w:val="16"/>
                <w:szCs w:val="16"/>
              </w:rPr>
            </w:pPr>
            <w:r w:rsidRPr="0083282F">
              <w:rPr>
                <w:rFonts w:cs="Arial"/>
                <w:sz w:val="16"/>
                <w:szCs w:val="16"/>
              </w:rPr>
              <w:t>1 072,0</w:t>
            </w:r>
          </w:p>
        </w:tc>
        <w:tc>
          <w:tcPr>
            <w:tcW w:w="907" w:type="dxa"/>
            <w:tcBorders>
              <w:top w:val="nil"/>
              <w:left w:val="nil"/>
              <w:bottom w:val="nil"/>
              <w:right w:val="nil"/>
            </w:tcBorders>
            <w:shd w:val="clear" w:color="auto" w:fill="auto"/>
            <w:noWrap/>
            <w:vAlign w:val="center"/>
            <w:hideMark/>
          </w:tcPr>
          <w:p w14:paraId="2A026610" w14:textId="77777777" w:rsidR="0083282F" w:rsidRPr="0083282F" w:rsidRDefault="0083282F" w:rsidP="001438A5">
            <w:pPr>
              <w:spacing w:after="0" w:line="240" w:lineRule="auto"/>
              <w:jc w:val="right"/>
              <w:rPr>
                <w:rFonts w:cs="Arial"/>
                <w:sz w:val="16"/>
                <w:szCs w:val="16"/>
              </w:rPr>
            </w:pPr>
            <w:r w:rsidRPr="0083282F">
              <w:rPr>
                <w:rFonts w:cs="Arial"/>
                <w:sz w:val="16"/>
                <w:szCs w:val="16"/>
              </w:rPr>
              <w:t>924,0</w:t>
            </w:r>
          </w:p>
        </w:tc>
        <w:tc>
          <w:tcPr>
            <w:tcW w:w="907" w:type="dxa"/>
            <w:tcBorders>
              <w:top w:val="nil"/>
              <w:left w:val="nil"/>
              <w:bottom w:val="nil"/>
              <w:right w:val="nil"/>
            </w:tcBorders>
            <w:shd w:val="clear" w:color="auto" w:fill="auto"/>
            <w:noWrap/>
            <w:vAlign w:val="center"/>
            <w:hideMark/>
          </w:tcPr>
          <w:p w14:paraId="39122CC2" w14:textId="77777777" w:rsidR="0083282F" w:rsidRPr="0083282F" w:rsidRDefault="0083282F" w:rsidP="001438A5">
            <w:pPr>
              <w:spacing w:after="0" w:line="240" w:lineRule="auto"/>
              <w:jc w:val="right"/>
              <w:rPr>
                <w:rFonts w:cs="Arial"/>
                <w:sz w:val="16"/>
                <w:szCs w:val="16"/>
              </w:rPr>
            </w:pPr>
            <w:r w:rsidRPr="0083282F">
              <w:rPr>
                <w:rFonts w:cs="Arial"/>
                <w:sz w:val="16"/>
                <w:szCs w:val="16"/>
              </w:rPr>
              <w:t>768,9</w:t>
            </w:r>
          </w:p>
        </w:tc>
        <w:tc>
          <w:tcPr>
            <w:tcW w:w="907" w:type="dxa"/>
            <w:tcBorders>
              <w:top w:val="nil"/>
              <w:left w:val="nil"/>
              <w:bottom w:val="nil"/>
              <w:right w:val="nil"/>
            </w:tcBorders>
            <w:shd w:val="clear" w:color="auto" w:fill="auto"/>
            <w:noWrap/>
            <w:vAlign w:val="center"/>
            <w:hideMark/>
          </w:tcPr>
          <w:p w14:paraId="094BEA1E" w14:textId="77777777" w:rsidR="0083282F" w:rsidRPr="0083282F" w:rsidRDefault="0083282F" w:rsidP="001438A5">
            <w:pPr>
              <w:spacing w:after="0" w:line="240" w:lineRule="auto"/>
              <w:jc w:val="right"/>
              <w:rPr>
                <w:rFonts w:cs="Arial"/>
                <w:sz w:val="16"/>
                <w:szCs w:val="16"/>
              </w:rPr>
            </w:pPr>
            <w:r w:rsidRPr="0083282F">
              <w:rPr>
                <w:rFonts w:cs="Arial"/>
                <w:sz w:val="16"/>
                <w:szCs w:val="16"/>
              </w:rPr>
              <w:t>1 115,9</w:t>
            </w:r>
          </w:p>
        </w:tc>
        <w:tc>
          <w:tcPr>
            <w:tcW w:w="907" w:type="dxa"/>
            <w:tcBorders>
              <w:top w:val="nil"/>
              <w:left w:val="nil"/>
              <w:bottom w:val="nil"/>
              <w:right w:val="nil"/>
            </w:tcBorders>
            <w:shd w:val="clear" w:color="auto" w:fill="auto"/>
            <w:noWrap/>
            <w:vAlign w:val="center"/>
            <w:hideMark/>
          </w:tcPr>
          <w:p w14:paraId="406139FE" w14:textId="77777777" w:rsidR="0083282F" w:rsidRPr="0083282F" w:rsidRDefault="0083282F" w:rsidP="001438A5">
            <w:pPr>
              <w:spacing w:after="0" w:line="240" w:lineRule="auto"/>
              <w:jc w:val="right"/>
              <w:rPr>
                <w:rFonts w:cs="Arial"/>
                <w:sz w:val="16"/>
                <w:szCs w:val="16"/>
              </w:rPr>
            </w:pPr>
            <w:r w:rsidRPr="0083282F">
              <w:rPr>
                <w:rFonts w:cs="Arial"/>
                <w:sz w:val="16"/>
                <w:szCs w:val="16"/>
              </w:rPr>
              <w:t>789,5</w:t>
            </w:r>
          </w:p>
        </w:tc>
        <w:tc>
          <w:tcPr>
            <w:tcW w:w="907" w:type="dxa"/>
            <w:tcBorders>
              <w:top w:val="nil"/>
              <w:left w:val="nil"/>
              <w:bottom w:val="nil"/>
              <w:right w:val="nil"/>
            </w:tcBorders>
            <w:shd w:val="clear" w:color="auto" w:fill="auto"/>
            <w:noWrap/>
            <w:vAlign w:val="center"/>
            <w:hideMark/>
          </w:tcPr>
          <w:p w14:paraId="6CFAAED8" w14:textId="77777777" w:rsidR="0083282F" w:rsidRPr="0083282F" w:rsidRDefault="0083282F" w:rsidP="001438A5">
            <w:pPr>
              <w:spacing w:after="0" w:line="240" w:lineRule="auto"/>
              <w:jc w:val="right"/>
              <w:rPr>
                <w:rFonts w:cs="Arial"/>
                <w:sz w:val="16"/>
                <w:szCs w:val="16"/>
              </w:rPr>
            </w:pPr>
            <w:r w:rsidRPr="0083282F">
              <w:rPr>
                <w:rFonts w:cs="Arial"/>
                <w:sz w:val="16"/>
                <w:szCs w:val="16"/>
              </w:rPr>
              <w:t>559,5</w:t>
            </w:r>
          </w:p>
        </w:tc>
      </w:tr>
      <w:tr w:rsidR="0083282F" w:rsidRPr="0083282F" w14:paraId="42452307" w14:textId="77777777" w:rsidTr="001438A5">
        <w:trPr>
          <w:trHeight w:val="300"/>
        </w:trPr>
        <w:tc>
          <w:tcPr>
            <w:tcW w:w="1417" w:type="dxa"/>
            <w:tcBorders>
              <w:top w:val="nil"/>
              <w:left w:val="nil"/>
              <w:bottom w:val="nil"/>
              <w:right w:val="nil"/>
            </w:tcBorders>
            <w:shd w:val="clear" w:color="auto" w:fill="auto"/>
            <w:noWrap/>
            <w:vAlign w:val="center"/>
            <w:hideMark/>
          </w:tcPr>
          <w:p w14:paraId="2B79C0AF"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Itálie</w:t>
            </w:r>
          </w:p>
        </w:tc>
        <w:tc>
          <w:tcPr>
            <w:tcW w:w="907" w:type="dxa"/>
            <w:tcBorders>
              <w:top w:val="nil"/>
              <w:left w:val="single" w:sz="4" w:space="0" w:color="000000"/>
              <w:bottom w:val="nil"/>
              <w:right w:val="nil"/>
            </w:tcBorders>
            <w:shd w:val="clear" w:color="auto" w:fill="auto"/>
            <w:noWrap/>
            <w:vAlign w:val="center"/>
            <w:hideMark/>
          </w:tcPr>
          <w:p w14:paraId="78E1C9BF" w14:textId="77777777" w:rsidR="0083282F" w:rsidRPr="0083282F" w:rsidRDefault="0083282F" w:rsidP="001438A5">
            <w:pPr>
              <w:spacing w:after="0" w:line="240" w:lineRule="auto"/>
              <w:jc w:val="right"/>
              <w:rPr>
                <w:rFonts w:cs="Arial"/>
                <w:sz w:val="16"/>
                <w:szCs w:val="16"/>
              </w:rPr>
            </w:pPr>
            <w:r w:rsidRPr="0083282F">
              <w:rPr>
                <w:rFonts w:cs="Arial"/>
                <w:sz w:val="16"/>
                <w:szCs w:val="16"/>
              </w:rPr>
              <w:t>2 004,7</w:t>
            </w:r>
          </w:p>
        </w:tc>
        <w:tc>
          <w:tcPr>
            <w:tcW w:w="907" w:type="dxa"/>
            <w:tcBorders>
              <w:top w:val="nil"/>
              <w:left w:val="nil"/>
              <w:bottom w:val="nil"/>
              <w:right w:val="nil"/>
            </w:tcBorders>
            <w:shd w:val="clear" w:color="auto" w:fill="auto"/>
            <w:noWrap/>
            <w:vAlign w:val="center"/>
            <w:hideMark/>
          </w:tcPr>
          <w:p w14:paraId="09058BDE" w14:textId="77777777" w:rsidR="0083282F" w:rsidRPr="0083282F" w:rsidRDefault="0083282F" w:rsidP="001438A5">
            <w:pPr>
              <w:spacing w:after="0" w:line="240" w:lineRule="auto"/>
              <w:jc w:val="right"/>
              <w:rPr>
                <w:rFonts w:cs="Arial"/>
                <w:sz w:val="16"/>
                <w:szCs w:val="16"/>
              </w:rPr>
            </w:pPr>
            <w:r w:rsidRPr="0083282F">
              <w:rPr>
                <w:rFonts w:cs="Arial"/>
                <w:sz w:val="16"/>
                <w:szCs w:val="16"/>
              </w:rPr>
              <w:t>1 682,6</w:t>
            </w:r>
          </w:p>
        </w:tc>
        <w:tc>
          <w:tcPr>
            <w:tcW w:w="907" w:type="dxa"/>
            <w:tcBorders>
              <w:top w:val="nil"/>
              <w:left w:val="nil"/>
              <w:bottom w:val="nil"/>
              <w:right w:val="nil"/>
            </w:tcBorders>
            <w:shd w:val="clear" w:color="auto" w:fill="auto"/>
            <w:noWrap/>
            <w:vAlign w:val="center"/>
            <w:hideMark/>
          </w:tcPr>
          <w:p w14:paraId="34D37148" w14:textId="77777777" w:rsidR="0083282F" w:rsidRPr="0083282F" w:rsidRDefault="0083282F" w:rsidP="001438A5">
            <w:pPr>
              <w:spacing w:after="0" w:line="240" w:lineRule="auto"/>
              <w:jc w:val="right"/>
              <w:rPr>
                <w:rFonts w:cs="Arial"/>
                <w:sz w:val="16"/>
                <w:szCs w:val="16"/>
              </w:rPr>
            </w:pPr>
            <w:r w:rsidRPr="0083282F">
              <w:rPr>
                <w:rFonts w:cs="Arial"/>
                <w:sz w:val="16"/>
                <w:szCs w:val="16"/>
              </w:rPr>
              <w:t>1 711,8</w:t>
            </w:r>
          </w:p>
        </w:tc>
        <w:tc>
          <w:tcPr>
            <w:tcW w:w="907" w:type="dxa"/>
            <w:tcBorders>
              <w:top w:val="nil"/>
              <w:left w:val="nil"/>
              <w:bottom w:val="nil"/>
              <w:right w:val="nil"/>
            </w:tcBorders>
            <w:shd w:val="clear" w:color="auto" w:fill="auto"/>
            <w:noWrap/>
            <w:vAlign w:val="center"/>
            <w:hideMark/>
          </w:tcPr>
          <w:p w14:paraId="2EADA263" w14:textId="77777777" w:rsidR="0083282F" w:rsidRPr="0083282F" w:rsidRDefault="0083282F" w:rsidP="001438A5">
            <w:pPr>
              <w:spacing w:after="0" w:line="240" w:lineRule="auto"/>
              <w:jc w:val="right"/>
              <w:rPr>
                <w:rFonts w:cs="Arial"/>
                <w:sz w:val="16"/>
                <w:szCs w:val="16"/>
              </w:rPr>
            </w:pPr>
            <w:r w:rsidRPr="0083282F">
              <w:rPr>
                <w:rFonts w:cs="Arial"/>
                <w:sz w:val="16"/>
                <w:szCs w:val="16"/>
              </w:rPr>
              <w:t>1 619,2</w:t>
            </w:r>
          </w:p>
        </w:tc>
        <w:tc>
          <w:tcPr>
            <w:tcW w:w="907" w:type="dxa"/>
            <w:tcBorders>
              <w:top w:val="nil"/>
              <w:left w:val="nil"/>
              <w:bottom w:val="nil"/>
              <w:right w:val="nil"/>
            </w:tcBorders>
            <w:shd w:val="clear" w:color="auto" w:fill="auto"/>
            <w:noWrap/>
            <w:vAlign w:val="center"/>
            <w:hideMark/>
          </w:tcPr>
          <w:p w14:paraId="563B7187" w14:textId="77777777" w:rsidR="0083282F" w:rsidRPr="0083282F" w:rsidRDefault="0083282F" w:rsidP="001438A5">
            <w:pPr>
              <w:spacing w:after="0" w:line="240" w:lineRule="auto"/>
              <w:jc w:val="right"/>
              <w:rPr>
                <w:rFonts w:cs="Arial"/>
                <w:sz w:val="16"/>
                <w:szCs w:val="16"/>
              </w:rPr>
            </w:pPr>
            <w:r w:rsidRPr="0083282F">
              <w:rPr>
                <w:rFonts w:cs="Arial"/>
                <w:sz w:val="16"/>
                <w:szCs w:val="16"/>
              </w:rPr>
              <w:t>1 515,7</w:t>
            </w:r>
          </w:p>
        </w:tc>
        <w:tc>
          <w:tcPr>
            <w:tcW w:w="907" w:type="dxa"/>
            <w:tcBorders>
              <w:top w:val="nil"/>
              <w:left w:val="nil"/>
              <w:bottom w:val="nil"/>
              <w:right w:val="nil"/>
            </w:tcBorders>
            <w:shd w:val="clear" w:color="auto" w:fill="auto"/>
            <w:noWrap/>
            <w:vAlign w:val="center"/>
            <w:hideMark/>
          </w:tcPr>
          <w:p w14:paraId="417F1F69" w14:textId="77777777" w:rsidR="0083282F" w:rsidRPr="0083282F" w:rsidRDefault="0083282F" w:rsidP="001438A5">
            <w:pPr>
              <w:spacing w:after="0" w:line="240" w:lineRule="auto"/>
              <w:jc w:val="right"/>
              <w:rPr>
                <w:rFonts w:cs="Arial"/>
                <w:sz w:val="16"/>
                <w:szCs w:val="16"/>
              </w:rPr>
            </w:pPr>
            <w:r w:rsidRPr="0083282F">
              <w:rPr>
                <w:rFonts w:cs="Arial"/>
                <w:sz w:val="16"/>
                <w:szCs w:val="16"/>
              </w:rPr>
              <w:t>1 477,1</w:t>
            </w:r>
          </w:p>
        </w:tc>
        <w:tc>
          <w:tcPr>
            <w:tcW w:w="907" w:type="dxa"/>
            <w:tcBorders>
              <w:top w:val="nil"/>
              <w:left w:val="nil"/>
              <w:bottom w:val="nil"/>
              <w:right w:val="nil"/>
            </w:tcBorders>
            <w:shd w:val="clear" w:color="auto" w:fill="auto"/>
            <w:noWrap/>
            <w:vAlign w:val="center"/>
            <w:hideMark/>
          </w:tcPr>
          <w:p w14:paraId="44E4D10B" w14:textId="77777777" w:rsidR="0083282F" w:rsidRPr="0083282F" w:rsidRDefault="0083282F" w:rsidP="001438A5">
            <w:pPr>
              <w:spacing w:after="0" w:line="240" w:lineRule="auto"/>
              <w:jc w:val="right"/>
              <w:rPr>
                <w:rFonts w:cs="Arial"/>
                <w:sz w:val="16"/>
                <w:szCs w:val="16"/>
              </w:rPr>
            </w:pPr>
            <w:r w:rsidRPr="0083282F">
              <w:rPr>
                <w:rFonts w:cs="Arial"/>
                <w:sz w:val="16"/>
                <w:szCs w:val="16"/>
              </w:rPr>
              <w:t>1 456,0</w:t>
            </w:r>
          </w:p>
        </w:tc>
        <w:tc>
          <w:tcPr>
            <w:tcW w:w="907" w:type="dxa"/>
            <w:tcBorders>
              <w:top w:val="nil"/>
              <w:left w:val="nil"/>
              <w:bottom w:val="nil"/>
              <w:right w:val="nil"/>
            </w:tcBorders>
            <w:shd w:val="clear" w:color="auto" w:fill="auto"/>
            <w:noWrap/>
            <w:vAlign w:val="center"/>
            <w:hideMark/>
          </w:tcPr>
          <w:p w14:paraId="19345AEE" w14:textId="77777777" w:rsidR="0083282F" w:rsidRPr="0083282F" w:rsidRDefault="0083282F" w:rsidP="001438A5">
            <w:pPr>
              <w:spacing w:after="0" w:line="240" w:lineRule="auto"/>
              <w:jc w:val="right"/>
              <w:rPr>
                <w:rFonts w:cs="Arial"/>
                <w:sz w:val="16"/>
                <w:szCs w:val="16"/>
              </w:rPr>
            </w:pPr>
            <w:r w:rsidRPr="0083282F">
              <w:rPr>
                <w:rFonts w:cs="Arial"/>
                <w:sz w:val="16"/>
                <w:szCs w:val="16"/>
              </w:rPr>
              <w:t>1 382,9</w:t>
            </w:r>
          </w:p>
        </w:tc>
        <w:tc>
          <w:tcPr>
            <w:tcW w:w="907" w:type="dxa"/>
            <w:tcBorders>
              <w:top w:val="nil"/>
              <w:left w:val="nil"/>
              <w:bottom w:val="nil"/>
              <w:right w:val="nil"/>
            </w:tcBorders>
            <w:shd w:val="clear" w:color="auto" w:fill="auto"/>
            <w:noWrap/>
            <w:vAlign w:val="center"/>
            <w:hideMark/>
          </w:tcPr>
          <w:p w14:paraId="08911E54" w14:textId="77777777" w:rsidR="0083282F" w:rsidRPr="0083282F" w:rsidRDefault="0083282F" w:rsidP="001438A5">
            <w:pPr>
              <w:spacing w:after="0" w:line="240" w:lineRule="auto"/>
              <w:jc w:val="right"/>
              <w:rPr>
                <w:rFonts w:cs="Arial"/>
                <w:sz w:val="16"/>
                <w:szCs w:val="16"/>
              </w:rPr>
            </w:pPr>
            <w:r w:rsidRPr="0083282F">
              <w:rPr>
                <w:rFonts w:cs="Arial"/>
                <w:sz w:val="16"/>
                <w:szCs w:val="16"/>
              </w:rPr>
              <w:t>1 354,4</w:t>
            </w:r>
          </w:p>
        </w:tc>
      </w:tr>
      <w:tr w:rsidR="0083282F" w:rsidRPr="0083282F" w14:paraId="2A17E95B" w14:textId="77777777" w:rsidTr="001438A5">
        <w:trPr>
          <w:trHeight w:val="300"/>
        </w:trPr>
        <w:tc>
          <w:tcPr>
            <w:tcW w:w="1417" w:type="dxa"/>
            <w:tcBorders>
              <w:top w:val="nil"/>
              <w:left w:val="nil"/>
              <w:bottom w:val="nil"/>
              <w:right w:val="nil"/>
            </w:tcBorders>
            <w:shd w:val="clear" w:color="auto" w:fill="auto"/>
            <w:noWrap/>
            <w:vAlign w:val="center"/>
            <w:hideMark/>
          </w:tcPr>
          <w:p w14:paraId="715DAB51"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Kypr</w:t>
            </w:r>
          </w:p>
        </w:tc>
        <w:tc>
          <w:tcPr>
            <w:tcW w:w="907" w:type="dxa"/>
            <w:tcBorders>
              <w:top w:val="nil"/>
              <w:left w:val="single" w:sz="4" w:space="0" w:color="000000"/>
              <w:bottom w:val="nil"/>
              <w:right w:val="nil"/>
            </w:tcBorders>
            <w:shd w:val="clear" w:color="auto" w:fill="auto"/>
            <w:noWrap/>
            <w:vAlign w:val="center"/>
            <w:hideMark/>
          </w:tcPr>
          <w:p w14:paraId="31823238" w14:textId="77777777" w:rsidR="0083282F" w:rsidRPr="0083282F" w:rsidRDefault="0083282F" w:rsidP="001438A5">
            <w:pPr>
              <w:spacing w:after="0" w:line="240" w:lineRule="auto"/>
              <w:jc w:val="right"/>
              <w:rPr>
                <w:rFonts w:cs="Arial"/>
                <w:sz w:val="16"/>
                <w:szCs w:val="16"/>
              </w:rPr>
            </w:pPr>
            <w:r w:rsidRPr="0083282F">
              <w:rPr>
                <w:rFonts w:cs="Arial"/>
                <w:sz w:val="16"/>
                <w:szCs w:val="16"/>
              </w:rPr>
              <w:t>858,6</w:t>
            </w:r>
          </w:p>
        </w:tc>
        <w:tc>
          <w:tcPr>
            <w:tcW w:w="907" w:type="dxa"/>
            <w:tcBorders>
              <w:top w:val="nil"/>
              <w:left w:val="nil"/>
              <w:bottom w:val="nil"/>
              <w:right w:val="nil"/>
            </w:tcBorders>
            <w:shd w:val="clear" w:color="auto" w:fill="auto"/>
            <w:noWrap/>
            <w:vAlign w:val="center"/>
            <w:hideMark/>
          </w:tcPr>
          <w:p w14:paraId="6ACD687B" w14:textId="77777777" w:rsidR="0083282F" w:rsidRPr="0083282F" w:rsidRDefault="0083282F" w:rsidP="001438A5">
            <w:pPr>
              <w:spacing w:after="0" w:line="240" w:lineRule="auto"/>
              <w:jc w:val="right"/>
              <w:rPr>
                <w:rFonts w:cs="Arial"/>
                <w:sz w:val="16"/>
                <w:szCs w:val="16"/>
              </w:rPr>
            </w:pPr>
            <w:r w:rsidRPr="0083282F">
              <w:rPr>
                <w:rFonts w:cs="Arial"/>
                <w:sz w:val="16"/>
                <w:szCs w:val="16"/>
              </w:rPr>
              <w:t>754,8</w:t>
            </w:r>
          </w:p>
        </w:tc>
        <w:tc>
          <w:tcPr>
            <w:tcW w:w="907" w:type="dxa"/>
            <w:tcBorders>
              <w:top w:val="nil"/>
              <w:left w:val="nil"/>
              <w:bottom w:val="nil"/>
              <w:right w:val="nil"/>
            </w:tcBorders>
            <w:shd w:val="clear" w:color="auto" w:fill="auto"/>
            <w:noWrap/>
            <w:vAlign w:val="center"/>
            <w:hideMark/>
          </w:tcPr>
          <w:p w14:paraId="652E243A" w14:textId="77777777" w:rsidR="0083282F" w:rsidRPr="0083282F" w:rsidRDefault="0083282F" w:rsidP="001438A5">
            <w:pPr>
              <w:spacing w:after="0" w:line="240" w:lineRule="auto"/>
              <w:jc w:val="right"/>
              <w:rPr>
                <w:rFonts w:cs="Arial"/>
                <w:sz w:val="16"/>
                <w:szCs w:val="16"/>
              </w:rPr>
            </w:pPr>
            <w:r w:rsidRPr="0083282F">
              <w:rPr>
                <w:rFonts w:cs="Arial"/>
                <w:sz w:val="16"/>
                <w:szCs w:val="16"/>
              </w:rPr>
              <w:t>571,5</w:t>
            </w:r>
          </w:p>
        </w:tc>
        <w:tc>
          <w:tcPr>
            <w:tcW w:w="907" w:type="dxa"/>
            <w:tcBorders>
              <w:top w:val="nil"/>
              <w:left w:val="nil"/>
              <w:bottom w:val="nil"/>
              <w:right w:val="nil"/>
            </w:tcBorders>
            <w:shd w:val="clear" w:color="auto" w:fill="auto"/>
            <w:noWrap/>
            <w:vAlign w:val="center"/>
            <w:hideMark/>
          </w:tcPr>
          <w:p w14:paraId="3630B47D" w14:textId="77777777" w:rsidR="0083282F" w:rsidRPr="0083282F" w:rsidRDefault="0083282F" w:rsidP="001438A5">
            <w:pPr>
              <w:spacing w:after="0" w:line="240" w:lineRule="auto"/>
              <w:jc w:val="right"/>
              <w:rPr>
                <w:rFonts w:cs="Arial"/>
                <w:sz w:val="16"/>
                <w:szCs w:val="16"/>
              </w:rPr>
            </w:pPr>
            <w:r w:rsidRPr="0083282F">
              <w:rPr>
                <w:rFonts w:cs="Arial"/>
                <w:sz w:val="16"/>
                <w:szCs w:val="16"/>
              </w:rPr>
              <w:t>870,7</w:t>
            </w:r>
          </w:p>
        </w:tc>
        <w:tc>
          <w:tcPr>
            <w:tcW w:w="907" w:type="dxa"/>
            <w:tcBorders>
              <w:top w:val="nil"/>
              <w:left w:val="nil"/>
              <w:bottom w:val="nil"/>
              <w:right w:val="nil"/>
            </w:tcBorders>
            <w:shd w:val="clear" w:color="auto" w:fill="auto"/>
            <w:noWrap/>
            <w:vAlign w:val="center"/>
            <w:hideMark/>
          </w:tcPr>
          <w:p w14:paraId="0588FD13" w14:textId="77777777" w:rsidR="0083282F" w:rsidRPr="0083282F" w:rsidRDefault="0083282F" w:rsidP="001438A5">
            <w:pPr>
              <w:spacing w:after="0" w:line="240" w:lineRule="auto"/>
              <w:jc w:val="right"/>
              <w:rPr>
                <w:rFonts w:cs="Arial"/>
                <w:sz w:val="16"/>
                <w:szCs w:val="16"/>
              </w:rPr>
            </w:pPr>
            <w:r w:rsidRPr="0083282F">
              <w:rPr>
                <w:rFonts w:cs="Arial"/>
                <w:sz w:val="16"/>
                <w:szCs w:val="16"/>
              </w:rPr>
              <w:t>697,3</w:t>
            </w:r>
          </w:p>
        </w:tc>
        <w:tc>
          <w:tcPr>
            <w:tcW w:w="907" w:type="dxa"/>
            <w:tcBorders>
              <w:top w:val="nil"/>
              <w:left w:val="nil"/>
              <w:bottom w:val="nil"/>
              <w:right w:val="nil"/>
            </w:tcBorders>
            <w:shd w:val="clear" w:color="auto" w:fill="auto"/>
            <w:noWrap/>
            <w:vAlign w:val="center"/>
            <w:hideMark/>
          </w:tcPr>
          <w:p w14:paraId="73617753" w14:textId="77777777" w:rsidR="0083282F" w:rsidRPr="0083282F" w:rsidRDefault="0083282F" w:rsidP="001438A5">
            <w:pPr>
              <w:spacing w:after="0" w:line="240" w:lineRule="auto"/>
              <w:jc w:val="right"/>
              <w:rPr>
                <w:rFonts w:cs="Arial"/>
                <w:sz w:val="16"/>
                <w:szCs w:val="16"/>
              </w:rPr>
            </w:pPr>
            <w:r w:rsidRPr="0083282F">
              <w:rPr>
                <w:rFonts w:cs="Arial"/>
                <w:sz w:val="16"/>
                <w:szCs w:val="16"/>
              </w:rPr>
              <w:t>716,7</w:t>
            </w:r>
          </w:p>
        </w:tc>
        <w:tc>
          <w:tcPr>
            <w:tcW w:w="907" w:type="dxa"/>
            <w:tcBorders>
              <w:top w:val="nil"/>
              <w:left w:val="nil"/>
              <w:bottom w:val="nil"/>
              <w:right w:val="nil"/>
            </w:tcBorders>
            <w:shd w:val="clear" w:color="auto" w:fill="auto"/>
            <w:noWrap/>
            <w:vAlign w:val="center"/>
            <w:hideMark/>
          </w:tcPr>
          <w:p w14:paraId="7D2B988B" w14:textId="77777777" w:rsidR="0083282F" w:rsidRPr="0083282F" w:rsidRDefault="0083282F" w:rsidP="001438A5">
            <w:pPr>
              <w:spacing w:after="0" w:line="240" w:lineRule="auto"/>
              <w:jc w:val="right"/>
              <w:rPr>
                <w:rFonts w:cs="Arial"/>
                <w:sz w:val="16"/>
                <w:szCs w:val="16"/>
              </w:rPr>
            </w:pPr>
            <w:r w:rsidRPr="0083282F">
              <w:rPr>
                <w:rFonts w:cs="Arial"/>
                <w:sz w:val="16"/>
                <w:szCs w:val="16"/>
              </w:rPr>
              <w:t>751,4</w:t>
            </w:r>
          </w:p>
        </w:tc>
        <w:tc>
          <w:tcPr>
            <w:tcW w:w="907" w:type="dxa"/>
            <w:tcBorders>
              <w:top w:val="nil"/>
              <w:left w:val="nil"/>
              <w:bottom w:val="nil"/>
              <w:right w:val="nil"/>
            </w:tcBorders>
            <w:shd w:val="clear" w:color="auto" w:fill="auto"/>
            <w:noWrap/>
            <w:vAlign w:val="center"/>
            <w:hideMark/>
          </w:tcPr>
          <w:p w14:paraId="0C881432" w14:textId="77777777" w:rsidR="0083282F" w:rsidRPr="0083282F" w:rsidRDefault="0083282F" w:rsidP="001438A5">
            <w:pPr>
              <w:spacing w:after="0" w:line="240" w:lineRule="auto"/>
              <w:jc w:val="right"/>
              <w:rPr>
                <w:rFonts w:cs="Arial"/>
                <w:sz w:val="16"/>
                <w:szCs w:val="16"/>
              </w:rPr>
            </w:pPr>
            <w:r w:rsidRPr="0083282F">
              <w:rPr>
                <w:rFonts w:cs="Arial"/>
                <w:sz w:val="16"/>
                <w:szCs w:val="16"/>
              </w:rPr>
              <w:t>766,9</w:t>
            </w:r>
          </w:p>
        </w:tc>
        <w:tc>
          <w:tcPr>
            <w:tcW w:w="907" w:type="dxa"/>
            <w:tcBorders>
              <w:top w:val="nil"/>
              <w:left w:val="nil"/>
              <w:bottom w:val="nil"/>
              <w:right w:val="nil"/>
            </w:tcBorders>
            <w:shd w:val="clear" w:color="auto" w:fill="auto"/>
            <w:noWrap/>
            <w:vAlign w:val="center"/>
            <w:hideMark/>
          </w:tcPr>
          <w:p w14:paraId="5B7B73D7" w14:textId="77777777" w:rsidR="0083282F" w:rsidRPr="0083282F" w:rsidRDefault="0083282F" w:rsidP="001438A5">
            <w:pPr>
              <w:spacing w:after="0" w:line="240" w:lineRule="auto"/>
              <w:jc w:val="right"/>
              <w:rPr>
                <w:rFonts w:cs="Arial"/>
                <w:sz w:val="16"/>
                <w:szCs w:val="16"/>
              </w:rPr>
            </w:pPr>
            <w:r w:rsidRPr="0083282F">
              <w:rPr>
                <w:rFonts w:cs="Arial"/>
                <w:sz w:val="16"/>
                <w:szCs w:val="16"/>
              </w:rPr>
              <w:t>818,9</w:t>
            </w:r>
          </w:p>
        </w:tc>
      </w:tr>
      <w:tr w:rsidR="0083282F" w:rsidRPr="0083282F" w14:paraId="317FD311" w14:textId="77777777" w:rsidTr="001438A5">
        <w:trPr>
          <w:trHeight w:val="300"/>
        </w:trPr>
        <w:tc>
          <w:tcPr>
            <w:tcW w:w="1417" w:type="dxa"/>
            <w:tcBorders>
              <w:top w:val="nil"/>
              <w:left w:val="nil"/>
              <w:bottom w:val="nil"/>
              <w:right w:val="nil"/>
            </w:tcBorders>
            <w:shd w:val="clear" w:color="auto" w:fill="auto"/>
            <w:noWrap/>
            <w:vAlign w:val="center"/>
            <w:hideMark/>
          </w:tcPr>
          <w:p w14:paraId="72601143"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Litva</w:t>
            </w:r>
          </w:p>
        </w:tc>
        <w:tc>
          <w:tcPr>
            <w:tcW w:w="907" w:type="dxa"/>
            <w:tcBorders>
              <w:top w:val="nil"/>
              <w:left w:val="single" w:sz="4" w:space="0" w:color="000000"/>
              <w:bottom w:val="nil"/>
              <w:right w:val="nil"/>
            </w:tcBorders>
            <w:shd w:val="clear" w:color="auto" w:fill="auto"/>
            <w:noWrap/>
            <w:vAlign w:val="center"/>
            <w:hideMark/>
          </w:tcPr>
          <w:p w14:paraId="6A8322EF" w14:textId="77777777" w:rsidR="0083282F" w:rsidRPr="0083282F" w:rsidRDefault="0083282F" w:rsidP="001438A5">
            <w:pPr>
              <w:spacing w:after="0" w:line="240" w:lineRule="auto"/>
              <w:jc w:val="right"/>
              <w:rPr>
                <w:rFonts w:cs="Arial"/>
                <w:sz w:val="16"/>
                <w:szCs w:val="16"/>
              </w:rPr>
            </w:pPr>
            <w:r w:rsidRPr="0083282F">
              <w:rPr>
                <w:rFonts w:cs="Arial"/>
                <w:sz w:val="16"/>
                <w:szCs w:val="16"/>
              </w:rPr>
              <w:t>235,3</w:t>
            </w:r>
          </w:p>
        </w:tc>
        <w:tc>
          <w:tcPr>
            <w:tcW w:w="907" w:type="dxa"/>
            <w:tcBorders>
              <w:top w:val="nil"/>
              <w:left w:val="nil"/>
              <w:bottom w:val="nil"/>
              <w:right w:val="nil"/>
            </w:tcBorders>
            <w:shd w:val="clear" w:color="auto" w:fill="auto"/>
            <w:noWrap/>
            <w:vAlign w:val="center"/>
            <w:hideMark/>
          </w:tcPr>
          <w:p w14:paraId="43E024BC" w14:textId="77777777" w:rsidR="0083282F" w:rsidRPr="0083282F" w:rsidRDefault="0083282F" w:rsidP="001438A5">
            <w:pPr>
              <w:spacing w:after="0" w:line="240" w:lineRule="auto"/>
              <w:jc w:val="right"/>
              <w:rPr>
                <w:rFonts w:cs="Arial"/>
                <w:sz w:val="16"/>
                <w:szCs w:val="16"/>
              </w:rPr>
            </w:pPr>
            <w:r w:rsidRPr="0083282F">
              <w:rPr>
                <w:rFonts w:cs="Arial"/>
                <w:sz w:val="16"/>
                <w:szCs w:val="16"/>
              </w:rPr>
              <w:t>280,2</w:t>
            </w:r>
          </w:p>
        </w:tc>
        <w:tc>
          <w:tcPr>
            <w:tcW w:w="907" w:type="dxa"/>
            <w:tcBorders>
              <w:top w:val="nil"/>
              <w:left w:val="nil"/>
              <w:bottom w:val="nil"/>
              <w:right w:val="nil"/>
            </w:tcBorders>
            <w:shd w:val="clear" w:color="auto" w:fill="auto"/>
            <w:noWrap/>
            <w:vAlign w:val="center"/>
            <w:hideMark/>
          </w:tcPr>
          <w:p w14:paraId="08EE0815" w14:textId="77777777" w:rsidR="0083282F" w:rsidRPr="0083282F" w:rsidRDefault="0083282F" w:rsidP="001438A5">
            <w:pPr>
              <w:spacing w:after="0" w:line="240" w:lineRule="auto"/>
              <w:jc w:val="right"/>
              <w:rPr>
                <w:rFonts w:cs="Arial"/>
                <w:sz w:val="16"/>
                <w:szCs w:val="16"/>
              </w:rPr>
            </w:pPr>
            <w:r w:rsidRPr="0083282F">
              <w:rPr>
                <w:rFonts w:cs="Arial"/>
                <w:sz w:val="16"/>
                <w:szCs w:val="16"/>
              </w:rPr>
              <w:t>259,7</w:t>
            </w:r>
          </w:p>
        </w:tc>
        <w:tc>
          <w:tcPr>
            <w:tcW w:w="907" w:type="dxa"/>
            <w:tcBorders>
              <w:top w:val="nil"/>
              <w:left w:val="nil"/>
              <w:bottom w:val="nil"/>
              <w:right w:val="nil"/>
            </w:tcBorders>
            <w:shd w:val="clear" w:color="auto" w:fill="auto"/>
            <w:noWrap/>
            <w:vAlign w:val="center"/>
            <w:hideMark/>
          </w:tcPr>
          <w:p w14:paraId="2EB8C18E" w14:textId="77777777" w:rsidR="0083282F" w:rsidRPr="0083282F" w:rsidRDefault="0083282F" w:rsidP="001438A5">
            <w:pPr>
              <w:spacing w:after="0" w:line="240" w:lineRule="auto"/>
              <w:jc w:val="right"/>
              <w:rPr>
                <w:rFonts w:cs="Arial"/>
                <w:sz w:val="16"/>
                <w:szCs w:val="16"/>
              </w:rPr>
            </w:pPr>
            <w:r w:rsidRPr="0083282F">
              <w:rPr>
                <w:rFonts w:cs="Arial"/>
                <w:sz w:val="16"/>
                <w:szCs w:val="16"/>
              </w:rPr>
              <w:t>296,7</w:t>
            </w:r>
          </w:p>
        </w:tc>
        <w:tc>
          <w:tcPr>
            <w:tcW w:w="907" w:type="dxa"/>
            <w:tcBorders>
              <w:top w:val="nil"/>
              <w:left w:val="nil"/>
              <w:bottom w:val="nil"/>
              <w:right w:val="nil"/>
            </w:tcBorders>
            <w:shd w:val="clear" w:color="auto" w:fill="auto"/>
            <w:noWrap/>
            <w:vAlign w:val="center"/>
            <w:hideMark/>
          </w:tcPr>
          <w:p w14:paraId="00E639B5" w14:textId="77777777" w:rsidR="0083282F" w:rsidRPr="0083282F" w:rsidRDefault="0083282F" w:rsidP="001438A5">
            <w:pPr>
              <w:spacing w:after="0" w:line="240" w:lineRule="auto"/>
              <w:jc w:val="right"/>
              <w:rPr>
                <w:rFonts w:cs="Arial"/>
                <w:sz w:val="16"/>
                <w:szCs w:val="16"/>
              </w:rPr>
            </w:pPr>
            <w:r w:rsidRPr="0083282F">
              <w:rPr>
                <w:rFonts w:cs="Arial"/>
                <w:sz w:val="16"/>
                <w:szCs w:val="16"/>
              </w:rPr>
              <w:t>313,9</w:t>
            </w:r>
          </w:p>
        </w:tc>
        <w:tc>
          <w:tcPr>
            <w:tcW w:w="907" w:type="dxa"/>
            <w:tcBorders>
              <w:top w:val="nil"/>
              <w:left w:val="nil"/>
              <w:bottom w:val="nil"/>
              <w:right w:val="nil"/>
            </w:tcBorders>
            <w:shd w:val="clear" w:color="auto" w:fill="auto"/>
            <w:noWrap/>
            <w:vAlign w:val="center"/>
            <w:hideMark/>
          </w:tcPr>
          <w:p w14:paraId="1B40956B" w14:textId="77777777" w:rsidR="0083282F" w:rsidRPr="0083282F" w:rsidRDefault="0083282F" w:rsidP="001438A5">
            <w:pPr>
              <w:spacing w:after="0" w:line="240" w:lineRule="auto"/>
              <w:jc w:val="right"/>
              <w:rPr>
                <w:rFonts w:cs="Arial"/>
                <w:sz w:val="16"/>
                <w:szCs w:val="16"/>
              </w:rPr>
            </w:pPr>
            <w:r w:rsidRPr="0083282F">
              <w:rPr>
                <w:rFonts w:cs="Arial"/>
                <w:sz w:val="16"/>
                <w:szCs w:val="16"/>
              </w:rPr>
              <w:t>332,7</w:t>
            </w:r>
          </w:p>
        </w:tc>
        <w:tc>
          <w:tcPr>
            <w:tcW w:w="907" w:type="dxa"/>
            <w:tcBorders>
              <w:top w:val="nil"/>
              <w:left w:val="nil"/>
              <w:bottom w:val="nil"/>
              <w:right w:val="nil"/>
            </w:tcBorders>
            <w:shd w:val="clear" w:color="auto" w:fill="auto"/>
            <w:noWrap/>
            <w:vAlign w:val="center"/>
            <w:hideMark/>
          </w:tcPr>
          <w:p w14:paraId="17B0FA59" w14:textId="77777777" w:rsidR="0083282F" w:rsidRPr="0083282F" w:rsidRDefault="0083282F" w:rsidP="001438A5">
            <w:pPr>
              <w:spacing w:after="0" w:line="240" w:lineRule="auto"/>
              <w:jc w:val="right"/>
              <w:rPr>
                <w:rFonts w:cs="Arial"/>
                <w:sz w:val="16"/>
                <w:szCs w:val="16"/>
              </w:rPr>
            </w:pPr>
            <w:r w:rsidRPr="0083282F">
              <w:rPr>
                <w:rFonts w:cs="Arial"/>
                <w:sz w:val="16"/>
                <w:szCs w:val="16"/>
              </w:rPr>
              <w:t>377,0</w:t>
            </w:r>
          </w:p>
        </w:tc>
        <w:tc>
          <w:tcPr>
            <w:tcW w:w="907" w:type="dxa"/>
            <w:tcBorders>
              <w:top w:val="nil"/>
              <w:left w:val="nil"/>
              <w:bottom w:val="nil"/>
              <w:right w:val="nil"/>
            </w:tcBorders>
            <w:shd w:val="clear" w:color="auto" w:fill="auto"/>
            <w:noWrap/>
            <w:vAlign w:val="center"/>
            <w:hideMark/>
          </w:tcPr>
          <w:p w14:paraId="7B80EA74" w14:textId="77777777" w:rsidR="0083282F" w:rsidRPr="0083282F" w:rsidRDefault="0083282F" w:rsidP="001438A5">
            <w:pPr>
              <w:spacing w:after="0" w:line="240" w:lineRule="auto"/>
              <w:jc w:val="right"/>
              <w:rPr>
                <w:rFonts w:cs="Arial"/>
                <w:sz w:val="16"/>
                <w:szCs w:val="16"/>
              </w:rPr>
            </w:pPr>
            <w:r w:rsidRPr="0083282F">
              <w:rPr>
                <w:rFonts w:cs="Arial"/>
                <w:sz w:val="16"/>
                <w:szCs w:val="16"/>
              </w:rPr>
              <w:t>353,8</w:t>
            </w:r>
          </w:p>
        </w:tc>
        <w:tc>
          <w:tcPr>
            <w:tcW w:w="907" w:type="dxa"/>
            <w:tcBorders>
              <w:top w:val="nil"/>
              <w:left w:val="nil"/>
              <w:bottom w:val="nil"/>
              <w:right w:val="nil"/>
            </w:tcBorders>
            <w:shd w:val="clear" w:color="auto" w:fill="auto"/>
            <w:noWrap/>
            <w:vAlign w:val="center"/>
            <w:hideMark/>
          </w:tcPr>
          <w:p w14:paraId="1BAF5C97" w14:textId="77777777" w:rsidR="0083282F" w:rsidRPr="0083282F" w:rsidRDefault="0083282F" w:rsidP="001438A5">
            <w:pPr>
              <w:spacing w:after="0" w:line="240" w:lineRule="auto"/>
              <w:jc w:val="right"/>
              <w:rPr>
                <w:rFonts w:cs="Arial"/>
                <w:sz w:val="16"/>
                <w:szCs w:val="16"/>
              </w:rPr>
            </w:pPr>
            <w:r w:rsidRPr="0083282F">
              <w:rPr>
                <w:rFonts w:cs="Arial"/>
                <w:sz w:val="16"/>
                <w:szCs w:val="16"/>
              </w:rPr>
              <w:t>437,7</w:t>
            </w:r>
          </w:p>
        </w:tc>
      </w:tr>
      <w:tr w:rsidR="0083282F" w:rsidRPr="0083282F" w14:paraId="6FAC87F3" w14:textId="77777777" w:rsidTr="001438A5">
        <w:trPr>
          <w:trHeight w:val="300"/>
        </w:trPr>
        <w:tc>
          <w:tcPr>
            <w:tcW w:w="1417" w:type="dxa"/>
            <w:tcBorders>
              <w:top w:val="nil"/>
              <w:left w:val="nil"/>
              <w:bottom w:val="nil"/>
              <w:right w:val="nil"/>
            </w:tcBorders>
            <w:shd w:val="clear" w:color="auto" w:fill="auto"/>
            <w:noWrap/>
            <w:vAlign w:val="center"/>
            <w:hideMark/>
          </w:tcPr>
          <w:p w14:paraId="0FD0EE39"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Lotyšsko</w:t>
            </w:r>
          </w:p>
        </w:tc>
        <w:tc>
          <w:tcPr>
            <w:tcW w:w="907" w:type="dxa"/>
            <w:tcBorders>
              <w:top w:val="nil"/>
              <w:left w:val="single" w:sz="4" w:space="0" w:color="000000"/>
              <w:bottom w:val="nil"/>
              <w:right w:val="nil"/>
            </w:tcBorders>
            <w:shd w:val="clear" w:color="auto" w:fill="auto"/>
            <w:noWrap/>
            <w:vAlign w:val="center"/>
            <w:hideMark/>
          </w:tcPr>
          <w:p w14:paraId="5D4FB947" w14:textId="77777777" w:rsidR="0083282F" w:rsidRPr="0083282F" w:rsidRDefault="0083282F" w:rsidP="001438A5">
            <w:pPr>
              <w:spacing w:after="0" w:line="240" w:lineRule="auto"/>
              <w:jc w:val="right"/>
              <w:rPr>
                <w:rFonts w:cs="Arial"/>
                <w:sz w:val="16"/>
                <w:szCs w:val="16"/>
              </w:rPr>
            </w:pPr>
            <w:r w:rsidRPr="0083282F">
              <w:rPr>
                <w:rFonts w:cs="Arial"/>
                <w:sz w:val="16"/>
                <w:szCs w:val="16"/>
              </w:rPr>
              <w:t>195,6</w:t>
            </w:r>
          </w:p>
        </w:tc>
        <w:tc>
          <w:tcPr>
            <w:tcW w:w="907" w:type="dxa"/>
            <w:tcBorders>
              <w:top w:val="nil"/>
              <w:left w:val="nil"/>
              <w:bottom w:val="nil"/>
              <w:right w:val="nil"/>
            </w:tcBorders>
            <w:shd w:val="clear" w:color="auto" w:fill="auto"/>
            <w:noWrap/>
            <w:vAlign w:val="center"/>
            <w:hideMark/>
          </w:tcPr>
          <w:p w14:paraId="5683B7F3" w14:textId="77777777" w:rsidR="0083282F" w:rsidRPr="0083282F" w:rsidRDefault="0083282F" w:rsidP="001438A5">
            <w:pPr>
              <w:spacing w:after="0" w:line="240" w:lineRule="auto"/>
              <w:jc w:val="right"/>
              <w:rPr>
                <w:rFonts w:cs="Arial"/>
                <w:sz w:val="16"/>
                <w:szCs w:val="16"/>
              </w:rPr>
            </w:pPr>
            <w:r w:rsidRPr="0083282F">
              <w:rPr>
                <w:rFonts w:cs="Arial"/>
                <w:sz w:val="16"/>
                <w:szCs w:val="16"/>
              </w:rPr>
              <w:t>194,5</w:t>
            </w:r>
          </w:p>
        </w:tc>
        <w:tc>
          <w:tcPr>
            <w:tcW w:w="907" w:type="dxa"/>
            <w:tcBorders>
              <w:top w:val="nil"/>
              <w:left w:val="nil"/>
              <w:bottom w:val="nil"/>
              <w:right w:val="nil"/>
            </w:tcBorders>
            <w:shd w:val="clear" w:color="auto" w:fill="auto"/>
            <w:noWrap/>
            <w:vAlign w:val="center"/>
            <w:hideMark/>
          </w:tcPr>
          <w:p w14:paraId="1634D958" w14:textId="77777777" w:rsidR="0083282F" w:rsidRPr="0083282F" w:rsidRDefault="0083282F" w:rsidP="001438A5">
            <w:pPr>
              <w:spacing w:after="0" w:line="240" w:lineRule="auto"/>
              <w:jc w:val="right"/>
              <w:rPr>
                <w:rFonts w:cs="Arial"/>
                <w:sz w:val="16"/>
                <w:szCs w:val="16"/>
              </w:rPr>
            </w:pPr>
            <w:r w:rsidRPr="0083282F">
              <w:rPr>
                <w:rFonts w:cs="Arial"/>
                <w:sz w:val="16"/>
                <w:szCs w:val="16"/>
              </w:rPr>
              <w:t>224,5</w:t>
            </w:r>
          </w:p>
        </w:tc>
        <w:tc>
          <w:tcPr>
            <w:tcW w:w="907" w:type="dxa"/>
            <w:tcBorders>
              <w:top w:val="nil"/>
              <w:left w:val="nil"/>
              <w:bottom w:val="nil"/>
              <w:right w:val="nil"/>
            </w:tcBorders>
            <w:shd w:val="clear" w:color="auto" w:fill="auto"/>
            <w:noWrap/>
            <w:vAlign w:val="center"/>
            <w:hideMark/>
          </w:tcPr>
          <w:p w14:paraId="0482C64F" w14:textId="77777777" w:rsidR="0083282F" w:rsidRPr="0083282F" w:rsidRDefault="0083282F" w:rsidP="001438A5">
            <w:pPr>
              <w:spacing w:after="0" w:line="240" w:lineRule="auto"/>
              <w:jc w:val="right"/>
              <w:rPr>
                <w:rFonts w:cs="Arial"/>
                <w:sz w:val="16"/>
                <w:szCs w:val="16"/>
              </w:rPr>
            </w:pPr>
            <w:r w:rsidRPr="0083282F">
              <w:rPr>
                <w:rFonts w:cs="Arial"/>
                <w:sz w:val="16"/>
                <w:szCs w:val="16"/>
              </w:rPr>
              <w:t>222,8</w:t>
            </w:r>
          </w:p>
        </w:tc>
        <w:tc>
          <w:tcPr>
            <w:tcW w:w="907" w:type="dxa"/>
            <w:tcBorders>
              <w:top w:val="nil"/>
              <w:left w:val="nil"/>
              <w:bottom w:val="nil"/>
              <w:right w:val="nil"/>
            </w:tcBorders>
            <w:shd w:val="clear" w:color="auto" w:fill="auto"/>
            <w:noWrap/>
            <w:vAlign w:val="center"/>
            <w:hideMark/>
          </w:tcPr>
          <w:p w14:paraId="27FE872A" w14:textId="77777777" w:rsidR="0083282F" w:rsidRPr="0083282F" w:rsidRDefault="0083282F" w:rsidP="001438A5">
            <w:pPr>
              <w:spacing w:after="0" w:line="240" w:lineRule="auto"/>
              <w:jc w:val="right"/>
              <w:rPr>
                <w:rFonts w:cs="Arial"/>
                <w:sz w:val="16"/>
                <w:szCs w:val="16"/>
              </w:rPr>
            </w:pPr>
            <w:r w:rsidRPr="0083282F">
              <w:rPr>
                <w:rFonts w:cs="Arial"/>
                <w:sz w:val="16"/>
                <w:szCs w:val="16"/>
              </w:rPr>
              <w:t>248,0</w:t>
            </w:r>
          </w:p>
        </w:tc>
        <w:tc>
          <w:tcPr>
            <w:tcW w:w="907" w:type="dxa"/>
            <w:tcBorders>
              <w:top w:val="nil"/>
              <w:left w:val="nil"/>
              <w:bottom w:val="nil"/>
              <w:right w:val="nil"/>
            </w:tcBorders>
            <w:shd w:val="clear" w:color="auto" w:fill="auto"/>
            <w:noWrap/>
            <w:vAlign w:val="center"/>
            <w:hideMark/>
          </w:tcPr>
          <w:p w14:paraId="6A940E27" w14:textId="77777777" w:rsidR="0083282F" w:rsidRPr="0083282F" w:rsidRDefault="0083282F" w:rsidP="001438A5">
            <w:pPr>
              <w:spacing w:after="0" w:line="240" w:lineRule="auto"/>
              <w:jc w:val="right"/>
              <w:rPr>
                <w:rFonts w:cs="Arial"/>
                <w:sz w:val="16"/>
                <w:szCs w:val="16"/>
              </w:rPr>
            </w:pPr>
            <w:r w:rsidRPr="0083282F">
              <w:rPr>
                <w:rFonts w:cs="Arial"/>
                <w:sz w:val="16"/>
                <w:szCs w:val="16"/>
              </w:rPr>
              <w:t>235,9</w:t>
            </w:r>
          </w:p>
        </w:tc>
        <w:tc>
          <w:tcPr>
            <w:tcW w:w="907" w:type="dxa"/>
            <w:tcBorders>
              <w:top w:val="nil"/>
              <w:left w:val="nil"/>
              <w:bottom w:val="nil"/>
              <w:right w:val="nil"/>
            </w:tcBorders>
            <w:shd w:val="clear" w:color="auto" w:fill="auto"/>
            <w:noWrap/>
            <w:vAlign w:val="center"/>
            <w:hideMark/>
          </w:tcPr>
          <w:p w14:paraId="4CEFDB57" w14:textId="77777777" w:rsidR="0083282F" w:rsidRPr="0083282F" w:rsidRDefault="0083282F" w:rsidP="001438A5">
            <w:pPr>
              <w:spacing w:after="0" w:line="240" w:lineRule="auto"/>
              <w:jc w:val="right"/>
              <w:rPr>
                <w:rFonts w:cs="Arial"/>
                <w:sz w:val="16"/>
                <w:szCs w:val="16"/>
              </w:rPr>
            </w:pPr>
            <w:r w:rsidRPr="0083282F">
              <w:rPr>
                <w:rFonts w:cs="Arial"/>
                <w:sz w:val="16"/>
                <w:szCs w:val="16"/>
              </w:rPr>
              <w:t>246,6</w:t>
            </w:r>
          </w:p>
        </w:tc>
        <w:tc>
          <w:tcPr>
            <w:tcW w:w="907" w:type="dxa"/>
            <w:tcBorders>
              <w:top w:val="nil"/>
              <w:left w:val="nil"/>
              <w:bottom w:val="nil"/>
              <w:right w:val="nil"/>
            </w:tcBorders>
            <w:shd w:val="clear" w:color="auto" w:fill="auto"/>
            <w:noWrap/>
            <w:vAlign w:val="center"/>
            <w:hideMark/>
          </w:tcPr>
          <w:p w14:paraId="28BE6509" w14:textId="77777777" w:rsidR="0083282F" w:rsidRPr="0083282F" w:rsidRDefault="0083282F" w:rsidP="001438A5">
            <w:pPr>
              <w:spacing w:after="0" w:line="240" w:lineRule="auto"/>
              <w:jc w:val="right"/>
              <w:rPr>
                <w:rFonts w:cs="Arial"/>
                <w:sz w:val="16"/>
                <w:szCs w:val="16"/>
              </w:rPr>
            </w:pPr>
            <w:r w:rsidRPr="0083282F">
              <w:rPr>
                <w:rFonts w:cs="Arial"/>
                <w:sz w:val="16"/>
                <w:szCs w:val="16"/>
              </w:rPr>
              <w:t>280,5</w:t>
            </w:r>
          </w:p>
        </w:tc>
        <w:tc>
          <w:tcPr>
            <w:tcW w:w="907" w:type="dxa"/>
            <w:tcBorders>
              <w:top w:val="nil"/>
              <w:left w:val="nil"/>
              <w:bottom w:val="nil"/>
              <w:right w:val="nil"/>
            </w:tcBorders>
            <w:shd w:val="clear" w:color="auto" w:fill="auto"/>
            <w:noWrap/>
            <w:vAlign w:val="center"/>
            <w:hideMark/>
          </w:tcPr>
          <w:p w14:paraId="2B36C83D" w14:textId="77777777" w:rsidR="0083282F" w:rsidRPr="0083282F" w:rsidRDefault="0083282F" w:rsidP="001438A5">
            <w:pPr>
              <w:spacing w:after="0" w:line="240" w:lineRule="auto"/>
              <w:jc w:val="right"/>
              <w:rPr>
                <w:rFonts w:cs="Arial"/>
                <w:sz w:val="16"/>
                <w:szCs w:val="16"/>
              </w:rPr>
            </w:pPr>
            <w:r w:rsidRPr="0083282F">
              <w:rPr>
                <w:rFonts w:cs="Arial"/>
                <w:sz w:val="16"/>
                <w:szCs w:val="16"/>
              </w:rPr>
              <w:t>266,2</w:t>
            </w:r>
          </w:p>
        </w:tc>
      </w:tr>
      <w:tr w:rsidR="0083282F" w:rsidRPr="0083282F" w14:paraId="48CCD4F8" w14:textId="77777777" w:rsidTr="001438A5">
        <w:trPr>
          <w:trHeight w:val="300"/>
        </w:trPr>
        <w:tc>
          <w:tcPr>
            <w:tcW w:w="1417" w:type="dxa"/>
            <w:tcBorders>
              <w:top w:val="nil"/>
              <w:left w:val="nil"/>
              <w:bottom w:val="nil"/>
              <w:right w:val="nil"/>
            </w:tcBorders>
            <w:shd w:val="clear" w:color="auto" w:fill="auto"/>
            <w:noWrap/>
            <w:vAlign w:val="center"/>
            <w:hideMark/>
          </w:tcPr>
          <w:p w14:paraId="48E87388"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Lucembursko</w:t>
            </w:r>
          </w:p>
        </w:tc>
        <w:tc>
          <w:tcPr>
            <w:tcW w:w="907" w:type="dxa"/>
            <w:tcBorders>
              <w:top w:val="nil"/>
              <w:left w:val="single" w:sz="4" w:space="0" w:color="000000"/>
              <w:bottom w:val="nil"/>
              <w:right w:val="nil"/>
            </w:tcBorders>
            <w:shd w:val="clear" w:color="auto" w:fill="auto"/>
            <w:noWrap/>
            <w:vAlign w:val="center"/>
            <w:hideMark/>
          </w:tcPr>
          <w:p w14:paraId="18A504CC" w14:textId="77777777" w:rsidR="0083282F" w:rsidRPr="0083282F" w:rsidRDefault="0083282F" w:rsidP="001438A5">
            <w:pPr>
              <w:spacing w:after="0" w:line="240" w:lineRule="auto"/>
              <w:jc w:val="right"/>
              <w:rPr>
                <w:rFonts w:cs="Arial"/>
                <w:sz w:val="16"/>
                <w:szCs w:val="16"/>
              </w:rPr>
            </w:pPr>
            <w:r w:rsidRPr="0083282F">
              <w:rPr>
                <w:rFonts w:cs="Arial"/>
                <w:sz w:val="16"/>
                <w:szCs w:val="16"/>
              </w:rPr>
              <w:t>2 396,6</w:t>
            </w:r>
          </w:p>
        </w:tc>
        <w:tc>
          <w:tcPr>
            <w:tcW w:w="907" w:type="dxa"/>
            <w:tcBorders>
              <w:top w:val="nil"/>
              <w:left w:val="nil"/>
              <w:bottom w:val="nil"/>
              <w:right w:val="nil"/>
            </w:tcBorders>
            <w:shd w:val="clear" w:color="auto" w:fill="auto"/>
            <w:noWrap/>
            <w:vAlign w:val="center"/>
            <w:hideMark/>
          </w:tcPr>
          <w:p w14:paraId="0DB5B82A" w14:textId="77777777" w:rsidR="0083282F" w:rsidRPr="0083282F" w:rsidRDefault="0083282F" w:rsidP="001438A5">
            <w:pPr>
              <w:spacing w:after="0" w:line="240" w:lineRule="auto"/>
              <w:jc w:val="right"/>
              <w:rPr>
                <w:rFonts w:cs="Arial"/>
                <w:sz w:val="16"/>
                <w:szCs w:val="16"/>
              </w:rPr>
            </w:pPr>
            <w:r w:rsidRPr="0083282F">
              <w:rPr>
                <w:rFonts w:cs="Arial"/>
                <w:sz w:val="16"/>
                <w:szCs w:val="16"/>
              </w:rPr>
              <w:t>2 324,1</w:t>
            </w:r>
          </w:p>
        </w:tc>
        <w:tc>
          <w:tcPr>
            <w:tcW w:w="907" w:type="dxa"/>
            <w:tcBorders>
              <w:top w:val="nil"/>
              <w:left w:val="nil"/>
              <w:bottom w:val="nil"/>
              <w:right w:val="nil"/>
            </w:tcBorders>
            <w:shd w:val="clear" w:color="auto" w:fill="auto"/>
            <w:noWrap/>
            <w:vAlign w:val="center"/>
            <w:hideMark/>
          </w:tcPr>
          <w:p w14:paraId="0F66E3A0" w14:textId="77777777" w:rsidR="0083282F" w:rsidRPr="0083282F" w:rsidRDefault="0083282F" w:rsidP="001438A5">
            <w:pPr>
              <w:spacing w:after="0" w:line="240" w:lineRule="auto"/>
              <w:jc w:val="right"/>
              <w:rPr>
                <w:rFonts w:cs="Arial"/>
                <w:sz w:val="16"/>
                <w:szCs w:val="16"/>
              </w:rPr>
            </w:pPr>
            <w:r w:rsidRPr="0083282F">
              <w:rPr>
                <w:rFonts w:cs="Arial"/>
                <w:sz w:val="16"/>
                <w:szCs w:val="16"/>
              </w:rPr>
              <w:t>2 465,9</w:t>
            </w:r>
          </w:p>
        </w:tc>
        <w:tc>
          <w:tcPr>
            <w:tcW w:w="907" w:type="dxa"/>
            <w:tcBorders>
              <w:top w:val="nil"/>
              <w:left w:val="nil"/>
              <w:bottom w:val="nil"/>
              <w:right w:val="nil"/>
            </w:tcBorders>
            <w:shd w:val="clear" w:color="auto" w:fill="auto"/>
            <w:noWrap/>
            <w:vAlign w:val="center"/>
            <w:hideMark/>
          </w:tcPr>
          <w:p w14:paraId="793725B9" w14:textId="77777777" w:rsidR="0083282F" w:rsidRPr="0083282F" w:rsidRDefault="0083282F" w:rsidP="001438A5">
            <w:pPr>
              <w:spacing w:after="0" w:line="240" w:lineRule="auto"/>
              <w:jc w:val="right"/>
              <w:rPr>
                <w:rFonts w:cs="Arial"/>
                <w:sz w:val="16"/>
                <w:szCs w:val="16"/>
              </w:rPr>
            </w:pPr>
            <w:r w:rsidRPr="0083282F">
              <w:rPr>
                <w:rFonts w:cs="Arial"/>
                <w:sz w:val="16"/>
                <w:szCs w:val="16"/>
              </w:rPr>
              <w:t>2 286,8</w:t>
            </w:r>
          </w:p>
        </w:tc>
        <w:tc>
          <w:tcPr>
            <w:tcW w:w="907" w:type="dxa"/>
            <w:tcBorders>
              <w:top w:val="nil"/>
              <w:left w:val="nil"/>
              <w:bottom w:val="nil"/>
              <w:right w:val="nil"/>
            </w:tcBorders>
            <w:shd w:val="clear" w:color="auto" w:fill="auto"/>
            <w:noWrap/>
            <w:vAlign w:val="center"/>
            <w:hideMark/>
          </w:tcPr>
          <w:p w14:paraId="53AF17AD" w14:textId="77777777" w:rsidR="0083282F" w:rsidRPr="0083282F" w:rsidRDefault="0083282F" w:rsidP="001438A5">
            <w:pPr>
              <w:spacing w:after="0" w:line="240" w:lineRule="auto"/>
              <w:jc w:val="right"/>
              <w:rPr>
                <w:rFonts w:cs="Arial"/>
                <w:sz w:val="16"/>
                <w:szCs w:val="16"/>
              </w:rPr>
            </w:pPr>
            <w:r w:rsidRPr="0083282F">
              <w:rPr>
                <w:rFonts w:cs="Arial"/>
                <w:sz w:val="16"/>
                <w:szCs w:val="16"/>
              </w:rPr>
              <w:t>2 255,8</w:t>
            </w:r>
          </w:p>
        </w:tc>
        <w:tc>
          <w:tcPr>
            <w:tcW w:w="907" w:type="dxa"/>
            <w:tcBorders>
              <w:top w:val="nil"/>
              <w:left w:val="nil"/>
              <w:bottom w:val="nil"/>
              <w:right w:val="nil"/>
            </w:tcBorders>
            <w:shd w:val="clear" w:color="auto" w:fill="auto"/>
            <w:noWrap/>
            <w:vAlign w:val="center"/>
            <w:hideMark/>
          </w:tcPr>
          <w:p w14:paraId="7F2C3038" w14:textId="77777777" w:rsidR="0083282F" w:rsidRPr="0083282F" w:rsidRDefault="0083282F" w:rsidP="001438A5">
            <w:pPr>
              <w:spacing w:after="0" w:line="240" w:lineRule="auto"/>
              <w:jc w:val="right"/>
              <w:rPr>
                <w:rFonts w:cs="Arial"/>
                <w:sz w:val="16"/>
                <w:szCs w:val="16"/>
              </w:rPr>
            </w:pPr>
            <w:r w:rsidRPr="0083282F">
              <w:rPr>
                <w:rFonts w:cs="Arial"/>
                <w:sz w:val="16"/>
                <w:szCs w:val="16"/>
              </w:rPr>
              <w:t>2 510,8</w:t>
            </w:r>
          </w:p>
        </w:tc>
        <w:tc>
          <w:tcPr>
            <w:tcW w:w="907" w:type="dxa"/>
            <w:tcBorders>
              <w:top w:val="nil"/>
              <w:left w:val="nil"/>
              <w:bottom w:val="nil"/>
              <w:right w:val="nil"/>
            </w:tcBorders>
            <w:shd w:val="clear" w:color="auto" w:fill="auto"/>
            <w:noWrap/>
            <w:vAlign w:val="center"/>
            <w:hideMark/>
          </w:tcPr>
          <w:p w14:paraId="5D42D585" w14:textId="77777777" w:rsidR="0083282F" w:rsidRPr="0083282F" w:rsidRDefault="0083282F" w:rsidP="001438A5">
            <w:pPr>
              <w:spacing w:after="0" w:line="240" w:lineRule="auto"/>
              <w:jc w:val="right"/>
              <w:rPr>
                <w:rFonts w:cs="Arial"/>
                <w:sz w:val="16"/>
                <w:szCs w:val="16"/>
              </w:rPr>
            </w:pPr>
            <w:r w:rsidRPr="0083282F">
              <w:rPr>
                <w:rFonts w:cs="Arial"/>
                <w:sz w:val="16"/>
                <w:szCs w:val="16"/>
              </w:rPr>
              <w:t>2 131,2</w:t>
            </w:r>
          </w:p>
        </w:tc>
        <w:tc>
          <w:tcPr>
            <w:tcW w:w="907" w:type="dxa"/>
            <w:tcBorders>
              <w:top w:val="nil"/>
              <w:left w:val="nil"/>
              <w:bottom w:val="nil"/>
              <w:right w:val="nil"/>
            </w:tcBorders>
            <w:shd w:val="clear" w:color="auto" w:fill="auto"/>
            <w:noWrap/>
            <w:vAlign w:val="center"/>
            <w:hideMark/>
          </w:tcPr>
          <w:p w14:paraId="68062ED9" w14:textId="77777777" w:rsidR="0083282F" w:rsidRPr="0083282F" w:rsidRDefault="0083282F" w:rsidP="001438A5">
            <w:pPr>
              <w:spacing w:after="0" w:line="240" w:lineRule="auto"/>
              <w:jc w:val="right"/>
              <w:rPr>
                <w:rFonts w:cs="Arial"/>
                <w:sz w:val="16"/>
                <w:szCs w:val="16"/>
              </w:rPr>
            </w:pPr>
            <w:r w:rsidRPr="0083282F">
              <w:rPr>
                <w:rFonts w:cs="Arial"/>
                <w:sz w:val="16"/>
                <w:szCs w:val="16"/>
              </w:rPr>
              <w:t>2 285,9</w:t>
            </w:r>
          </w:p>
        </w:tc>
        <w:tc>
          <w:tcPr>
            <w:tcW w:w="907" w:type="dxa"/>
            <w:tcBorders>
              <w:top w:val="nil"/>
              <w:left w:val="nil"/>
              <w:bottom w:val="nil"/>
              <w:right w:val="nil"/>
            </w:tcBorders>
            <w:shd w:val="clear" w:color="auto" w:fill="auto"/>
            <w:noWrap/>
            <w:vAlign w:val="center"/>
            <w:hideMark/>
          </w:tcPr>
          <w:p w14:paraId="50402B60" w14:textId="77777777" w:rsidR="0083282F" w:rsidRPr="0083282F" w:rsidRDefault="0083282F" w:rsidP="001438A5">
            <w:pPr>
              <w:spacing w:after="0" w:line="240" w:lineRule="auto"/>
              <w:jc w:val="right"/>
              <w:rPr>
                <w:rFonts w:cs="Arial"/>
                <w:sz w:val="16"/>
                <w:szCs w:val="16"/>
              </w:rPr>
            </w:pPr>
            <w:r w:rsidRPr="0083282F">
              <w:rPr>
                <w:rFonts w:cs="Arial"/>
                <w:sz w:val="16"/>
                <w:szCs w:val="16"/>
              </w:rPr>
              <w:t>2 289,3</w:t>
            </w:r>
          </w:p>
        </w:tc>
      </w:tr>
      <w:tr w:rsidR="0083282F" w:rsidRPr="0083282F" w14:paraId="5F100D7C" w14:textId="77777777" w:rsidTr="001438A5">
        <w:trPr>
          <w:trHeight w:val="300"/>
        </w:trPr>
        <w:tc>
          <w:tcPr>
            <w:tcW w:w="1417" w:type="dxa"/>
            <w:tcBorders>
              <w:top w:val="nil"/>
              <w:left w:val="nil"/>
              <w:bottom w:val="nil"/>
              <w:right w:val="nil"/>
            </w:tcBorders>
            <w:shd w:val="clear" w:color="auto" w:fill="auto"/>
            <w:noWrap/>
            <w:vAlign w:val="center"/>
            <w:hideMark/>
          </w:tcPr>
          <w:p w14:paraId="751318CA"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Maďarsko</w:t>
            </w:r>
          </w:p>
        </w:tc>
        <w:tc>
          <w:tcPr>
            <w:tcW w:w="907" w:type="dxa"/>
            <w:tcBorders>
              <w:top w:val="nil"/>
              <w:left w:val="single" w:sz="4" w:space="0" w:color="000000"/>
              <w:bottom w:val="nil"/>
              <w:right w:val="nil"/>
            </w:tcBorders>
            <w:shd w:val="clear" w:color="auto" w:fill="auto"/>
            <w:noWrap/>
            <w:vAlign w:val="center"/>
            <w:hideMark/>
          </w:tcPr>
          <w:p w14:paraId="78AAF065" w14:textId="77777777" w:rsidR="0083282F" w:rsidRPr="0083282F" w:rsidRDefault="0083282F" w:rsidP="001438A5">
            <w:pPr>
              <w:spacing w:after="0" w:line="240" w:lineRule="auto"/>
              <w:jc w:val="right"/>
              <w:rPr>
                <w:rFonts w:cs="Arial"/>
                <w:sz w:val="16"/>
                <w:szCs w:val="16"/>
              </w:rPr>
            </w:pPr>
            <w:r w:rsidRPr="0083282F">
              <w:rPr>
                <w:rFonts w:cs="Arial"/>
                <w:sz w:val="16"/>
                <w:szCs w:val="16"/>
              </w:rPr>
              <w:t>531,1</w:t>
            </w:r>
          </w:p>
        </w:tc>
        <w:tc>
          <w:tcPr>
            <w:tcW w:w="907" w:type="dxa"/>
            <w:tcBorders>
              <w:top w:val="nil"/>
              <w:left w:val="nil"/>
              <w:bottom w:val="nil"/>
              <w:right w:val="nil"/>
            </w:tcBorders>
            <w:shd w:val="clear" w:color="auto" w:fill="auto"/>
            <w:noWrap/>
            <w:vAlign w:val="center"/>
            <w:hideMark/>
          </w:tcPr>
          <w:p w14:paraId="50D54C00" w14:textId="77777777" w:rsidR="0083282F" w:rsidRPr="0083282F" w:rsidRDefault="0083282F" w:rsidP="001438A5">
            <w:pPr>
              <w:spacing w:after="0" w:line="240" w:lineRule="auto"/>
              <w:jc w:val="right"/>
              <w:rPr>
                <w:rFonts w:cs="Arial"/>
                <w:sz w:val="16"/>
                <w:szCs w:val="16"/>
              </w:rPr>
            </w:pPr>
            <w:r w:rsidRPr="0083282F">
              <w:rPr>
                <w:rFonts w:cs="Arial"/>
                <w:sz w:val="16"/>
                <w:szCs w:val="16"/>
              </w:rPr>
              <w:t>534,4</w:t>
            </w:r>
          </w:p>
        </w:tc>
        <w:tc>
          <w:tcPr>
            <w:tcW w:w="907" w:type="dxa"/>
            <w:tcBorders>
              <w:top w:val="nil"/>
              <w:left w:val="nil"/>
              <w:bottom w:val="nil"/>
              <w:right w:val="nil"/>
            </w:tcBorders>
            <w:shd w:val="clear" w:color="auto" w:fill="auto"/>
            <w:noWrap/>
            <w:vAlign w:val="center"/>
            <w:hideMark/>
          </w:tcPr>
          <w:p w14:paraId="21D178D7" w14:textId="77777777" w:rsidR="0083282F" w:rsidRPr="0083282F" w:rsidRDefault="0083282F" w:rsidP="001438A5">
            <w:pPr>
              <w:spacing w:after="0" w:line="240" w:lineRule="auto"/>
              <w:jc w:val="right"/>
              <w:rPr>
                <w:rFonts w:cs="Arial"/>
                <w:sz w:val="16"/>
                <w:szCs w:val="16"/>
              </w:rPr>
            </w:pPr>
            <w:r w:rsidRPr="0083282F">
              <w:rPr>
                <w:rFonts w:cs="Arial"/>
                <w:sz w:val="16"/>
                <w:szCs w:val="16"/>
              </w:rPr>
              <w:t>487,2</w:t>
            </w:r>
          </w:p>
        </w:tc>
        <w:tc>
          <w:tcPr>
            <w:tcW w:w="907" w:type="dxa"/>
            <w:tcBorders>
              <w:top w:val="nil"/>
              <w:left w:val="nil"/>
              <w:bottom w:val="nil"/>
              <w:right w:val="nil"/>
            </w:tcBorders>
            <w:shd w:val="clear" w:color="auto" w:fill="auto"/>
            <w:noWrap/>
            <w:vAlign w:val="center"/>
            <w:hideMark/>
          </w:tcPr>
          <w:p w14:paraId="7C15859A" w14:textId="77777777" w:rsidR="0083282F" w:rsidRPr="0083282F" w:rsidRDefault="0083282F" w:rsidP="001438A5">
            <w:pPr>
              <w:spacing w:after="0" w:line="240" w:lineRule="auto"/>
              <w:jc w:val="right"/>
              <w:rPr>
                <w:rFonts w:cs="Arial"/>
                <w:sz w:val="16"/>
                <w:szCs w:val="16"/>
              </w:rPr>
            </w:pPr>
            <w:r w:rsidRPr="0083282F">
              <w:rPr>
                <w:rFonts w:cs="Arial"/>
                <w:sz w:val="16"/>
                <w:szCs w:val="16"/>
              </w:rPr>
              <w:t>549,0</w:t>
            </w:r>
          </w:p>
        </w:tc>
        <w:tc>
          <w:tcPr>
            <w:tcW w:w="907" w:type="dxa"/>
            <w:tcBorders>
              <w:top w:val="nil"/>
              <w:left w:val="nil"/>
              <w:bottom w:val="nil"/>
              <w:right w:val="nil"/>
            </w:tcBorders>
            <w:shd w:val="clear" w:color="auto" w:fill="auto"/>
            <w:noWrap/>
            <w:vAlign w:val="center"/>
            <w:hideMark/>
          </w:tcPr>
          <w:p w14:paraId="60B3594F" w14:textId="77777777" w:rsidR="0083282F" w:rsidRPr="0083282F" w:rsidRDefault="0083282F" w:rsidP="001438A5">
            <w:pPr>
              <w:spacing w:after="0" w:line="240" w:lineRule="auto"/>
              <w:jc w:val="right"/>
              <w:rPr>
                <w:rFonts w:cs="Arial"/>
                <w:sz w:val="16"/>
                <w:szCs w:val="16"/>
              </w:rPr>
            </w:pPr>
            <w:r w:rsidRPr="0083282F">
              <w:rPr>
                <w:rFonts w:cs="Arial"/>
                <w:sz w:val="16"/>
                <w:szCs w:val="16"/>
              </w:rPr>
              <w:t>569,2</w:t>
            </w:r>
          </w:p>
        </w:tc>
        <w:tc>
          <w:tcPr>
            <w:tcW w:w="907" w:type="dxa"/>
            <w:tcBorders>
              <w:top w:val="nil"/>
              <w:left w:val="nil"/>
              <w:bottom w:val="nil"/>
              <w:right w:val="nil"/>
            </w:tcBorders>
            <w:shd w:val="clear" w:color="auto" w:fill="auto"/>
            <w:noWrap/>
            <w:vAlign w:val="center"/>
            <w:hideMark/>
          </w:tcPr>
          <w:p w14:paraId="5B7608FC" w14:textId="77777777" w:rsidR="0083282F" w:rsidRPr="0083282F" w:rsidRDefault="0083282F" w:rsidP="001438A5">
            <w:pPr>
              <w:spacing w:after="0" w:line="240" w:lineRule="auto"/>
              <w:jc w:val="right"/>
              <w:rPr>
                <w:rFonts w:cs="Arial"/>
                <w:sz w:val="16"/>
                <w:szCs w:val="16"/>
              </w:rPr>
            </w:pPr>
            <w:r w:rsidRPr="0083282F">
              <w:rPr>
                <w:rFonts w:cs="Arial"/>
                <w:sz w:val="16"/>
                <w:szCs w:val="16"/>
              </w:rPr>
              <w:t>722,2</w:t>
            </w:r>
          </w:p>
        </w:tc>
        <w:tc>
          <w:tcPr>
            <w:tcW w:w="907" w:type="dxa"/>
            <w:tcBorders>
              <w:top w:val="nil"/>
              <w:left w:val="nil"/>
              <w:bottom w:val="nil"/>
              <w:right w:val="nil"/>
            </w:tcBorders>
            <w:shd w:val="clear" w:color="auto" w:fill="auto"/>
            <w:noWrap/>
            <w:vAlign w:val="center"/>
            <w:hideMark/>
          </w:tcPr>
          <w:p w14:paraId="5A438ADB" w14:textId="77777777" w:rsidR="0083282F" w:rsidRPr="0083282F" w:rsidRDefault="0083282F" w:rsidP="001438A5">
            <w:pPr>
              <w:spacing w:after="0" w:line="240" w:lineRule="auto"/>
              <w:jc w:val="right"/>
              <w:rPr>
                <w:rFonts w:cs="Arial"/>
                <w:sz w:val="16"/>
                <w:szCs w:val="16"/>
              </w:rPr>
            </w:pPr>
            <w:r w:rsidRPr="0083282F">
              <w:rPr>
                <w:rFonts w:cs="Arial"/>
                <w:sz w:val="16"/>
                <w:szCs w:val="16"/>
              </w:rPr>
              <w:t>639,7</w:t>
            </w:r>
          </w:p>
        </w:tc>
        <w:tc>
          <w:tcPr>
            <w:tcW w:w="907" w:type="dxa"/>
            <w:tcBorders>
              <w:top w:val="nil"/>
              <w:left w:val="nil"/>
              <w:bottom w:val="nil"/>
              <w:right w:val="nil"/>
            </w:tcBorders>
            <w:shd w:val="clear" w:color="auto" w:fill="auto"/>
            <w:noWrap/>
            <w:vAlign w:val="center"/>
            <w:hideMark/>
          </w:tcPr>
          <w:p w14:paraId="6C32CF32" w14:textId="77777777" w:rsidR="0083282F" w:rsidRPr="0083282F" w:rsidRDefault="0083282F" w:rsidP="001438A5">
            <w:pPr>
              <w:spacing w:after="0" w:line="240" w:lineRule="auto"/>
              <w:jc w:val="right"/>
              <w:rPr>
                <w:rFonts w:cs="Arial"/>
                <w:sz w:val="16"/>
                <w:szCs w:val="16"/>
              </w:rPr>
            </w:pPr>
            <w:r w:rsidRPr="0083282F">
              <w:rPr>
                <w:rFonts w:cs="Arial"/>
                <w:sz w:val="16"/>
                <w:szCs w:val="16"/>
              </w:rPr>
              <w:t>596,0</w:t>
            </w:r>
          </w:p>
        </w:tc>
        <w:tc>
          <w:tcPr>
            <w:tcW w:w="907" w:type="dxa"/>
            <w:tcBorders>
              <w:top w:val="nil"/>
              <w:left w:val="nil"/>
              <w:bottom w:val="nil"/>
              <w:right w:val="nil"/>
            </w:tcBorders>
            <w:shd w:val="clear" w:color="auto" w:fill="auto"/>
            <w:noWrap/>
            <w:vAlign w:val="center"/>
            <w:hideMark/>
          </w:tcPr>
          <w:p w14:paraId="7443909F" w14:textId="77777777" w:rsidR="0083282F" w:rsidRPr="0083282F" w:rsidRDefault="0083282F" w:rsidP="001438A5">
            <w:pPr>
              <w:spacing w:after="0" w:line="240" w:lineRule="auto"/>
              <w:jc w:val="right"/>
              <w:rPr>
                <w:rFonts w:cs="Arial"/>
                <w:sz w:val="16"/>
                <w:szCs w:val="16"/>
              </w:rPr>
            </w:pPr>
            <w:r w:rsidRPr="0083282F">
              <w:rPr>
                <w:rFonts w:cs="Arial"/>
                <w:sz w:val="16"/>
                <w:szCs w:val="16"/>
              </w:rPr>
              <w:t>605,0</w:t>
            </w:r>
          </w:p>
        </w:tc>
      </w:tr>
      <w:tr w:rsidR="0083282F" w:rsidRPr="0083282F" w14:paraId="2C89D8BF" w14:textId="77777777" w:rsidTr="001438A5">
        <w:trPr>
          <w:trHeight w:val="300"/>
        </w:trPr>
        <w:tc>
          <w:tcPr>
            <w:tcW w:w="1417" w:type="dxa"/>
            <w:tcBorders>
              <w:top w:val="nil"/>
              <w:left w:val="nil"/>
              <w:bottom w:val="nil"/>
              <w:right w:val="nil"/>
            </w:tcBorders>
            <w:shd w:val="clear" w:color="auto" w:fill="auto"/>
            <w:noWrap/>
            <w:vAlign w:val="center"/>
            <w:hideMark/>
          </w:tcPr>
          <w:p w14:paraId="05E23347"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Malta</w:t>
            </w:r>
          </w:p>
        </w:tc>
        <w:tc>
          <w:tcPr>
            <w:tcW w:w="907" w:type="dxa"/>
            <w:tcBorders>
              <w:top w:val="nil"/>
              <w:left w:val="single" w:sz="4" w:space="0" w:color="000000"/>
              <w:bottom w:val="nil"/>
              <w:right w:val="nil"/>
            </w:tcBorders>
            <w:shd w:val="clear" w:color="auto" w:fill="auto"/>
            <w:noWrap/>
            <w:vAlign w:val="center"/>
            <w:hideMark/>
          </w:tcPr>
          <w:p w14:paraId="51D5ED7A" w14:textId="77777777" w:rsidR="0083282F" w:rsidRPr="0083282F" w:rsidRDefault="0083282F" w:rsidP="001438A5">
            <w:pPr>
              <w:spacing w:after="0" w:line="240" w:lineRule="auto"/>
              <w:jc w:val="right"/>
              <w:rPr>
                <w:rFonts w:cs="Arial"/>
                <w:sz w:val="16"/>
                <w:szCs w:val="16"/>
              </w:rPr>
            </w:pPr>
            <w:r w:rsidRPr="0083282F">
              <w:rPr>
                <w:rFonts w:cs="Arial"/>
                <w:sz w:val="16"/>
                <w:szCs w:val="16"/>
              </w:rPr>
              <w:t>1 848,0</w:t>
            </w:r>
          </w:p>
        </w:tc>
        <w:tc>
          <w:tcPr>
            <w:tcW w:w="907" w:type="dxa"/>
            <w:tcBorders>
              <w:top w:val="nil"/>
              <w:left w:val="nil"/>
              <w:bottom w:val="nil"/>
              <w:right w:val="nil"/>
            </w:tcBorders>
            <w:shd w:val="clear" w:color="auto" w:fill="auto"/>
            <w:noWrap/>
            <w:vAlign w:val="center"/>
            <w:hideMark/>
          </w:tcPr>
          <w:p w14:paraId="1704547D" w14:textId="77777777" w:rsidR="0083282F" w:rsidRPr="0083282F" w:rsidRDefault="0083282F" w:rsidP="001438A5">
            <w:pPr>
              <w:spacing w:after="0" w:line="240" w:lineRule="auto"/>
              <w:jc w:val="right"/>
              <w:rPr>
                <w:rFonts w:cs="Arial"/>
                <w:sz w:val="16"/>
                <w:szCs w:val="16"/>
              </w:rPr>
            </w:pPr>
            <w:r w:rsidRPr="0083282F">
              <w:rPr>
                <w:rFonts w:cs="Arial"/>
                <w:sz w:val="16"/>
                <w:szCs w:val="16"/>
              </w:rPr>
              <w:t>2 008,7</w:t>
            </w:r>
          </w:p>
        </w:tc>
        <w:tc>
          <w:tcPr>
            <w:tcW w:w="907" w:type="dxa"/>
            <w:tcBorders>
              <w:top w:val="nil"/>
              <w:left w:val="nil"/>
              <w:bottom w:val="nil"/>
              <w:right w:val="nil"/>
            </w:tcBorders>
            <w:shd w:val="clear" w:color="auto" w:fill="auto"/>
            <w:noWrap/>
            <w:vAlign w:val="center"/>
            <w:hideMark/>
          </w:tcPr>
          <w:p w14:paraId="1C29F9DB" w14:textId="77777777" w:rsidR="0083282F" w:rsidRPr="0083282F" w:rsidRDefault="0083282F" w:rsidP="001438A5">
            <w:pPr>
              <w:spacing w:after="0" w:line="240" w:lineRule="auto"/>
              <w:jc w:val="right"/>
              <w:rPr>
                <w:rFonts w:cs="Arial"/>
                <w:sz w:val="16"/>
                <w:szCs w:val="16"/>
              </w:rPr>
            </w:pPr>
            <w:r w:rsidRPr="0083282F">
              <w:rPr>
                <w:rFonts w:cs="Arial"/>
                <w:sz w:val="16"/>
                <w:szCs w:val="16"/>
              </w:rPr>
              <w:t>1 888,1</w:t>
            </w:r>
          </w:p>
        </w:tc>
        <w:tc>
          <w:tcPr>
            <w:tcW w:w="907" w:type="dxa"/>
            <w:tcBorders>
              <w:top w:val="nil"/>
              <w:left w:val="nil"/>
              <w:bottom w:val="nil"/>
              <w:right w:val="nil"/>
            </w:tcBorders>
            <w:shd w:val="clear" w:color="auto" w:fill="auto"/>
            <w:noWrap/>
            <w:vAlign w:val="center"/>
            <w:hideMark/>
          </w:tcPr>
          <w:p w14:paraId="1163141D" w14:textId="77777777" w:rsidR="0083282F" w:rsidRPr="0083282F" w:rsidRDefault="0083282F" w:rsidP="001438A5">
            <w:pPr>
              <w:spacing w:after="0" w:line="240" w:lineRule="auto"/>
              <w:jc w:val="right"/>
              <w:rPr>
                <w:rFonts w:cs="Arial"/>
                <w:sz w:val="16"/>
                <w:szCs w:val="16"/>
              </w:rPr>
            </w:pPr>
            <w:r w:rsidRPr="0083282F">
              <w:rPr>
                <w:rFonts w:cs="Arial"/>
                <w:sz w:val="16"/>
                <w:szCs w:val="16"/>
              </w:rPr>
              <w:t>1 863,7</w:t>
            </w:r>
          </w:p>
        </w:tc>
        <w:tc>
          <w:tcPr>
            <w:tcW w:w="907" w:type="dxa"/>
            <w:tcBorders>
              <w:top w:val="nil"/>
              <w:left w:val="nil"/>
              <w:bottom w:val="nil"/>
              <w:right w:val="nil"/>
            </w:tcBorders>
            <w:shd w:val="clear" w:color="auto" w:fill="auto"/>
            <w:noWrap/>
            <w:vAlign w:val="center"/>
            <w:hideMark/>
          </w:tcPr>
          <w:p w14:paraId="21074FF0" w14:textId="77777777" w:rsidR="0083282F" w:rsidRPr="0083282F" w:rsidRDefault="0083282F" w:rsidP="001438A5">
            <w:pPr>
              <w:spacing w:after="0" w:line="240" w:lineRule="auto"/>
              <w:jc w:val="right"/>
              <w:rPr>
                <w:rFonts w:cs="Arial"/>
                <w:sz w:val="16"/>
                <w:szCs w:val="16"/>
              </w:rPr>
            </w:pPr>
            <w:r w:rsidRPr="0083282F">
              <w:rPr>
                <w:rFonts w:cs="Arial"/>
                <w:sz w:val="16"/>
                <w:szCs w:val="16"/>
              </w:rPr>
              <w:t>1 675,0</w:t>
            </w:r>
          </w:p>
        </w:tc>
        <w:tc>
          <w:tcPr>
            <w:tcW w:w="907" w:type="dxa"/>
            <w:tcBorders>
              <w:top w:val="nil"/>
              <w:left w:val="nil"/>
              <w:bottom w:val="nil"/>
              <w:right w:val="nil"/>
            </w:tcBorders>
            <w:shd w:val="clear" w:color="auto" w:fill="auto"/>
            <w:noWrap/>
            <w:vAlign w:val="center"/>
            <w:hideMark/>
          </w:tcPr>
          <w:p w14:paraId="309274E4" w14:textId="77777777" w:rsidR="0083282F" w:rsidRPr="0083282F" w:rsidRDefault="0083282F" w:rsidP="001438A5">
            <w:pPr>
              <w:spacing w:after="0" w:line="240" w:lineRule="auto"/>
              <w:jc w:val="right"/>
              <w:rPr>
                <w:rFonts w:cs="Arial"/>
                <w:sz w:val="16"/>
                <w:szCs w:val="16"/>
              </w:rPr>
            </w:pPr>
            <w:r w:rsidRPr="0083282F">
              <w:rPr>
                <w:rFonts w:cs="Arial"/>
                <w:sz w:val="16"/>
                <w:szCs w:val="16"/>
              </w:rPr>
              <w:t>1 507,4</w:t>
            </w:r>
          </w:p>
        </w:tc>
        <w:tc>
          <w:tcPr>
            <w:tcW w:w="907" w:type="dxa"/>
            <w:tcBorders>
              <w:top w:val="nil"/>
              <w:left w:val="nil"/>
              <w:bottom w:val="nil"/>
              <w:right w:val="nil"/>
            </w:tcBorders>
            <w:shd w:val="clear" w:color="auto" w:fill="auto"/>
            <w:noWrap/>
            <w:vAlign w:val="center"/>
            <w:hideMark/>
          </w:tcPr>
          <w:p w14:paraId="7D9B2C56" w14:textId="77777777" w:rsidR="0083282F" w:rsidRPr="0083282F" w:rsidRDefault="0083282F" w:rsidP="001438A5">
            <w:pPr>
              <w:spacing w:after="0" w:line="240" w:lineRule="auto"/>
              <w:jc w:val="right"/>
              <w:rPr>
                <w:rFonts w:cs="Arial"/>
                <w:sz w:val="16"/>
                <w:szCs w:val="16"/>
              </w:rPr>
            </w:pPr>
            <w:r w:rsidRPr="0083282F">
              <w:rPr>
                <w:rFonts w:cs="Arial"/>
                <w:sz w:val="16"/>
                <w:szCs w:val="16"/>
              </w:rPr>
              <w:t>1 057,5</w:t>
            </w:r>
          </w:p>
        </w:tc>
        <w:tc>
          <w:tcPr>
            <w:tcW w:w="907" w:type="dxa"/>
            <w:tcBorders>
              <w:top w:val="nil"/>
              <w:left w:val="nil"/>
              <w:bottom w:val="nil"/>
              <w:right w:val="nil"/>
            </w:tcBorders>
            <w:shd w:val="clear" w:color="auto" w:fill="auto"/>
            <w:noWrap/>
            <w:vAlign w:val="center"/>
            <w:hideMark/>
          </w:tcPr>
          <w:p w14:paraId="4500D375" w14:textId="77777777" w:rsidR="0083282F" w:rsidRPr="0083282F" w:rsidRDefault="0083282F" w:rsidP="001438A5">
            <w:pPr>
              <w:spacing w:after="0" w:line="240" w:lineRule="auto"/>
              <w:jc w:val="right"/>
              <w:rPr>
                <w:rFonts w:cs="Arial"/>
                <w:sz w:val="16"/>
                <w:szCs w:val="16"/>
              </w:rPr>
            </w:pPr>
            <w:r w:rsidRPr="0083282F">
              <w:rPr>
                <w:rFonts w:cs="Arial"/>
                <w:sz w:val="16"/>
                <w:szCs w:val="16"/>
              </w:rPr>
              <w:t>1 202,4</w:t>
            </w:r>
          </w:p>
        </w:tc>
        <w:tc>
          <w:tcPr>
            <w:tcW w:w="907" w:type="dxa"/>
            <w:tcBorders>
              <w:top w:val="nil"/>
              <w:left w:val="nil"/>
              <w:bottom w:val="nil"/>
              <w:right w:val="nil"/>
            </w:tcBorders>
            <w:shd w:val="clear" w:color="auto" w:fill="auto"/>
            <w:noWrap/>
            <w:vAlign w:val="center"/>
            <w:hideMark/>
          </w:tcPr>
          <w:p w14:paraId="4BBCFEDA" w14:textId="77777777" w:rsidR="0083282F" w:rsidRPr="0083282F" w:rsidRDefault="0083282F" w:rsidP="001438A5">
            <w:pPr>
              <w:spacing w:after="0" w:line="240" w:lineRule="auto"/>
              <w:jc w:val="right"/>
              <w:rPr>
                <w:rFonts w:cs="Arial"/>
                <w:sz w:val="16"/>
                <w:szCs w:val="16"/>
              </w:rPr>
            </w:pPr>
            <w:r w:rsidRPr="0083282F">
              <w:rPr>
                <w:rFonts w:cs="Arial"/>
                <w:sz w:val="16"/>
                <w:szCs w:val="16"/>
              </w:rPr>
              <w:t>1 187,1</w:t>
            </w:r>
          </w:p>
        </w:tc>
      </w:tr>
      <w:tr w:rsidR="0083282F" w:rsidRPr="0083282F" w14:paraId="294C744F" w14:textId="77777777" w:rsidTr="001438A5">
        <w:trPr>
          <w:trHeight w:val="300"/>
        </w:trPr>
        <w:tc>
          <w:tcPr>
            <w:tcW w:w="1417" w:type="dxa"/>
            <w:tcBorders>
              <w:top w:val="nil"/>
              <w:left w:val="nil"/>
              <w:bottom w:val="nil"/>
              <w:right w:val="nil"/>
            </w:tcBorders>
            <w:shd w:val="clear" w:color="auto" w:fill="auto"/>
            <w:noWrap/>
            <w:vAlign w:val="center"/>
            <w:hideMark/>
          </w:tcPr>
          <w:p w14:paraId="3F4CF246"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Německo</w:t>
            </w:r>
          </w:p>
        </w:tc>
        <w:tc>
          <w:tcPr>
            <w:tcW w:w="907" w:type="dxa"/>
            <w:tcBorders>
              <w:top w:val="nil"/>
              <w:left w:val="single" w:sz="4" w:space="0" w:color="000000"/>
              <w:bottom w:val="nil"/>
              <w:right w:val="nil"/>
            </w:tcBorders>
            <w:shd w:val="clear" w:color="auto" w:fill="auto"/>
            <w:noWrap/>
            <w:vAlign w:val="center"/>
            <w:hideMark/>
          </w:tcPr>
          <w:p w14:paraId="05F74DEF" w14:textId="77777777" w:rsidR="0083282F" w:rsidRPr="0083282F" w:rsidRDefault="0083282F" w:rsidP="001438A5">
            <w:pPr>
              <w:spacing w:after="0" w:line="240" w:lineRule="auto"/>
              <w:jc w:val="right"/>
              <w:rPr>
                <w:rFonts w:cs="Arial"/>
                <w:sz w:val="16"/>
                <w:szCs w:val="16"/>
              </w:rPr>
            </w:pPr>
            <w:r w:rsidRPr="0083282F">
              <w:rPr>
                <w:rFonts w:cs="Arial"/>
                <w:sz w:val="16"/>
                <w:szCs w:val="16"/>
              </w:rPr>
              <w:t>2 369,1</w:t>
            </w:r>
          </w:p>
        </w:tc>
        <w:tc>
          <w:tcPr>
            <w:tcW w:w="907" w:type="dxa"/>
            <w:tcBorders>
              <w:top w:val="nil"/>
              <w:left w:val="nil"/>
              <w:bottom w:val="nil"/>
              <w:right w:val="nil"/>
            </w:tcBorders>
            <w:shd w:val="clear" w:color="auto" w:fill="auto"/>
            <w:noWrap/>
            <w:vAlign w:val="center"/>
            <w:hideMark/>
          </w:tcPr>
          <w:p w14:paraId="7B758FE1" w14:textId="77777777" w:rsidR="0083282F" w:rsidRPr="0083282F" w:rsidRDefault="0083282F" w:rsidP="001438A5">
            <w:pPr>
              <w:spacing w:after="0" w:line="240" w:lineRule="auto"/>
              <w:jc w:val="right"/>
              <w:rPr>
                <w:rFonts w:cs="Arial"/>
                <w:sz w:val="16"/>
                <w:szCs w:val="16"/>
              </w:rPr>
            </w:pPr>
            <w:r w:rsidRPr="0083282F">
              <w:rPr>
                <w:rFonts w:cs="Arial"/>
                <w:sz w:val="16"/>
                <w:szCs w:val="16"/>
              </w:rPr>
              <w:t>2 202,5</w:t>
            </w:r>
          </w:p>
        </w:tc>
        <w:tc>
          <w:tcPr>
            <w:tcW w:w="907" w:type="dxa"/>
            <w:tcBorders>
              <w:top w:val="nil"/>
              <w:left w:val="nil"/>
              <w:bottom w:val="nil"/>
              <w:right w:val="nil"/>
            </w:tcBorders>
            <w:shd w:val="clear" w:color="auto" w:fill="auto"/>
            <w:noWrap/>
            <w:vAlign w:val="center"/>
            <w:hideMark/>
          </w:tcPr>
          <w:p w14:paraId="681DA492" w14:textId="77777777" w:rsidR="0083282F" w:rsidRPr="0083282F" w:rsidRDefault="0083282F" w:rsidP="001438A5">
            <w:pPr>
              <w:spacing w:after="0" w:line="240" w:lineRule="auto"/>
              <w:jc w:val="right"/>
              <w:rPr>
                <w:rFonts w:cs="Arial"/>
                <w:sz w:val="16"/>
                <w:szCs w:val="16"/>
              </w:rPr>
            </w:pPr>
            <w:r w:rsidRPr="0083282F">
              <w:rPr>
                <w:rFonts w:cs="Arial"/>
                <w:sz w:val="16"/>
                <w:szCs w:val="16"/>
              </w:rPr>
              <w:t>2 178,4</w:t>
            </w:r>
          </w:p>
        </w:tc>
        <w:tc>
          <w:tcPr>
            <w:tcW w:w="907" w:type="dxa"/>
            <w:tcBorders>
              <w:top w:val="nil"/>
              <w:left w:val="nil"/>
              <w:bottom w:val="nil"/>
              <w:right w:val="nil"/>
            </w:tcBorders>
            <w:shd w:val="clear" w:color="auto" w:fill="auto"/>
            <w:noWrap/>
            <w:vAlign w:val="center"/>
            <w:hideMark/>
          </w:tcPr>
          <w:p w14:paraId="543F5C5D" w14:textId="77777777" w:rsidR="0083282F" w:rsidRPr="0083282F" w:rsidRDefault="0083282F" w:rsidP="001438A5">
            <w:pPr>
              <w:spacing w:after="0" w:line="240" w:lineRule="auto"/>
              <w:jc w:val="right"/>
              <w:rPr>
                <w:rFonts w:cs="Arial"/>
                <w:sz w:val="16"/>
                <w:szCs w:val="16"/>
              </w:rPr>
            </w:pPr>
            <w:r w:rsidRPr="0083282F">
              <w:rPr>
                <w:rFonts w:cs="Arial"/>
                <w:sz w:val="16"/>
                <w:szCs w:val="16"/>
              </w:rPr>
              <w:t>2 124,2</w:t>
            </w:r>
          </w:p>
        </w:tc>
        <w:tc>
          <w:tcPr>
            <w:tcW w:w="907" w:type="dxa"/>
            <w:tcBorders>
              <w:top w:val="nil"/>
              <w:left w:val="nil"/>
              <w:bottom w:val="nil"/>
              <w:right w:val="nil"/>
            </w:tcBorders>
            <w:shd w:val="clear" w:color="auto" w:fill="auto"/>
            <w:noWrap/>
            <w:vAlign w:val="center"/>
            <w:hideMark/>
          </w:tcPr>
          <w:p w14:paraId="1DC74822" w14:textId="77777777" w:rsidR="0083282F" w:rsidRPr="0083282F" w:rsidRDefault="0083282F" w:rsidP="001438A5">
            <w:pPr>
              <w:spacing w:after="0" w:line="240" w:lineRule="auto"/>
              <w:jc w:val="right"/>
              <w:rPr>
                <w:rFonts w:cs="Arial"/>
                <w:sz w:val="16"/>
                <w:szCs w:val="16"/>
              </w:rPr>
            </w:pPr>
            <w:r w:rsidRPr="0083282F">
              <w:rPr>
                <w:rFonts w:cs="Arial"/>
                <w:sz w:val="16"/>
                <w:szCs w:val="16"/>
              </w:rPr>
              <w:t>2 096,8</w:t>
            </w:r>
          </w:p>
        </w:tc>
        <w:tc>
          <w:tcPr>
            <w:tcW w:w="907" w:type="dxa"/>
            <w:tcBorders>
              <w:top w:val="nil"/>
              <w:left w:val="nil"/>
              <w:bottom w:val="nil"/>
              <w:right w:val="nil"/>
            </w:tcBorders>
            <w:shd w:val="clear" w:color="auto" w:fill="auto"/>
            <w:noWrap/>
            <w:vAlign w:val="center"/>
            <w:hideMark/>
          </w:tcPr>
          <w:p w14:paraId="01270CDC" w14:textId="77777777" w:rsidR="0083282F" w:rsidRPr="0083282F" w:rsidRDefault="0083282F" w:rsidP="001438A5">
            <w:pPr>
              <w:spacing w:after="0" w:line="240" w:lineRule="auto"/>
              <w:jc w:val="right"/>
              <w:rPr>
                <w:rFonts w:cs="Arial"/>
                <w:sz w:val="16"/>
                <w:szCs w:val="16"/>
              </w:rPr>
            </w:pPr>
            <w:r w:rsidRPr="0083282F">
              <w:rPr>
                <w:rFonts w:cs="Arial"/>
                <w:sz w:val="16"/>
                <w:szCs w:val="16"/>
              </w:rPr>
              <w:t>2 079,9</w:t>
            </w:r>
          </w:p>
        </w:tc>
        <w:tc>
          <w:tcPr>
            <w:tcW w:w="907" w:type="dxa"/>
            <w:tcBorders>
              <w:top w:val="nil"/>
              <w:left w:val="nil"/>
              <w:bottom w:val="nil"/>
              <w:right w:val="nil"/>
            </w:tcBorders>
            <w:shd w:val="clear" w:color="auto" w:fill="auto"/>
            <w:noWrap/>
            <w:vAlign w:val="center"/>
            <w:hideMark/>
          </w:tcPr>
          <w:p w14:paraId="5224F27E" w14:textId="77777777" w:rsidR="0083282F" w:rsidRPr="0083282F" w:rsidRDefault="0083282F" w:rsidP="001438A5">
            <w:pPr>
              <w:spacing w:after="0" w:line="240" w:lineRule="auto"/>
              <w:jc w:val="right"/>
              <w:rPr>
                <w:rFonts w:cs="Arial"/>
                <w:sz w:val="16"/>
                <w:szCs w:val="16"/>
              </w:rPr>
            </w:pPr>
            <w:r w:rsidRPr="0083282F">
              <w:rPr>
                <w:rFonts w:cs="Arial"/>
                <w:sz w:val="16"/>
                <w:szCs w:val="16"/>
              </w:rPr>
              <w:t>2 058,1</w:t>
            </w:r>
          </w:p>
        </w:tc>
        <w:tc>
          <w:tcPr>
            <w:tcW w:w="907" w:type="dxa"/>
            <w:tcBorders>
              <w:top w:val="nil"/>
              <w:left w:val="nil"/>
              <w:bottom w:val="nil"/>
              <w:right w:val="nil"/>
            </w:tcBorders>
            <w:shd w:val="clear" w:color="auto" w:fill="auto"/>
            <w:noWrap/>
            <w:vAlign w:val="center"/>
            <w:hideMark/>
          </w:tcPr>
          <w:p w14:paraId="6E77A9CF" w14:textId="77777777" w:rsidR="0083282F" w:rsidRPr="0083282F" w:rsidRDefault="0083282F" w:rsidP="001438A5">
            <w:pPr>
              <w:spacing w:after="0" w:line="240" w:lineRule="auto"/>
              <w:jc w:val="right"/>
              <w:rPr>
                <w:rFonts w:cs="Arial"/>
                <w:sz w:val="16"/>
                <w:szCs w:val="16"/>
              </w:rPr>
            </w:pPr>
            <w:r w:rsidRPr="0083282F">
              <w:rPr>
                <w:rFonts w:cs="Arial"/>
                <w:sz w:val="16"/>
                <w:szCs w:val="16"/>
              </w:rPr>
              <w:t>1 985,8</w:t>
            </w:r>
          </w:p>
        </w:tc>
        <w:tc>
          <w:tcPr>
            <w:tcW w:w="907" w:type="dxa"/>
            <w:tcBorders>
              <w:top w:val="nil"/>
              <w:left w:val="nil"/>
              <w:bottom w:val="nil"/>
              <w:right w:val="nil"/>
            </w:tcBorders>
            <w:shd w:val="clear" w:color="auto" w:fill="auto"/>
            <w:noWrap/>
            <w:vAlign w:val="center"/>
            <w:hideMark/>
          </w:tcPr>
          <w:p w14:paraId="7FBA4DED" w14:textId="77777777" w:rsidR="0083282F" w:rsidRPr="0083282F" w:rsidRDefault="0083282F" w:rsidP="001438A5">
            <w:pPr>
              <w:spacing w:after="0" w:line="240" w:lineRule="auto"/>
              <w:jc w:val="right"/>
              <w:rPr>
                <w:rFonts w:cs="Arial"/>
                <w:sz w:val="16"/>
                <w:szCs w:val="16"/>
              </w:rPr>
            </w:pPr>
            <w:r w:rsidRPr="0083282F">
              <w:rPr>
                <w:rFonts w:cs="Arial"/>
                <w:sz w:val="16"/>
                <w:szCs w:val="16"/>
              </w:rPr>
              <w:t>1 939,5</w:t>
            </w:r>
          </w:p>
        </w:tc>
      </w:tr>
      <w:tr w:rsidR="0083282F" w:rsidRPr="0083282F" w14:paraId="7DE82D35" w14:textId="77777777" w:rsidTr="001438A5">
        <w:trPr>
          <w:trHeight w:val="300"/>
        </w:trPr>
        <w:tc>
          <w:tcPr>
            <w:tcW w:w="1417" w:type="dxa"/>
            <w:tcBorders>
              <w:top w:val="nil"/>
              <w:left w:val="nil"/>
              <w:bottom w:val="nil"/>
              <w:right w:val="nil"/>
            </w:tcBorders>
            <w:shd w:val="clear" w:color="auto" w:fill="auto"/>
            <w:noWrap/>
            <w:vAlign w:val="center"/>
            <w:hideMark/>
          </w:tcPr>
          <w:p w14:paraId="7516D43C"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Nizozemsko</w:t>
            </w:r>
          </w:p>
        </w:tc>
        <w:tc>
          <w:tcPr>
            <w:tcW w:w="907" w:type="dxa"/>
            <w:tcBorders>
              <w:top w:val="nil"/>
              <w:left w:val="single" w:sz="4" w:space="0" w:color="000000"/>
              <w:bottom w:val="nil"/>
              <w:right w:val="nil"/>
            </w:tcBorders>
            <w:shd w:val="clear" w:color="auto" w:fill="auto"/>
            <w:noWrap/>
            <w:vAlign w:val="center"/>
            <w:hideMark/>
          </w:tcPr>
          <w:p w14:paraId="07D90453" w14:textId="77777777" w:rsidR="0083282F" w:rsidRPr="0083282F" w:rsidRDefault="0083282F" w:rsidP="001438A5">
            <w:pPr>
              <w:spacing w:after="0" w:line="240" w:lineRule="auto"/>
              <w:jc w:val="right"/>
              <w:rPr>
                <w:rFonts w:cs="Arial"/>
                <w:sz w:val="16"/>
                <w:szCs w:val="16"/>
              </w:rPr>
            </w:pPr>
            <w:r w:rsidRPr="0083282F">
              <w:rPr>
                <w:rFonts w:cs="Arial"/>
                <w:sz w:val="16"/>
                <w:szCs w:val="16"/>
              </w:rPr>
              <w:t>2 268,7</w:t>
            </w:r>
          </w:p>
        </w:tc>
        <w:tc>
          <w:tcPr>
            <w:tcW w:w="907" w:type="dxa"/>
            <w:tcBorders>
              <w:top w:val="nil"/>
              <w:left w:val="nil"/>
              <w:bottom w:val="nil"/>
              <w:right w:val="nil"/>
            </w:tcBorders>
            <w:shd w:val="clear" w:color="auto" w:fill="auto"/>
            <w:noWrap/>
            <w:vAlign w:val="center"/>
            <w:hideMark/>
          </w:tcPr>
          <w:p w14:paraId="2B87A7D0" w14:textId="77777777" w:rsidR="0083282F" w:rsidRPr="0083282F" w:rsidRDefault="0083282F" w:rsidP="001438A5">
            <w:pPr>
              <w:spacing w:after="0" w:line="240" w:lineRule="auto"/>
              <w:jc w:val="right"/>
              <w:rPr>
                <w:rFonts w:cs="Arial"/>
                <w:sz w:val="16"/>
                <w:szCs w:val="16"/>
              </w:rPr>
            </w:pPr>
            <w:r w:rsidRPr="0083282F">
              <w:rPr>
                <w:rFonts w:cs="Arial"/>
                <w:sz w:val="16"/>
                <w:szCs w:val="16"/>
              </w:rPr>
              <w:t>2 663,4</w:t>
            </w:r>
          </w:p>
        </w:tc>
        <w:tc>
          <w:tcPr>
            <w:tcW w:w="907" w:type="dxa"/>
            <w:tcBorders>
              <w:top w:val="nil"/>
              <w:left w:val="nil"/>
              <w:bottom w:val="nil"/>
              <w:right w:val="nil"/>
            </w:tcBorders>
            <w:shd w:val="clear" w:color="auto" w:fill="auto"/>
            <w:noWrap/>
            <w:vAlign w:val="center"/>
            <w:hideMark/>
          </w:tcPr>
          <w:p w14:paraId="0E3DB13B" w14:textId="77777777" w:rsidR="0083282F" w:rsidRPr="0083282F" w:rsidRDefault="0083282F" w:rsidP="001438A5">
            <w:pPr>
              <w:spacing w:after="0" w:line="240" w:lineRule="auto"/>
              <w:jc w:val="right"/>
              <w:rPr>
                <w:rFonts w:cs="Arial"/>
                <w:sz w:val="16"/>
                <w:szCs w:val="16"/>
              </w:rPr>
            </w:pPr>
            <w:r w:rsidRPr="0083282F">
              <w:rPr>
                <w:rFonts w:cs="Arial"/>
                <w:sz w:val="16"/>
                <w:szCs w:val="16"/>
              </w:rPr>
              <w:t>2 278,2</w:t>
            </w:r>
          </w:p>
        </w:tc>
        <w:tc>
          <w:tcPr>
            <w:tcW w:w="907" w:type="dxa"/>
            <w:tcBorders>
              <w:top w:val="nil"/>
              <w:left w:val="nil"/>
              <w:bottom w:val="nil"/>
              <w:right w:val="nil"/>
            </w:tcBorders>
            <w:shd w:val="clear" w:color="000000" w:fill="D9D9D9"/>
            <w:noWrap/>
            <w:vAlign w:val="center"/>
            <w:hideMark/>
          </w:tcPr>
          <w:p w14:paraId="6FC4CFAA" w14:textId="77777777" w:rsidR="0083282F" w:rsidRPr="0083282F" w:rsidRDefault="0083282F" w:rsidP="001438A5">
            <w:pPr>
              <w:spacing w:after="0" w:line="240" w:lineRule="auto"/>
              <w:jc w:val="right"/>
              <w:rPr>
                <w:rFonts w:cs="Arial"/>
                <w:sz w:val="16"/>
                <w:szCs w:val="16"/>
              </w:rPr>
            </w:pPr>
            <w:r w:rsidRPr="0083282F">
              <w:rPr>
                <w:rFonts w:cs="Arial"/>
                <w:sz w:val="16"/>
                <w:szCs w:val="16"/>
              </w:rPr>
              <w:t>1 393,6</w:t>
            </w:r>
          </w:p>
        </w:tc>
        <w:tc>
          <w:tcPr>
            <w:tcW w:w="907" w:type="dxa"/>
            <w:tcBorders>
              <w:top w:val="nil"/>
              <w:left w:val="nil"/>
              <w:bottom w:val="nil"/>
              <w:right w:val="nil"/>
            </w:tcBorders>
            <w:shd w:val="clear" w:color="auto" w:fill="auto"/>
            <w:noWrap/>
            <w:vAlign w:val="center"/>
            <w:hideMark/>
          </w:tcPr>
          <w:p w14:paraId="6C5FA58A" w14:textId="77777777" w:rsidR="0083282F" w:rsidRPr="0083282F" w:rsidRDefault="0083282F" w:rsidP="001438A5">
            <w:pPr>
              <w:spacing w:after="0" w:line="240" w:lineRule="auto"/>
              <w:jc w:val="right"/>
              <w:rPr>
                <w:rFonts w:cs="Arial"/>
                <w:sz w:val="16"/>
                <w:szCs w:val="16"/>
              </w:rPr>
            </w:pPr>
            <w:r w:rsidRPr="0083282F">
              <w:rPr>
                <w:rFonts w:cs="Arial"/>
                <w:sz w:val="16"/>
                <w:szCs w:val="16"/>
              </w:rPr>
              <w:t>1 241,1</w:t>
            </w:r>
          </w:p>
        </w:tc>
        <w:tc>
          <w:tcPr>
            <w:tcW w:w="907" w:type="dxa"/>
            <w:tcBorders>
              <w:top w:val="nil"/>
              <w:left w:val="nil"/>
              <w:bottom w:val="nil"/>
              <w:right w:val="nil"/>
            </w:tcBorders>
            <w:shd w:val="clear" w:color="auto" w:fill="auto"/>
            <w:noWrap/>
            <w:vAlign w:val="center"/>
            <w:hideMark/>
          </w:tcPr>
          <w:p w14:paraId="2C5E97D8" w14:textId="77777777" w:rsidR="0083282F" w:rsidRPr="0083282F" w:rsidRDefault="0083282F" w:rsidP="001438A5">
            <w:pPr>
              <w:spacing w:after="0" w:line="240" w:lineRule="auto"/>
              <w:jc w:val="right"/>
              <w:rPr>
                <w:rFonts w:cs="Arial"/>
                <w:sz w:val="16"/>
                <w:szCs w:val="16"/>
              </w:rPr>
            </w:pPr>
            <w:r w:rsidRPr="0083282F">
              <w:rPr>
                <w:rFonts w:cs="Arial"/>
                <w:sz w:val="16"/>
                <w:szCs w:val="16"/>
              </w:rPr>
              <w:t>1 304,1</w:t>
            </w:r>
          </w:p>
        </w:tc>
        <w:tc>
          <w:tcPr>
            <w:tcW w:w="907" w:type="dxa"/>
            <w:tcBorders>
              <w:top w:val="nil"/>
              <w:left w:val="nil"/>
              <w:bottom w:val="nil"/>
              <w:right w:val="nil"/>
            </w:tcBorders>
            <w:shd w:val="clear" w:color="auto" w:fill="auto"/>
            <w:noWrap/>
            <w:vAlign w:val="center"/>
            <w:hideMark/>
          </w:tcPr>
          <w:p w14:paraId="43F404EC" w14:textId="77777777" w:rsidR="0083282F" w:rsidRPr="0083282F" w:rsidRDefault="0083282F" w:rsidP="001438A5">
            <w:pPr>
              <w:spacing w:after="0" w:line="240" w:lineRule="auto"/>
              <w:jc w:val="right"/>
              <w:rPr>
                <w:rFonts w:cs="Arial"/>
                <w:sz w:val="16"/>
                <w:szCs w:val="16"/>
              </w:rPr>
            </w:pPr>
            <w:r w:rsidRPr="0083282F">
              <w:rPr>
                <w:rFonts w:cs="Arial"/>
                <w:sz w:val="16"/>
                <w:szCs w:val="16"/>
              </w:rPr>
              <w:t>1 451,7</w:t>
            </w:r>
          </w:p>
        </w:tc>
        <w:tc>
          <w:tcPr>
            <w:tcW w:w="907" w:type="dxa"/>
            <w:tcBorders>
              <w:top w:val="nil"/>
              <w:left w:val="nil"/>
              <w:bottom w:val="nil"/>
              <w:right w:val="nil"/>
            </w:tcBorders>
            <w:shd w:val="clear" w:color="auto" w:fill="auto"/>
            <w:noWrap/>
            <w:vAlign w:val="center"/>
            <w:hideMark/>
          </w:tcPr>
          <w:p w14:paraId="036DA835" w14:textId="77777777" w:rsidR="0083282F" w:rsidRPr="0083282F" w:rsidRDefault="0083282F" w:rsidP="001438A5">
            <w:pPr>
              <w:spacing w:after="0" w:line="240" w:lineRule="auto"/>
              <w:jc w:val="right"/>
              <w:rPr>
                <w:rFonts w:cs="Arial"/>
                <w:sz w:val="16"/>
                <w:szCs w:val="16"/>
              </w:rPr>
            </w:pPr>
            <w:r w:rsidRPr="0083282F">
              <w:rPr>
                <w:rFonts w:cs="Arial"/>
                <w:sz w:val="16"/>
                <w:szCs w:val="16"/>
              </w:rPr>
              <w:t>1 431,9</w:t>
            </w:r>
          </w:p>
        </w:tc>
        <w:tc>
          <w:tcPr>
            <w:tcW w:w="907" w:type="dxa"/>
            <w:tcBorders>
              <w:top w:val="nil"/>
              <w:left w:val="nil"/>
              <w:bottom w:val="nil"/>
              <w:right w:val="nil"/>
            </w:tcBorders>
            <w:shd w:val="clear" w:color="auto" w:fill="auto"/>
            <w:noWrap/>
            <w:vAlign w:val="center"/>
            <w:hideMark/>
          </w:tcPr>
          <w:p w14:paraId="20DA9DE5" w14:textId="77777777" w:rsidR="0083282F" w:rsidRPr="0083282F" w:rsidRDefault="0083282F" w:rsidP="001438A5">
            <w:pPr>
              <w:spacing w:after="0" w:line="240" w:lineRule="auto"/>
              <w:jc w:val="right"/>
              <w:rPr>
                <w:rFonts w:cs="Arial"/>
                <w:sz w:val="16"/>
                <w:szCs w:val="16"/>
              </w:rPr>
            </w:pPr>
            <w:r w:rsidRPr="0083282F">
              <w:rPr>
                <w:rFonts w:cs="Arial"/>
                <w:sz w:val="16"/>
                <w:szCs w:val="16"/>
              </w:rPr>
              <w:t>1 327,2</w:t>
            </w:r>
          </w:p>
        </w:tc>
      </w:tr>
      <w:tr w:rsidR="0083282F" w:rsidRPr="0083282F" w14:paraId="694F951C" w14:textId="77777777" w:rsidTr="001438A5">
        <w:trPr>
          <w:trHeight w:val="300"/>
        </w:trPr>
        <w:tc>
          <w:tcPr>
            <w:tcW w:w="1417" w:type="dxa"/>
            <w:tcBorders>
              <w:top w:val="nil"/>
              <w:left w:val="nil"/>
              <w:bottom w:val="nil"/>
              <w:right w:val="nil"/>
            </w:tcBorders>
            <w:shd w:val="clear" w:color="auto" w:fill="auto"/>
            <w:noWrap/>
            <w:vAlign w:val="center"/>
            <w:hideMark/>
          </w:tcPr>
          <w:p w14:paraId="4F1B5459"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Polsko</w:t>
            </w:r>
          </w:p>
        </w:tc>
        <w:tc>
          <w:tcPr>
            <w:tcW w:w="907" w:type="dxa"/>
            <w:tcBorders>
              <w:top w:val="nil"/>
              <w:left w:val="single" w:sz="4" w:space="0" w:color="000000"/>
              <w:bottom w:val="nil"/>
              <w:right w:val="nil"/>
            </w:tcBorders>
            <w:shd w:val="clear" w:color="auto" w:fill="auto"/>
            <w:noWrap/>
            <w:vAlign w:val="center"/>
            <w:hideMark/>
          </w:tcPr>
          <w:p w14:paraId="667FAB2D" w14:textId="77777777" w:rsidR="0083282F" w:rsidRPr="0083282F" w:rsidRDefault="0083282F" w:rsidP="001438A5">
            <w:pPr>
              <w:spacing w:after="0" w:line="240" w:lineRule="auto"/>
              <w:jc w:val="right"/>
              <w:rPr>
                <w:rFonts w:cs="Arial"/>
                <w:sz w:val="16"/>
                <w:szCs w:val="16"/>
              </w:rPr>
            </w:pPr>
            <w:r w:rsidRPr="0083282F">
              <w:rPr>
                <w:rFonts w:cs="Arial"/>
                <w:sz w:val="16"/>
                <w:szCs w:val="16"/>
              </w:rPr>
              <w:t>580,9</w:t>
            </w:r>
          </w:p>
        </w:tc>
        <w:tc>
          <w:tcPr>
            <w:tcW w:w="907" w:type="dxa"/>
            <w:tcBorders>
              <w:top w:val="nil"/>
              <w:left w:val="nil"/>
              <w:bottom w:val="nil"/>
              <w:right w:val="nil"/>
            </w:tcBorders>
            <w:shd w:val="clear" w:color="auto" w:fill="auto"/>
            <w:noWrap/>
            <w:vAlign w:val="center"/>
            <w:hideMark/>
          </w:tcPr>
          <w:p w14:paraId="4AD6DD2D" w14:textId="77777777" w:rsidR="0083282F" w:rsidRPr="0083282F" w:rsidRDefault="0083282F" w:rsidP="001438A5">
            <w:pPr>
              <w:spacing w:after="0" w:line="240" w:lineRule="auto"/>
              <w:jc w:val="right"/>
              <w:rPr>
                <w:rFonts w:cs="Arial"/>
                <w:sz w:val="16"/>
                <w:szCs w:val="16"/>
              </w:rPr>
            </w:pPr>
            <w:r w:rsidRPr="0083282F">
              <w:rPr>
                <w:rFonts w:cs="Arial"/>
                <w:sz w:val="16"/>
                <w:szCs w:val="16"/>
              </w:rPr>
              <w:t>607,2</w:t>
            </w:r>
          </w:p>
        </w:tc>
        <w:tc>
          <w:tcPr>
            <w:tcW w:w="907" w:type="dxa"/>
            <w:tcBorders>
              <w:top w:val="nil"/>
              <w:left w:val="nil"/>
              <w:bottom w:val="nil"/>
              <w:right w:val="nil"/>
            </w:tcBorders>
            <w:shd w:val="clear" w:color="auto" w:fill="auto"/>
            <w:noWrap/>
            <w:vAlign w:val="center"/>
            <w:hideMark/>
          </w:tcPr>
          <w:p w14:paraId="2FEFDC8B" w14:textId="77777777" w:rsidR="0083282F" w:rsidRPr="0083282F" w:rsidRDefault="0083282F" w:rsidP="001438A5">
            <w:pPr>
              <w:spacing w:after="0" w:line="240" w:lineRule="auto"/>
              <w:jc w:val="right"/>
              <w:rPr>
                <w:rFonts w:cs="Arial"/>
                <w:sz w:val="16"/>
                <w:szCs w:val="16"/>
              </w:rPr>
            </w:pPr>
            <w:r w:rsidRPr="0083282F">
              <w:rPr>
                <w:rFonts w:cs="Arial"/>
                <w:sz w:val="16"/>
                <w:szCs w:val="16"/>
              </w:rPr>
              <w:t>540,8</w:t>
            </w:r>
          </w:p>
        </w:tc>
        <w:tc>
          <w:tcPr>
            <w:tcW w:w="907" w:type="dxa"/>
            <w:tcBorders>
              <w:top w:val="nil"/>
              <w:left w:val="nil"/>
              <w:bottom w:val="nil"/>
              <w:right w:val="nil"/>
            </w:tcBorders>
            <w:shd w:val="clear" w:color="auto" w:fill="auto"/>
            <w:noWrap/>
            <w:vAlign w:val="center"/>
            <w:hideMark/>
          </w:tcPr>
          <w:p w14:paraId="1FEC8821" w14:textId="77777777" w:rsidR="0083282F" w:rsidRPr="0083282F" w:rsidRDefault="0083282F" w:rsidP="001438A5">
            <w:pPr>
              <w:spacing w:after="0" w:line="240" w:lineRule="auto"/>
              <w:jc w:val="right"/>
              <w:rPr>
                <w:rFonts w:cs="Arial"/>
                <w:sz w:val="16"/>
                <w:szCs w:val="16"/>
              </w:rPr>
            </w:pPr>
            <w:r w:rsidRPr="0083282F">
              <w:rPr>
                <w:rFonts w:cs="Arial"/>
                <w:sz w:val="16"/>
                <w:szCs w:val="16"/>
              </w:rPr>
              <w:t>525,2</w:t>
            </w:r>
          </w:p>
        </w:tc>
        <w:tc>
          <w:tcPr>
            <w:tcW w:w="907" w:type="dxa"/>
            <w:tcBorders>
              <w:top w:val="nil"/>
              <w:left w:val="nil"/>
              <w:bottom w:val="nil"/>
              <w:right w:val="nil"/>
            </w:tcBorders>
            <w:shd w:val="clear" w:color="auto" w:fill="auto"/>
            <w:noWrap/>
            <w:vAlign w:val="center"/>
            <w:hideMark/>
          </w:tcPr>
          <w:p w14:paraId="502F2657" w14:textId="77777777" w:rsidR="0083282F" w:rsidRPr="0083282F" w:rsidRDefault="0083282F" w:rsidP="001438A5">
            <w:pPr>
              <w:spacing w:after="0" w:line="240" w:lineRule="auto"/>
              <w:jc w:val="right"/>
              <w:rPr>
                <w:rFonts w:cs="Arial"/>
                <w:sz w:val="16"/>
                <w:szCs w:val="16"/>
              </w:rPr>
            </w:pPr>
            <w:r w:rsidRPr="0083282F">
              <w:rPr>
                <w:rFonts w:cs="Arial"/>
                <w:sz w:val="16"/>
                <w:szCs w:val="16"/>
              </w:rPr>
              <w:t>535,1</w:t>
            </w:r>
          </w:p>
        </w:tc>
        <w:tc>
          <w:tcPr>
            <w:tcW w:w="907" w:type="dxa"/>
            <w:tcBorders>
              <w:top w:val="nil"/>
              <w:left w:val="nil"/>
              <w:bottom w:val="nil"/>
              <w:right w:val="nil"/>
            </w:tcBorders>
            <w:shd w:val="clear" w:color="auto" w:fill="auto"/>
            <w:noWrap/>
            <w:vAlign w:val="center"/>
            <w:hideMark/>
          </w:tcPr>
          <w:p w14:paraId="3BDEB4F7" w14:textId="77777777" w:rsidR="0083282F" w:rsidRPr="0083282F" w:rsidRDefault="0083282F" w:rsidP="001438A5">
            <w:pPr>
              <w:spacing w:after="0" w:line="240" w:lineRule="auto"/>
              <w:jc w:val="right"/>
              <w:rPr>
                <w:rFonts w:cs="Arial"/>
                <w:sz w:val="16"/>
                <w:szCs w:val="16"/>
              </w:rPr>
            </w:pPr>
            <w:r w:rsidRPr="0083282F">
              <w:rPr>
                <w:rFonts w:cs="Arial"/>
                <w:sz w:val="16"/>
                <w:szCs w:val="16"/>
              </w:rPr>
              <w:t>537,7</w:t>
            </w:r>
          </w:p>
        </w:tc>
        <w:tc>
          <w:tcPr>
            <w:tcW w:w="907" w:type="dxa"/>
            <w:tcBorders>
              <w:top w:val="nil"/>
              <w:left w:val="nil"/>
              <w:bottom w:val="nil"/>
              <w:right w:val="nil"/>
            </w:tcBorders>
            <w:shd w:val="clear" w:color="auto" w:fill="auto"/>
            <w:noWrap/>
            <w:vAlign w:val="center"/>
            <w:hideMark/>
          </w:tcPr>
          <w:p w14:paraId="69D14E01" w14:textId="77777777" w:rsidR="0083282F" w:rsidRPr="0083282F" w:rsidRDefault="0083282F" w:rsidP="001438A5">
            <w:pPr>
              <w:spacing w:after="0" w:line="240" w:lineRule="auto"/>
              <w:jc w:val="right"/>
              <w:rPr>
                <w:rFonts w:cs="Arial"/>
                <w:sz w:val="16"/>
                <w:szCs w:val="16"/>
              </w:rPr>
            </w:pPr>
            <w:r w:rsidRPr="0083282F">
              <w:rPr>
                <w:rFonts w:cs="Arial"/>
                <w:sz w:val="16"/>
                <w:szCs w:val="16"/>
              </w:rPr>
              <w:t>518,1</w:t>
            </w:r>
          </w:p>
        </w:tc>
        <w:tc>
          <w:tcPr>
            <w:tcW w:w="907" w:type="dxa"/>
            <w:tcBorders>
              <w:top w:val="nil"/>
              <w:left w:val="nil"/>
              <w:bottom w:val="nil"/>
              <w:right w:val="nil"/>
            </w:tcBorders>
            <w:shd w:val="clear" w:color="auto" w:fill="auto"/>
            <w:noWrap/>
            <w:vAlign w:val="center"/>
            <w:hideMark/>
          </w:tcPr>
          <w:p w14:paraId="1DAA7A3F" w14:textId="77777777" w:rsidR="0083282F" w:rsidRPr="0083282F" w:rsidRDefault="0083282F" w:rsidP="001438A5">
            <w:pPr>
              <w:spacing w:after="0" w:line="240" w:lineRule="auto"/>
              <w:jc w:val="right"/>
              <w:rPr>
                <w:rFonts w:cs="Arial"/>
                <w:sz w:val="16"/>
                <w:szCs w:val="16"/>
              </w:rPr>
            </w:pPr>
            <w:r w:rsidRPr="0083282F">
              <w:rPr>
                <w:rFonts w:cs="Arial"/>
                <w:sz w:val="16"/>
                <w:szCs w:val="16"/>
              </w:rPr>
              <w:t>574,2</w:t>
            </w:r>
          </w:p>
        </w:tc>
        <w:tc>
          <w:tcPr>
            <w:tcW w:w="907" w:type="dxa"/>
            <w:tcBorders>
              <w:top w:val="nil"/>
              <w:left w:val="nil"/>
              <w:bottom w:val="nil"/>
              <w:right w:val="nil"/>
            </w:tcBorders>
            <w:shd w:val="clear" w:color="auto" w:fill="auto"/>
            <w:noWrap/>
            <w:vAlign w:val="center"/>
            <w:hideMark/>
          </w:tcPr>
          <w:p w14:paraId="30207C5C" w14:textId="77777777" w:rsidR="0083282F" w:rsidRPr="0083282F" w:rsidRDefault="0083282F" w:rsidP="001438A5">
            <w:pPr>
              <w:spacing w:after="0" w:line="240" w:lineRule="auto"/>
              <w:jc w:val="right"/>
              <w:rPr>
                <w:rFonts w:cs="Arial"/>
                <w:sz w:val="16"/>
                <w:szCs w:val="16"/>
              </w:rPr>
            </w:pPr>
            <w:r w:rsidRPr="0083282F">
              <w:rPr>
                <w:rFonts w:cs="Arial"/>
                <w:sz w:val="16"/>
                <w:szCs w:val="16"/>
              </w:rPr>
              <w:t>479,1</w:t>
            </w:r>
          </w:p>
        </w:tc>
      </w:tr>
      <w:tr w:rsidR="0083282F" w:rsidRPr="0083282F" w14:paraId="63FA184A" w14:textId="77777777" w:rsidTr="001438A5">
        <w:trPr>
          <w:trHeight w:val="300"/>
        </w:trPr>
        <w:tc>
          <w:tcPr>
            <w:tcW w:w="1417" w:type="dxa"/>
            <w:tcBorders>
              <w:top w:val="nil"/>
              <w:left w:val="nil"/>
              <w:bottom w:val="nil"/>
              <w:right w:val="nil"/>
            </w:tcBorders>
            <w:shd w:val="clear" w:color="auto" w:fill="auto"/>
            <w:noWrap/>
            <w:vAlign w:val="center"/>
            <w:hideMark/>
          </w:tcPr>
          <w:p w14:paraId="2D183C26"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Portugalsko</w:t>
            </w:r>
          </w:p>
        </w:tc>
        <w:tc>
          <w:tcPr>
            <w:tcW w:w="907" w:type="dxa"/>
            <w:tcBorders>
              <w:top w:val="nil"/>
              <w:left w:val="single" w:sz="4" w:space="0" w:color="000000"/>
              <w:bottom w:val="nil"/>
              <w:right w:val="nil"/>
            </w:tcBorders>
            <w:shd w:val="clear" w:color="auto" w:fill="auto"/>
            <w:noWrap/>
            <w:vAlign w:val="center"/>
            <w:hideMark/>
          </w:tcPr>
          <w:p w14:paraId="15C843A4" w14:textId="77777777" w:rsidR="0083282F" w:rsidRPr="0083282F" w:rsidRDefault="0083282F" w:rsidP="001438A5">
            <w:pPr>
              <w:spacing w:after="0" w:line="240" w:lineRule="auto"/>
              <w:jc w:val="right"/>
              <w:rPr>
                <w:rFonts w:cs="Arial"/>
                <w:sz w:val="16"/>
                <w:szCs w:val="16"/>
              </w:rPr>
            </w:pPr>
            <w:r w:rsidRPr="0083282F">
              <w:rPr>
                <w:rFonts w:cs="Arial"/>
                <w:sz w:val="16"/>
                <w:szCs w:val="16"/>
              </w:rPr>
              <w:t>3 537,0</w:t>
            </w:r>
          </w:p>
        </w:tc>
        <w:tc>
          <w:tcPr>
            <w:tcW w:w="907" w:type="dxa"/>
            <w:tcBorders>
              <w:top w:val="nil"/>
              <w:left w:val="nil"/>
              <w:bottom w:val="nil"/>
              <w:right w:val="nil"/>
            </w:tcBorders>
            <w:shd w:val="clear" w:color="auto" w:fill="auto"/>
            <w:noWrap/>
            <w:vAlign w:val="center"/>
            <w:hideMark/>
          </w:tcPr>
          <w:p w14:paraId="3ED7A925" w14:textId="77777777" w:rsidR="0083282F" w:rsidRPr="0083282F" w:rsidRDefault="0083282F" w:rsidP="001438A5">
            <w:pPr>
              <w:spacing w:after="0" w:line="240" w:lineRule="auto"/>
              <w:jc w:val="right"/>
              <w:rPr>
                <w:rFonts w:cs="Arial"/>
                <w:sz w:val="16"/>
                <w:szCs w:val="16"/>
              </w:rPr>
            </w:pPr>
            <w:r w:rsidRPr="0083282F">
              <w:rPr>
                <w:rFonts w:cs="Arial"/>
                <w:sz w:val="16"/>
                <w:szCs w:val="16"/>
              </w:rPr>
              <w:t>3 563,5</w:t>
            </w:r>
          </w:p>
        </w:tc>
        <w:tc>
          <w:tcPr>
            <w:tcW w:w="907" w:type="dxa"/>
            <w:tcBorders>
              <w:top w:val="nil"/>
              <w:left w:val="nil"/>
              <w:bottom w:val="nil"/>
              <w:right w:val="nil"/>
            </w:tcBorders>
            <w:shd w:val="clear" w:color="auto" w:fill="auto"/>
            <w:noWrap/>
            <w:vAlign w:val="center"/>
            <w:hideMark/>
          </w:tcPr>
          <w:p w14:paraId="7280BD9D" w14:textId="77777777" w:rsidR="0083282F" w:rsidRPr="0083282F" w:rsidRDefault="0083282F" w:rsidP="001438A5">
            <w:pPr>
              <w:spacing w:after="0" w:line="240" w:lineRule="auto"/>
              <w:jc w:val="right"/>
              <w:rPr>
                <w:rFonts w:cs="Arial"/>
                <w:sz w:val="16"/>
                <w:szCs w:val="16"/>
              </w:rPr>
            </w:pPr>
            <w:r w:rsidRPr="0083282F">
              <w:rPr>
                <w:rFonts w:cs="Arial"/>
                <w:sz w:val="16"/>
                <w:szCs w:val="16"/>
              </w:rPr>
              <w:t>3 618,8</w:t>
            </w:r>
          </w:p>
        </w:tc>
        <w:tc>
          <w:tcPr>
            <w:tcW w:w="907" w:type="dxa"/>
            <w:tcBorders>
              <w:top w:val="nil"/>
              <w:left w:val="nil"/>
              <w:bottom w:val="nil"/>
              <w:right w:val="nil"/>
            </w:tcBorders>
            <w:shd w:val="clear" w:color="auto" w:fill="auto"/>
            <w:noWrap/>
            <w:vAlign w:val="center"/>
            <w:hideMark/>
          </w:tcPr>
          <w:p w14:paraId="4FF733AF" w14:textId="77777777" w:rsidR="0083282F" w:rsidRPr="0083282F" w:rsidRDefault="0083282F" w:rsidP="001438A5">
            <w:pPr>
              <w:spacing w:after="0" w:line="240" w:lineRule="auto"/>
              <w:jc w:val="right"/>
              <w:rPr>
                <w:rFonts w:cs="Arial"/>
                <w:sz w:val="16"/>
                <w:szCs w:val="16"/>
              </w:rPr>
            </w:pPr>
            <w:r w:rsidRPr="0083282F">
              <w:rPr>
                <w:rFonts w:cs="Arial"/>
                <w:sz w:val="16"/>
                <w:szCs w:val="16"/>
              </w:rPr>
              <w:t>3 582,2</w:t>
            </w:r>
          </w:p>
        </w:tc>
        <w:tc>
          <w:tcPr>
            <w:tcW w:w="907" w:type="dxa"/>
            <w:tcBorders>
              <w:top w:val="nil"/>
              <w:left w:val="nil"/>
              <w:bottom w:val="nil"/>
              <w:right w:val="nil"/>
            </w:tcBorders>
            <w:shd w:val="clear" w:color="auto" w:fill="auto"/>
            <w:noWrap/>
            <w:vAlign w:val="center"/>
            <w:hideMark/>
          </w:tcPr>
          <w:p w14:paraId="59869FF5" w14:textId="77777777" w:rsidR="0083282F" w:rsidRPr="0083282F" w:rsidRDefault="0083282F" w:rsidP="001438A5">
            <w:pPr>
              <w:spacing w:after="0" w:line="240" w:lineRule="auto"/>
              <w:jc w:val="right"/>
              <w:rPr>
                <w:rFonts w:cs="Arial"/>
                <w:sz w:val="16"/>
                <w:szCs w:val="16"/>
              </w:rPr>
            </w:pPr>
            <w:r w:rsidRPr="0083282F">
              <w:rPr>
                <w:rFonts w:cs="Arial"/>
                <w:sz w:val="16"/>
                <w:szCs w:val="16"/>
              </w:rPr>
              <w:t>3 677,2</w:t>
            </w:r>
          </w:p>
        </w:tc>
        <w:tc>
          <w:tcPr>
            <w:tcW w:w="907" w:type="dxa"/>
            <w:tcBorders>
              <w:top w:val="nil"/>
              <w:left w:val="nil"/>
              <w:bottom w:val="nil"/>
              <w:right w:val="nil"/>
            </w:tcBorders>
            <w:shd w:val="clear" w:color="auto" w:fill="auto"/>
            <w:noWrap/>
            <w:vAlign w:val="center"/>
            <w:hideMark/>
          </w:tcPr>
          <w:p w14:paraId="1CB35C9D" w14:textId="77777777" w:rsidR="0083282F" w:rsidRPr="0083282F" w:rsidRDefault="0083282F" w:rsidP="001438A5">
            <w:pPr>
              <w:spacing w:after="0" w:line="240" w:lineRule="auto"/>
              <w:jc w:val="right"/>
              <w:rPr>
                <w:rFonts w:cs="Arial"/>
                <w:sz w:val="16"/>
                <w:szCs w:val="16"/>
              </w:rPr>
            </w:pPr>
            <w:r w:rsidRPr="0083282F">
              <w:rPr>
                <w:rFonts w:cs="Arial"/>
                <w:sz w:val="16"/>
                <w:szCs w:val="16"/>
              </w:rPr>
              <w:t>3 589,5</w:t>
            </w:r>
          </w:p>
        </w:tc>
        <w:tc>
          <w:tcPr>
            <w:tcW w:w="907" w:type="dxa"/>
            <w:tcBorders>
              <w:top w:val="nil"/>
              <w:left w:val="nil"/>
              <w:bottom w:val="nil"/>
              <w:right w:val="nil"/>
            </w:tcBorders>
            <w:shd w:val="clear" w:color="auto" w:fill="auto"/>
            <w:noWrap/>
            <w:vAlign w:val="center"/>
            <w:hideMark/>
          </w:tcPr>
          <w:p w14:paraId="27F4A803" w14:textId="77777777" w:rsidR="0083282F" w:rsidRPr="0083282F" w:rsidRDefault="0083282F" w:rsidP="001438A5">
            <w:pPr>
              <w:spacing w:after="0" w:line="240" w:lineRule="auto"/>
              <w:jc w:val="right"/>
              <w:rPr>
                <w:rFonts w:cs="Arial"/>
                <w:sz w:val="16"/>
                <w:szCs w:val="16"/>
              </w:rPr>
            </w:pPr>
            <w:r w:rsidRPr="0083282F">
              <w:rPr>
                <w:rFonts w:cs="Arial"/>
                <w:sz w:val="16"/>
                <w:szCs w:val="16"/>
              </w:rPr>
              <w:t>3 563,4</w:t>
            </w:r>
          </w:p>
        </w:tc>
        <w:tc>
          <w:tcPr>
            <w:tcW w:w="907" w:type="dxa"/>
            <w:tcBorders>
              <w:top w:val="nil"/>
              <w:left w:val="nil"/>
              <w:bottom w:val="nil"/>
              <w:right w:val="nil"/>
            </w:tcBorders>
            <w:shd w:val="clear" w:color="auto" w:fill="auto"/>
            <w:noWrap/>
            <w:vAlign w:val="center"/>
            <w:hideMark/>
          </w:tcPr>
          <w:p w14:paraId="6FDE3EAC" w14:textId="77777777" w:rsidR="0083282F" w:rsidRPr="0083282F" w:rsidRDefault="0083282F" w:rsidP="001438A5">
            <w:pPr>
              <w:spacing w:after="0" w:line="240" w:lineRule="auto"/>
              <w:jc w:val="right"/>
              <w:rPr>
                <w:rFonts w:cs="Arial"/>
                <w:sz w:val="16"/>
                <w:szCs w:val="16"/>
              </w:rPr>
            </w:pPr>
            <w:r w:rsidRPr="0083282F">
              <w:rPr>
                <w:rFonts w:cs="Arial"/>
                <w:sz w:val="16"/>
                <w:szCs w:val="16"/>
              </w:rPr>
              <w:t>3 342,9</w:t>
            </w:r>
          </w:p>
        </w:tc>
        <w:tc>
          <w:tcPr>
            <w:tcW w:w="907" w:type="dxa"/>
            <w:tcBorders>
              <w:top w:val="nil"/>
              <w:left w:val="nil"/>
              <w:bottom w:val="nil"/>
              <w:right w:val="nil"/>
            </w:tcBorders>
            <w:shd w:val="clear" w:color="auto" w:fill="auto"/>
            <w:noWrap/>
            <w:vAlign w:val="center"/>
            <w:hideMark/>
          </w:tcPr>
          <w:p w14:paraId="3C17468B" w14:textId="77777777" w:rsidR="0083282F" w:rsidRPr="0083282F" w:rsidRDefault="0083282F" w:rsidP="001438A5">
            <w:pPr>
              <w:spacing w:after="0" w:line="240" w:lineRule="auto"/>
              <w:jc w:val="right"/>
              <w:rPr>
                <w:rFonts w:cs="Arial"/>
                <w:sz w:val="16"/>
                <w:szCs w:val="16"/>
              </w:rPr>
            </w:pPr>
            <w:r w:rsidRPr="0083282F">
              <w:rPr>
                <w:rFonts w:cs="Arial"/>
                <w:sz w:val="16"/>
                <w:szCs w:val="16"/>
              </w:rPr>
              <w:t>3 283,7</w:t>
            </w:r>
          </w:p>
        </w:tc>
      </w:tr>
      <w:tr w:rsidR="0083282F" w:rsidRPr="0083282F" w14:paraId="4BF82E09" w14:textId="77777777" w:rsidTr="001438A5">
        <w:trPr>
          <w:trHeight w:val="300"/>
        </w:trPr>
        <w:tc>
          <w:tcPr>
            <w:tcW w:w="1417" w:type="dxa"/>
            <w:tcBorders>
              <w:top w:val="nil"/>
              <w:left w:val="nil"/>
              <w:bottom w:val="nil"/>
              <w:right w:val="nil"/>
            </w:tcBorders>
            <w:shd w:val="clear" w:color="auto" w:fill="auto"/>
            <w:noWrap/>
            <w:vAlign w:val="center"/>
            <w:hideMark/>
          </w:tcPr>
          <w:p w14:paraId="0C82A7E7"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Rakousko</w:t>
            </w:r>
          </w:p>
        </w:tc>
        <w:tc>
          <w:tcPr>
            <w:tcW w:w="907" w:type="dxa"/>
            <w:tcBorders>
              <w:top w:val="nil"/>
              <w:left w:val="single" w:sz="4" w:space="0" w:color="000000"/>
              <w:bottom w:val="nil"/>
              <w:right w:val="nil"/>
            </w:tcBorders>
            <w:shd w:val="clear" w:color="auto" w:fill="auto"/>
            <w:noWrap/>
            <w:vAlign w:val="center"/>
            <w:hideMark/>
          </w:tcPr>
          <w:p w14:paraId="0B6FF44E" w14:textId="77777777" w:rsidR="0083282F" w:rsidRPr="0083282F" w:rsidRDefault="0083282F" w:rsidP="001438A5">
            <w:pPr>
              <w:spacing w:after="0" w:line="240" w:lineRule="auto"/>
              <w:jc w:val="right"/>
              <w:rPr>
                <w:rFonts w:cs="Arial"/>
                <w:sz w:val="16"/>
                <w:szCs w:val="16"/>
              </w:rPr>
            </w:pPr>
            <w:r w:rsidRPr="0083282F">
              <w:rPr>
                <w:rFonts w:cs="Arial"/>
                <w:sz w:val="16"/>
                <w:szCs w:val="16"/>
              </w:rPr>
              <w:t>1 961,3</w:t>
            </w:r>
          </w:p>
        </w:tc>
        <w:tc>
          <w:tcPr>
            <w:tcW w:w="907" w:type="dxa"/>
            <w:tcBorders>
              <w:top w:val="nil"/>
              <w:left w:val="nil"/>
              <w:bottom w:val="nil"/>
              <w:right w:val="nil"/>
            </w:tcBorders>
            <w:shd w:val="clear" w:color="auto" w:fill="auto"/>
            <w:noWrap/>
            <w:vAlign w:val="center"/>
            <w:hideMark/>
          </w:tcPr>
          <w:p w14:paraId="60FC0E54" w14:textId="77777777" w:rsidR="0083282F" w:rsidRPr="0083282F" w:rsidRDefault="0083282F" w:rsidP="001438A5">
            <w:pPr>
              <w:spacing w:after="0" w:line="240" w:lineRule="auto"/>
              <w:jc w:val="right"/>
              <w:rPr>
                <w:rFonts w:cs="Arial"/>
                <w:sz w:val="16"/>
                <w:szCs w:val="16"/>
              </w:rPr>
            </w:pPr>
            <w:r w:rsidRPr="0083282F">
              <w:rPr>
                <w:rFonts w:cs="Arial"/>
                <w:sz w:val="16"/>
                <w:szCs w:val="16"/>
              </w:rPr>
              <w:t>1 902,5</w:t>
            </w:r>
          </w:p>
        </w:tc>
        <w:tc>
          <w:tcPr>
            <w:tcW w:w="907" w:type="dxa"/>
            <w:tcBorders>
              <w:top w:val="nil"/>
              <w:left w:val="nil"/>
              <w:bottom w:val="nil"/>
              <w:right w:val="nil"/>
            </w:tcBorders>
            <w:shd w:val="clear" w:color="auto" w:fill="auto"/>
            <w:noWrap/>
            <w:vAlign w:val="center"/>
            <w:hideMark/>
          </w:tcPr>
          <w:p w14:paraId="40BE9CFC" w14:textId="77777777" w:rsidR="0083282F" w:rsidRPr="0083282F" w:rsidRDefault="0083282F" w:rsidP="001438A5">
            <w:pPr>
              <w:spacing w:after="0" w:line="240" w:lineRule="auto"/>
              <w:jc w:val="right"/>
              <w:rPr>
                <w:rFonts w:cs="Arial"/>
                <w:sz w:val="16"/>
                <w:szCs w:val="16"/>
              </w:rPr>
            </w:pPr>
            <w:r w:rsidRPr="0083282F">
              <w:rPr>
                <w:rFonts w:cs="Arial"/>
                <w:sz w:val="16"/>
                <w:szCs w:val="16"/>
              </w:rPr>
              <w:t>1 840,2</w:t>
            </w:r>
          </w:p>
        </w:tc>
        <w:tc>
          <w:tcPr>
            <w:tcW w:w="907" w:type="dxa"/>
            <w:tcBorders>
              <w:top w:val="nil"/>
              <w:left w:val="nil"/>
              <w:bottom w:val="nil"/>
              <w:right w:val="nil"/>
            </w:tcBorders>
            <w:shd w:val="clear" w:color="auto" w:fill="auto"/>
            <w:noWrap/>
            <w:vAlign w:val="center"/>
            <w:hideMark/>
          </w:tcPr>
          <w:p w14:paraId="6B993BAC" w14:textId="77777777" w:rsidR="0083282F" w:rsidRPr="0083282F" w:rsidRDefault="0083282F" w:rsidP="001438A5">
            <w:pPr>
              <w:spacing w:after="0" w:line="240" w:lineRule="auto"/>
              <w:jc w:val="right"/>
              <w:rPr>
                <w:rFonts w:cs="Arial"/>
                <w:sz w:val="16"/>
                <w:szCs w:val="16"/>
              </w:rPr>
            </w:pPr>
            <w:r w:rsidRPr="0083282F">
              <w:rPr>
                <w:rFonts w:cs="Arial"/>
                <w:sz w:val="16"/>
                <w:szCs w:val="16"/>
              </w:rPr>
              <w:t>1 806,0</w:t>
            </w:r>
          </w:p>
        </w:tc>
        <w:tc>
          <w:tcPr>
            <w:tcW w:w="907" w:type="dxa"/>
            <w:tcBorders>
              <w:top w:val="nil"/>
              <w:left w:val="nil"/>
              <w:bottom w:val="nil"/>
              <w:right w:val="nil"/>
            </w:tcBorders>
            <w:shd w:val="clear" w:color="auto" w:fill="auto"/>
            <w:noWrap/>
            <w:vAlign w:val="center"/>
            <w:hideMark/>
          </w:tcPr>
          <w:p w14:paraId="7093244D" w14:textId="77777777" w:rsidR="0083282F" w:rsidRPr="0083282F" w:rsidRDefault="0083282F" w:rsidP="001438A5">
            <w:pPr>
              <w:spacing w:after="0" w:line="240" w:lineRule="auto"/>
              <w:jc w:val="right"/>
              <w:rPr>
                <w:rFonts w:cs="Arial"/>
                <w:sz w:val="16"/>
                <w:szCs w:val="16"/>
              </w:rPr>
            </w:pPr>
            <w:r w:rsidRPr="0083282F">
              <w:rPr>
                <w:rFonts w:cs="Arial"/>
                <w:sz w:val="16"/>
                <w:szCs w:val="16"/>
              </w:rPr>
              <w:t>1 749,8</w:t>
            </w:r>
          </w:p>
        </w:tc>
        <w:tc>
          <w:tcPr>
            <w:tcW w:w="907" w:type="dxa"/>
            <w:tcBorders>
              <w:top w:val="nil"/>
              <w:left w:val="nil"/>
              <w:bottom w:val="nil"/>
              <w:right w:val="nil"/>
            </w:tcBorders>
            <w:shd w:val="clear" w:color="auto" w:fill="auto"/>
            <w:noWrap/>
            <w:vAlign w:val="center"/>
            <w:hideMark/>
          </w:tcPr>
          <w:p w14:paraId="57E490B0" w14:textId="77777777" w:rsidR="0083282F" w:rsidRPr="0083282F" w:rsidRDefault="0083282F" w:rsidP="001438A5">
            <w:pPr>
              <w:spacing w:after="0" w:line="240" w:lineRule="auto"/>
              <w:jc w:val="right"/>
              <w:rPr>
                <w:rFonts w:cs="Arial"/>
                <w:sz w:val="16"/>
                <w:szCs w:val="16"/>
              </w:rPr>
            </w:pPr>
            <w:r w:rsidRPr="0083282F">
              <w:rPr>
                <w:rFonts w:cs="Arial"/>
                <w:sz w:val="16"/>
                <w:szCs w:val="16"/>
              </w:rPr>
              <w:t>2 102,3</w:t>
            </w:r>
          </w:p>
        </w:tc>
        <w:tc>
          <w:tcPr>
            <w:tcW w:w="907" w:type="dxa"/>
            <w:tcBorders>
              <w:top w:val="nil"/>
              <w:left w:val="nil"/>
              <w:bottom w:val="nil"/>
              <w:right w:val="nil"/>
            </w:tcBorders>
            <w:shd w:val="clear" w:color="auto" w:fill="auto"/>
            <w:noWrap/>
            <w:vAlign w:val="center"/>
            <w:hideMark/>
          </w:tcPr>
          <w:p w14:paraId="768F8D5F" w14:textId="77777777" w:rsidR="0083282F" w:rsidRPr="0083282F" w:rsidRDefault="0083282F" w:rsidP="001438A5">
            <w:pPr>
              <w:spacing w:after="0" w:line="240" w:lineRule="auto"/>
              <w:jc w:val="right"/>
              <w:rPr>
                <w:rFonts w:cs="Arial"/>
                <w:sz w:val="16"/>
                <w:szCs w:val="16"/>
              </w:rPr>
            </w:pPr>
            <w:r w:rsidRPr="0083282F">
              <w:rPr>
                <w:rFonts w:cs="Arial"/>
                <w:sz w:val="16"/>
                <w:szCs w:val="16"/>
              </w:rPr>
              <w:t>2 072,6</w:t>
            </w:r>
          </w:p>
        </w:tc>
        <w:tc>
          <w:tcPr>
            <w:tcW w:w="907" w:type="dxa"/>
            <w:tcBorders>
              <w:top w:val="nil"/>
              <w:left w:val="nil"/>
              <w:bottom w:val="nil"/>
              <w:right w:val="nil"/>
            </w:tcBorders>
            <w:shd w:val="clear" w:color="auto" w:fill="auto"/>
            <w:noWrap/>
            <w:vAlign w:val="center"/>
            <w:hideMark/>
          </w:tcPr>
          <w:p w14:paraId="7C2F62C1" w14:textId="77777777" w:rsidR="0083282F" w:rsidRPr="0083282F" w:rsidRDefault="0083282F" w:rsidP="001438A5">
            <w:pPr>
              <w:spacing w:after="0" w:line="240" w:lineRule="auto"/>
              <w:jc w:val="right"/>
              <w:rPr>
                <w:rFonts w:cs="Arial"/>
                <w:sz w:val="16"/>
                <w:szCs w:val="16"/>
              </w:rPr>
            </w:pPr>
            <w:r w:rsidRPr="0083282F">
              <w:rPr>
                <w:rFonts w:cs="Arial"/>
                <w:sz w:val="16"/>
                <w:szCs w:val="16"/>
              </w:rPr>
              <w:t>1 864,2</w:t>
            </w:r>
          </w:p>
        </w:tc>
        <w:tc>
          <w:tcPr>
            <w:tcW w:w="907" w:type="dxa"/>
            <w:tcBorders>
              <w:top w:val="nil"/>
              <w:left w:val="nil"/>
              <w:bottom w:val="nil"/>
              <w:right w:val="nil"/>
            </w:tcBorders>
            <w:shd w:val="clear" w:color="auto" w:fill="auto"/>
            <w:noWrap/>
            <w:vAlign w:val="center"/>
            <w:hideMark/>
          </w:tcPr>
          <w:p w14:paraId="40EC8006" w14:textId="77777777" w:rsidR="0083282F" w:rsidRPr="0083282F" w:rsidRDefault="0083282F" w:rsidP="001438A5">
            <w:pPr>
              <w:spacing w:after="0" w:line="240" w:lineRule="auto"/>
              <w:jc w:val="right"/>
              <w:rPr>
                <w:rFonts w:cs="Arial"/>
                <w:sz w:val="16"/>
                <w:szCs w:val="16"/>
              </w:rPr>
            </w:pPr>
            <w:r w:rsidRPr="0083282F">
              <w:rPr>
                <w:rFonts w:cs="Arial"/>
                <w:sz w:val="16"/>
                <w:szCs w:val="16"/>
              </w:rPr>
              <w:t>1 721,6</w:t>
            </w:r>
          </w:p>
        </w:tc>
      </w:tr>
      <w:tr w:rsidR="0083282F" w:rsidRPr="0083282F" w14:paraId="54DDE701" w14:textId="77777777" w:rsidTr="001438A5">
        <w:trPr>
          <w:trHeight w:val="300"/>
        </w:trPr>
        <w:tc>
          <w:tcPr>
            <w:tcW w:w="1417" w:type="dxa"/>
            <w:tcBorders>
              <w:top w:val="nil"/>
              <w:left w:val="nil"/>
              <w:bottom w:val="nil"/>
              <w:right w:val="nil"/>
            </w:tcBorders>
            <w:shd w:val="clear" w:color="auto" w:fill="auto"/>
            <w:noWrap/>
            <w:vAlign w:val="center"/>
            <w:hideMark/>
          </w:tcPr>
          <w:p w14:paraId="0B0AF088"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Rumunsko</w:t>
            </w:r>
          </w:p>
        </w:tc>
        <w:tc>
          <w:tcPr>
            <w:tcW w:w="907" w:type="dxa"/>
            <w:tcBorders>
              <w:top w:val="nil"/>
              <w:left w:val="single" w:sz="4" w:space="0" w:color="000000"/>
              <w:bottom w:val="nil"/>
              <w:right w:val="nil"/>
            </w:tcBorders>
            <w:shd w:val="clear" w:color="auto" w:fill="auto"/>
            <w:noWrap/>
            <w:vAlign w:val="center"/>
            <w:hideMark/>
          </w:tcPr>
          <w:p w14:paraId="3DBA3C0A" w14:textId="77777777" w:rsidR="0083282F" w:rsidRPr="0083282F" w:rsidRDefault="0083282F" w:rsidP="001438A5">
            <w:pPr>
              <w:spacing w:after="0" w:line="240" w:lineRule="auto"/>
              <w:jc w:val="right"/>
              <w:rPr>
                <w:rFonts w:cs="Arial"/>
                <w:sz w:val="16"/>
                <w:szCs w:val="16"/>
              </w:rPr>
            </w:pPr>
            <w:r w:rsidRPr="0083282F">
              <w:rPr>
                <w:rFonts w:cs="Arial"/>
                <w:sz w:val="16"/>
                <w:szCs w:val="16"/>
              </w:rPr>
              <w:t>74,8</w:t>
            </w:r>
          </w:p>
        </w:tc>
        <w:tc>
          <w:tcPr>
            <w:tcW w:w="907" w:type="dxa"/>
            <w:tcBorders>
              <w:top w:val="nil"/>
              <w:left w:val="nil"/>
              <w:bottom w:val="nil"/>
              <w:right w:val="nil"/>
            </w:tcBorders>
            <w:shd w:val="clear" w:color="auto" w:fill="auto"/>
            <w:noWrap/>
            <w:vAlign w:val="center"/>
            <w:hideMark/>
          </w:tcPr>
          <w:p w14:paraId="2C9E3309" w14:textId="77777777" w:rsidR="0083282F" w:rsidRPr="0083282F" w:rsidRDefault="0083282F" w:rsidP="001438A5">
            <w:pPr>
              <w:spacing w:after="0" w:line="240" w:lineRule="auto"/>
              <w:jc w:val="right"/>
              <w:rPr>
                <w:rFonts w:cs="Arial"/>
                <w:sz w:val="16"/>
                <w:szCs w:val="16"/>
              </w:rPr>
            </w:pPr>
            <w:r w:rsidRPr="0083282F">
              <w:rPr>
                <w:rFonts w:cs="Arial"/>
                <w:sz w:val="16"/>
                <w:szCs w:val="16"/>
              </w:rPr>
              <w:t>72,5</w:t>
            </w:r>
          </w:p>
        </w:tc>
        <w:tc>
          <w:tcPr>
            <w:tcW w:w="907" w:type="dxa"/>
            <w:tcBorders>
              <w:top w:val="nil"/>
              <w:left w:val="nil"/>
              <w:bottom w:val="nil"/>
              <w:right w:val="nil"/>
            </w:tcBorders>
            <w:shd w:val="clear" w:color="auto" w:fill="auto"/>
            <w:noWrap/>
            <w:vAlign w:val="center"/>
            <w:hideMark/>
          </w:tcPr>
          <w:p w14:paraId="4C18AD38" w14:textId="77777777" w:rsidR="0083282F" w:rsidRPr="0083282F" w:rsidRDefault="0083282F" w:rsidP="001438A5">
            <w:pPr>
              <w:spacing w:after="0" w:line="240" w:lineRule="auto"/>
              <w:jc w:val="right"/>
              <w:rPr>
                <w:rFonts w:cs="Arial"/>
                <w:sz w:val="16"/>
                <w:szCs w:val="16"/>
              </w:rPr>
            </w:pPr>
            <w:r w:rsidRPr="0083282F">
              <w:rPr>
                <w:rFonts w:cs="Arial"/>
                <w:sz w:val="16"/>
                <w:szCs w:val="16"/>
              </w:rPr>
              <w:t>76,7</w:t>
            </w:r>
          </w:p>
        </w:tc>
        <w:tc>
          <w:tcPr>
            <w:tcW w:w="907" w:type="dxa"/>
            <w:tcBorders>
              <w:top w:val="nil"/>
              <w:left w:val="nil"/>
              <w:bottom w:val="nil"/>
              <w:right w:val="nil"/>
            </w:tcBorders>
            <w:shd w:val="clear" w:color="auto" w:fill="auto"/>
            <w:noWrap/>
            <w:vAlign w:val="center"/>
            <w:hideMark/>
          </w:tcPr>
          <w:p w14:paraId="69BA2C16" w14:textId="77777777" w:rsidR="0083282F" w:rsidRPr="0083282F" w:rsidRDefault="0083282F" w:rsidP="001438A5">
            <w:pPr>
              <w:spacing w:after="0" w:line="240" w:lineRule="auto"/>
              <w:jc w:val="right"/>
              <w:rPr>
                <w:rFonts w:cs="Arial"/>
                <w:sz w:val="16"/>
                <w:szCs w:val="16"/>
              </w:rPr>
            </w:pPr>
            <w:r w:rsidRPr="0083282F">
              <w:rPr>
                <w:rFonts w:cs="Arial"/>
                <w:sz w:val="16"/>
                <w:szCs w:val="16"/>
              </w:rPr>
              <w:t>74,8</w:t>
            </w:r>
          </w:p>
        </w:tc>
        <w:tc>
          <w:tcPr>
            <w:tcW w:w="907" w:type="dxa"/>
            <w:tcBorders>
              <w:top w:val="nil"/>
              <w:left w:val="nil"/>
              <w:bottom w:val="nil"/>
              <w:right w:val="nil"/>
            </w:tcBorders>
            <w:shd w:val="clear" w:color="auto" w:fill="auto"/>
            <w:noWrap/>
            <w:vAlign w:val="center"/>
            <w:hideMark/>
          </w:tcPr>
          <w:p w14:paraId="263A33AB" w14:textId="77777777" w:rsidR="0083282F" w:rsidRPr="0083282F" w:rsidRDefault="0083282F" w:rsidP="001438A5">
            <w:pPr>
              <w:spacing w:after="0" w:line="240" w:lineRule="auto"/>
              <w:jc w:val="right"/>
              <w:rPr>
                <w:rFonts w:cs="Arial"/>
                <w:sz w:val="16"/>
                <w:szCs w:val="16"/>
              </w:rPr>
            </w:pPr>
            <w:r w:rsidRPr="0083282F">
              <w:rPr>
                <w:rFonts w:cs="Arial"/>
                <w:sz w:val="16"/>
                <w:szCs w:val="16"/>
              </w:rPr>
              <w:t>85,8</w:t>
            </w:r>
          </w:p>
        </w:tc>
        <w:tc>
          <w:tcPr>
            <w:tcW w:w="907" w:type="dxa"/>
            <w:tcBorders>
              <w:top w:val="nil"/>
              <w:left w:val="nil"/>
              <w:bottom w:val="nil"/>
              <w:right w:val="nil"/>
            </w:tcBorders>
            <w:shd w:val="clear" w:color="auto" w:fill="auto"/>
            <w:noWrap/>
            <w:vAlign w:val="center"/>
            <w:hideMark/>
          </w:tcPr>
          <w:p w14:paraId="21DCDB46" w14:textId="77777777" w:rsidR="0083282F" w:rsidRPr="0083282F" w:rsidRDefault="0083282F" w:rsidP="001438A5">
            <w:pPr>
              <w:spacing w:after="0" w:line="240" w:lineRule="auto"/>
              <w:jc w:val="right"/>
              <w:rPr>
                <w:rFonts w:cs="Arial"/>
                <w:sz w:val="16"/>
                <w:szCs w:val="16"/>
              </w:rPr>
            </w:pPr>
            <w:r w:rsidRPr="0083282F">
              <w:rPr>
                <w:rFonts w:cs="Arial"/>
                <w:sz w:val="16"/>
                <w:szCs w:val="16"/>
              </w:rPr>
              <w:t>87,4</w:t>
            </w:r>
          </w:p>
        </w:tc>
        <w:tc>
          <w:tcPr>
            <w:tcW w:w="907" w:type="dxa"/>
            <w:tcBorders>
              <w:top w:val="nil"/>
              <w:left w:val="nil"/>
              <w:bottom w:val="nil"/>
              <w:right w:val="nil"/>
            </w:tcBorders>
            <w:shd w:val="clear" w:color="auto" w:fill="auto"/>
            <w:noWrap/>
            <w:vAlign w:val="center"/>
            <w:hideMark/>
          </w:tcPr>
          <w:p w14:paraId="30D4D017" w14:textId="77777777" w:rsidR="0083282F" w:rsidRPr="0083282F" w:rsidRDefault="0083282F" w:rsidP="001438A5">
            <w:pPr>
              <w:spacing w:after="0" w:line="240" w:lineRule="auto"/>
              <w:jc w:val="right"/>
              <w:rPr>
                <w:rFonts w:cs="Arial"/>
                <w:sz w:val="16"/>
                <w:szCs w:val="16"/>
              </w:rPr>
            </w:pPr>
            <w:r w:rsidRPr="0083282F">
              <w:rPr>
                <w:rFonts w:cs="Arial"/>
                <w:sz w:val="16"/>
                <w:szCs w:val="16"/>
              </w:rPr>
              <w:t>91,8</w:t>
            </w:r>
          </w:p>
        </w:tc>
        <w:tc>
          <w:tcPr>
            <w:tcW w:w="907" w:type="dxa"/>
            <w:tcBorders>
              <w:top w:val="nil"/>
              <w:left w:val="nil"/>
              <w:bottom w:val="nil"/>
              <w:right w:val="nil"/>
            </w:tcBorders>
            <w:shd w:val="clear" w:color="auto" w:fill="auto"/>
            <w:noWrap/>
            <w:vAlign w:val="center"/>
            <w:hideMark/>
          </w:tcPr>
          <w:p w14:paraId="6F3FDD04" w14:textId="77777777" w:rsidR="0083282F" w:rsidRPr="0083282F" w:rsidRDefault="0083282F" w:rsidP="001438A5">
            <w:pPr>
              <w:spacing w:after="0" w:line="240" w:lineRule="auto"/>
              <w:jc w:val="right"/>
              <w:rPr>
                <w:rFonts w:cs="Arial"/>
                <w:sz w:val="16"/>
                <w:szCs w:val="16"/>
              </w:rPr>
            </w:pPr>
            <w:r w:rsidRPr="0083282F">
              <w:rPr>
                <w:rFonts w:cs="Arial"/>
                <w:sz w:val="16"/>
                <w:szCs w:val="16"/>
              </w:rPr>
              <w:t>92,5</w:t>
            </w:r>
          </w:p>
        </w:tc>
        <w:tc>
          <w:tcPr>
            <w:tcW w:w="907" w:type="dxa"/>
            <w:tcBorders>
              <w:top w:val="nil"/>
              <w:left w:val="nil"/>
              <w:bottom w:val="nil"/>
              <w:right w:val="nil"/>
            </w:tcBorders>
            <w:shd w:val="clear" w:color="auto" w:fill="auto"/>
            <w:noWrap/>
            <w:vAlign w:val="center"/>
            <w:hideMark/>
          </w:tcPr>
          <w:p w14:paraId="000EDA6B" w14:textId="77777777" w:rsidR="0083282F" w:rsidRPr="0083282F" w:rsidRDefault="0083282F" w:rsidP="001438A5">
            <w:pPr>
              <w:spacing w:after="0" w:line="240" w:lineRule="auto"/>
              <w:jc w:val="right"/>
              <w:rPr>
                <w:rFonts w:cs="Arial"/>
                <w:sz w:val="16"/>
                <w:szCs w:val="16"/>
              </w:rPr>
            </w:pPr>
            <w:r w:rsidRPr="0083282F">
              <w:rPr>
                <w:rFonts w:cs="Arial"/>
                <w:sz w:val="16"/>
                <w:szCs w:val="16"/>
              </w:rPr>
              <w:t>79,8</w:t>
            </w:r>
          </w:p>
        </w:tc>
      </w:tr>
      <w:tr w:rsidR="0083282F" w:rsidRPr="0083282F" w14:paraId="6CF37889" w14:textId="77777777" w:rsidTr="001438A5">
        <w:trPr>
          <w:trHeight w:val="300"/>
        </w:trPr>
        <w:tc>
          <w:tcPr>
            <w:tcW w:w="1417" w:type="dxa"/>
            <w:tcBorders>
              <w:top w:val="nil"/>
              <w:left w:val="nil"/>
              <w:bottom w:val="nil"/>
              <w:right w:val="nil"/>
            </w:tcBorders>
            <w:shd w:val="clear" w:color="auto" w:fill="auto"/>
            <w:noWrap/>
            <w:vAlign w:val="center"/>
            <w:hideMark/>
          </w:tcPr>
          <w:p w14:paraId="5FF3EAAD"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Řecko</w:t>
            </w:r>
          </w:p>
        </w:tc>
        <w:tc>
          <w:tcPr>
            <w:tcW w:w="907" w:type="dxa"/>
            <w:tcBorders>
              <w:top w:val="nil"/>
              <w:left w:val="single" w:sz="4" w:space="0" w:color="000000"/>
              <w:bottom w:val="nil"/>
              <w:right w:val="nil"/>
            </w:tcBorders>
            <w:shd w:val="clear" w:color="auto" w:fill="auto"/>
            <w:noWrap/>
            <w:vAlign w:val="center"/>
            <w:hideMark/>
          </w:tcPr>
          <w:p w14:paraId="2B7EEA1B" w14:textId="77777777" w:rsidR="0083282F" w:rsidRPr="0083282F" w:rsidRDefault="0083282F" w:rsidP="001438A5">
            <w:pPr>
              <w:spacing w:after="0" w:line="240" w:lineRule="auto"/>
              <w:jc w:val="right"/>
              <w:rPr>
                <w:rFonts w:cs="Arial"/>
                <w:sz w:val="16"/>
                <w:szCs w:val="16"/>
              </w:rPr>
            </w:pPr>
            <w:r w:rsidRPr="0083282F">
              <w:rPr>
                <w:rFonts w:cs="Arial"/>
                <w:sz w:val="16"/>
                <w:szCs w:val="16"/>
              </w:rPr>
              <w:t>519,0</w:t>
            </w:r>
          </w:p>
        </w:tc>
        <w:tc>
          <w:tcPr>
            <w:tcW w:w="907" w:type="dxa"/>
            <w:tcBorders>
              <w:top w:val="nil"/>
              <w:left w:val="nil"/>
              <w:bottom w:val="nil"/>
              <w:right w:val="nil"/>
            </w:tcBorders>
            <w:shd w:val="clear" w:color="auto" w:fill="auto"/>
            <w:noWrap/>
            <w:vAlign w:val="center"/>
            <w:hideMark/>
          </w:tcPr>
          <w:p w14:paraId="3EE7DFEE" w14:textId="77777777" w:rsidR="0083282F" w:rsidRPr="0083282F" w:rsidRDefault="0083282F" w:rsidP="001438A5">
            <w:pPr>
              <w:spacing w:after="0" w:line="240" w:lineRule="auto"/>
              <w:jc w:val="right"/>
              <w:rPr>
                <w:rFonts w:cs="Arial"/>
                <w:sz w:val="16"/>
                <w:szCs w:val="16"/>
              </w:rPr>
            </w:pPr>
            <w:r w:rsidRPr="0083282F">
              <w:rPr>
                <w:rFonts w:cs="Arial"/>
                <w:sz w:val="16"/>
                <w:szCs w:val="16"/>
              </w:rPr>
              <w:t>459,5</w:t>
            </w:r>
          </w:p>
        </w:tc>
        <w:tc>
          <w:tcPr>
            <w:tcW w:w="907" w:type="dxa"/>
            <w:tcBorders>
              <w:top w:val="nil"/>
              <w:left w:val="nil"/>
              <w:bottom w:val="nil"/>
              <w:right w:val="nil"/>
            </w:tcBorders>
            <w:shd w:val="clear" w:color="auto" w:fill="auto"/>
            <w:noWrap/>
            <w:vAlign w:val="center"/>
            <w:hideMark/>
          </w:tcPr>
          <w:p w14:paraId="60868A4C" w14:textId="77777777" w:rsidR="0083282F" w:rsidRPr="0083282F" w:rsidRDefault="0083282F" w:rsidP="001438A5">
            <w:pPr>
              <w:spacing w:after="0" w:line="240" w:lineRule="auto"/>
              <w:jc w:val="right"/>
              <w:rPr>
                <w:rFonts w:cs="Arial"/>
                <w:sz w:val="16"/>
                <w:szCs w:val="16"/>
              </w:rPr>
            </w:pPr>
            <w:r w:rsidRPr="0083282F">
              <w:rPr>
                <w:rFonts w:cs="Arial"/>
                <w:sz w:val="16"/>
                <w:szCs w:val="16"/>
              </w:rPr>
              <w:t>447,0</w:t>
            </w:r>
          </w:p>
        </w:tc>
        <w:tc>
          <w:tcPr>
            <w:tcW w:w="907" w:type="dxa"/>
            <w:tcBorders>
              <w:top w:val="nil"/>
              <w:left w:val="nil"/>
              <w:bottom w:val="nil"/>
              <w:right w:val="nil"/>
            </w:tcBorders>
            <w:shd w:val="clear" w:color="000000" w:fill="D9D9D9"/>
            <w:noWrap/>
            <w:vAlign w:val="center"/>
            <w:hideMark/>
          </w:tcPr>
          <w:p w14:paraId="24746179" w14:textId="77777777" w:rsidR="0083282F" w:rsidRPr="0083282F" w:rsidRDefault="0083282F" w:rsidP="001438A5">
            <w:pPr>
              <w:spacing w:after="0" w:line="240" w:lineRule="auto"/>
              <w:jc w:val="right"/>
              <w:rPr>
                <w:rFonts w:cs="Arial"/>
                <w:sz w:val="16"/>
                <w:szCs w:val="16"/>
              </w:rPr>
            </w:pPr>
            <w:r w:rsidRPr="0083282F">
              <w:rPr>
                <w:rFonts w:cs="Arial"/>
                <w:sz w:val="16"/>
                <w:szCs w:val="16"/>
              </w:rPr>
              <w:t>152,1</w:t>
            </w:r>
          </w:p>
        </w:tc>
        <w:tc>
          <w:tcPr>
            <w:tcW w:w="907" w:type="dxa"/>
            <w:tcBorders>
              <w:top w:val="nil"/>
              <w:left w:val="nil"/>
              <w:bottom w:val="nil"/>
              <w:right w:val="nil"/>
            </w:tcBorders>
            <w:shd w:val="clear" w:color="auto" w:fill="auto"/>
            <w:noWrap/>
            <w:vAlign w:val="center"/>
            <w:hideMark/>
          </w:tcPr>
          <w:p w14:paraId="1FCC2CF6" w14:textId="77777777" w:rsidR="0083282F" w:rsidRPr="0083282F" w:rsidRDefault="0083282F" w:rsidP="001438A5">
            <w:pPr>
              <w:spacing w:after="0" w:line="240" w:lineRule="auto"/>
              <w:jc w:val="right"/>
              <w:rPr>
                <w:rFonts w:cs="Arial"/>
                <w:sz w:val="16"/>
                <w:szCs w:val="16"/>
              </w:rPr>
            </w:pPr>
            <w:r w:rsidRPr="0083282F">
              <w:rPr>
                <w:rFonts w:cs="Arial"/>
                <w:sz w:val="16"/>
                <w:szCs w:val="16"/>
              </w:rPr>
              <w:t>241,4</w:t>
            </w:r>
          </w:p>
        </w:tc>
        <w:tc>
          <w:tcPr>
            <w:tcW w:w="907" w:type="dxa"/>
            <w:tcBorders>
              <w:top w:val="nil"/>
              <w:left w:val="nil"/>
              <w:bottom w:val="nil"/>
              <w:right w:val="nil"/>
            </w:tcBorders>
            <w:shd w:val="clear" w:color="auto" w:fill="auto"/>
            <w:noWrap/>
            <w:vAlign w:val="center"/>
            <w:hideMark/>
          </w:tcPr>
          <w:p w14:paraId="76E59036" w14:textId="77777777" w:rsidR="0083282F" w:rsidRPr="0083282F" w:rsidRDefault="0083282F" w:rsidP="001438A5">
            <w:pPr>
              <w:spacing w:after="0" w:line="240" w:lineRule="auto"/>
              <w:jc w:val="right"/>
              <w:rPr>
                <w:rFonts w:cs="Arial"/>
                <w:sz w:val="16"/>
                <w:szCs w:val="16"/>
              </w:rPr>
            </w:pPr>
            <w:r w:rsidRPr="0083282F">
              <w:rPr>
                <w:rFonts w:cs="Arial"/>
                <w:sz w:val="16"/>
                <w:szCs w:val="16"/>
              </w:rPr>
              <w:t>229,1</w:t>
            </w:r>
          </w:p>
        </w:tc>
        <w:tc>
          <w:tcPr>
            <w:tcW w:w="907" w:type="dxa"/>
            <w:tcBorders>
              <w:top w:val="nil"/>
              <w:left w:val="nil"/>
              <w:bottom w:val="nil"/>
              <w:right w:val="nil"/>
            </w:tcBorders>
            <w:shd w:val="clear" w:color="auto" w:fill="auto"/>
            <w:noWrap/>
            <w:vAlign w:val="center"/>
            <w:hideMark/>
          </w:tcPr>
          <w:p w14:paraId="5FDA6652" w14:textId="77777777" w:rsidR="0083282F" w:rsidRPr="0083282F" w:rsidRDefault="0083282F" w:rsidP="001438A5">
            <w:pPr>
              <w:spacing w:after="0" w:line="240" w:lineRule="auto"/>
              <w:jc w:val="right"/>
              <w:rPr>
                <w:rFonts w:cs="Arial"/>
                <w:sz w:val="16"/>
                <w:szCs w:val="16"/>
              </w:rPr>
            </w:pPr>
            <w:r w:rsidRPr="0083282F">
              <w:rPr>
                <w:rFonts w:cs="Arial"/>
                <w:sz w:val="16"/>
                <w:szCs w:val="16"/>
              </w:rPr>
              <w:t>236,4</w:t>
            </w:r>
          </w:p>
        </w:tc>
        <w:tc>
          <w:tcPr>
            <w:tcW w:w="907" w:type="dxa"/>
            <w:tcBorders>
              <w:top w:val="nil"/>
              <w:left w:val="nil"/>
              <w:bottom w:val="nil"/>
              <w:right w:val="nil"/>
            </w:tcBorders>
            <w:shd w:val="clear" w:color="auto" w:fill="auto"/>
            <w:noWrap/>
            <w:vAlign w:val="center"/>
            <w:hideMark/>
          </w:tcPr>
          <w:p w14:paraId="5894379F" w14:textId="77777777" w:rsidR="0083282F" w:rsidRPr="0083282F" w:rsidRDefault="0083282F" w:rsidP="001438A5">
            <w:pPr>
              <w:spacing w:after="0" w:line="240" w:lineRule="auto"/>
              <w:jc w:val="right"/>
              <w:rPr>
                <w:rFonts w:cs="Arial"/>
                <w:sz w:val="16"/>
                <w:szCs w:val="16"/>
              </w:rPr>
            </w:pPr>
            <w:r w:rsidRPr="0083282F">
              <w:rPr>
                <w:rFonts w:cs="Arial"/>
                <w:sz w:val="16"/>
                <w:szCs w:val="16"/>
              </w:rPr>
              <w:t>172,6</w:t>
            </w:r>
          </w:p>
        </w:tc>
        <w:tc>
          <w:tcPr>
            <w:tcW w:w="907" w:type="dxa"/>
            <w:tcBorders>
              <w:top w:val="nil"/>
              <w:left w:val="nil"/>
              <w:bottom w:val="nil"/>
              <w:right w:val="nil"/>
            </w:tcBorders>
            <w:shd w:val="clear" w:color="auto" w:fill="auto"/>
            <w:noWrap/>
            <w:vAlign w:val="center"/>
            <w:hideMark/>
          </w:tcPr>
          <w:p w14:paraId="4926B4D0" w14:textId="77777777" w:rsidR="0083282F" w:rsidRPr="0083282F" w:rsidRDefault="0083282F" w:rsidP="001438A5">
            <w:pPr>
              <w:spacing w:after="0" w:line="240" w:lineRule="auto"/>
              <w:jc w:val="right"/>
              <w:rPr>
                <w:rFonts w:cs="Arial"/>
                <w:sz w:val="16"/>
                <w:szCs w:val="16"/>
              </w:rPr>
            </w:pPr>
            <w:r w:rsidRPr="0083282F">
              <w:rPr>
                <w:rFonts w:cs="Arial"/>
                <w:sz w:val="16"/>
                <w:szCs w:val="16"/>
              </w:rPr>
              <w:t>197,2</w:t>
            </w:r>
          </w:p>
        </w:tc>
      </w:tr>
      <w:tr w:rsidR="0083282F" w:rsidRPr="0083282F" w14:paraId="2E6CAE7B" w14:textId="77777777" w:rsidTr="001438A5">
        <w:trPr>
          <w:trHeight w:val="300"/>
        </w:trPr>
        <w:tc>
          <w:tcPr>
            <w:tcW w:w="1417" w:type="dxa"/>
            <w:tcBorders>
              <w:top w:val="nil"/>
              <w:left w:val="nil"/>
              <w:bottom w:val="nil"/>
              <w:right w:val="nil"/>
            </w:tcBorders>
            <w:shd w:val="clear" w:color="auto" w:fill="auto"/>
            <w:noWrap/>
            <w:vAlign w:val="center"/>
            <w:hideMark/>
          </w:tcPr>
          <w:p w14:paraId="53640BF7"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Slovensko</w:t>
            </w:r>
          </w:p>
        </w:tc>
        <w:tc>
          <w:tcPr>
            <w:tcW w:w="907" w:type="dxa"/>
            <w:tcBorders>
              <w:top w:val="nil"/>
              <w:left w:val="single" w:sz="4" w:space="0" w:color="000000"/>
              <w:bottom w:val="nil"/>
              <w:right w:val="nil"/>
            </w:tcBorders>
            <w:shd w:val="clear" w:color="auto" w:fill="auto"/>
            <w:noWrap/>
            <w:vAlign w:val="center"/>
            <w:hideMark/>
          </w:tcPr>
          <w:p w14:paraId="402BE7A9" w14:textId="77777777" w:rsidR="0083282F" w:rsidRPr="0083282F" w:rsidRDefault="0083282F" w:rsidP="001438A5">
            <w:pPr>
              <w:spacing w:after="0" w:line="240" w:lineRule="auto"/>
              <w:jc w:val="right"/>
              <w:rPr>
                <w:rFonts w:cs="Arial"/>
                <w:sz w:val="16"/>
                <w:szCs w:val="16"/>
              </w:rPr>
            </w:pPr>
            <w:r w:rsidRPr="0083282F">
              <w:rPr>
                <w:rFonts w:cs="Arial"/>
                <w:sz w:val="16"/>
                <w:szCs w:val="16"/>
              </w:rPr>
              <w:t>444,9</w:t>
            </w:r>
          </w:p>
        </w:tc>
        <w:tc>
          <w:tcPr>
            <w:tcW w:w="907" w:type="dxa"/>
            <w:tcBorders>
              <w:top w:val="nil"/>
              <w:left w:val="nil"/>
              <w:bottom w:val="nil"/>
              <w:right w:val="nil"/>
            </w:tcBorders>
            <w:shd w:val="clear" w:color="auto" w:fill="auto"/>
            <w:noWrap/>
            <w:vAlign w:val="center"/>
            <w:hideMark/>
          </w:tcPr>
          <w:p w14:paraId="6F630B91" w14:textId="77777777" w:rsidR="0083282F" w:rsidRPr="0083282F" w:rsidRDefault="0083282F" w:rsidP="001438A5">
            <w:pPr>
              <w:spacing w:after="0" w:line="240" w:lineRule="auto"/>
              <w:jc w:val="right"/>
              <w:rPr>
                <w:rFonts w:cs="Arial"/>
                <w:sz w:val="16"/>
                <w:szCs w:val="16"/>
              </w:rPr>
            </w:pPr>
            <w:r w:rsidRPr="0083282F">
              <w:rPr>
                <w:rFonts w:cs="Arial"/>
                <w:sz w:val="16"/>
                <w:szCs w:val="16"/>
              </w:rPr>
              <w:t>421,2</w:t>
            </w:r>
          </w:p>
        </w:tc>
        <w:tc>
          <w:tcPr>
            <w:tcW w:w="907" w:type="dxa"/>
            <w:tcBorders>
              <w:top w:val="nil"/>
              <w:left w:val="nil"/>
              <w:bottom w:val="nil"/>
              <w:right w:val="nil"/>
            </w:tcBorders>
            <w:shd w:val="clear" w:color="auto" w:fill="auto"/>
            <w:noWrap/>
            <w:vAlign w:val="center"/>
            <w:hideMark/>
          </w:tcPr>
          <w:p w14:paraId="45BFBD53" w14:textId="77777777" w:rsidR="0083282F" w:rsidRPr="0083282F" w:rsidRDefault="0083282F" w:rsidP="001438A5">
            <w:pPr>
              <w:spacing w:after="0" w:line="240" w:lineRule="auto"/>
              <w:jc w:val="right"/>
              <w:rPr>
                <w:rFonts w:cs="Arial"/>
                <w:sz w:val="16"/>
                <w:szCs w:val="16"/>
              </w:rPr>
            </w:pPr>
            <w:r w:rsidRPr="0083282F">
              <w:rPr>
                <w:rFonts w:cs="Arial"/>
                <w:sz w:val="16"/>
                <w:szCs w:val="16"/>
              </w:rPr>
              <w:t>426,9</w:t>
            </w:r>
          </w:p>
        </w:tc>
        <w:tc>
          <w:tcPr>
            <w:tcW w:w="907" w:type="dxa"/>
            <w:tcBorders>
              <w:top w:val="nil"/>
              <w:left w:val="nil"/>
              <w:bottom w:val="nil"/>
              <w:right w:val="nil"/>
            </w:tcBorders>
            <w:shd w:val="clear" w:color="auto" w:fill="auto"/>
            <w:noWrap/>
            <w:vAlign w:val="center"/>
            <w:hideMark/>
          </w:tcPr>
          <w:p w14:paraId="67CEF889" w14:textId="77777777" w:rsidR="0083282F" w:rsidRPr="0083282F" w:rsidRDefault="0083282F" w:rsidP="001438A5">
            <w:pPr>
              <w:spacing w:after="0" w:line="240" w:lineRule="auto"/>
              <w:jc w:val="right"/>
              <w:rPr>
                <w:rFonts w:cs="Arial"/>
                <w:sz w:val="16"/>
                <w:szCs w:val="16"/>
              </w:rPr>
            </w:pPr>
            <w:r w:rsidRPr="0083282F">
              <w:rPr>
                <w:rFonts w:cs="Arial"/>
                <w:sz w:val="16"/>
                <w:szCs w:val="16"/>
              </w:rPr>
              <w:t>414,9</w:t>
            </w:r>
          </w:p>
        </w:tc>
        <w:tc>
          <w:tcPr>
            <w:tcW w:w="907" w:type="dxa"/>
            <w:tcBorders>
              <w:top w:val="nil"/>
              <w:left w:val="nil"/>
              <w:bottom w:val="nil"/>
              <w:right w:val="nil"/>
            </w:tcBorders>
            <w:shd w:val="clear" w:color="auto" w:fill="auto"/>
            <w:noWrap/>
            <w:vAlign w:val="center"/>
            <w:hideMark/>
          </w:tcPr>
          <w:p w14:paraId="0A218261" w14:textId="77777777" w:rsidR="0083282F" w:rsidRPr="0083282F" w:rsidRDefault="0083282F" w:rsidP="001438A5">
            <w:pPr>
              <w:spacing w:after="0" w:line="240" w:lineRule="auto"/>
              <w:jc w:val="right"/>
              <w:rPr>
                <w:rFonts w:cs="Arial"/>
                <w:sz w:val="16"/>
                <w:szCs w:val="16"/>
              </w:rPr>
            </w:pPr>
            <w:r w:rsidRPr="0083282F">
              <w:rPr>
                <w:rFonts w:cs="Arial"/>
                <w:sz w:val="16"/>
                <w:szCs w:val="16"/>
              </w:rPr>
              <w:t>525,9</w:t>
            </w:r>
          </w:p>
        </w:tc>
        <w:tc>
          <w:tcPr>
            <w:tcW w:w="907" w:type="dxa"/>
            <w:tcBorders>
              <w:top w:val="nil"/>
              <w:left w:val="nil"/>
              <w:bottom w:val="nil"/>
              <w:right w:val="nil"/>
            </w:tcBorders>
            <w:shd w:val="clear" w:color="auto" w:fill="auto"/>
            <w:noWrap/>
            <w:vAlign w:val="center"/>
            <w:hideMark/>
          </w:tcPr>
          <w:p w14:paraId="42937836" w14:textId="77777777" w:rsidR="0083282F" w:rsidRPr="0083282F" w:rsidRDefault="0083282F" w:rsidP="001438A5">
            <w:pPr>
              <w:spacing w:after="0" w:line="240" w:lineRule="auto"/>
              <w:jc w:val="right"/>
              <w:rPr>
                <w:rFonts w:cs="Arial"/>
                <w:sz w:val="16"/>
                <w:szCs w:val="16"/>
              </w:rPr>
            </w:pPr>
            <w:r w:rsidRPr="0083282F">
              <w:rPr>
                <w:rFonts w:cs="Arial"/>
                <w:sz w:val="16"/>
                <w:szCs w:val="16"/>
              </w:rPr>
              <w:t>533,5</w:t>
            </w:r>
          </w:p>
        </w:tc>
        <w:tc>
          <w:tcPr>
            <w:tcW w:w="907" w:type="dxa"/>
            <w:tcBorders>
              <w:top w:val="nil"/>
              <w:left w:val="nil"/>
              <w:bottom w:val="nil"/>
              <w:right w:val="nil"/>
            </w:tcBorders>
            <w:shd w:val="clear" w:color="auto" w:fill="auto"/>
            <w:noWrap/>
            <w:vAlign w:val="center"/>
            <w:hideMark/>
          </w:tcPr>
          <w:p w14:paraId="2E779991" w14:textId="77777777" w:rsidR="0083282F" w:rsidRPr="0083282F" w:rsidRDefault="0083282F" w:rsidP="001438A5">
            <w:pPr>
              <w:spacing w:after="0" w:line="240" w:lineRule="auto"/>
              <w:jc w:val="right"/>
              <w:rPr>
                <w:rFonts w:cs="Arial"/>
                <w:sz w:val="16"/>
                <w:szCs w:val="16"/>
              </w:rPr>
            </w:pPr>
            <w:r w:rsidRPr="0083282F">
              <w:rPr>
                <w:rFonts w:cs="Arial"/>
                <w:sz w:val="16"/>
                <w:szCs w:val="16"/>
              </w:rPr>
              <w:t>530,9</w:t>
            </w:r>
          </w:p>
        </w:tc>
        <w:tc>
          <w:tcPr>
            <w:tcW w:w="907" w:type="dxa"/>
            <w:tcBorders>
              <w:top w:val="nil"/>
              <w:left w:val="nil"/>
              <w:bottom w:val="nil"/>
              <w:right w:val="nil"/>
            </w:tcBorders>
            <w:shd w:val="clear" w:color="auto" w:fill="auto"/>
            <w:noWrap/>
            <w:vAlign w:val="center"/>
            <w:hideMark/>
          </w:tcPr>
          <w:p w14:paraId="3D4B235F" w14:textId="77777777" w:rsidR="0083282F" w:rsidRPr="0083282F" w:rsidRDefault="0083282F" w:rsidP="001438A5">
            <w:pPr>
              <w:spacing w:after="0" w:line="240" w:lineRule="auto"/>
              <w:jc w:val="right"/>
              <w:rPr>
                <w:rFonts w:cs="Arial"/>
                <w:sz w:val="16"/>
                <w:szCs w:val="16"/>
              </w:rPr>
            </w:pPr>
            <w:r w:rsidRPr="0083282F">
              <w:rPr>
                <w:rFonts w:cs="Arial"/>
                <w:sz w:val="16"/>
                <w:szCs w:val="16"/>
              </w:rPr>
              <w:t>538,6</w:t>
            </w:r>
          </w:p>
        </w:tc>
        <w:tc>
          <w:tcPr>
            <w:tcW w:w="907" w:type="dxa"/>
            <w:tcBorders>
              <w:top w:val="nil"/>
              <w:left w:val="nil"/>
              <w:bottom w:val="nil"/>
              <w:right w:val="nil"/>
            </w:tcBorders>
            <w:shd w:val="clear" w:color="auto" w:fill="auto"/>
            <w:noWrap/>
            <w:vAlign w:val="center"/>
            <w:hideMark/>
          </w:tcPr>
          <w:p w14:paraId="0698C93C" w14:textId="77777777" w:rsidR="0083282F" w:rsidRPr="0083282F" w:rsidRDefault="0083282F" w:rsidP="001438A5">
            <w:pPr>
              <w:spacing w:after="0" w:line="240" w:lineRule="auto"/>
              <w:jc w:val="right"/>
              <w:rPr>
                <w:rFonts w:cs="Arial"/>
                <w:sz w:val="16"/>
                <w:szCs w:val="16"/>
              </w:rPr>
            </w:pPr>
            <w:r w:rsidRPr="0083282F">
              <w:rPr>
                <w:rFonts w:cs="Arial"/>
                <w:sz w:val="16"/>
                <w:szCs w:val="16"/>
              </w:rPr>
              <w:t>520,8</w:t>
            </w:r>
          </w:p>
        </w:tc>
      </w:tr>
      <w:tr w:rsidR="0083282F" w:rsidRPr="0083282F" w14:paraId="270EC847" w14:textId="77777777" w:rsidTr="001438A5">
        <w:trPr>
          <w:trHeight w:val="300"/>
        </w:trPr>
        <w:tc>
          <w:tcPr>
            <w:tcW w:w="1417" w:type="dxa"/>
            <w:tcBorders>
              <w:top w:val="nil"/>
              <w:left w:val="nil"/>
              <w:bottom w:val="nil"/>
              <w:right w:val="nil"/>
            </w:tcBorders>
            <w:shd w:val="clear" w:color="auto" w:fill="auto"/>
            <w:noWrap/>
            <w:vAlign w:val="center"/>
            <w:hideMark/>
          </w:tcPr>
          <w:p w14:paraId="1A6E7A8E"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Slovinsko</w:t>
            </w:r>
          </w:p>
        </w:tc>
        <w:tc>
          <w:tcPr>
            <w:tcW w:w="907" w:type="dxa"/>
            <w:tcBorders>
              <w:top w:val="nil"/>
              <w:left w:val="single" w:sz="4" w:space="0" w:color="000000"/>
              <w:bottom w:val="nil"/>
              <w:right w:val="nil"/>
            </w:tcBorders>
            <w:shd w:val="clear" w:color="auto" w:fill="auto"/>
            <w:noWrap/>
            <w:vAlign w:val="center"/>
            <w:hideMark/>
          </w:tcPr>
          <w:p w14:paraId="1B605335" w14:textId="77777777" w:rsidR="0083282F" w:rsidRPr="0083282F" w:rsidRDefault="0083282F" w:rsidP="001438A5">
            <w:pPr>
              <w:spacing w:after="0" w:line="240" w:lineRule="auto"/>
              <w:jc w:val="right"/>
              <w:rPr>
                <w:rFonts w:cs="Arial"/>
                <w:sz w:val="16"/>
                <w:szCs w:val="16"/>
              </w:rPr>
            </w:pPr>
            <w:r w:rsidRPr="0083282F">
              <w:rPr>
                <w:rFonts w:cs="Arial"/>
                <w:sz w:val="16"/>
                <w:szCs w:val="16"/>
              </w:rPr>
              <w:t>2 006,8</w:t>
            </w:r>
          </w:p>
        </w:tc>
        <w:tc>
          <w:tcPr>
            <w:tcW w:w="907" w:type="dxa"/>
            <w:tcBorders>
              <w:top w:val="nil"/>
              <w:left w:val="nil"/>
              <w:bottom w:val="nil"/>
              <w:right w:val="nil"/>
            </w:tcBorders>
            <w:shd w:val="clear" w:color="auto" w:fill="auto"/>
            <w:noWrap/>
            <w:vAlign w:val="center"/>
            <w:hideMark/>
          </w:tcPr>
          <w:p w14:paraId="5964E5E1" w14:textId="77777777" w:rsidR="0083282F" w:rsidRPr="0083282F" w:rsidRDefault="0083282F" w:rsidP="001438A5">
            <w:pPr>
              <w:spacing w:after="0" w:line="240" w:lineRule="auto"/>
              <w:jc w:val="right"/>
              <w:rPr>
                <w:rFonts w:cs="Arial"/>
                <w:sz w:val="16"/>
                <w:szCs w:val="16"/>
              </w:rPr>
            </w:pPr>
            <w:r w:rsidRPr="0083282F">
              <w:rPr>
                <w:rFonts w:cs="Arial"/>
                <w:sz w:val="16"/>
                <w:szCs w:val="16"/>
              </w:rPr>
              <w:t>1 787,7</w:t>
            </w:r>
          </w:p>
        </w:tc>
        <w:tc>
          <w:tcPr>
            <w:tcW w:w="907" w:type="dxa"/>
            <w:tcBorders>
              <w:top w:val="nil"/>
              <w:left w:val="nil"/>
              <w:bottom w:val="nil"/>
              <w:right w:val="nil"/>
            </w:tcBorders>
            <w:shd w:val="clear" w:color="auto" w:fill="auto"/>
            <w:noWrap/>
            <w:vAlign w:val="center"/>
            <w:hideMark/>
          </w:tcPr>
          <w:p w14:paraId="0ED3C979" w14:textId="77777777" w:rsidR="0083282F" w:rsidRPr="0083282F" w:rsidRDefault="0083282F" w:rsidP="001438A5">
            <w:pPr>
              <w:spacing w:after="0" w:line="240" w:lineRule="auto"/>
              <w:jc w:val="right"/>
              <w:rPr>
                <w:rFonts w:cs="Arial"/>
                <w:sz w:val="16"/>
                <w:szCs w:val="16"/>
              </w:rPr>
            </w:pPr>
            <w:r w:rsidRPr="0083282F">
              <w:rPr>
                <w:rFonts w:cs="Arial"/>
                <w:sz w:val="16"/>
                <w:szCs w:val="16"/>
              </w:rPr>
              <w:t>1 594,7</w:t>
            </w:r>
          </w:p>
        </w:tc>
        <w:tc>
          <w:tcPr>
            <w:tcW w:w="907" w:type="dxa"/>
            <w:tcBorders>
              <w:top w:val="nil"/>
              <w:left w:val="nil"/>
              <w:bottom w:val="nil"/>
              <w:right w:val="nil"/>
            </w:tcBorders>
            <w:shd w:val="clear" w:color="auto" w:fill="auto"/>
            <w:noWrap/>
            <w:vAlign w:val="center"/>
            <w:hideMark/>
          </w:tcPr>
          <w:p w14:paraId="6DE4ED89" w14:textId="77777777" w:rsidR="0083282F" w:rsidRPr="0083282F" w:rsidRDefault="0083282F" w:rsidP="001438A5">
            <w:pPr>
              <w:spacing w:after="0" w:line="240" w:lineRule="auto"/>
              <w:jc w:val="right"/>
              <w:rPr>
                <w:rFonts w:cs="Arial"/>
                <w:sz w:val="16"/>
                <w:szCs w:val="16"/>
              </w:rPr>
            </w:pPr>
            <w:r w:rsidRPr="0083282F">
              <w:rPr>
                <w:rFonts w:cs="Arial"/>
                <w:sz w:val="16"/>
                <w:szCs w:val="16"/>
              </w:rPr>
              <w:t>1 627,1</w:t>
            </w:r>
          </w:p>
        </w:tc>
        <w:tc>
          <w:tcPr>
            <w:tcW w:w="907" w:type="dxa"/>
            <w:tcBorders>
              <w:top w:val="nil"/>
              <w:left w:val="nil"/>
              <w:bottom w:val="nil"/>
              <w:right w:val="nil"/>
            </w:tcBorders>
            <w:shd w:val="clear" w:color="auto" w:fill="auto"/>
            <w:noWrap/>
            <w:vAlign w:val="center"/>
            <w:hideMark/>
          </w:tcPr>
          <w:p w14:paraId="0279A506" w14:textId="77777777" w:rsidR="0083282F" w:rsidRPr="0083282F" w:rsidRDefault="0083282F" w:rsidP="001438A5">
            <w:pPr>
              <w:spacing w:after="0" w:line="240" w:lineRule="auto"/>
              <w:jc w:val="right"/>
              <w:rPr>
                <w:rFonts w:cs="Arial"/>
                <w:sz w:val="16"/>
                <w:szCs w:val="16"/>
              </w:rPr>
            </w:pPr>
            <w:r w:rsidRPr="0083282F">
              <w:rPr>
                <w:rFonts w:cs="Arial"/>
                <w:sz w:val="16"/>
                <w:szCs w:val="16"/>
              </w:rPr>
              <w:t>1 658,8</w:t>
            </w:r>
          </w:p>
        </w:tc>
        <w:tc>
          <w:tcPr>
            <w:tcW w:w="907" w:type="dxa"/>
            <w:tcBorders>
              <w:top w:val="nil"/>
              <w:left w:val="nil"/>
              <w:bottom w:val="nil"/>
              <w:right w:val="nil"/>
            </w:tcBorders>
            <w:shd w:val="clear" w:color="auto" w:fill="auto"/>
            <w:noWrap/>
            <w:vAlign w:val="center"/>
            <w:hideMark/>
          </w:tcPr>
          <w:p w14:paraId="0FBC7B39" w14:textId="77777777" w:rsidR="0083282F" w:rsidRPr="0083282F" w:rsidRDefault="0083282F" w:rsidP="001438A5">
            <w:pPr>
              <w:spacing w:after="0" w:line="240" w:lineRule="auto"/>
              <w:jc w:val="right"/>
              <w:rPr>
                <w:rFonts w:cs="Arial"/>
                <w:sz w:val="16"/>
                <w:szCs w:val="16"/>
              </w:rPr>
            </w:pPr>
            <w:r w:rsidRPr="0083282F">
              <w:rPr>
                <w:rFonts w:cs="Arial"/>
                <w:sz w:val="16"/>
                <w:szCs w:val="16"/>
              </w:rPr>
              <w:t>1 556,7</w:t>
            </w:r>
          </w:p>
        </w:tc>
        <w:tc>
          <w:tcPr>
            <w:tcW w:w="907" w:type="dxa"/>
            <w:tcBorders>
              <w:top w:val="nil"/>
              <w:left w:val="nil"/>
              <w:bottom w:val="nil"/>
              <w:right w:val="nil"/>
            </w:tcBorders>
            <w:shd w:val="clear" w:color="auto" w:fill="auto"/>
            <w:noWrap/>
            <w:vAlign w:val="center"/>
            <w:hideMark/>
          </w:tcPr>
          <w:p w14:paraId="4CCFFB59" w14:textId="77777777" w:rsidR="0083282F" w:rsidRPr="0083282F" w:rsidRDefault="0083282F" w:rsidP="001438A5">
            <w:pPr>
              <w:spacing w:after="0" w:line="240" w:lineRule="auto"/>
              <w:jc w:val="right"/>
              <w:rPr>
                <w:rFonts w:cs="Arial"/>
                <w:sz w:val="16"/>
                <w:szCs w:val="16"/>
              </w:rPr>
            </w:pPr>
            <w:r w:rsidRPr="0083282F">
              <w:rPr>
                <w:rFonts w:cs="Arial"/>
                <w:sz w:val="16"/>
                <w:szCs w:val="16"/>
              </w:rPr>
              <w:t>1 636,7</w:t>
            </w:r>
          </w:p>
        </w:tc>
        <w:tc>
          <w:tcPr>
            <w:tcW w:w="907" w:type="dxa"/>
            <w:tcBorders>
              <w:top w:val="nil"/>
              <w:left w:val="nil"/>
              <w:bottom w:val="nil"/>
              <w:right w:val="nil"/>
            </w:tcBorders>
            <w:shd w:val="clear" w:color="auto" w:fill="auto"/>
            <w:noWrap/>
            <w:vAlign w:val="center"/>
            <w:hideMark/>
          </w:tcPr>
          <w:p w14:paraId="61EA544E" w14:textId="77777777" w:rsidR="0083282F" w:rsidRPr="0083282F" w:rsidRDefault="0083282F" w:rsidP="001438A5">
            <w:pPr>
              <w:spacing w:after="0" w:line="240" w:lineRule="auto"/>
              <w:jc w:val="right"/>
              <w:rPr>
                <w:rFonts w:cs="Arial"/>
                <w:sz w:val="16"/>
                <w:szCs w:val="16"/>
              </w:rPr>
            </w:pPr>
            <w:r w:rsidRPr="0083282F">
              <w:rPr>
                <w:rFonts w:cs="Arial"/>
                <w:sz w:val="16"/>
                <w:szCs w:val="16"/>
              </w:rPr>
              <w:t>1 567,2</w:t>
            </w:r>
          </w:p>
        </w:tc>
        <w:tc>
          <w:tcPr>
            <w:tcW w:w="907" w:type="dxa"/>
            <w:tcBorders>
              <w:top w:val="nil"/>
              <w:left w:val="nil"/>
              <w:bottom w:val="nil"/>
              <w:right w:val="nil"/>
            </w:tcBorders>
            <w:shd w:val="clear" w:color="auto" w:fill="auto"/>
            <w:noWrap/>
            <w:vAlign w:val="center"/>
            <w:hideMark/>
          </w:tcPr>
          <w:p w14:paraId="75B11F68" w14:textId="77777777" w:rsidR="0083282F" w:rsidRPr="0083282F" w:rsidRDefault="0083282F" w:rsidP="001438A5">
            <w:pPr>
              <w:spacing w:after="0" w:line="240" w:lineRule="auto"/>
              <w:jc w:val="right"/>
              <w:rPr>
                <w:rFonts w:cs="Arial"/>
                <w:sz w:val="16"/>
                <w:szCs w:val="16"/>
              </w:rPr>
            </w:pPr>
            <w:r w:rsidRPr="0083282F">
              <w:rPr>
                <w:rFonts w:cs="Arial"/>
                <w:sz w:val="16"/>
                <w:szCs w:val="16"/>
              </w:rPr>
              <w:t>1 477,0</w:t>
            </w:r>
          </w:p>
        </w:tc>
      </w:tr>
      <w:tr w:rsidR="0083282F" w:rsidRPr="0083282F" w14:paraId="22AB1CD6" w14:textId="77777777" w:rsidTr="001438A5">
        <w:trPr>
          <w:trHeight w:val="300"/>
        </w:trPr>
        <w:tc>
          <w:tcPr>
            <w:tcW w:w="1417" w:type="dxa"/>
            <w:tcBorders>
              <w:top w:val="nil"/>
              <w:left w:val="nil"/>
              <w:bottom w:val="nil"/>
              <w:right w:val="nil"/>
            </w:tcBorders>
            <w:shd w:val="clear" w:color="auto" w:fill="auto"/>
            <w:noWrap/>
            <w:vAlign w:val="center"/>
            <w:hideMark/>
          </w:tcPr>
          <w:p w14:paraId="7D260A0E"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Španělsko</w:t>
            </w:r>
          </w:p>
        </w:tc>
        <w:tc>
          <w:tcPr>
            <w:tcW w:w="907" w:type="dxa"/>
            <w:tcBorders>
              <w:top w:val="nil"/>
              <w:left w:val="single" w:sz="4" w:space="0" w:color="000000"/>
              <w:bottom w:val="nil"/>
              <w:right w:val="nil"/>
            </w:tcBorders>
            <w:shd w:val="clear" w:color="auto" w:fill="auto"/>
            <w:noWrap/>
            <w:vAlign w:val="center"/>
            <w:hideMark/>
          </w:tcPr>
          <w:p w14:paraId="375CB91E" w14:textId="77777777" w:rsidR="0083282F" w:rsidRPr="0083282F" w:rsidRDefault="0083282F" w:rsidP="001438A5">
            <w:pPr>
              <w:spacing w:after="0" w:line="240" w:lineRule="auto"/>
              <w:jc w:val="right"/>
              <w:rPr>
                <w:rFonts w:cs="Arial"/>
                <w:sz w:val="16"/>
                <w:szCs w:val="16"/>
              </w:rPr>
            </w:pPr>
            <w:r w:rsidRPr="0083282F">
              <w:rPr>
                <w:rFonts w:cs="Arial"/>
                <w:sz w:val="16"/>
                <w:szCs w:val="16"/>
              </w:rPr>
              <w:t>3 421,7</w:t>
            </w:r>
          </w:p>
        </w:tc>
        <w:tc>
          <w:tcPr>
            <w:tcW w:w="907" w:type="dxa"/>
            <w:tcBorders>
              <w:top w:val="nil"/>
              <w:left w:val="nil"/>
              <w:bottom w:val="nil"/>
              <w:right w:val="nil"/>
            </w:tcBorders>
            <w:shd w:val="clear" w:color="auto" w:fill="auto"/>
            <w:noWrap/>
            <w:vAlign w:val="center"/>
            <w:hideMark/>
          </w:tcPr>
          <w:p w14:paraId="7B367B74" w14:textId="77777777" w:rsidR="0083282F" w:rsidRPr="0083282F" w:rsidRDefault="0083282F" w:rsidP="001438A5">
            <w:pPr>
              <w:spacing w:after="0" w:line="240" w:lineRule="auto"/>
              <w:jc w:val="right"/>
              <w:rPr>
                <w:rFonts w:cs="Arial"/>
                <w:sz w:val="16"/>
                <w:szCs w:val="16"/>
              </w:rPr>
            </w:pPr>
            <w:r w:rsidRPr="0083282F">
              <w:rPr>
                <w:rFonts w:cs="Arial"/>
                <w:sz w:val="16"/>
                <w:szCs w:val="16"/>
              </w:rPr>
              <w:t>2 889,6</w:t>
            </w:r>
          </w:p>
        </w:tc>
        <w:tc>
          <w:tcPr>
            <w:tcW w:w="907" w:type="dxa"/>
            <w:tcBorders>
              <w:top w:val="nil"/>
              <w:left w:val="nil"/>
              <w:bottom w:val="nil"/>
              <w:right w:val="nil"/>
            </w:tcBorders>
            <w:shd w:val="clear" w:color="auto" w:fill="auto"/>
            <w:noWrap/>
            <w:vAlign w:val="center"/>
            <w:hideMark/>
          </w:tcPr>
          <w:p w14:paraId="742AFCE2" w14:textId="77777777" w:rsidR="0083282F" w:rsidRPr="0083282F" w:rsidRDefault="0083282F" w:rsidP="001438A5">
            <w:pPr>
              <w:spacing w:after="0" w:line="240" w:lineRule="auto"/>
              <w:jc w:val="right"/>
              <w:rPr>
                <w:rFonts w:cs="Arial"/>
                <w:sz w:val="16"/>
                <w:szCs w:val="16"/>
              </w:rPr>
            </w:pPr>
            <w:r w:rsidRPr="0083282F">
              <w:rPr>
                <w:rFonts w:cs="Arial"/>
                <w:sz w:val="16"/>
                <w:szCs w:val="16"/>
              </w:rPr>
              <w:t>2 909,0</w:t>
            </w:r>
          </w:p>
        </w:tc>
        <w:tc>
          <w:tcPr>
            <w:tcW w:w="907" w:type="dxa"/>
            <w:tcBorders>
              <w:top w:val="nil"/>
              <w:left w:val="nil"/>
              <w:bottom w:val="nil"/>
              <w:right w:val="nil"/>
            </w:tcBorders>
            <w:shd w:val="clear" w:color="auto" w:fill="auto"/>
            <w:noWrap/>
            <w:vAlign w:val="center"/>
            <w:hideMark/>
          </w:tcPr>
          <w:p w14:paraId="30347219" w14:textId="77777777" w:rsidR="0083282F" w:rsidRPr="0083282F" w:rsidRDefault="0083282F" w:rsidP="001438A5">
            <w:pPr>
              <w:spacing w:after="0" w:line="240" w:lineRule="auto"/>
              <w:jc w:val="right"/>
              <w:rPr>
                <w:rFonts w:cs="Arial"/>
                <w:sz w:val="16"/>
                <w:szCs w:val="16"/>
              </w:rPr>
            </w:pPr>
            <w:r w:rsidRPr="0083282F">
              <w:rPr>
                <w:rFonts w:cs="Arial"/>
                <w:sz w:val="16"/>
                <w:szCs w:val="16"/>
              </w:rPr>
              <w:t>3 220,4</w:t>
            </w:r>
          </w:p>
        </w:tc>
        <w:tc>
          <w:tcPr>
            <w:tcW w:w="907" w:type="dxa"/>
            <w:tcBorders>
              <w:top w:val="nil"/>
              <w:left w:val="nil"/>
              <w:bottom w:val="nil"/>
              <w:right w:val="nil"/>
            </w:tcBorders>
            <w:shd w:val="clear" w:color="auto" w:fill="auto"/>
            <w:noWrap/>
            <w:vAlign w:val="center"/>
            <w:hideMark/>
          </w:tcPr>
          <w:p w14:paraId="6709F6A1" w14:textId="77777777" w:rsidR="0083282F" w:rsidRPr="0083282F" w:rsidRDefault="0083282F" w:rsidP="001438A5">
            <w:pPr>
              <w:spacing w:after="0" w:line="240" w:lineRule="auto"/>
              <w:jc w:val="right"/>
              <w:rPr>
                <w:rFonts w:cs="Arial"/>
                <w:sz w:val="16"/>
                <w:szCs w:val="16"/>
              </w:rPr>
            </w:pPr>
            <w:r w:rsidRPr="0083282F">
              <w:rPr>
                <w:rFonts w:cs="Arial"/>
                <w:sz w:val="16"/>
                <w:szCs w:val="16"/>
              </w:rPr>
              <w:t>3 150,9</w:t>
            </w:r>
          </w:p>
        </w:tc>
        <w:tc>
          <w:tcPr>
            <w:tcW w:w="907" w:type="dxa"/>
            <w:tcBorders>
              <w:top w:val="nil"/>
              <w:left w:val="nil"/>
              <w:bottom w:val="nil"/>
              <w:right w:val="nil"/>
            </w:tcBorders>
            <w:shd w:val="clear" w:color="auto" w:fill="auto"/>
            <w:noWrap/>
            <w:vAlign w:val="center"/>
            <w:hideMark/>
          </w:tcPr>
          <w:p w14:paraId="04477E9F" w14:textId="77777777" w:rsidR="0083282F" w:rsidRPr="0083282F" w:rsidRDefault="0083282F" w:rsidP="001438A5">
            <w:pPr>
              <w:spacing w:after="0" w:line="240" w:lineRule="auto"/>
              <w:jc w:val="right"/>
              <w:rPr>
                <w:rFonts w:cs="Arial"/>
                <w:sz w:val="16"/>
                <w:szCs w:val="16"/>
              </w:rPr>
            </w:pPr>
            <w:r w:rsidRPr="0083282F">
              <w:rPr>
                <w:rFonts w:cs="Arial"/>
                <w:sz w:val="16"/>
                <w:szCs w:val="16"/>
              </w:rPr>
              <w:t>3 209,8</w:t>
            </w:r>
          </w:p>
        </w:tc>
        <w:tc>
          <w:tcPr>
            <w:tcW w:w="907" w:type="dxa"/>
            <w:tcBorders>
              <w:top w:val="nil"/>
              <w:left w:val="nil"/>
              <w:bottom w:val="nil"/>
              <w:right w:val="nil"/>
            </w:tcBorders>
            <w:shd w:val="clear" w:color="auto" w:fill="auto"/>
            <w:noWrap/>
            <w:vAlign w:val="center"/>
            <w:hideMark/>
          </w:tcPr>
          <w:p w14:paraId="45D13E1A" w14:textId="77777777" w:rsidR="0083282F" w:rsidRPr="0083282F" w:rsidRDefault="0083282F" w:rsidP="001438A5">
            <w:pPr>
              <w:spacing w:after="0" w:line="240" w:lineRule="auto"/>
              <w:jc w:val="right"/>
              <w:rPr>
                <w:rFonts w:cs="Arial"/>
                <w:sz w:val="16"/>
                <w:szCs w:val="16"/>
              </w:rPr>
            </w:pPr>
            <w:r w:rsidRPr="0083282F">
              <w:rPr>
                <w:rFonts w:cs="Arial"/>
                <w:sz w:val="16"/>
                <w:szCs w:val="16"/>
              </w:rPr>
              <w:t>3 267,7</w:t>
            </w:r>
          </w:p>
        </w:tc>
        <w:tc>
          <w:tcPr>
            <w:tcW w:w="907" w:type="dxa"/>
            <w:tcBorders>
              <w:top w:val="nil"/>
              <w:left w:val="nil"/>
              <w:bottom w:val="nil"/>
              <w:right w:val="nil"/>
            </w:tcBorders>
            <w:shd w:val="clear" w:color="auto" w:fill="auto"/>
            <w:noWrap/>
            <w:vAlign w:val="center"/>
            <w:hideMark/>
          </w:tcPr>
          <w:p w14:paraId="074848F6" w14:textId="77777777" w:rsidR="0083282F" w:rsidRPr="0083282F" w:rsidRDefault="0083282F" w:rsidP="001438A5">
            <w:pPr>
              <w:spacing w:after="0" w:line="240" w:lineRule="auto"/>
              <w:jc w:val="right"/>
              <w:rPr>
                <w:rFonts w:cs="Arial"/>
                <w:sz w:val="16"/>
                <w:szCs w:val="16"/>
              </w:rPr>
            </w:pPr>
            <w:r w:rsidRPr="0083282F">
              <w:rPr>
                <w:rFonts w:cs="Arial"/>
                <w:sz w:val="16"/>
                <w:szCs w:val="16"/>
              </w:rPr>
              <w:t>3 275,1</w:t>
            </w:r>
          </w:p>
        </w:tc>
        <w:tc>
          <w:tcPr>
            <w:tcW w:w="907" w:type="dxa"/>
            <w:tcBorders>
              <w:top w:val="nil"/>
              <w:left w:val="nil"/>
              <w:bottom w:val="nil"/>
              <w:right w:val="nil"/>
            </w:tcBorders>
            <w:shd w:val="clear" w:color="auto" w:fill="auto"/>
            <w:noWrap/>
            <w:vAlign w:val="center"/>
            <w:hideMark/>
          </w:tcPr>
          <w:p w14:paraId="7B23ACDA" w14:textId="77777777" w:rsidR="0083282F" w:rsidRPr="0083282F" w:rsidRDefault="0083282F" w:rsidP="001438A5">
            <w:pPr>
              <w:spacing w:after="0" w:line="240" w:lineRule="auto"/>
              <w:jc w:val="right"/>
              <w:rPr>
                <w:rFonts w:cs="Arial"/>
                <w:sz w:val="16"/>
                <w:szCs w:val="16"/>
              </w:rPr>
            </w:pPr>
            <w:r w:rsidRPr="0083282F">
              <w:rPr>
                <w:rFonts w:cs="Arial"/>
                <w:sz w:val="16"/>
                <w:szCs w:val="16"/>
              </w:rPr>
              <w:t>3 697,2</w:t>
            </w:r>
          </w:p>
        </w:tc>
      </w:tr>
      <w:tr w:rsidR="0083282F" w:rsidRPr="0083282F" w14:paraId="6F3AE66E" w14:textId="77777777" w:rsidTr="001438A5">
        <w:trPr>
          <w:trHeight w:val="300"/>
        </w:trPr>
        <w:tc>
          <w:tcPr>
            <w:tcW w:w="1417" w:type="dxa"/>
            <w:tcBorders>
              <w:top w:val="nil"/>
              <w:left w:val="nil"/>
              <w:bottom w:val="nil"/>
              <w:right w:val="nil"/>
            </w:tcBorders>
            <w:shd w:val="clear" w:color="auto" w:fill="auto"/>
            <w:noWrap/>
            <w:vAlign w:val="center"/>
            <w:hideMark/>
          </w:tcPr>
          <w:p w14:paraId="197DF81D"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Švédsko</w:t>
            </w:r>
          </w:p>
        </w:tc>
        <w:tc>
          <w:tcPr>
            <w:tcW w:w="907" w:type="dxa"/>
            <w:tcBorders>
              <w:top w:val="nil"/>
              <w:left w:val="single" w:sz="4" w:space="0" w:color="000000"/>
              <w:bottom w:val="nil"/>
              <w:right w:val="nil"/>
            </w:tcBorders>
            <w:shd w:val="clear" w:color="auto" w:fill="auto"/>
            <w:noWrap/>
            <w:vAlign w:val="center"/>
            <w:hideMark/>
          </w:tcPr>
          <w:p w14:paraId="10A4371F" w14:textId="77777777" w:rsidR="0083282F" w:rsidRPr="0083282F" w:rsidRDefault="0083282F" w:rsidP="001438A5">
            <w:pPr>
              <w:spacing w:after="0" w:line="240" w:lineRule="auto"/>
              <w:jc w:val="right"/>
              <w:rPr>
                <w:rFonts w:cs="Arial"/>
                <w:sz w:val="16"/>
                <w:szCs w:val="16"/>
              </w:rPr>
            </w:pPr>
            <w:r w:rsidRPr="0083282F">
              <w:rPr>
                <w:rFonts w:cs="Arial"/>
                <w:sz w:val="16"/>
                <w:szCs w:val="16"/>
              </w:rPr>
              <w:t>874,2</w:t>
            </w:r>
          </w:p>
        </w:tc>
        <w:tc>
          <w:tcPr>
            <w:tcW w:w="907" w:type="dxa"/>
            <w:tcBorders>
              <w:top w:val="nil"/>
              <w:left w:val="nil"/>
              <w:bottom w:val="nil"/>
              <w:right w:val="nil"/>
            </w:tcBorders>
            <w:shd w:val="clear" w:color="auto" w:fill="auto"/>
            <w:noWrap/>
            <w:vAlign w:val="center"/>
            <w:hideMark/>
          </w:tcPr>
          <w:p w14:paraId="06E357CA" w14:textId="77777777" w:rsidR="0083282F" w:rsidRPr="0083282F" w:rsidRDefault="0083282F" w:rsidP="001438A5">
            <w:pPr>
              <w:spacing w:after="0" w:line="240" w:lineRule="auto"/>
              <w:jc w:val="right"/>
              <w:rPr>
                <w:rFonts w:cs="Arial"/>
                <w:sz w:val="16"/>
                <w:szCs w:val="16"/>
              </w:rPr>
            </w:pPr>
            <w:r w:rsidRPr="0083282F">
              <w:rPr>
                <w:rFonts w:cs="Arial"/>
                <w:sz w:val="16"/>
                <w:szCs w:val="16"/>
              </w:rPr>
              <w:t>901,4</w:t>
            </w:r>
          </w:p>
        </w:tc>
        <w:tc>
          <w:tcPr>
            <w:tcW w:w="907" w:type="dxa"/>
            <w:tcBorders>
              <w:top w:val="nil"/>
              <w:left w:val="nil"/>
              <w:bottom w:val="nil"/>
              <w:right w:val="nil"/>
            </w:tcBorders>
            <w:shd w:val="clear" w:color="auto" w:fill="auto"/>
            <w:noWrap/>
            <w:vAlign w:val="center"/>
            <w:hideMark/>
          </w:tcPr>
          <w:p w14:paraId="5AAB8459" w14:textId="77777777" w:rsidR="0083282F" w:rsidRPr="0083282F" w:rsidRDefault="0083282F" w:rsidP="001438A5">
            <w:pPr>
              <w:spacing w:after="0" w:line="240" w:lineRule="auto"/>
              <w:jc w:val="right"/>
              <w:rPr>
                <w:rFonts w:cs="Arial"/>
                <w:sz w:val="16"/>
                <w:szCs w:val="16"/>
              </w:rPr>
            </w:pPr>
            <w:r w:rsidRPr="0083282F">
              <w:rPr>
                <w:rFonts w:cs="Arial"/>
                <w:sz w:val="16"/>
                <w:szCs w:val="16"/>
              </w:rPr>
              <w:t>875,0</w:t>
            </w:r>
          </w:p>
        </w:tc>
        <w:tc>
          <w:tcPr>
            <w:tcW w:w="907" w:type="dxa"/>
            <w:tcBorders>
              <w:top w:val="nil"/>
              <w:left w:val="nil"/>
              <w:bottom w:val="nil"/>
              <w:right w:val="nil"/>
            </w:tcBorders>
            <w:shd w:val="clear" w:color="auto" w:fill="auto"/>
            <w:noWrap/>
            <w:vAlign w:val="center"/>
            <w:hideMark/>
          </w:tcPr>
          <w:p w14:paraId="01012B5E" w14:textId="77777777" w:rsidR="0083282F" w:rsidRPr="0083282F" w:rsidRDefault="0083282F" w:rsidP="001438A5">
            <w:pPr>
              <w:spacing w:after="0" w:line="240" w:lineRule="auto"/>
              <w:jc w:val="right"/>
              <w:rPr>
                <w:rFonts w:cs="Arial"/>
                <w:sz w:val="16"/>
                <w:szCs w:val="16"/>
              </w:rPr>
            </w:pPr>
            <w:r w:rsidRPr="0083282F">
              <w:rPr>
                <w:rFonts w:cs="Arial"/>
                <w:sz w:val="16"/>
                <w:szCs w:val="16"/>
              </w:rPr>
              <w:t>759,8</w:t>
            </w:r>
          </w:p>
        </w:tc>
        <w:tc>
          <w:tcPr>
            <w:tcW w:w="907" w:type="dxa"/>
            <w:tcBorders>
              <w:top w:val="nil"/>
              <w:left w:val="nil"/>
              <w:bottom w:val="nil"/>
              <w:right w:val="nil"/>
            </w:tcBorders>
            <w:shd w:val="clear" w:color="auto" w:fill="auto"/>
            <w:noWrap/>
            <w:vAlign w:val="center"/>
            <w:hideMark/>
          </w:tcPr>
          <w:p w14:paraId="24E9713E" w14:textId="77777777" w:rsidR="0083282F" w:rsidRPr="0083282F" w:rsidRDefault="0083282F" w:rsidP="001438A5">
            <w:pPr>
              <w:spacing w:after="0" w:line="240" w:lineRule="auto"/>
              <w:jc w:val="right"/>
              <w:rPr>
                <w:rFonts w:cs="Arial"/>
                <w:sz w:val="16"/>
                <w:szCs w:val="16"/>
              </w:rPr>
            </w:pPr>
            <w:r w:rsidRPr="0083282F">
              <w:rPr>
                <w:rFonts w:cs="Arial"/>
                <w:sz w:val="16"/>
                <w:szCs w:val="16"/>
              </w:rPr>
              <w:t>768,7</w:t>
            </w:r>
          </w:p>
        </w:tc>
        <w:tc>
          <w:tcPr>
            <w:tcW w:w="907" w:type="dxa"/>
            <w:tcBorders>
              <w:top w:val="nil"/>
              <w:left w:val="nil"/>
              <w:bottom w:val="nil"/>
              <w:right w:val="nil"/>
            </w:tcBorders>
            <w:shd w:val="clear" w:color="auto" w:fill="auto"/>
            <w:noWrap/>
            <w:vAlign w:val="center"/>
            <w:hideMark/>
          </w:tcPr>
          <w:p w14:paraId="2AAA24ED" w14:textId="77777777" w:rsidR="0083282F" w:rsidRPr="0083282F" w:rsidRDefault="0083282F" w:rsidP="001438A5">
            <w:pPr>
              <w:spacing w:after="0" w:line="240" w:lineRule="auto"/>
              <w:jc w:val="right"/>
              <w:rPr>
                <w:rFonts w:cs="Arial"/>
                <w:sz w:val="16"/>
                <w:szCs w:val="16"/>
              </w:rPr>
            </w:pPr>
            <w:r w:rsidRPr="0083282F">
              <w:rPr>
                <w:rFonts w:cs="Arial"/>
                <w:sz w:val="16"/>
                <w:szCs w:val="16"/>
              </w:rPr>
              <w:t>796,2</w:t>
            </w:r>
          </w:p>
        </w:tc>
        <w:tc>
          <w:tcPr>
            <w:tcW w:w="907" w:type="dxa"/>
            <w:tcBorders>
              <w:top w:val="nil"/>
              <w:left w:val="nil"/>
              <w:bottom w:val="nil"/>
              <w:right w:val="nil"/>
            </w:tcBorders>
            <w:shd w:val="clear" w:color="auto" w:fill="auto"/>
            <w:noWrap/>
            <w:vAlign w:val="center"/>
            <w:hideMark/>
          </w:tcPr>
          <w:p w14:paraId="5C576F6D" w14:textId="77777777" w:rsidR="0083282F" w:rsidRPr="0083282F" w:rsidRDefault="0083282F" w:rsidP="001438A5">
            <w:pPr>
              <w:spacing w:after="0" w:line="240" w:lineRule="auto"/>
              <w:jc w:val="right"/>
              <w:rPr>
                <w:rFonts w:cs="Arial"/>
                <w:sz w:val="16"/>
                <w:szCs w:val="16"/>
              </w:rPr>
            </w:pPr>
            <w:r w:rsidRPr="0083282F">
              <w:rPr>
                <w:rFonts w:cs="Arial"/>
                <w:sz w:val="16"/>
                <w:szCs w:val="16"/>
              </w:rPr>
              <w:t>774,3</w:t>
            </w:r>
          </w:p>
        </w:tc>
        <w:tc>
          <w:tcPr>
            <w:tcW w:w="907" w:type="dxa"/>
            <w:tcBorders>
              <w:top w:val="nil"/>
              <w:left w:val="nil"/>
              <w:bottom w:val="nil"/>
              <w:right w:val="nil"/>
            </w:tcBorders>
            <w:shd w:val="clear" w:color="auto" w:fill="auto"/>
            <w:noWrap/>
            <w:vAlign w:val="center"/>
            <w:hideMark/>
          </w:tcPr>
          <w:p w14:paraId="215A8A32" w14:textId="77777777" w:rsidR="0083282F" w:rsidRPr="0083282F" w:rsidRDefault="0083282F" w:rsidP="001438A5">
            <w:pPr>
              <w:spacing w:after="0" w:line="240" w:lineRule="auto"/>
              <w:jc w:val="right"/>
              <w:rPr>
                <w:rFonts w:cs="Arial"/>
                <w:sz w:val="16"/>
                <w:szCs w:val="16"/>
              </w:rPr>
            </w:pPr>
            <w:r w:rsidRPr="0083282F">
              <w:rPr>
                <w:rFonts w:cs="Arial"/>
                <w:sz w:val="16"/>
                <w:szCs w:val="16"/>
              </w:rPr>
              <w:t>781,1</w:t>
            </w:r>
          </w:p>
        </w:tc>
        <w:tc>
          <w:tcPr>
            <w:tcW w:w="907" w:type="dxa"/>
            <w:tcBorders>
              <w:top w:val="nil"/>
              <w:left w:val="nil"/>
              <w:bottom w:val="nil"/>
              <w:right w:val="nil"/>
            </w:tcBorders>
            <w:shd w:val="clear" w:color="auto" w:fill="auto"/>
            <w:noWrap/>
            <w:vAlign w:val="center"/>
            <w:hideMark/>
          </w:tcPr>
          <w:p w14:paraId="29745703" w14:textId="77777777" w:rsidR="0083282F" w:rsidRPr="0083282F" w:rsidRDefault="0083282F" w:rsidP="001438A5">
            <w:pPr>
              <w:spacing w:after="0" w:line="240" w:lineRule="auto"/>
              <w:jc w:val="right"/>
              <w:rPr>
                <w:rFonts w:cs="Arial"/>
                <w:sz w:val="16"/>
                <w:szCs w:val="16"/>
              </w:rPr>
            </w:pPr>
            <w:r w:rsidRPr="0083282F">
              <w:rPr>
                <w:rFonts w:cs="Arial"/>
                <w:sz w:val="16"/>
                <w:szCs w:val="16"/>
              </w:rPr>
              <w:t>968,2</w:t>
            </w:r>
          </w:p>
        </w:tc>
      </w:tr>
    </w:tbl>
    <w:p w14:paraId="41A6E9B8" w14:textId="77777777" w:rsidR="00C13658" w:rsidRPr="00D92E20" w:rsidRDefault="00C13658" w:rsidP="001819ED">
      <w:pPr>
        <w:spacing w:after="120"/>
        <w:jc w:val="both"/>
      </w:pPr>
    </w:p>
    <w:p w14:paraId="3B611714" w14:textId="77777777" w:rsidR="0083282F" w:rsidRPr="0083282F" w:rsidRDefault="0083282F" w:rsidP="0083282F">
      <w:pPr>
        <w:spacing w:after="0" w:line="240" w:lineRule="auto"/>
        <w:rPr>
          <w:rFonts w:cs="Arial"/>
          <w:sz w:val="16"/>
          <w:szCs w:val="16"/>
        </w:rPr>
      </w:pPr>
      <w:r w:rsidRPr="0083282F">
        <w:rPr>
          <w:rFonts w:cs="Arial"/>
          <w:sz w:val="16"/>
          <w:szCs w:val="16"/>
          <w:highlight w:val="lightGray"/>
        </w:rPr>
        <w:t>Přerušení v časové řadě</w:t>
      </w:r>
    </w:p>
    <w:p w14:paraId="16BF2EF0" w14:textId="77777777" w:rsidR="0083282F" w:rsidRPr="00D92E20" w:rsidRDefault="0083282F" w:rsidP="0083282F">
      <w:pPr>
        <w:spacing w:after="120"/>
        <w:jc w:val="both"/>
        <w:rPr>
          <w:sz w:val="16"/>
        </w:rPr>
      </w:pPr>
      <w:r w:rsidRPr="00D92E20">
        <w:rPr>
          <w:sz w:val="16"/>
        </w:rPr>
        <w:t>Zdroj: Eurostat (ESAW)</w:t>
      </w:r>
    </w:p>
    <w:p w14:paraId="3F786A67" w14:textId="77777777" w:rsidR="00581065" w:rsidRDefault="00581065" w:rsidP="0083282F">
      <w:pPr>
        <w:spacing w:after="120"/>
        <w:jc w:val="both"/>
      </w:pPr>
    </w:p>
    <w:p w14:paraId="0996DA9F" w14:textId="77777777" w:rsidR="0083282F" w:rsidRPr="00D92E20" w:rsidRDefault="0083282F" w:rsidP="0083282F">
      <w:pPr>
        <w:spacing w:after="120"/>
        <w:jc w:val="both"/>
      </w:pPr>
      <w:r w:rsidRPr="00581065">
        <w:t xml:space="preserve">V oblasti </w:t>
      </w:r>
      <w:r w:rsidRPr="00581065">
        <w:rPr>
          <w:b/>
        </w:rPr>
        <w:t>smrtelných pracovních úrazů</w:t>
      </w:r>
      <w:r w:rsidRPr="00581065">
        <w:t xml:space="preserve"> se </w:t>
      </w:r>
      <w:r w:rsidRPr="00581065">
        <w:rPr>
          <w:b/>
        </w:rPr>
        <w:t>Česká republika</w:t>
      </w:r>
      <w:r w:rsidRPr="00581065">
        <w:t xml:space="preserve"> s hodnotou 2,</w:t>
      </w:r>
      <w:r w:rsidR="00B25EC1">
        <w:t>4</w:t>
      </w:r>
      <w:r w:rsidRPr="00581065">
        <w:t xml:space="preserve"> smrtelných pracovních úrazů na 100 tis. zaměstnaných osob v roce 201</w:t>
      </w:r>
      <w:r w:rsidR="00581065" w:rsidRPr="00581065">
        <w:t>9</w:t>
      </w:r>
      <w:r w:rsidRPr="00581065">
        <w:t xml:space="preserve"> řadila na </w:t>
      </w:r>
      <w:r w:rsidRPr="00581065">
        <w:rPr>
          <w:b/>
        </w:rPr>
        <w:t>1</w:t>
      </w:r>
      <w:r w:rsidR="00581065" w:rsidRPr="00581065">
        <w:rPr>
          <w:b/>
        </w:rPr>
        <w:t>7</w:t>
      </w:r>
      <w:r w:rsidRPr="00581065">
        <w:rPr>
          <w:b/>
        </w:rPr>
        <w:t xml:space="preserve">. místo </w:t>
      </w:r>
      <w:r w:rsidRPr="00581065">
        <w:t xml:space="preserve">v rámci </w:t>
      </w:r>
      <w:r w:rsidRPr="00581065">
        <w:rPr>
          <w:b/>
        </w:rPr>
        <w:t>EU2</w:t>
      </w:r>
      <w:r w:rsidR="00581065" w:rsidRPr="00581065">
        <w:rPr>
          <w:b/>
        </w:rPr>
        <w:t>7</w:t>
      </w:r>
      <w:r w:rsidRPr="00581065">
        <w:t xml:space="preserve"> a dosahovala obdobné hodnoty, jako </w:t>
      </w:r>
      <w:r w:rsidR="00581065" w:rsidRPr="00581065">
        <w:t>Estonsko</w:t>
      </w:r>
      <w:r w:rsidRPr="00581065">
        <w:t>. Zatímco v roce 2017 byla na úrovni celoevropského průměru, v roce 201</w:t>
      </w:r>
      <w:r w:rsidR="00581065" w:rsidRPr="00581065">
        <w:t>9</w:t>
      </w:r>
      <w:r w:rsidRPr="00581065">
        <w:t xml:space="preserve"> ho převyšovala o 0,</w:t>
      </w:r>
      <w:r w:rsidR="00581065" w:rsidRPr="00581065">
        <w:t>3</w:t>
      </w:r>
      <w:r w:rsidRPr="00581065">
        <w:t>. Nejvyšší míra smrtelné pracovní úrazovosti byla podle Eurostatu v Lucembursku (</w:t>
      </w:r>
      <w:r w:rsidR="00581065" w:rsidRPr="00581065">
        <w:t>5</w:t>
      </w:r>
      <w:r w:rsidRPr="00581065">
        <w:t>,</w:t>
      </w:r>
      <w:r w:rsidR="00581065" w:rsidRPr="00581065">
        <w:t>2</w:t>
      </w:r>
      <w:r w:rsidRPr="00581065">
        <w:t xml:space="preserve"> smrtelných pracovních úrazů na 100 tis. zaměstnaných osob)</w:t>
      </w:r>
      <w:r w:rsidR="00B12052">
        <w:t xml:space="preserve">, kde </w:t>
      </w:r>
      <w:r w:rsidR="00C319F1">
        <w:t xml:space="preserve">ovšem </w:t>
      </w:r>
      <w:r w:rsidR="00B12052">
        <w:t>vlivem velmi malé populace zaměstnaných osob</w:t>
      </w:r>
      <w:r w:rsidR="00C319F1">
        <w:t xml:space="preserve"> dochází každoročně k </w:t>
      </w:r>
      <w:r w:rsidR="00B25EC1">
        <w:t xml:space="preserve">velkým výkyvům tohoto ukazatele. Následovala Francie s hodnotou </w:t>
      </w:r>
      <w:r w:rsidR="00581065" w:rsidRPr="00581065">
        <w:t>4,8</w:t>
      </w:r>
      <w:r w:rsidRPr="00581065">
        <w:t xml:space="preserve">. Vyšší míru smrtelné pracovní úrazovosti (nad hranicí </w:t>
      </w:r>
      <w:r w:rsidR="00581065" w:rsidRPr="00581065">
        <w:t>3,5</w:t>
      </w:r>
      <w:r w:rsidRPr="00581065">
        <w:t xml:space="preserve"> smrtelných úrazů) zaznamenali v</w:t>
      </w:r>
      <w:r w:rsidR="00581065" w:rsidRPr="00581065">
        <w:t> Bulharsku, na Kypru, v Litvě a v Rakousku.</w:t>
      </w:r>
      <w:r w:rsidRPr="00581065">
        <w:t xml:space="preserve"> Nejnižší míra smrtelné pracovní úrazovosti </w:t>
      </w:r>
      <w:r w:rsidR="00581065" w:rsidRPr="00581065">
        <w:t xml:space="preserve">se dlouhodobě drží </w:t>
      </w:r>
      <w:r w:rsidRPr="00581065">
        <w:t>v Nizozemsku (0,</w:t>
      </w:r>
      <w:r w:rsidR="00581065" w:rsidRPr="00581065">
        <w:t>7</w:t>
      </w:r>
      <w:r w:rsidRPr="00581065">
        <w:t>).</w:t>
      </w:r>
    </w:p>
    <w:p w14:paraId="7B4DBA22" w14:textId="77777777" w:rsidR="004229D4" w:rsidRDefault="004229D4">
      <w:pPr>
        <w:spacing w:after="0" w:line="240" w:lineRule="auto"/>
        <w:rPr>
          <w:rFonts w:cs="Arial"/>
          <w:b/>
          <w:bCs/>
          <w:color w:val="000000"/>
          <w:szCs w:val="20"/>
        </w:rPr>
      </w:pPr>
      <w:r>
        <w:rPr>
          <w:rFonts w:cs="Arial"/>
          <w:b/>
          <w:bCs/>
          <w:color w:val="000000"/>
          <w:szCs w:val="20"/>
        </w:rPr>
        <w:br w:type="page"/>
      </w:r>
    </w:p>
    <w:p w14:paraId="6FEAA947" w14:textId="77777777" w:rsidR="00581065" w:rsidRPr="00581065" w:rsidRDefault="00581065" w:rsidP="00581065">
      <w:pPr>
        <w:spacing w:after="0" w:line="240" w:lineRule="auto"/>
        <w:jc w:val="both"/>
        <w:rPr>
          <w:rFonts w:cs="Arial"/>
          <w:b/>
          <w:bCs/>
          <w:color w:val="000000"/>
          <w:szCs w:val="20"/>
        </w:rPr>
      </w:pPr>
      <w:r w:rsidRPr="00581065">
        <w:rPr>
          <w:rFonts w:cs="Arial"/>
          <w:b/>
          <w:bCs/>
          <w:color w:val="000000"/>
          <w:szCs w:val="20"/>
        </w:rPr>
        <w:lastRenderedPageBreak/>
        <w:t>Graf 6.2: Smrtelné pracovní úrazy v zemích EU (standardizovaná míra výskytu na 100 tis. zaměstnaných osob), 2019</w:t>
      </w:r>
    </w:p>
    <w:p w14:paraId="186CFD9C" w14:textId="77777777" w:rsidR="0083282F" w:rsidRDefault="00581065" w:rsidP="00F40B8C">
      <w:r>
        <w:rPr>
          <w:noProof/>
        </w:rPr>
        <w:drawing>
          <wp:inline distT="0" distB="0" distL="0" distR="0" wp14:anchorId="76033713" wp14:editId="415D4D74">
            <wp:extent cx="6162675" cy="5076825"/>
            <wp:effectExtent l="0" t="0" r="9525" b="9525"/>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84A040B" w14:textId="77777777" w:rsidR="00581065" w:rsidRPr="00D92E20" w:rsidRDefault="00581065" w:rsidP="00581065">
      <w:pPr>
        <w:spacing w:after="120"/>
        <w:jc w:val="both"/>
        <w:rPr>
          <w:sz w:val="16"/>
        </w:rPr>
      </w:pPr>
      <w:r w:rsidRPr="00D92E20">
        <w:rPr>
          <w:sz w:val="16"/>
        </w:rPr>
        <w:t>Zdroj: Eurostat (ESAW)</w:t>
      </w:r>
    </w:p>
    <w:p w14:paraId="3A89E094" w14:textId="77777777" w:rsidR="004229D4" w:rsidRDefault="004229D4">
      <w:pPr>
        <w:spacing w:after="0" w:line="240" w:lineRule="auto"/>
        <w:rPr>
          <w:rFonts w:cs="Arial"/>
          <w:b/>
          <w:bCs/>
          <w:color w:val="000000"/>
          <w:szCs w:val="20"/>
        </w:rPr>
      </w:pPr>
      <w:r>
        <w:rPr>
          <w:rFonts w:cs="Arial"/>
          <w:b/>
          <w:bCs/>
          <w:color w:val="000000"/>
          <w:szCs w:val="20"/>
        </w:rPr>
        <w:br w:type="page"/>
      </w:r>
    </w:p>
    <w:p w14:paraId="56796BA6" w14:textId="77777777" w:rsidR="00581065" w:rsidRPr="00581065" w:rsidRDefault="00581065" w:rsidP="00581065">
      <w:pPr>
        <w:spacing w:after="0" w:line="240" w:lineRule="auto"/>
        <w:jc w:val="both"/>
        <w:rPr>
          <w:rFonts w:cs="Arial"/>
          <w:b/>
          <w:bCs/>
          <w:color w:val="000000"/>
          <w:szCs w:val="20"/>
        </w:rPr>
      </w:pPr>
      <w:r w:rsidRPr="00581065">
        <w:rPr>
          <w:rFonts w:cs="Arial"/>
          <w:b/>
          <w:bCs/>
          <w:color w:val="000000"/>
          <w:szCs w:val="20"/>
        </w:rPr>
        <w:lastRenderedPageBreak/>
        <w:t>Tab. 6.2: Smrtelné pracovní úrazy v zemích EU (standardizovaná míra výskytu na 100 tis. zaměstnaných osob), 2011–2019</w:t>
      </w:r>
    </w:p>
    <w:tbl>
      <w:tblPr>
        <w:tblW w:w="9580" w:type="dxa"/>
        <w:tblCellMar>
          <w:left w:w="70" w:type="dxa"/>
          <w:right w:w="70" w:type="dxa"/>
        </w:tblCellMar>
        <w:tblLook w:val="04A0" w:firstRow="1" w:lastRow="0" w:firstColumn="1" w:lastColumn="0" w:noHBand="0" w:noVBand="1"/>
      </w:tblPr>
      <w:tblGrid>
        <w:gridCol w:w="1417"/>
        <w:gridCol w:w="907"/>
        <w:gridCol w:w="907"/>
        <w:gridCol w:w="907"/>
        <w:gridCol w:w="907"/>
        <w:gridCol w:w="907"/>
        <w:gridCol w:w="907"/>
        <w:gridCol w:w="907"/>
        <w:gridCol w:w="907"/>
        <w:gridCol w:w="907"/>
      </w:tblGrid>
      <w:tr w:rsidR="00581065" w:rsidRPr="00581065" w14:paraId="63DF9EBB" w14:textId="77777777" w:rsidTr="00581065">
        <w:trPr>
          <w:trHeight w:val="300"/>
        </w:trPr>
        <w:tc>
          <w:tcPr>
            <w:tcW w:w="1417" w:type="dxa"/>
            <w:tcBorders>
              <w:top w:val="single" w:sz="4" w:space="0" w:color="000000"/>
              <w:left w:val="nil"/>
              <w:bottom w:val="single" w:sz="4" w:space="0" w:color="000000"/>
              <w:right w:val="single" w:sz="4" w:space="0" w:color="auto"/>
            </w:tcBorders>
            <w:shd w:val="clear" w:color="000000" w:fill="F5DADD"/>
            <w:noWrap/>
            <w:vAlign w:val="center"/>
            <w:hideMark/>
          </w:tcPr>
          <w:p w14:paraId="0B23B000" w14:textId="77777777" w:rsidR="00581065" w:rsidRPr="00581065" w:rsidRDefault="00581065" w:rsidP="00581065">
            <w:pPr>
              <w:spacing w:after="0" w:line="240" w:lineRule="auto"/>
              <w:rPr>
                <w:rFonts w:cs="Arial"/>
                <w:sz w:val="16"/>
                <w:szCs w:val="16"/>
              </w:rPr>
            </w:pPr>
            <w:r w:rsidRPr="00581065">
              <w:rPr>
                <w:rFonts w:cs="Arial"/>
                <w:sz w:val="16"/>
                <w:szCs w:val="16"/>
              </w:rPr>
              <w:t>Členské státy EU</w:t>
            </w:r>
          </w:p>
        </w:tc>
        <w:tc>
          <w:tcPr>
            <w:tcW w:w="907" w:type="dxa"/>
            <w:tcBorders>
              <w:top w:val="single" w:sz="4" w:space="0" w:color="000000"/>
              <w:left w:val="nil"/>
              <w:bottom w:val="single" w:sz="4" w:space="0" w:color="auto"/>
              <w:right w:val="nil"/>
            </w:tcBorders>
            <w:shd w:val="clear" w:color="000000" w:fill="F5DADD"/>
            <w:noWrap/>
            <w:vAlign w:val="center"/>
            <w:hideMark/>
          </w:tcPr>
          <w:p w14:paraId="7323AAAB" w14:textId="77777777" w:rsidR="00581065" w:rsidRPr="00581065" w:rsidRDefault="00581065" w:rsidP="00581065">
            <w:pPr>
              <w:spacing w:after="0" w:line="240" w:lineRule="auto"/>
              <w:jc w:val="center"/>
              <w:rPr>
                <w:rFonts w:cs="Arial"/>
                <w:sz w:val="16"/>
                <w:szCs w:val="16"/>
              </w:rPr>
            </w:pPr>
            <w:r w:rsidRPr="00581065">
              <w:rPr>
                <w:rFonts w:cs="Arial"/>
                <w:sz w:val="16"/>
                <w:szCs w:val="16"/>
              </w:rPr>
              <w:t>2011</w:t>
            </w:r>
          </w:p>
        </w:tc>
        <w:tc>
          <w:tcPr>
            <w:tcW w:w="907" w:type="dxa"/>
            <w:tcBorders>
              <w:top w:val="single" w:sz="4" w:space="0" w:color="000000"/>
              <w:left w:val="nil"/>
              <w:bottom w:val="single" w:sz="4" w:space="0" w:color="auto"/>
              <w:right w:val="nil"/>
            </w:tcBorders>
            <w:shd w:val="clear" w:color="000000" w:fill="F5DADD"/>
            <w:noWrap/>
            <w:vAlign w:val="center"/>
            <w:hideMark/>
          </w:tcPr>
          <w:p w14:paraId="3A574494" w14:textId="77777777" w:rsidR="00581065" w:rsidRPr="00581065" w:rsidRDefault="00581065" w:rsidP="00581065">
            <w:pPr>
              <w:spacing w:after="0" w:line="240" w:lineRule="auto"/>
              <w:jc w:val="center"/>
              <w:rPr>
                <w:rFonts w:cs="Arial"/>
                <w:sz w:val="16"/>
                <w:szCs w:val="16"/>
              </w:rPr>
            </w:pPr>
            <w:r w:rsidRPr="00581065">
              <w:rPr>
                <w:rFonts w:cs="Arial"/>
                <w:sz w:val="16"/>
                <w:szCs w:val="16"/>
              </w:rPr>
              <w:t>2012</w:t>
            </w:r>
          </w:p>
        </w:tc>
        <w:tc>
          <w:tcPr>
            <w:tcW w:w="907" w:type="dxa"/>
            <w:tcBorders>
              <w:top w:val="single" w:sz="4" w:space="0" w:color="000000"/>
              <w:left w:val="nil"/>
              <w:bottom w:val="single" w:sz="4" w:space="0" w:color="auto"/>
              <w:right w:val="nil"/>
            </w:tcBorders>
            <w:shd w:val="clear" w:color="000000" w:fill="F5DADD"/>
            <w:noWrap/>
            <w:vAlign w:val="center"/>
            <w:hideMark/>
          </w:tcPr>
          <w:p w14:paraId="40EEAF51" w14:textId="77777777" w:rsidR="00581065" w:rsidRPr="00581065" w:rsidRDefault="00581065" w:rsidP="00581065">
            <w:pPr>
              <w:spacing w:after="0" w:line="240" w:lineRule="auto"/>
              <w:jc w:val="center"/>
              <w:rPr>
                <w:rFonts w:cs="Arial"/>
                <w:sz w:val="16"/>
                <w:szCs w:val="16"/>
              </w:rPr>
            </w:pPr>
            <w:r w:rsidRPr="00581065">
              <w:rPr>
                <w:rFonts w:cs="Arial"/>
                <w:sz w:val="16"/>
                <w:szCs w:val="16"/>
              </w:rPr>
              <w:t>2013</w:t>
            </w:r>
          </w:p>
        </w:tc>
        <w:tc>
          <w:tcPr>
            <w:tcW w:w="907" w:type="dxa"/>
            <w:tcBorders>
              <w:top w:val="single" w:sz="4" w:space="0" w:color="000000"/>
              <w:left w:val="nil"/>
              <w:bottom w:val="single" w:sz="4" w:space="0" w:color="auto"/>
              <w:right w:val="nil"/>
            </w:tcBorders>
            <w:shd w:val="clear" w:color="000000" w:fill="F5DADD"/>
            <w:noWrap/>
            <w:vAlign w:val="center"/>
            <w:hideMark/>
          </w:tcPr>
          <w:p w14:paraId="1FC89031" w14:textId="77777777" w:rsidR="00581065" w:rsidRPr="00581065" w:rsidRDefault="00581065" w:rsidP="00581065">
            <w:pPr>
              <w:spacing w:after="0" w:line="240" w:lineRule="auto"/>
              <w:jc w:val="center"/>
              <w:rPr>
                <w:rFonts w:cs="Arial"/>
                <w:sz w:val="16"/>
                <w:szCs w:val="16"/>
              </w:rPr>
            </w:pPr>
            <w:r w:rsidRPr="00581065">
              <w:rPr>
                <w:rFonts w:cs="Arial"/>
                <w:sz w:val="16"/>
                <w:szCs w:val="16"/>
              </w:rPr>
              <w:t>2014</w:t>
            </w:r>
          </w:p>
        </w:tc>
        <w:tc>
          <w:tcPr>
            <w:tcW w:w="907" w:type="dxa"/>
            <w:tcBorders>
              <w:top w:val="single" w:sz="4" w:space="0" w:color="000000"/>
              <w:left w:val="nil"/>
              <w:bottom w:val="single" w:sz="4" w:space="0" w:color="auto"/>
              <w:right w:val="nil"/>
            </w:tcBorders>
            <w:shd w:val="clear" w:color="000000" w:fill="F5DADD"/>
            <w:noWrap/>
            <w:vAlign w:val="center"/>
            <w:hideMark/>
          </w:tcPr>
          <w:p w14:paraId="6C507280" w14:textId="77777777" w:rsidR="00581065" w:rsidRPr="00581065" w:rsidRDefault="00581065" w:rsidP="00581065">
            <w:pPr>
              <w:spacing w:after="0" w:line="240" w:lineRule="auto"/>
              <w:jc w:val="center"/>
              <w:rPr>
                <w:rFonts w:cs="Arial"/>
                <w:sz w:val="16"/>
                <w:szCs w:val="16"/>
              </w:rPr>
            </w:pPr>
            <w:r w:rsidRPr="00581065">
              <w:rPr>
                <w:rFonts w:cs="Arial"/>
                <w:sz w:val="16"/>
                <w:szCs w:val="16"/>
              </w:rPr>
              <w:t>2015</w:t>
            </w:r>
          </w:p>
        </w:tc>
        <w:tc>
          <w:tcPr>
            <w:tcW w:w="907" w:type="dxa"/>
            <w:tcBorders>
              <w:top w:val="single" w:sz="4" w:space="0" w:color="000000"/>
              <w:left w:val="nil"/>
              <w:bottom w:val="single" w:sz="4" w:space="0" w:color="auto"/>
              <w:right w:val="nil"/>
            </w:tcBorders>
            <w:shd w:val="clear" w:color="000000" w:fill="F5DADD"/>
            <w:noWrap/>
            <w:vAlign w:val="center"/>
            <w:hideMark/>
          </w:tcPr>
          <w:p w14:paraId="65459C5F" w14:textId="77777777" w:rsidR="00581065" w:rsidRPr="00581065" w:rsidRDefault="00581065" w:rsidP="00581065">
            <w:pPr>
              <w:spacing w:after="0" w:line="240" w:lineRule="auto"/>
              <w:jc w:val="center"/>
              <w:rPr>
                <w:rFonts w:cs="Arial"/>
                <w:sz w:val="16"/>
                <w:szCs w:val="16"/>
              </w:rPr>
            </w:pPr>
            <w:r w:rsidRPr="00581065">
              <w:rPr>
                <w:rFonts w:cs="Arial"/>
                <w:sz w:val="16"/>
                <w:szCs w:val="16"/>
              </w:rPr>
              <w:t>2016</w:t>
            </w:r>
          </w:p>
        </w:tc>
        <w:tc>
          <w:tcPr>
            <w:tcW w:w="907" w:type="dxa"/>
            <w:tcBorders>
              <w:top w:val="single" w:sz="4" w:space="0" w:color="000000"/>
              <w:left w:val="nil"/>
              <w:bottom w:val="single" w:sz="4" w:space="0" w:color="auto"/>
              <w:right w:val="nil"/>
            </w:tcBorders>
            <w:shd w:val="clear" w:color="000000" w:fill="F5DADD"/>
            <w:noWrap/>
            <w:vAlign w:val="center"/>
            <w:hideMark/>
          </w:tcPr>
          <w:p w14:paraId="3A8CDCBA" w14:textId="77777777" w:rsidR="00581065" w:rsidRPr="00581065" w:rsidRDefault="00581065" w:rsidP="00581065">
            <w:pPr>
              <w:spacing w:after="0" w:line="240" w:lineRule="auto"/>
              <w:jc w:val="center"/>
              <w:rPr>
                <w:rFonts w:cs="Arial"/>
                <w:sz w:val="16"/>
                <w:szCs w:val="16"/>
              </w:rPr>
            </w:pPr>
            <w:r w:rsidRPr="00581065">
              <w:rPr>
                <w:rFonts w:cs="Arial"/>
                <w:sz w:val="16"/>
                <w:szCs w:val="16"/>
              </w:rPr>
              <w:t>2017</w:t>
            </w:r>
          </w:p>
        </w:tc>
        <w:tc>
          <w:tcPr>
            <w:tcW w:w="907" w:type="dxa"/>
            <w:tcBorders>
              <w:top w:val="single" w:sz="4" w:space="0" w:color="000000"/>
              <w:left w:val="nil"/>
              <w:bottom w:val="single" w:sz="4" w:space="0" w:color="auto"/>
              <w:right w:val="nil"/>
            </w:tcBorders>
            <w:shd w:val="clear" w:color="000000" w:fill="F5DADD"/>
            <w:noWrap/>
            <w:vAlign w:val="center"/>
            <w:hideMark/>
          </w:tcPr>
          <w:p w14:paraId="48FC9AD8" w14:textId="77777777" w:rsidR="00581065" w:rsidRPr="00581065" w:rsidRDefault="00581065" w:rsidP="00581065">
            <w:pPr>
              <w:spacing w:after="0" w:line="240" w:lineRule="auto"/>
              <w:jc w:val="center"/>
              <w:rPr>
                <w:rFonts w:cs="Arial"/>
                <w:sz w:val="16"/>
                <w:szCs w:val="16"/>
              </w:rPr>
            </w:pPr>
            <w:r w:rsidRPr="00581065">
              <w:rPr>
                <w:rFonts w:cs="Arial"/>
                <w:sz w:val="16"/>
                <w:szCs w:val="16"/>
              </w:rPr>
              <w:t>2018</w:t>
            </w:r>
          </w:p>
        </w:tc>
        <w:tc>
          <w:tcPr>
            <w:tcW w:w="907" w:type="dxa"/>
            <w:tcBorders>
              <w:top w:val="single" w:sz="4" w:space="0" w:color="000000"/>
              <w:left w:val="nil"/>
              <w:bottom w:val="single" w:sz="4" w:space="0" w:color="auto"/>
              <w:right w:val="nil"/>
            </w:tcBorders>
            <w:shd w:val="clear" w:color="000000" w:fill="F5DADD"/>
            <w:noWrap/>
            <w:vAlign w:val="center"/>
            <w:hideMark/>
          </w:tcPr>
          <w:p w14:paraId="1DCD310E" w14:textId="77777777" w:rsidR="00581065" w:rsidRPr="00581065" w:rsidRDefault="00581065" w:rsidP="00581065">
            <w:pPr>
              <w:spacing w:after="0" w:line="240" w:lineRule="auto"/>
              <w:jc w:val="center"/>
              <w:rPr>
                <w:rFonts w:cs="Arial"/>
                <w:sz w:val="16"/>
                <w:szCs w:val="16"/>
              </w:rPr>
            </w:pPr>
            <w:r w:rsidRPr="00581065">
              <w:rPr>
                <w:rFonts w:cs="Arial"/>
                <w:sz w:val="16"/>
                <w:szCs w:val="16"/>
              </w:rPr>
              <w:t>2019</w:t>
            </w:r>
          </w:p>
        </w:tc>
      </w:tr>
      <w:tr w:rsidR="00581065" w:rsidRPr="00581065" w14:paraId="0D21645A" w14:textId="77777777" w:rsidTr="001438A5">
        <w:trPr>
          <w:trHeight w:val="300"/>
        </w:trPr>
        <w:tc>
          <w:tcPr>
            <w:tcW w:w="1417" w:type="dxa"/>
            <w:tcBorders>
              <w:top w:val="nil"/>
              <w:left w:val="nil"/>
              <w:bottom w:val="nil"/>
              <w:right w:val="nil"/>
            </w:tcBorders>
            <w:shd w:val="clear" w:color="auto" w:fill="auto"/>
            <w:noWrap/>
            <w:vAlign w:val="center"/>
            <w:hideMark/>
          </w:tcPr>
          <w:p w14:paraId="14D95210" w14:textId="77777777" w:rsidR="00581065" w:rsidRPr="00581065" w:rsidRDefault="00581065" w:rsidP="001438A5">
            <w:pPr>
              <w:spacing w:after="0" w:line="240" w:lineRule="auto"/>
              <w:rPr>
                <w:rFonts w:cs="Arial"/>
                <w:b/>
                <w:bCs/>
                <w:sz w:val="16"/>
                <w:szCs w:val="16"/>
              </w:rPr>
            </w:pPr>
            <w:r w:rsidRPr="00581065">
              <w:rPr>
                <w:rFonts w:cs="Arial"/>
                <w:b/>
                <w:bCs/>
                <w:sz w:val="16"/>
                <w:szCs w:val="16"/>
              </w:rPr>
              <w:t>EU27</w:t>
            </w:r>
          </w:p>
        </w:tc>
        <w:tc>
          <w:tcPr>
            <w:tcW w:w="907" w:type="dxa"/>
            <w:tcBorders>
              <w:top w:val="nil"/>
              <w:left w:val="single" w:sz="4" w:space="0" w:color="000000"/>
              <w:bottom w:val="nil"/>
              <w:right w:val="nil"/>
            </w:tcBorders>
            <w:shd w:val="clear" w:color="auto" w:fill="auto"/>
            <w:noWrap/>
            <w:vAlign w:val="center"/>
            <w:hideMark/>
          </w:tcPr>
          <w:p w14:paraId="702DF964"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2,78</w:t>
            </w:r>
          </w:p>
        </w:tc>
        <w:tc>
          <w:tcPr>
            <w:tcW w:w="907" w:type="dxa"/>
            <w:tcBorders>
              <w:top w:val="nil"/>
              <w:left w:val="nil"/>
              <w:bottom w:val="nil"/>
              <w:right w:val="nil"/>
            </w:tcBorders>
            <w:shd w:val="clear" w:color="auto" w:fill="auto"/>
            <w:noWrap/>
            <w:vAlign w:val="center"/>
            <w:hideMark/>
          </w:tcPr>
          <w:p w14:paraId="2EC55968"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2,67</w:t>
            </w:r>
          </w:p>
        </w:tc>
        <w:tc>
          <w:tcPr>
            <w:tcW w:w="907" w:type="dxa"/>
            <w:tcBorders>
              <w:top w:val="nil"/>
              <w:left w:val="nil"/>
              <w:bottom w:val="nil"/>
              <w:right w:val="nil"/>
            </w:tcBorders>
            <w:shd w:val="clear" w:color="auto" w:fill="auto"/>
            <w:noWrap/>
            <w:vAlign w:val="center"/>
            <w:hideMark/>
          </w:tcPr>
          <w:p w14:paraId="6403A9CB"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2,39</w:t>
            </w:r>
          </w:p>
        </w:tc>
        <w:tc>
          <w:tcPr>
            <w:tcW w:w="907" w:type="dxa"/>
            <w:tcBorders>
              <w:top w:val="nil"/>
              <w:left w:val="nil"/>
              <w:bottom w:val="nil"/>
              <w:right w:val="nil"/>
            </w:tcBorders>
            <w:shd w:val="clear" w:color="auto" w:fill="auto"/>
            <w:noWrap/>
            <w:vAlign w:val="center"/>
            <w:hideMark/>
          </w:tcPr>
          <w:p w14:paraId="7B95C7BB"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2,49</w:t>
            </w:r>
          </w:p>
        </w:tc>
        <w:tc>
          <w:tcPr>
            <w:tcW w:w="907" w:type="dxa"/>
            <w:tcBorders>
              <w:top w:val="nil"/>
              <w:left w:val="nil"/>
              <w:bottom w:val="nil"/>
              <w:right w:val="nil"/>
            </w:tcBorders>
            <w:shd w:val="clear" w:color="auto" w:fill="auto"/>
            <w:noWrap/>
            <w:vAlign w:val="center"/>
            <w:hideMark/>
          </w:tcPr>
          <w:p w14:paraId="3C1C3BDB"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2,56</w:t>
            </w:r>
          </w:p>
        </w:tc>
        <w:tc>
          <w:tcPr>
            <w:tcW w:w="907" w:type="dxa"/>
            <w:tcBorders>
              <w:top w:val="nil"/>
              <w:left w:val="nil"/>
              <w:bottom w:val="nil"/>
              <w:right w:val="nil"/>
            </w:tcBorders>
            <w:shd w:val="clear" w:color="auto" w:fill="auto"/>
            <w:noWrap/>
            <w:vAlign w:val="center"/>
            <w:hideMark/>
          </w:tcPr>
          <w:p w14:paraId="22312231"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2,29</w:t>
            </w:r>
          </w:p>
        </w:tc>
        <w:tc>
          <w:tcPr>
            <w:tcW w:w="907" w:type="dxa"/>
            <w:tcBorders>
              <w:top w:val="nil"/>
              <w:left w:val="nil"/>
              <w:bottom w:val="nil"/>
              <w:right w:val="nil"/>
            </w:tcBorders>
            <w:shd w:val="clear" w:color="auto" w:fill="auto"/>
            <w:noWrap/>
            <w:vAlign w:val="center"/>
            <w:hideMark/>
          </w:tcPr>
          <w:p w14:paraId="51F97F47"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2,25</w:t>
            </w:r>
          </w:p>
        </w:tc>
        <w:tc>
          <w:tcPr>
            <w:tcW w:w="907" w:type="dxa"/>
            <w:tcBorders>
              <w:top w:val="nil"/>
              <w:left w:val="nil"/>
              <w:bottom w:val="nil"/>
              <w:right w:val="nil"/>
            </w:tcBorders>
            <w:shd w:val="clear" w:color="auto" w:fill="auto"/>
            <w:noWrap/>
            <w:vAlign w:val="center"/>
            <w:hideMark/>
          </w:tcPr>
          <w:p w14:paraId="6B949996"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2,21</w:t>
            </w:r>
          </w:p>
        </w:tc>
        <w:tc>
          <w:tcPr>
            <w:tcW w:w="907" w:type="dxa"/>
            <w:tcBorders>
              <w:top w:val="nil"/>
              <w:left w:val="nil"/>
              <w:bottom w:val="nil"/>
              <w:right w:val="nil"/>
            </w:tcBorders>
            <w:shd w:val="clear" w:color="auto" w:fill="auto"/>
            <w:noWrap/>
            <w:vAlign w:val="center"/>
            <w:hideMark/>
          </w:tcPr>
          <w:p w14:paraId="3ED504AE"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2,17</w:t>
            </w:r>
          </w:p>
        </w:tc>
      </w:tr>
      <w:tr w:rsidR="00581065" w:rsidRPr="00581065" w14:paraId="2700F7A0" w14:textId="77777777" w:rsidTr="001438A5">
        <w:trPr>
          <w:trHeight w:val="300"/>
        </w:trPr>
        <w:tc>
          <w:tcPr>
            <w:tcW w:w="1417" w:type="dxa"/>
            <w:tcBorders>
              <w:top w:val="nil"/>
              <w:left w:val="nil"/>
              <w:bottom w:val="nil"/>
              <w:right w:val="nil"/>
            </w:tcBorders>
            <w:shd w:val="clear" w:color="auto" w:fill="auto"/>
            <w:noWrap/>
            <w:vAlign w:val="center"/>
            <w:hideMark/>
          </w:tcPr>
          <w:p w14:paraId="55137BB4"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Belgie</w:t>
            </w:r>
          </w:p>
        </w:tc>
        <w:tc>
          <w:tcPr>
            <w:tcW w:w="907" w:type="dxa"/>
            <w:tcBorders>
              <w:top w:val="nil"/>
              <w:left w:val="single" w:sz="4" w:space="0" w:color="000000"/>
              <w:bottom w:val="nil"/>
              <w:right w:val="nil"/>
            </w:tcBorders>
            <w:shd w:val="clear" w:color="auto" w:fill="auto"/>
            <w:noWrap/>
            <w:vAlign w:val="center"/>
            <w:hideMark/>
          </w:tcPr>
          <w:p w14:paraId="677D8C45" w14:textId="77777777" w:rsidR="00581065" w:rsidRPr="00581065" w:rsidRDefault="00581065" w:rsidP="001438A5">
            <w:pPr>
              <w:spacing w:after="0" w:line="240" w:lineRule="auto"/>
              <w:jc w:val="center"/>
              <w:rPr>
                <w:rFonts w:cs="Arial"/>
                <w:sz w:val="16"/>
                <w:szCs w:val="16"/>
              </w:rPr>
            </w:pPr>
            <w:r w:rsidRPr="00581065">
              <w:rPr>
                <w:rFonts w:cs="Arial"/>
                <w:sz w:val="16"/>
                <w:szCs w:val="16"/>
              </w:rPr>
              <w:t>4,48</w:t>
            </w:r>
          </w:p>
        </w:tc>
        <w:tc>
          <w:tcPr>
            <w:tcW w:w="907" w:type="dxa"/>
            <w:tcBorders>
              <w:top w:val="nil"/>
              <w:left w:val="nil"/>
              <w:bottom w:val="nil"/>
              <w:right w:val="nil"/>
            </w:tcBorders>
            <w:shd w:val="clear" w:color="auto" w:fill="auto"/>
            <w:noWrap/>
            <w:vAlign w:val="center"/>
            <w:hideMark/>
          </w:tcPr>
          <w:p w14:paraId="567B11C6" w14:textId="77777777" w:rsidR="00581065" w:rsidRPr="00581065" w:rsidRDefault="00581065" w:rsidP="001438A5">
            <w:pPr>
              <w:spacing w:after="0" w:line="240" w:lineRule="auto"/>
              <w:jc w:val="center"/>
              <w:rPr>
                <w:rFonts w:cs="Arial"/>
                <w:sz w:val="16"/>
                <w:szCs w:val="16"/>
              </w:rPr>
            </w:pPr>
            <w:r w:rsidRPr="00581065">
              <w:rPr>
                <w:rFonts w:cs="Arial"/>
                <w:sz w:val="16"/>
                <w:szCs w:val="16"/>
              </w:rPr>
              <w:t>2,09</w:t>
            </w:r>
          </w:p>
        </w:tc>
        <w:tc>
          <w:tcPr>
            <w:tcW w:w="907" w:type="dxa"/>
            <w:tcBorders>
              <w:top w:val="nil"/>
              <w:left w:val="nil"/>
              <w:bottom w:val="nil"/>
              <w:right w:val="nil"/>
            </w:tcBorders>
            <w:shd w:val="clear" w:color="auto" w:fill="auto"/>
            <w:noWrap/>
            <w:vAlign w:val="center"/>
            <w:hideMark/>
          </w:tcPr>
          <w:p w14:paraId="4A65C98C" w14:textId="77777777" w:rsidR="00581065" w:rsidRPr="00581065" w:rsidRDefault="00581065" w:rsidP="001438A5">
            <w:pPr>
              <w:spacing w:after="0" w:line="240" w:lineRule="auto"/>
              <w:jc w:val="center"/>
              <w:rPr>
                <w:rFonts w:cs="Arial"/>
                <w:sz w:val="16"/>
                <w:szCs w:val="16"/>
              </w:rPr>
            </w:pPr>
            <w:r w:rsidRPr="00581065">
              <w:rPr>
                <w:rFonts w:cs="Arial"/>
                <w:sz w:val="16"/>
                <w:szCs w:val="16"/>
              </w:rPr>
              <w:t>3,14</w:t>
            </w:r>
          </w:p>
        </w:tc>
        <w:tc>
          <w:tcPr>
            <w:tcW w:w="907" w:type="dxa"/>
            <w:tcBorders>
              <w:top w:val="nil"/>
              <w:left w:val="nil"/>
              <w:bottom w:val="nil"/>
              <w:right w:val="nil"/>
            </w:tcBorders>
            <w:shd w:val="clear" w:color="000000" w:fill="DBDBDB"/>
            <w:noWrap/>
            <w:vAlign w:val="center"/>
            <w:hideMark/>
          </w:tcPr>
          <w:p w14:paraId="3DF1D9EC" w14:textId="77777777" w:rsidR="00581065" w:rsidRPr="00581065" w:rsidRDefault="00581065" w:rsidP="001438A5">
            <w:pPr>
              <w:spacing w:after="0" w:line="240" w:lineRule="auto"/>
              <w:jc w:val="center"/>
              <w:rPr>
                <w:rFonts w:cs="Arial"/>
                <w:sz w:val="16"/>
                <w:szCs w:val="16"/>
              </w:rPr>
            </w:pPr>
            <w:r w:rsidRPr="00581065">
              <w:rPr>
                <w:rFonts w:cs="Arial"/>
                <w:sz w:val="16"/>
                <w:szCs w:val="16"/>
              </w:rPr>
              <w:t>1,72</w:t>
            </w:r>
          </w:p>
        </w:tc>
        <w:tc>
          <w:tcPr>
            <w:tcW w:w="907" w:type="dxa"/>
            <w:tcBorders>
              <w:top w:val="nil"/>
              <w:left w:val="nil"/>
              <w:bottom w:val="nil"/>
              <w:right w:val="nil"/>
            </w:tcBorders>
            <w:shd w:val="clear" w:color="auto" w:fill="auto"/>
            <w:noWrap/>
            <w:vAlign w:val="center"/>
            <w:hideMark/>
          </w:tcPr>
          <w:p w14:paraId="02421951" w14:textId="77777777" w:rsidR="00581065" w:rsidRPr="00581065" w:rsidRDefault="00581065" w:rsidP="001438A5">
            <w:pPr>
              <w:spacing w:after="0" w:line="240" w:lineRule="auto"/>
              <w:jc w:val="center"/>
              <w:rPr>
                <w:rFonts w:cs="Arial"/>
                <w:sz w:val="16"/>
                <w:szCs w:val="16"/>
              </w:rPr>
            </w:pPr>
            <w:r w:rsidRPr="00581065">
              <w:rPr>
                <w:rFonts w:cs="Arial"/>
                <w:sz w:val="16"/>
                <w:szCs w:val="16"/>
              </w:rPr>
              <w:t>2,39</w:t>
            </w:r>
          </w:p>
        </w:tc>
        <w:tc>
          <w:tcPr>
            <w:tcW w:w="907" w:type="dxa"/>
            <w:tcBorders>
              <w:top w:val="nil"/>
              <w:left w:val="nil"/>
              <w:bottom w:val="nil"/>
              <w:right w:val="nil"/>
            </w:tcBorders>
            <w:shd w:val="clear" w:color="auto" w:fill="auto"/>
            <w:noWrap/>
            <w:vAlign w:val="center"/>
            <w:hideMark/>
          </w:tcPr>
          <w:p w14:paraId="3CD1DF17" w14:textId="77777777" w:rsidR="00581065" w:rsidRPr="00581065" w:rsidRDefault="00581065" w:rsidP="001438A5">
            <w:pPr>
              <w:spacing w:after="0" w:line="240" w:lineRule="auto"/>
              <w:jc w:val="center"/>
              <w:rPr>
                <w:rFonts w:cs="Arial"/>
                <w:sz w:val="16"/>
                <w:szCs w:val="16"/>
              </w:rPr>
            </w:pPr>
            <w:r w:rsidRPr="00581065">
              <w:rPr>
                <w:rFonts w:cs="Arial"/>
                <w:sz w:val="16"/>
                <w:szCs w:val="16"/>
              </w:rPr>
              <w:t>2,27</w:t>
            </w:r>
          </w:p>
        </w:tc>
        <w:tc>
          <w:tcPr>
            <w:tcW w:w="907" w:type="dxa"/>
            <w:tcBorders>
              <w:top w:val="nil"/>
              <w:left w:val="nil"/>
              <w:bottom w:val="nil"/>
              <w:right w:val="nil"/>
            </w:tcBorders>
            <w:shd w:val="clear" w:color="auto" w:fill="auto"/>
            <w:noWrap/>
            <w:vAlign w:val="center"/>
            <w:hideMark/>
          </w:tcPr>
          <w:p w14:paraId="5A6844B5" w14:textId="77777777" w:rsidR="00581065" w:rsidRPr="00581065" w:rsidRDefault="00581065" w:rsidP="001438A5">
            <w:pPr>
              <w:spacing w:after="0" w:line="240" w:lineRule="auto"/>
              <w:jc w:val="center"/>
              <w:rPr>
                <w:rFonts w:cs="Arial"/>
                <w:sz w:val="16"/>
                <w:szCs w:val="16"/>
              </w:rPr>
            </w:pPr>
            <w:r w:rsidRPr="00581065">
              <w:rPr>
                <w:rFonts w:cs="Arial"/>
                <w:sz w:val="16"/>
                <w:szCs w:val="16"/>
              </w:rPr>
              <w:t>2,32</w:t>
            </w:r>
          </w:p>
        </w:tc>
        <w:tc>
          <w:tcPr>
            <w:tcW w:w="907" w:type="dxa"/>
            <w:tcBorders>
              <w:top w:val="nil"/>
              <w:left w:val="nil"/>
              <w:bottom w:val="nil"/>
              <w:right w:val="nil"/>
            </w:tcBorders>
            <w:shd w:val="clear" w:color="auto" w:fill="auto"/>
            <w:noWrap/>
            <w:vAlign w:val="center"/>
            <w:hideMark/>
          </w:tcPr>
          <w:p w14:paraId="6D20ABF1" w14:textId="77777777" w:rsidR="00581065" w:rsidRPr="00581065" w:rsidRDefault="00581065" w:rsidP="001438A5">
            <w:pPr>
              <w:spacing w:after="0" w:line="240" w:lineRule="auto"/>
              <w:jc w:val="center"/>
              <w:rPr>
                <w:rFonts w:cs="Arial"/>
                <w:sz w:val="16"/>
                <w:szCs w:val="16"/>
              </w:rPr>
            </w:pPr>
            <w:r w:rsidRPr="00581065">
              <w:rPr>
                <w:rFonts w:cs="Arial"/>
                <w:sz w:val="16"/>
                <w:szCs w:val="16"/>
              </w:rPr>
              <w:t>2,72</w:t>
            </w:r>
          </w:p>
        </w:tc>
        <w:tc>
          <w:tcPr>
            <w:tcW w:w="907" w:type="dxa"/>
            <w:tcBorders>
              <w:top w:val="nil"/>
              <w:left w:val="nil"/>
              <w:bottom w:val="nil"/>
              <w:right w:val="nil"/>
            </w:tcBorders>
            <w:shd w:val="clear" w:color="auto" w:fill="auto"/>
            <w:noWrap/>
            <w:vAlign w:val="center"/>
            <w:hideMark/>
          </w:tcPr>
          <w:p w14:paraId="197134BD" w14:textId="77777777" w:rsidR="00581065" w:rsidRPr="00581065" w:rsidRDefault="00581065" w:rsidP="001438A5">
            <w:pPr>
              <w:spacing w:after="0" w:line="240" w:lineRule="auto"/>
              <w:jc w:val="center"/>
              <w:rPr>
                <w:rFonts w:cs="Arial"/>
                <w:sz w:val="16"/>
                <w:szCs w:val="16"/>
              </w:rPr>
            </w:pPr>
            <w:r w:rsidRPr="00581065">
              <w:rPr>
                <w:rFonts w:cs="Arial"/>
                <w:sz w:val="16"/>
                <w:szCs w:val="16"/>
              </w:rPr>
              <w:t>1,89</w:t>
            </w:r>
          </w:p>
        </w:tc>
      </w:tr>
      <w:tr w:rsidR="00581065" w:rsidRPr="00581065" w14:paraId="3C5C54A4" w14:textId="77777777" w:rsidTr="001438A5">
        <w:trPr>
          <w:trHeight w:val="300"/>
        </w:trPr>
        <w:tc>
          <w:tcPr>
            <w:tcW w:w="1417" w:type="dxa"/>
            <w:tcBorders>
              <w:top w:val="nil"/>
              <w:left w:val="nil"/>
              <w:bottom w:val="nil"/>
              <w:right w:val="nil"/>
            </w:tcBorders>
            <w:shd w:val="clear" w:color="auto" w:fill="auto"/>
            <w:noWrap/>
            <w:vAlign w:val="center"/>
            <w:hideMark/>
          </w:tcPr>
          <w:p w14:paraId="6B287B1B"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Bulharsko</w:t>
            </w:r>
          </w:p>
        </w:tc>
        <w:tc>
          <w:tcPr>
            <w:tcW w:w="907" w:type="dxa"/>
            <w:tcBorders>
              <w:top w:val="nil"/>
              <w:left w:val="single" w:sz="4" w:space="0" w:color="000000"/>
              <w:bottom w:val="nil"/>
              <w:right w:val="nil"/>
            </w:tcBorders>
            <w:shd w:val="clear" w:color="auto" w:fill="auto"/>
            <w:noWrap/>
            <w:vAlign w:val="center"/>
            <w:hideMark/>
          </w:tcPr>
          <w:p w14:paraId="0B07ADAD" w14:textId="77777777" w:rsidR="00581065" w:rsidRPr="00581065" w:rsidRDefault="00581065" w:rsidP="001438A5">
            <w:pPr>
              <w:spacing w:after="0" w:line="240" w:lineRule="auto"/>
              <w:jc w:val="center"/>
              <w:rPr>
                <w:rFonts w:cs="Arial"/>
                <w:sz w:val="16"/>
                <w:szCs w:val="16"/>
              </w:rPr>
            </w:pPr>
            <w:r w:rsidRPr="00581065">
              <w:rPr>
                <w:rFonts w:cs="Arial"/>
                <w:sz w:val="16"/>
                <w:szCs w:val="16"/>
              </w:rPr>
              <w:t>4,57</w:t>
            </w:r>
          </w:p>
        </w:tc>
        <w:tc>
          <w:tcPr>
            <w:tcW w:w="907" w:type="dxa"/>
            <w:tcBorders>
              <w:top w:val="nil"/>
              <w:left w:val="nil"/>
              <w:bottom w:val="nil"/>
              <w:right w:val="nil"/>
            </w:tcBorders>
            <w:shd w:val="clear" w:color="auto" w:fill="auto"/>
            <w:noWrap/>
            <w:vAlign w:val="center"/>
            <w:hideMark/>
          </w:tcPr>
          <w:p w14:paraId="409E8ADB" w14:textId="77777777" w:rsidR="00581065" w:rsidRPr="00581065" w:rsidRDefault="00581065" w:rsidP="001438A5">
            <w:pPr>
              <w:spacing w:after="0" w:line="240" w:lineRule="auto"/>
              <w:jc w:val="center"/>
              <w:rPr>
                <w:rFonts w:cs="Arial"/>
                <w:sz w:val="16"/>
                <w:szCs w:val="16"/>
              </w:rPr>
            </w:pPr>
            <w:r w:rsidRPr="00581065">
              <w:rPr>
                <w:rFonts w:cs="Arial"/>
                <w:sz w:val="16"/>
                <w:szCs w:val="16"/>
              </w:rPr>
              <w:t>4,65</w:t>
            </w:r>
          </w:p>
        </w:tc>
        <w:tc>
          <w:tcPr>
            <w:tcW w:w="907" w:type="dxa"/>
            <w:tcBorders>
              <w:top w:val="nil"/>
              <w:left w:val="nil"/>
              <w:bottom w:val="nil"/>
              <w:right w:val="nil"/>
            </w:tcBorders>
            <w:shd w:val="clear" w:color="auto" w:fill="auto"/>
            <w:noWrap/>
            <w:vAlign w:val="center"/>
            <w:hideMark/>
          </w:tcPr>
          <w:p w14:paraId="1D41D890" w14:textId="77777777" w:rsidR="00581065" w:rsidRPr="00581065" w:rsidRDefault="00581065" w:rsidP="001438A5">
            <w:pPr>
              <w:spacing w:after="0" w:line="240" w:lineRule="auto"/>
              <w:jc w:val="center"/>
              <w:rPr>
                <w:rFonts w:cs="Arial"/>
                <w:sz w:val="16"/>
                <w:szCs w:val="16"/>
              </w:rPr>
            </w:pPr>
            <w:r w:rsidRPr="00581065">
              <w:rPr>
                <w:rFonts w:cs="Arial"/>
                <w:sz w:val="16"/>
                <w:szCs w:val="16"/>
              </w:rPr>
              <w:t>3,72</w:t>
            </w:r>
          </w:p>
        </w:tc>
        <w:tc>
          <w:tcPr>
            <w:tcW w:w="907" w:type="dxa"/>
            <w:tcBorders>
              <w:top w:val="nil"/>
              <w:left w:val="nil"/>
              <w:bottom w:val="nil"/>
              <w:right w:val="nil"/>
            </w:tcBorders>
            <w:shd w:val="clear" w:color="auto" w:fill="auto"/>
            <w:noWrap/>
            <w:vAlign w:val="center"/>
            <w:hideMark/>
          </w:tcPr>
          <w:p w14:paraId="021DE076" w14:textId="77777777" w:rsidR="00581065" w:rsidRPr="00581065" w:rsidRDefault="00581065" w:rsidP="001438A5">
            <w:pPr>
              <w:spacing w:after="0" w:line="240" w:lineRule="auto"/>
              <w:jc w:val="center"/>
              <w:rPr>
                <w:rFonts w:cs="Arial"/>
                <w:sz w:val="16"/>
                <w:szCs w:val="16"/>
              </w:rPr>
            </w:pPr>
            <w:r w:rsidRPr="00581065">
              <w:rPr>
                <w:rFonts w:cs="Arial"/>
                <w:sz w:val="16"/>
                <w:szCs w:val="16"/>
              </w:rPr>
              <w:t>5,43</w:t>
            </w:r>
          </w:p>
        </w:tc>
        <w:tc>
          <w:tcPr>
            <w:tcW w:w="907" w:type="dxa"/>
            <w:tcBorders>
              <w:top w:val="nil"/>
              <w:left w:val="nil"/>
              <w:bottom w:val="nil"/>
              <w:right w:val="nil"/>
            </w:tcBorders>
            <w:shd w:val="clear" w:color="auto" w:fill="auto"/>
            <w:noWrap/>
            <w:vAlign w:val="center"/>
            <w:hideMark/>
          </w:tcPr>
          <w:p w14:paraId="4F38C1AB" w14:textId="77777777" w:rsidR="00581065" w:rsidRPr="00581065" w:rsidRDefault="00581065" w:rsidP="001438A5">
            <w:pPr>
              <w:spacing w:after="0" w:line="240" w:lineRule="auto"/>
              <w:jc w:val="center"/>
              <w:rPr>
                <w:rFonts w:cs="Arial"/>
                <w:sz w:val="16"/>
                <w:szCs w:val="16"/>
              </w:rPr>
            </w:pPr>
            <w:r w:rsidRPr="00581065">
              <w:rPr>
                <w:rFonts w:cs="Arial"/>
                <w:sz w:val="16"/>
                <w:szCs w:val="16"/>
              </w:rPr>
              <w:t>4,31</w:t>
            </w:r>
          </w:p>
        </w:tc>
        <w:tc>
          <w:tcPr>
            <w:tcW w:w="907" w:type="dxa"/>
            <w:tcBorders>
              <w:top w:val="nil"/>
              <w:left w:val="nil"/>
              <w:bottom w:val="nil"/>
              <w:right w:val="nil"/>
            </w:tcBorders>
            <w:shd w:val="clear" w:color="auto" w:fill="auto"/>
            <w:noWrap/>
            <w:vAlign w:val="center"/>
            <w:hideMark/>
          </w:tcPr>
          <w:p w14:paraId="4F6A9CCE" w14:textId="77777777" w:rsidR="00581065" w:rsidRPr="00581065" w:rsidRDefault="00581065" w:rsidP="001438A5">
            <w:pPr>
              <w:spacing w:after="0" w:line="240" w:lineRule="auto"/>
              <w:jc w:val="center"/>
              <w:rPr>
                <w:rFonts w:cs="Arial"/>
                <w:sz w:val="16"/>
                <w:szCs w:val="16"/>
              </w:rPr>
            </w:pPr>
            <w:r w:rsidRPr="00581065">
              <w:rPr>
                <w:rFonts w:cs="Arial"/>
                <w:sz w:val="16"/>
                <w:szCs w:val="16"/>
              </w:rPr>
              <w:t>3,74</w:t>
            </w:r>
          </w:p>
        </w:tc>
        <w:tc>
          <w:tcPr>
            <w:tcW w:w="907" w:type="dxa"/>
            <w:tcBorders>
              <w:top w:val="nil"/>
              <w:left w:val="nil"/>
              <w:bottom w:val="nil"/>
              <w:right w:val="nil"/>
            </w:tcBorders>
            <w:shd w:val="clear" w:color="auto" w:fill="auto"/>
            <w:noWrap/>
            <w:vAlign w:val="center"/>
            <w:hideMark/>
          </w:tcPr>
          <w:p w14:paraId="480E79F4" w14:textId="77777777" w:rsidR="00581065" w:rsidRPr="00581065" w:rsidRDefault="00581065" w:rsidP="001438A5">
            <w:pPr>
              <w:spacing w:after="0" w:line="240" w:lineRule="auto"/>
              <w:jc w:val="center"/>
              <w:rPr>
                <w:rFonts w:cs="Arial"/>
                <w:sz w:val="16"/>
                <w:szCs w:val="16"/>
              </w:rPr>
            </w:pPr>
            <w:r w:rsidRPr="00581065">
              <w:rPr>
                <w:rFonts w:cs="Arial"/>
                <w:sz w:val="16"/>
                <w:szCs w:val="16"/>
              </w:rPr>
              <w:t>4,3</w:t>
            </w:r>
            <w:r>
              <w:rPr>
                <w:rFonts w:cs="Arial"/>
                <w:sz w:val="16"/>
                <w:szCs w:val="16"/>
              </w:rPr>
              <w:t>0</w:t>
            </w:r>
          </w:p>
        </w:tc>
        <w:tc>
          <w:tcPr>
            <w:tcW w:w="907" w:type="dxa"/>
            <w:tcBorders>
              <w:top w:val="nil"/>
              <w:left w:val="nil"/>
              <w:bottom w:val="nil"/>
              <w:right w:val="nil"/>
            </w:tcBorders>
            <w:shd w:val="clear" w:color="auto" w:fill="auto"/>
            <w:noWrap/>
            <w:vAlign w:val="center"/>
            <w:hideMark/>
          </w:tcPr>
          <w:p w14:paraId="6E696DCA" w14:textId="77777777" w:rsidR="00581065" w:rsidRPr="00581065" w:rsidRDefault="00581065" w:rsidP="001438A5">
            <w:pPr>
              <w:spacing w:after="0" w:line="240" w:lineRule="auto"/>
              <w:jc w:val="center"/>
              <w:rPr>
                <w:rFonts w:cs="Arial"/>
                <w:sz w:val="16"/>
                <w:szCs w:val="16"/>
              </w:rPr>
            </w:pPr>
            <w:r w:rsidRPr="00581065">
              <w:rPr>
                <w:rFonts w:cs="Arial"/>
                <w:sz w:val="16"/>
                <w:szCs w:val="16"/>
              </w:rPr>
              <w:t>3,81</w:t>
            </w:r>
          </w:p>
        </w:tc>
        <w:tc>
          <w:tcPr>
            <w:tcW w:w="907" w:type="dxa"/>
            <w:tcBorders>
              <w:top w:val="nil"/>
              <w:left w:val="nil"/>
              <w:bottom w:val="nil"/>
              <w:right w:val="nil"/>
            </w:tcBorders>
            <w:shd w:val="clear" w:color="auto" w:fill="auto"/>
            <w:noWrap/>
            <w:vAlign w:val="center"/>
            <w:hideMark/>
          </w:tcPr>
          <w:p w14:paraId="5DA5CAA7" w14:textId="77777777" w:rsidR="00581065" w:rsidRPr="00581065" w:rsidRDefault="00581065" w:rsidP="001438A5">
            <w:pPr>
              <w:spacing w:after="0" w:line="240" w:lineRule="auto"/>
              <w:jc w:val="center"/>
              <w:rPr>
                <w:rFonts w:cs="Arial"/>
                <w:sz w:val="16"/>
                <w:szCs w:val="16"/>
              </w:rPr>
            </w:pPr>
            <w:r w:rsidRPr="00581065">
              <w:rPr>
                <w:rFonts w:cs="Arial"/>
                <w:sz w:val="16"/>
                <w:szCs w:val="16"/>
              </w:rPr>
              <w:t>4,07</w:t>
            </w:r>
          </w:p>
        </w:tc>
      </w:tr>
      <w:tr w:rsidR="00581065" w:rsidRPr="00581065" w14:paraId="216F54EC" w14:textId="77777777" w:rsidTr="001438A5">
        <w:trPr>
          <w:trHeight w:val="300"/>
        </w:trPr>
        <w:tc>
          <w:tcPr>
            <w:tcW w:w="1417" w:type="dxa"/>
            <w:tcBorders>
              <w:top w:val="nil"/>
              <w:left w:val="nil"/>
              <w:bottom w:val="nil"/>
              <w:right w:val="nil"/>
            </w:tcBorders>
            <w:shd w:val="clear" w:color="auto" w:fill="F5DADD"/>
            <w:noWrap/>
            <w:vAlign w:val="center"/>
            <w:hideMark/>
          </w:tcPr>
          <w:p w14:paraId="3D27E79A" w14:textId="77777777" w:rsidR="00581065" w:rsidRPr="00581065" w:rsidRDefault="00581065" w:rsidP="001438A5">
            <w:pPr>
              <w:spacing w:after="0" w:line="240" w:lineRule="auto"/>
              <w:ind w:firstLineChars="100" w:firstLine="160"/>
              <w:rPr>
                <w:rFonts w:cs="Arial"/>
                <w:b/>
                <w:bCs/>
                <w:sz w:val="16"/>
                <w:szCs w:val="16"/>
              </w:rPr>
            </w:pPr>
            <w:r w:rsidRPr="00581065">
              <w:rPr>
                <w:rFonts w:cs="Arial"/>
                <w:b/>
                <w:bCs/>
                <w:sz w:val="16"/>
                <w:szCs w:val="16"/>
              </w:rPr>
              <w:t>Česko</w:t>
            </w:r>
          </w:p>
        </w:tc>
        <w:tc>
          <w:tcPr>
            <w:tcW w:w="907" w:type="dxa"/>
            <w:tcBorders>
              <w:top w:val="nil"/>
              <w:left w:val="single" w:sz="4" w:space="0" w:color="000000"/>
              <w:bottom w:val="nil"/>
              <w:right w:val="nil"/>
            </w:tcBorders>
            <w:shd w:val="clear" w:color="auto" w:fill="F5DADD"/>
            <w:noWrap/>
            <w:vAlign w:val="center"/>
            <w:hideMark/>
          </w:tcPr>
          <w:p w14:paraId="3EECD87C"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3,96</w:t>
            </w:r>
          </w:p>
        </w:tc>
        <w:tc>
          <w:tcPr>
            <w:tcW w:w="907" w:type="dxa"/>
            <w:tcBorders>
              <w:top w:val="nil"/>
              <w:left w:val="nil"/>
              <w:bottom w:val="nil"/>
              <w:right w:val="nil"/>
            </w:tcBorders>
            <w:shd w:val="clear" w:color="auto" w:fill="F5DADD"/>
            <w:noWrap/>
            <w:vAlign w:val="center"/>
            <w:hideMark/>
          </w:tcPr>
          <w:p w14:paraId="1F39E936"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2,96</w:t>
            </w:r>
          </w:p>
        </w:tc>
        <w:tc>
          <w:tcPr>
            <w:tcW w:w="907" w:type="dxa"/>
            <w:tcBorders>
              <w:top w:val="nil"/>
              <w:left w:val="nil"/>
              <w:bottom w:val="nil"/>
              <w:right w:val="nil"/>
            </w:tcBorders>
            <w:shd w:val="clear" w:color="auto" w:fill="F5DADD"/>
            <w:noWrap/>
            <w:vAlign w:val="center"/>
            <w:hideMark/>
          </w:tcPr>
          <w:p w14:paraId="0BB48022"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2,68</w:t>
            </w:r>
          </w:p>
        </w:tc>
        <w:tc>
          <w:tcPr>
            <w:tcW w:w="907" w:type="dxa"/>
            <w:tcBorders>
              <w:top w:val="nil"/>
              <w:left w:val="nil"/>
              <w:bottom w:val="nil"/>
              <w:right w:val="nil"/>
            </w:tcBorders>
            <w:shd w:val="clear" w:color="auto" w:fill="F5DADD"/>
            <w:noWrap/>
            <w:vAlign w:val="center"/>
            <w:hideMark/>
          </w:tcPr>
          <w:p w14:paraId="26A43EB7"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2,61</w:t>
            </w:r>
          </w:p>
        </w:tc>
        <w:tc>
          <w:tcPr>
            <w:tcW w:w="907" w:type="dxa"/>
            <w:tcBorders>
              <w:top w:val="nil"/>
              <w:left w:val="nil"/>
              <w:bottom w:val="nil"/>
              <w:right w:val="nil"/>
            </w:tcBorders>
            <w:shd w:val="clear" w:color="auto" w:fill="F5DADD"/>
            <w:noWrap/>
            <w:vAlign w:val="center"/>
            <w:hideMark/>
          </w:tcPr>
          <w:p w14:paraId="0606CC53"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3,44</w:t>
            </w:r>
          </w:p>
        </w:tc>
        <w:tc>
          <w:tcPr>
            <w:tcW w:w="907" w:type="dxa"/>
            <w:tcBorders>
              <w:top w:val="nil"/>
              <w:left w:val="nil"/>
              <w:bottom w:val="nil"/>
              <w:right w:val="nil"/>
            </w:tcBorders>
            <w:shd w:val="clear" w:color="auto" w:fill="F5DADD"/>
            <w:noWrap/>
            <w:vAlign w:val="center"/>
            <w:hideMark/>
          </w:tcPr>
          <w:p w14:paraId="4DD93776"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2,19</w:t>
            </w:r>
          </w:p>
        </w:tc>
        <w:tc>
          <w:tcPr>
            <w:tcW w:w="907" w:type="dxa"/>
            <w:tcBorders>
              <w:top w:val="nil"/>
              <w:left w:val="nil"/>
              <w:bottom w:val="nil"/>
              <w:right w:val="nil"/>
            </w:tcBorders>
            <w:shd w:val="clear" w:color="auto" w:fill="F5DADD"/>
            <w:noWrap/>
            <w:vAlign w:val="center"/>
            <w:hideMark/>
          </w:tcPr>
          <w:p w14:paraId="21318342"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2,1</w:t>
            </w:r>
            <w:r>
              <w:rPr>
                <w:rFonts w:cs="Arial"/>
                <w:b/>
                <w:bCs/>
                <w:sz w:val="16"/>
                <w:szCs w:val="16"/>
              </w:rPr>
              <w:t>0</w:t>
            </w:r>
          </w:p>
        </w:tc>
        <w:tc>
          <w:tcPr>
            <w:tcW w:w="907" w:type="dxa"/>
            <w:tcBorders>
              <w:top w:val="nil"/>
              <w:left w:val="nil"/>
              <w:bottom w:val="nil"/>
              <w:right w:val="nil"/>
            </w:tcBorders>
            <w:shd w:val="clear" w:color="auto" w:fill="F5DADD"/>
            <w:noWrap/>
            <w:vAlign w:val="center"/>
            <w:hideMark/>
          </w:tcPr>
          <w:p w14:paraId="03854935"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2,85</w:t>
            </w:r>
          </w:p>
        </w:tc>
        <w:tc>
          <w:tcPr>
            <w:tcW w:w="907" w:type="dxa"/>
            <w:tcBorders>
              <w:top w:val="nil"/>
              <w:left w:val="nil"/>
              <w:bottom w:val="nil"/>
              <w:right w:val="nil"/>
            </w:tcBorders>
            <w:shd w:val="clear" w:color="auto" w:fill="F5DADD"/>
            <w:noWrap/>
            <w:vAlign w:val="center"/>
            <w:hideMark/>
          </w:tcPr>
          <w:p w14:paraId="2B561BA5"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2,43</w:t>
            </w:r>
          </w:p>
        </w:tc>
      </w:tr>
      <w:tr w:rsidR="00581065" w:rsidRPr="00581065" w14:paraId="27B0AA14" w14:textId="77777777" w:rsidTr="001438A5">
        <w:trPr>
          <w:trHeight w:val="300"/>
        </w:trPr>
        <w:tc>
          <w:tcPr>
            <w:tcW w:w="1417" w:type="dxa"/>
            <w:tcBorders>
              <w:top w:val="nil"/>
              <w:left w:val="nil"/>
              <w:bottom w:val="nil"/>
              <w:right w:val="nil"/>
            </w:tcBorders>
            <w:shd w:val="clear" w:color="auto" w:fill="auto"/>
            <w:noWrap/>
            <w:vAlign w:val="center"/>
            <w:hideMark/>
          </w:tcPr>
          <w:p w14:paraId="47199C41"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Dánsko</w:t>
            </w:r>
          </w:p>
        </w:tc>
        <w:tc>
          <w:tcPr>
            <w:tcW w:w="907" w:type="dxa"/>
            <w:tcBorders>
              <w:top w:val="nil"/>
              <w:left w:val="single" w:sz="4" w:space="0" w:color="000000"/>
              <w:bottom w:val="nil"/>
              <w:right w:val="nil"/>
            </w:tcBorders>
            <w:shd w:val="clear" w:color="auto" w:fill="auto"/>
            <w:noWrap/>
            <w:vAlign w:val="center"/>
            <w:hideMark/>
          </w:tcPr>
          <w:p w14:paraId="3C8C3E22" w14:textId="77777777" w:rsidR="00581065" w:rsidRPr="00581065" w:rsidRDefault="00581065" w:rsidP="001438A5">
            <w:pPr>
              <w:spacing w:after="0" w:line="240" w:lineRule="auto"/>
              <w:jc w:val="center"/>
              <w:rPr>
                <w:rFonts w:cs="Arial"/>
                <w:sz w:val="16"/>
                <w:szCs w:val="16"/>
              </w:rPr>
            </w:pPr>
            <w:r w:rsidRPr="00581065">
              <w:rPr>
                <w:rFonts w:cs="Arial"/>
                <w:sz w:val="16"/>
                <w:szCs w:val="16"/>
              </w:rPr>
              <w:t>3,16</w:t>
            </w:r>
          </w:p>
        </w:tc>
        <w:tc>
          <w:tcPr>
            <w:tcW w:w="907" w:type="dxa"/>
            <w:tcBorders>
              <w:top w:val="nil"/>
              <w:left w:val="nil"/>
              <w:bottom w:val="nil"/>
              <w:right w:val="nil"/>
            </w:tcBorders>
            <w:shd w:val="clear" w:color="auto" w:fill="auto"/>
            <w:noWrap/>
            <w:vAlign w:val="center"/>
            <w:hideMark/>
          </w:tcPr>
          <w:p w14:paraId="6B3873FE" w14:textId="77777777" w:rsidR="00581065" w:rsidRPr="00581065" w:rsidRDefault="00581065" w:rsidP="001438A5">
            <w:pPr>
              <w:spacing w:after="0" w:line="240" w:lineRule="auto"/>
              <w:jc w:val="center"/>
              <w:rPr>
                <w:rFonts w:cs="Arial"/>
                <w:sz w:val="16"/>
                <w:szCs w:val="16"/>
              </w:rPr>
            </w:pPr>
            <w:r w:rsidRPr="00581065">
              <w:rPr>
                <w:rFonts w:cs="Arial"/>
                <w:sz w:val="16"/>
                <w:szCs w:val="16"/>
              </w:rPr>
              <w:t>2,95</w:t>
            </w:r>
          </w:p>
        </w:tc>
        <w:tc>
          <w:tcPr>
            <w:tcW w:w="907" w:type="dxa"/>
            <w:tcBorders>
              <w:top w:val="nil"/>
              <w:left w:val="nil"/>
              <w:bottom w:val="nil"/>
              <w:right w:val="nil"/>
            </w:tcBorders>
            <w:shd w:val="clear" w:color="auto" w:fill="auto"/>
            <w:noWrap/>
            <w:vAlign w:val="center"/>
            <w:hideMark/>
          </w:tcPr>
          <w:p w14:paraId="6FC6C8B6" w14:textId="77777777" w:rsidR="00581065" w:rsidRPr="00581065" w:rsidRDefault="00581065" w:rsidP="001438A5">
            <w:pPr>
              <w:spacing w:after="0" w:line="240" w:lineRule="auto"/>
              <w:jc w:val="center"/>
              <w:rPr>
                <w:rFonts w:cs="Arial"/>
                <w:sz w:val="16"/>
                <w:szCs w:val="16"/>
              </w:rPr>
            </w:pPr>
            <w:r w:rsidRPr="00581065">
              <w:rPr>
                <w:rFonts w:cs="Arial"/>
                <w:sz w:val="16"/>
                <w:szCs w:val="16"/>
              </w:rPr>
              <w:t>2,25</w:t>
            </w:r>
          </w:p>
        </w:tc>
        <w:tc>
          <w:tcPr>
            <w:tcW w:w="907" w:type="dxa"/>
            <w:tcBorders>
              <w:top w:val="nil"/>
              <w:left w:val="nil"/>
              <w:bottom w:val="nil"/>
              <w:right w:val="nil"/>
            </w:tcBorders>
            <w:shd w:val="clear" w:color="auto" w:fill="auto"/>
            <w:noWrap/>
            <w:vAlign w:val="center"/>
            <w:hideMark/>
          </w:tcPr>
          <w:p w14:paraId="380EEE9F" w14:textId="77777777" w:rsidR="00581065" w:rsidRPr="00581065" w:rsidRDefault="00581065" w:rsidP="001438A5">
            <w:pPr>
              <w:spacing w:after="0" w:line="240" w:lineRule="auto"/>
              <w:jc w:val="center"/>
              <w:rPr>
                <w:rFonts w:cs="Arial"/>
                <w:sz w:val="16"/>
                <w:szCs w:val="16"/>
              </w:rPr>
            </w:pPr>
            <w:r w:rsidRPr="00581065">
              <w:rPr>
                <w:rFonts w:cs="Arial"/>
                <w:sz w:val="16"/>
                <w:szCs w:val="16"/>
              </w:rPr>
              <w:t>1,94</w:t>
            </w:r>
          </w:p>
        </w:tc>
        <w:tc>
          <w:tcPr>
            <w:tcW w:w="907" w:type="dxa"/>
            <w:tcBorders>
              <w:top w:val="nil"/>
              <w:left w:val="nil"/>
              <w:bottom w:val="nil"/>
              <w:right w:val="nil"/>
            </w:tcBorders>
            <w:shd w:val="clear" w:color="auto" w:fill="auto"/>
            <w:noWrap/>
            <w:vAlign w:val="center"/>
            <w:hideMark/>
          </w:tcPr>
          <w:p w14:paraId="2FE51105" w14:textId="77777777" w:rsidR="00581065" w:rsidRPr="00581065" w:rsidRDefault="00581065" w:rsidP="001438A5">
            <w:pPr>
              <w:spacing w:after="0" w:line="240" w:lineRule="auto"/>
              <w:jc w:val="center"/>
              <w:rPr>
                <w:rFonts w:cs="Arial"/>
                <w:sz w:val="16"/>
                <w:szCs w:val="16"/>
              </w:rPr>
            </w:pPr>
            <w:r w:rsidRPr="00581065">
              <w:rPr>
                <w:rFonts w:cs="Arial"/>
                <w:sz w:val="16"/>
                <w:szCs w:val="16"/>
              </w:rPr>
              <w:t>1,42</w:t>
            </w:r>
          </w:p>
        </w:tc>
        <w:tc>
          <w:tcPr>
            <w:tcW w:w="907" w:type="dxa"/>
            <w:tcBorders>
              <w:top w:val="nil"/>
              <w:left w:val="nil"/>
              <w:bottom w:val="nil"/>
              <w:right w:val="nil"/>
            </w:tcBorders>
            <w:shd w:val="clear" w:color="auto" w:fill="auto"/>
            <w:noWrap/>
            <w:vAlign w:val="center"/>
            <w:hideMark/>
          </w:tcPr>
          <w:p w14:paraId="01CABCB2" w14:textId="77777777" w:rsidR="00581065" w:rsidRPr="00581065" w:rsidRDefault="00581065" w:rsidP="001438A5">
            <w:pPr>
              <w:spacing w:after="0" w:line="240" w:lineRule="auto"/>
              <w:jc w:val="center"/>
              <w:rPr>
                <w:rFonts w:cs="Arial"/>
                <w:sz w:val="16"/>
                <w:szCs w:val="16"/>
              </w:rPr>
            </w:pPr>
            <w:r w:rsidRPr="00581065">
              <w:rPr>
                <w:rFonts w:cs="Arial"/>
                <w:sz w:val="16"/>
                <w:szCs w:val="16"/>
              </w:rPr>
              <w:t>1,92</w:t>
            </w:r>
          </w:p>
        </w:tc>
        <w:tc>
          <w:tcPr>
            <w:tcW w:w="907" w:type="dxa"/>
            <w:tcBorders>
              <w:top w:val="nil"/>
              <w:left w:val="nil"/>
              <w:bottom w:val="nil"/>
              <w:right w:val="nil"/>
            </w:tcBorders>
            <w:shd w:val="clear" w:color="auto" w:fill="auto"/>
            <w:noWrap/>
            <w:vAlign w:val="center"/>
            <w:hideMark/>
          </w:tcPr>
          <w:p w14:paraId="59B59DE7" w14:textId="77777777" w:rsidR="00581065" w:rsidRPr="00581065" w:rsidRDefault="00581065" w:rsidP="001438A5">
            <w:pPr>
              <w:spacing w:after="0" w:line="240" w:lineRule="auto"/>
              <w:jc w:val="center"/>
              <w:rPr>
                <w:rFonts w:cs="Arial"/>
                <w:sz w:val="16"/>
                <w:szCs w:val="16"/>
              </w:rPr>
            </w:pPr>
            <w:r w:rsidRPr="00581065">
              <w:rPr>
                <w:rFonts w:cs="Arial"/>
                <w:sz w:val="16"/>
                <w:szCs w:val="16"/>
              </w:rPr>
              <w:t>1,27</w:t>
            </w:r>
          </w:p>
        </w:tc>
        <w:tc>
          <w:tcPr>
            <w:tcW w:w="907" w:type="dxa"/>
            <w:tcBorders>
              <w:top w:val="nil"/>
              <w:left w:val="nil"/>
              <w:bottom w:val="nil"/>
              <w:right w:val="nil"/>
            </w:tcBorders>
            <w:shd w:val="clear" w:color="auto" w:fill="auto"/>
            <w:noWrap/>
            <w:vAlign w:val="center"/>
            <w:hideMark/>
          </w:tcPr>
          <w:p w14:paraId="27778B53" w14:textId="77777777" w:rsidR="00581065" w:rsidRPr="00581065" w:rsidRDefault="00581065" w:rsidP="001438A5">
            <w:pPr>
              <w:spacing w:after="0" w:line="240" w:lineRule="auto"/>
              <w:jc w:val="center"/>
              <w:rPr>
                <w:rFonts w:cs="Arial"/>
                <w:sz w:val="16"/>
                <w:szCs w:val="16"/>
              </w:rPr>
            </w:pPr>
            <w:r w:rsidRPr="00581065">
              <w:rPr>
                <w:rFonts w:cs="Arial"/>
                <w:sz w:val="16"/>
                <w:szCs w:val="16"/>
              </w:rPr>
              <w:t>1,89</w:t>
            </w:r>
          </w:p>
        </w:tc>
        <w:tc>
          <w:tcPr>
            <w:tcW w:w="907" w:type="dxa"/>
            <w:tcBorders>
              <w:top w:val="nil"/>
              <w:left w:val="nil"/>
              <w:bottom w:val="nil"/>
              <w:right w:val="nil"/>
            </w:tcBorders>
            <w:shd w:val="clear" w:color="auto" w:fill="auto"/>
            <w:noWrap/>
            <w:vAlign w:val="center"/>
            <w:hideMark/>
          </w:tcPr>
          <w:p w14:paraId="3028C8EB" w14:textId="77777777" w:rsidR="00581065" w:rsidRPr="00581065" w:rsidRDefault="00581065" w:rsidP="001438A5">
            <w:pPr>
              <w:spacing w:after="0" w:line="240" w:lineRule="auto"/>
              <w:jc w:val="center"/>
              <w:rPr>
                <w:rFonts w:cs="Arial"/>
                <w:sz w:val="16"/>
                <w:szCs w:val="16"/>
              </w:rPr>
            </w:pPr>
            <w:r w:rsidRPr="00581065">
              <w:rPr>
                <w:rFonts w:cs="Arial"/>
                <w:sz w:val="16"/>
                <w:szCs w:val="16"/>
              </w:rPr>
              <w:t>2,88</w:t>
            </w:r>
          </w:p>
        </w:tc>
      </w:tr>
      <w:tr w:rsidR="00581065" w:rsidRPr="00581065" w14:paraId="52E89011" w14:textId="77777777" w:rsidTr="001438A5">
        <w:trPr>
          <w:trHeight w:val="300"/>
        </w:trPr>
        <w:tc>
          <w:tcPr>
            <w:tcW w:w="1417" w:type="dxa"/>
            <w:tcBorders>
              <w:top w:val="nil"/>
              <w:left w:val="nil"/>
              <w:bottom w:val="nil"/>
              <w:right w:val="nil"/>
            </w:tcBorders>
            <w:shd w:val="clear" w:color="auto" w:fill="auto"/>
            <w:noWrap/>
            <w:vAlign w:val="center"/>
            <w:hideMark/>
          </w:tcPr>
          <w:p w14:paraId="3F79786A"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Estonsko</w:t>
            </w:r>
          </w:p>
        </w:tc>
        <w:tc>
          <w:tcPr>
            <w:tcW w:w="907" w:type="dxa"/>
            <w:tcBorders>
              <w:top w:val="nil"/>
              <w:left w:val="single" w:sz="4" w:space="0" w:color="000000"/>
              <w:bottom w:val="nil"/>
              <w:right w:val="nil"/>
            </w:tcBorders>
            <w:shd w:val="clear" w:color="auto" w:fill="auto"/>
            <w:noWrap/>
            <w:vAlign w:val="center"/>
            <w:hideMark/>
          </w:tcPr>
          <w:p w14:paraId="320D485C" w14:textId="77777777" w:rsidR="00581065" w:rsidRPr="00581065" w:rsidRDefault="00581065" w:rsidP="001438A5">
            <w:pPr>
              <w:spacing w:after="0" w:line="240" w:lineRule="auto"/>
              <w:jc w:val="center"/>
              <w:rPr>
                <w:rFonts w:cs="Arial"/>
                <w:sz w:val="16"/>
                <w:szCs w:val="16"/>
              </w:rPr>
            </w:pPr>
            <w:r w:rsidRPr="00581065">
              <w:rPr>
                <w:rFonts w:cs="Arial"/>
                <w:sz w:val="16"/>
                <w:szCs w:val="16"/>
              </w:rPr>
              <w:t>3,53</w:t>
            </w:r>
          </w:p>
        </w:tc>
        <w:tc>
          <w:tcPr>
            <w:tcW w:w="907" w:type="dxa"/>
            <w:tcBorders>
              <w:top w:val="nil"/>
              <w:left w:val="nil"/>
              <w:bottom w:val="nil"/>
              <w:right w:val="nil"/>
            </w:tcBorders>
            <w:shd w:val="clear" w:color="auto" w:fill="auto"/>
            <w:noWrap/>
            <w:vAlign w:val="center"/>
            <w:hideMark/>
          </w:tcPr>
          <w:p w14:paraId="429DC0B2" w14:textId="77777777" w:rsidR="00581065" w:rsidRPr="00581065" w:rsidRDefault="00581065" w:rsidP="001438A5">
            <w:pPr>
              <w:spacing w:after="0" w:line="240" w:lineRule="auto"/>
              <w:jc w:val="center"/>
              <w:rPr>
                <w:rFonts w:cs="Arial"/>
                <w:sz w:val="16"/>
                <w:szCs w:val="16"/>
              </w:rPr>
            </w:pPr>
            <w:r w:rsidRPr="00581065">
              <w:rPr>
                <w:rFonts w:cs="Arial"/>
                <w:sz w:val="16"/>
                <w:szCs w:val="16"/>
              </w:rPr>
              <w:t>1,85</w:t>
            </w:r>
          </w:p>
        </w:tc>
        <w:tc>
          <w:tcPr>
            <w:tcW w:w="907" w:type="dxa"/>
            <w:tcBorders>
              <w:top w:val="nil"/>
              <w:left w:val="nil"/>
              <w:bottom w:val="nil"/>
              <w:right w:val="nil"/>
            </w:tcBorders>
            <w:shd w:val="clear" w:color="auto" w:fill="auto"/>
            <w:noWrap/>
            <w:vAlign w:val="center"/>
            <w:hideMark/>
          </w:tcPr>
          <w:p w14:paraId="38F64D3F" w14:textId="77777777" w:rsidR="00581065" w:rsidRPr="00581065" w:rsidRDefault="00581065" w:rsidP="001438A5">
            <w:pPr>
              <w:spacing w:after="0" w:line="240" w:lineRule="auto"/>
              <w:jc w:val="center"/>
              <w:rPr>
                <w:rFonts w:cs="Arial"/>
                <w:sz w:val="16"/>
                <w:szCs w:val="16"/>
              </w:rPr>
            </w:pPr>
            <w:r w:rsidRPr="00581065">
              <w:rPr>
                <w:rFonts w:cs="Arial"/>
                <w:sz w:val="16"/>
                <w:szCs w:val="16"/>
              </w:rPr>
              <w:t>3,49</w:t>
            </w:r>
          </w:p>
        </w:tc>
        <w:tc>
          <w:tcPr>
            <w:tcW w:w="907" w:type="dxa"/>
            <w:tcBorders>
              <w:top w:val="nil"/>
              <w:left w:val="nil"/>
              <w:bottom w:val="nil"/>
              <w:right w:val="nil"/>
            </w:tcBorders>
            <w:shd w:val="clear" w:color="auto" w:fill="auto"/>
            <w:noWrap/>
            <w:vAlign w:val="center"/>
            <w:hideMark/>
          </w:tcPr>
          <w:p w14:paraId="5BFE48E5" w14:textId="77777777" w:rsidR="00581065" w:rsidRPr="00581065" w:rsidRDefault="00581065" w:rsidP="001438A5">
            <w:pPr>
              <w:spacing w:after="0" w:line="240" w:lineRule="auto"/>
              <w:jc w:val="center"/>
              <w:rPr>
                <w:rFonts w:cs="Arial"/>
                <w:sz w:val="16"/>
                <w:szCs w:val="16"/>
              </w:rPr>
            </w:pPr>
            <w:r w:rsidRPr="00581065">
              <w:rPr>
                <w:rFonts w:cs="Arial"/>
                <w:sz w:val="16"/>
                <w:szCs w:val="16"/>
              </w:rPr>
              <w:t>2,16</w:t>
            </w:r>
          </w:p>
        </w:tc>
        <w:tc>
          <w:tcPr>
            <w:tcW w:w="907" w:type="dxa"/>
            <w:tcBorders>
              <w:top w:val="nil"/>
              <w:left w:val="nil"/>
              <w:bottom w:val="nil"/>
              <w:right w:val="nil"/>
            </w:tcBorders>
            <w:shd w:val="clear" w:color="auto" w:fill="auto"/>
            <w:noWrap/>
            <w:vAlign w:val="center"/>
            <w:hideMark/>
          </w:tcPr>
          <w:p w14:paraId="453F5F52" w14:textId="77777777" w:rsidR="00581065" w:rsidRPr="00581065" w:rsidRDefault="00581065" w:rsidP="001438A5">
            <w:pPr>
              <w:spacing w:after="0" w:line="240" w:lineRule="auto"/>
              <w:jc w:val="center"/>
              <w:rPr>
                <w:rFonts w:cs="Arial"/>
                <w:sz w:val="16"/>
                <w:szCs w:val="16"/>
              </w:rPr>
            </w:pPr>
            <w:r w:rsidRPr="00581065">
              <w:rPr>
                <w:rFonts w:cs="Arial"/>
                <w:sz w:val="16"/>
                <w:szCs w:val="16"/>
              </w:rPr>
              <w:t>2,52</w:t>
            </w:r>
          </w:p>
        </w:tc>
        <w:tc>
          <w:tcPr>
            <w:tcW w:w="907" w:type="dxa"/>
            <w:tcBorders>
              <w:top w:val="nil"/>
              <w:left w:val="nil"/>
              <w:bottom w:val="nil"/>
              <w:right w:val="nil"/>
            </w:tcBorders>
            <w:shd w:val="clear" w:color="auto" w:fill="auto"/>
            <w:noWrap/>
            <w:vAlign w:val="center"/>
            <w:hideMark/>
          </w:tcPr>
          <w:p w14:paraId="2B38965F" w14:textId="77777777" w:rsidR="00581065" w:rsidRPr="00581065" w:rsidRDefault="00581065" w:rsidP="001438A5">
            <w:pPr>
              <w:spacing w:after="0" w:line="240" w:lineRule="auto"/>
              <w:jc w:val="center"/>
              <w:rPr>
                <w:rFonts w:cs="Arial"/>
                <w:sz w:val="16"/>
                <w:szCs w:val="16"/>
              </w:rPr>
            </w:pPr>
            <w:r w:rsidRPr="00581065">
              <w:rPr>
                <w:rFonts w:cs="Arial"/>
                <w:sz w:val="16"/>
                <w:szCs w:val="16"/>
              </w:rPr>
              <w:t>4,59</w:t>
            </w:r>
          </w:p>
        </w:tc>
        <w:tc>
          <w:tcPr>
            <w:tcW w:w="907" w:type="dxa"/>
            <w:tcBorders>
              <w:top w:val="nil"/>
              <w:left w:val="nil"/>
              <w:bottom w:val="nil"/>
              <w:right w:val="nil"/>
            </w:tcBorders>
            <w:shd w:val="clear" w:color="auto" w:fill="auto"/>
            <w:noWrap/>
            <w:vAlign w:val="center"/>
            <w:hideMark/>
          </w:tcPr>
          <w:p w14:paraId="34ED7C3A" w14:textId="77777777" w:rsidR="00581065" w:rsidRPr="00581065" w:rsidRDefault="00581065" w:rsidP="001438A5">
            <w:pPr>
              <w:spacing w:after="0" w:line="240" w:lineRule="auto"/>
              <w:jc w:val="center"/>
              <w:rPr>
                <w:rFonts w:cs="Arial"/>
                <w:sz w:val="16"/>
                <w:szCs w:val="16"/>
              </w:rPr>
            </w:pPr>
            <w:r w:rsidRPr="00581065">
              <w:rPr>
                <w:rFonts w:cs="Arial"/>
                <w:sz w:val="16"/>
                <w:szCs w:val="16"/>
              </w:rPr>
              <w:t>1,02</w:t>
            </w:r>
          </w:p>
        </w:tc>
        <w:tc>
          <w:tcPr>
            <w:tcW w:w="907" w:type="dxa"/>
            <w:tcBorders>
              <w:top w:val="nil"/>
              <w:left w:val="nil"/>
              <w:bottom w:val="nil"/>
              <w:right w:val="nil"/>
            </w:tcBorders>
            <w:shd w:val="clear" w:color="auto" w:fill="auto"/>
            <w:noWrap/>
            <w:vAlign w:val="center"/>
            <w:hideMark/>
          </w:tcPr>
          <w:p w14:paraId="15C37C03" w14:textId="77777777" w:rsidR="00581065" w:rsidRPr="00581065" w:rsidRDefault="00581065" w:rsidP="001438A5">
            <w:pPr>
              <w:spacing w:after="0" w:line="240" w:lineRule="auto"/>
              <w:jc w:val="center"/>
              <w:rPr>
                <w:rFonts w:cs="Arial"/>
                <w:sz w:val="16"/>
                <w:szCs w:val="16"/>
              </w:rPr>
            </w:pPr>
            <w:r w:rsidRPr="00581065">
              <w:rPr>
                <w:rFonts w:cs="Arial"/>
                <w:sz w:val="16"/>
                <w:szCs w:val="16"/>
              </w:rPr>
              <w:t>1,91</w:t>
            </w:r>
          </w:p>
        </w:tc>
        <w:tc>
          <w:tcPr>
            <w:tcW w:w="907" w:type="dxa"/>
            <w:tcBorders>
              <w:top w:val="nil"/>
              <w:left w:val="nil"/>
              <w:bottom w:val="nil"/>
              <w:right w:val="nil"/>
            </w:tcBorders>
            <w:shd w:val="clear" w:color="auto" w:fill="auto"/>
            <w:noWrap/>
            <w:vAlign w:val="center"/>
            <w:hideMark/>
          </w:tcPr>
          <w:p w14:paraId="077948C0" w14:textId="77777777" w:rsidR="00581065" w:rsidRPr="00581065" w:rsidRDefault="00581065" w:rsidP="001438A5">
            <w:pPr>
              <w:spacing w:after="0" w:line="240" w:lineRule="auto"/>
              <w:jc w:val="center"/>
              <w:rPr>
                <w:rFonts w:cs="Arial"/>
                <w:sz w:val="16"/>
                <w:szCs w:val="16"/>
              </w:rPr>
            </w:pPr>
            <w:r w:rsidRPr="00581065">
              <w:rPr>
                <w:rFonts w:cs="Arial"/>
                <w:sz w:val="16"/>
                <w:szCs w:val="16"/>
              </w:rPr>
              <w:t>2,5</w:t>
            </w:r>
            <w:r>
              <w:rPr>
                <w:rFonts w:cs="Arial"/>
                <w:sz w:val="16"/>
                <w:szCs w:val="16"/>
              </w:rPr>
              <w:t>0</w:t>
            </w:r>
          </w:p>
        </w:tc>
      </w:tr>
      <w:tr w:rsidR="00581065" w:rsidRPr="00581065" w14:paraId="1593CA13" w14:textId="77777777" w:rsidTr="001438A5">
        <w:trPr>
          <w:trHeight w:val="300"/>
        </w:trPr>
        <w:tc>
          <w:tcPr>
            <w:tcW w:w="1417" w:type="dxa"/>
            <w:tcBorders>
              <w:top w:val="nil"/>
              <w:left w:val="nil"/>
              <w:bottom w:val="nil"/>
              <w:right w:val="nil"/>
            </w:tcBorders>
            <w:shd w:val="clear" w:color="auto" w:fill="auto"/>
            <w:noWrap/>
            <w:vAlign w:val="center"/>
            <w:hideMark/>
          </w:tcPr>
          <w:p w14:paraId="3EEBBD5C"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Finsko</w:t>
            </w:r>
          </w:p>
        </w:tc>
        <w:tc>
          <w:tcPr>
            <w:tcW w:w="907" w:type="dxa"/>
            <w:tcBorders>
              <w:top w:val="nil"/>
              <w:left w:val="single" w:sz="4" w:space="0" w:color="000000"/>
              <w:bottom w:val="nil"/>
              <w:right w:val="nil"/>
            </w:tcBorders>
            <w:shd w:val="clear" w:color="auto" w:fill="auto"/>
            <w:noWrap/>
            <w:vAlign w:val="center"/>
            <w:hideMark/>
          </w:tcPr>
          <w:p w14:paraId="74CC3C73" w14:textId="77777777" w:rsidR="00581065" w:rsidRPr="00581065" w:rsidRDefault="00581065" w:rsidP="001438A5">
            <w:pPr>
              <w:spacing w:after="0" w:line="240" w:lineRule="auto"/>
              <w:jc w:val="center"/>
              <w:rPr>
                <w:rFonts w:cs="Arial"/>
                <w:sz w:val="16"/>
                <w:szCs w:val="16"/>
              </w:rPr>
            </w:pPr>
            <w:r w:rsidRPr="00581065">
              <w:rPr>
                <w:rFonts w:cs="Arial"/>
                <w:sz w:val="16"/>
                <w:szCs w:val="16"/>
              </w:rPr>
              <w:t>1,63</w:t>
            </w:r>
          </w:p>
        </w:tc>
        <w:tc>
          <w:tcPr>
            <w:tcW w:w="907" w:type="dxa"/>
            <w:tcBorders>
              <w:top w:val="nil"/>
              <w:left w:val="nil"/>
              <w:bottom w:val="nil"/>
              <w:right w:val="nil"/>
            </w:tcBorders>
            <w:shd w:val="clear" w:color="auto" w:fill="auto"/>
            <w:noWrap/>
            <w:vAlign w:val="center"/>
            <w:hideMark/>
          </w:tcPr>
          <w:p w14:paraId="5A37F34C" w14:textId="77777777" w:rsidR="00581065" w:rsidRPr="00581065" w:rsidRDefault="00581065" w:rsidP="001438A5">
            <w:pPr>
              <w:spacing w:after="0" w:line="240" w:lineRule="auto"/>
              <w:jc w:val="center"/>
              <w:rPr>
                <w:rFonts w:cs="Arial"/>
                <w:sz w:val="16"/>
                <w:szCs w:val="16"/>
              </w:rPr>
            </w:pPr>
            <w:r w:rsidRPr="00581065">
              <w:rPr>
                <w:rFonts w:cs="Arial"/>
                <w:sz w:val="16"/>
                <w:szCs w:val="16"/>
              </w:rPr>
              <w:t>1,92</w:t>
            </w:r>
          </w:p>
        </w:tc>
        <w:tc>
          <w:tcPr>
            <w:tcW w:w="907" w:type="dxa"/>
            <w:tcBorders>
              <w:top w:val="nil"/>
              <w:left w:val="nil"/>
              <w:bottom w:val="nil"/>
              <w:right w:val="nil"/>
            </w:tcBorders>
            <w:shd w:val="clear" w:color="auto" w:fill="auto"/>
            <w:noWrap/>
            <w:vAlign w:val="center"/>
            <w:hideMark/>
          </w:tcPr>
          <w:p w14:paraId="2F7D9DA0" w14:textId="77777777" w:rsidR="00581065" w:rsidRPr="00581065" w:rsidRDefault="00581065" w:rsidP="001438A5">
            <w:pPr>
              <w:spacing w:after="0" w:line="240" w:lineRule="auto"/>
              <w:jc w:val="center"/>
              <w:rPr>
                <w:rFonts w:cs="Arial"/>
                <w:sz w:val="16"/>
                <w:szCs w:val="16"/>
              </w:rPr>
            </w:pPr>
            <w:r w:rsidRPr="00581065">
              <w:rPr>
                <w:rFonts w:cs="Arial"/>
                <w:sz w:val="16"/>
                <w:szCs w:val="16"/>
              </w:rPr>
              <w:t>1,23</w:t>
            </w:r>
          </w:p>
        </w:tc>
        <w:tc>
          <w:tcPr>
            <w:tcW w:w="907" w:type="dxa"/>
            <w:tcBorders>
              <w:top w:val="nil"/>
              <w:left w:val="nil"/>
              <w:bottom w:val="nil"/>
              <w:right w:val="nil"/>
            </w:tcBorders>
            <w:shd w:val="clear" w:color="auto" w:fill="auto"/>
            <w:noWrap/>
            <w:vAlign w:val="center"/>
            <w:hideMark/>
          </w:tcPr>
          <w:p w14:paraId="0114D600" w14:textId="77777777" w:rsidR="00581065" w:rsidRPr="00581065" w:rsidRDefault="00581065" w:rsidP="001438A5">
            <w:pPr>
              <w:spacing w:after="0" w:line="240" w:lineRule="auto"/>
              <w:jc w:val="center"/>
              <w:rPr>
                <w:rFonts w:cs="Arial"/>
                <w:sz w:val="16"/>
                <w:szCs w:val="16"/>
              </w:rPr>
            </w:pPr>
            <w:r w:rsidRPr="00581065">
              <w:rPr>
                <w:rFonts w:cs="Arial"/>
                <w:sz w:val="16"/>
                <w:szCs w:val="16"/>
              </w:rPr>
              <w:t>1,74</w:t>
            </w:r>
          </w:p>
        </w:tc>
        <w:tc>
          <w:tcPr>
            <w:tcW w:w="907" w:type="dxa"/>
            <w:tcBorders>
              <w:top w:val="nil"/>
              <w:left w:val="nil"/>
              <w:bottom w:val="nil"/>
              <w:right w:val="nil"/>
            </w:tcBorders>
            <w:shd w:val="clear" w:color="auto" w:fill="auto"/>
            <w:noWrap/>
            <w:vAlign w:val="center"/>
            <w:hideMark/>
          </w:tcPr>
          <w:p w14:paraId="17626D6F" w14:textId="77777777" w:rsidR="00581065" w:rsidRPr="00581065" w:rsidRDefault="00581065" w:rsidP="001438A5">
            <w:pPr>
              <w:spacing w:after="0" w:line="240" w:lineRule="auto"/>
              <w:jc w:val="center"/>
              <w:rPr>
                <w:rFonts w:cs="Arial"/>
                <w:sz w:val="16"/>
                <w:szCs w:val="16"/>
              </w:rPr>
            </w:pPr>
            <w:r w:rsidRPr="00581065">
              <w:rPr>
                <w:rFonts w:cs="Arial"/>
                <w:sz w:val="16"/>
                <w:szCs w:val="16"/>
              </w:rPr>
              <w:t>1,78</w:t>
            </w:r>
          </w:p>
        </w:tc>
        <w:tc>
          <w:tcPr>
            <w:tcW w:w="907" w:type="dxa"/>
            <w:tcBorders>
              <w:top w:val="nil"/>
              <w:left w:val="nil"/>
              <w:bottom w:val="nil"/>
              <w:right w:val="nil"/>
            </w:tcBorders>
            <w:shd w:val="clear" w:color="auto" w:fill="auto"/>
            <w:noWrap/>
            <w:vAlign w:val="center"/>
            <w:hideMark/>
          </w:tcPr>
          <w:p w14:paraId="360CEDFA" w14:textId="77777777" w:rsidR="00581065" w:rsidRPr="00581065" w:rsidRDefault="00581065" w:rsidP="001438A5">
            <w:pPr>
              <w:spacing w:after="0" w:line="240" w:lineRule="auto"/>
              <w:jc w:val="center"/>
              <w:rPr>
                <w:rFonts w:cs="Arial"/>
                <w:sz w:val="16"/>
                <w:szCs w:val="16"/>
              </w:rPr>
            </w:pPr>
            <w:r w:rsidRPr="00581065">
              <w:rPr>
                <w:rFonts w:cs="Arial"/>
                <w:sz w:val="16"/>
                <w:szCs w:val="16"/>
              </w:rPr>
              <w:t>1,61</w:t>
            </w:r>
          </w:p>
        </w:tc>
        <w:tc>
          <w:tcPr>
            <w:tcW w:w="907" w:type="dxa"/>
            <w:tcBorders>
              <w:top w:val="nil"/>
              <w:left w:val="nil"/>
              <w:bottom w:val="nil"/>
              <w:right w:val="nil"/>
            </w:tcBorders>
            <w:shd w:val="clear" w:color="auto" w:fill="auto"/>
            <w:noWrap/>
            <w:vAlign w:val="center"/>
            <w:hideMark/>
          </w:tcPr>
          <w:p w14:paraId="29126D12" w14:textId="77777777" w:rsidR="00581065" w:rsidRPr="00581065" w:rsidRDefault="00581065" w:rsidP="001438A5">
            <w:pPr>
              <w:spacing w:after="0" w:line="240" w:lineRule="auto"/>
              <w:jc w:val="center"/>
              <w:rPr>
                <w:rFonts w:cs="Arial"/>
                <w:sz w:val="16"/>
                <w:szCs w:val="16"/>
              </w:rPr>
            </w:pPr>
            <w:r w:rsidRPr="00581065">
              <w:rPr>
                <w:rFonts w:cs="Arial"/>
                <w:sz w:val="16"/>
                <w:szCs w:val="16"/>
              </w:rPr>
              <w:t>1,44</w:t>
            </w:r>
          </w:p>
        </w:tc>
        <w:tc>
          <w:tcPr>
            <w:tcW w:w="907" w:type="dxa"/>
            <w:tcBorders>
              <w:top w:val="nil"/>
              <w:left w:val="nil"/>
              <w:bottom w:val="nil"/>
              <w:right w:val="nil"/>
            </w:tcBorders>
            <w:shd w:val="clear" w:color="auto" w:fill="auto"/>
            <w:noWrap/>
            <w:vAlign w:val="center"/>
            <w:hideMark/>
          </w:tcPr>
          <w:p w14:paraId="42EF1438" w14:textId="77777777" w:rsidR="00581065" w:rsidRPr="00581065" w:rsidRDefault="00581065" w:rsidP="001438A5">
            <w:pPr>
              <w:spacing w:after="0" w:line="240" w:lineRule="auto"/>
              <w:jc w:val="center"/>
              <w:rPr>
                <w:rFonts w:cs="Arial"/>
                <w:sz w:val="16"/>
                <w:szCs w:val="16"/>
              </w:rPr>
            </w:pPr>
            <w:r w:rsidRPr="00581065">
              <w:rPr>
                <w:rFonts w:cs="Arial"/>
                <w:sz w:val="16"/>
                <w:szCs w:val="16"/>
              </w:rPr>
              <w:t>1,28</w:t>
            </w:r>
          </w:p>
        </w:tc>
        <w:tc>
          <w:tcPr>
            <w:tcW w:w="907" w:type="dxa"/>
            <w:tcBorders>
              <w:top w:val="nil"/>
              <w:left w:val="nil"/>
              <w:bottom w:val="nil"/>
              <w:right w:val="nil"/>
            </w:tcBorders>
            <w:shd w:val="clear" w:color="auto" w:fill="auto"/>
            <w:noWrap/>
            <w:vAlign w:val="center"/>
            <w:hideMark/>
          </w:tcPr>
          <w:p w14:paraId="68E78986" w14:textId="77777777" w:rsidR="00581065" w:rsidRPr="00581065" w:rsidRDefault="00581065" w:rsidP="001438A5">
            <w:pPr>
              <w:spacing w:after="0" w:line="240" w:lineRule="auto"/>
              <w:jc w:val="center"/>
              <w:rPr>
                <w:rFonts w:cs="Arial"/>
                <w:sz w:val="16"/>
                <w:szCs w:val="16"/>
              </w:rPr>
            </w:pPr>
            <w:r w:rsidRPr="00581065">
              <w:rPr>
                <w:rFonts w:cs="Arial"/>
                <w:sz w:val="16"/>
                <w:szCs w:val="16"/>
              </w:rPr>
              <w:t>1,32</w:t>
            </w:r>
          </w:p>
        </w:tc>
      </w:tr>
      <w:tr w:rsidR="00581065" w:rsidRPr="00581065" w14:paraId="59EC3112" w14:textId="77777777" w:rsidTr="001438A5">
        <w:trPr>
          <w:trHeight w:val="300"/>
        </w:trPr>
        <w:tc>
          <w:tcPr>
            <w:tcW w:w="1417" w:type="dxa"/>
            <w:tcBorders>
              <w:top w:val="nil"/>
              <w:left w:val="nil"/>
              <w:bottom w:val="nil"/>
              <w:right w:val="nil"/>
            </w:tcBorders>
            <w:shd w:val="clear" w:color="auto" w:fill="auto"/>
            <w:noWrap/>
            <w:vAlign w:val="center"/>
            <w:hideMark/>
          </w:tcPr>
          <w:p w14:paraId="61BC000F"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Francie</w:t>
            </w:r>
          </w:p>
        </w:tc>
        <w:tc>
          <w:tcPr>
            <w:tcW w:w="907" w:type="dxa"/>
            <w:tcBorders>
              <w:top w:val="nil"/>
              <w:left w:val="single" w:sz="4" w:space="0" w:color="000000"/>
              <w:bottom w:val="nil"/>
              <w:right w:val="nil"/>
            </w:tcBorders>
            <w:shd w:val="clear" w:color="auto" w:fill="auto"/>
            <w:noWrap/>
            <w:vAlign w:val="center"/>
            <w:hideMark/>
          </w:tcPr>
          <w:p w14:paraId="045B3265" w14:textId="77777777" w:rsidR="00581065" w:rsidRPr="00581065" w:rsidRDefault="00581065" w:rsidP="001438A5">
            <w:pPr>
              <w:spacing w:after="0" w:line="240" w:lineRule="auto"/>
              <w:jc w:val="center"/>
              <w:rPr>
                <w:rFonts w:cs="Arial"/>
                <w:sz w:val="16"/>
                <w:szCs w:val="16"/>
              </w:rPr>
            </w:pPr>
            <w:r w:rsidRPr="00581065">
              <w:rPr>
                <w:rFonts w:cs="Arial"/>
                <w:sz w:val="16"/>
                <w:szCs w:val="16"/>
              </w:rPr>
              <w:t>8,11</w:t>
            </w:r>
          </w:p>
        </w:tc>
        <w:tc>
          <w:tcPr>
            <w:tcW w:w="907" w:type="dxa"/>
            <w:tcBorders>
              <w:top w:val="nil"/>
              <w:left w:val="nil"/>
              <w:bottom w:val="nil"/>
              <w:right w:val="nil"/>
            </w:tcBorders>
            <w:shd w:val="clear" w:color="auto" w:fill="auto"/>
            <w:noWrap/>
            <w:vAlign w:val="center"/>
            <w:hideMark/>
          </w:tcPr>
          <w:p w14:paraId="39A8F23B" w14:textId="77777777" w:rsidR="00581065" w:rsidRPr="00581065" w:rsidRDefault="00581065" w:rsidP="001438A5">
            <w:pPr>
              <w:spacing w:after="0" w:line="240" w:lineRule="auto"/>
              <w:jc w:val="center"/>
              <w:rPr>
                <w:rFonts w:cs="Arial"/>
                <w:sz w:val="16"/>
                <w:szCs w:val="16"/>
              </w:rPr>
            </w:pPr>
            <w:r w:rsidRPr="00581065">
              <w:rPr>
                <w:rFonts w:cs="Arial"/>
                <w:sz w:val="16"/>
                <w:szCs w:val="16"/>
              </w:rPr>
              <w:t>3,48</w:t>
            </w:r>
          </w:p>
        </w:tc>
        <w:tc>
          <w:tcPr>
            <w:tcW w:w="907" w:type="dxa"/>
            <w:tcBorders>
              <w:top w:val="nil"/>
              <w:left w:val="nil"/>
              <w:bottom w:val="nil"/>
              <w:right w:val="nil"/>
            </w:tcBorders>
            <w:shd w:val="clear" w:color="auto" w:fill="auto"/>
            <w:noWrap/>
            <w:vAlign w:val="center"/>
            <w:hideMark/>
          </w:tcPr>
          <w:p w14:paraId="21619B5A" w14:textId="77777777" w:rsidR="00581065" w:rsidRPr="00581065" w:rsidRDefault="00581065" w:rsidP="001438A5">
            <w:pPr>
              <w:spacing w:after="0" w:line="240" w:lineRule="auto"/>
              <w:jc w:val="center"/>
              <w:rPr>
                <w:rFonts w:cs="Arial"/>
                <w:sz w:val="16"/>
                <w:szCs w:val="16"/>
              </w:rPr>
            </w:pPr>
            <w:r w:rsidRPr="00581065">
              <w:rPr>
                <w:rFonts w:cs="Arial"/>
                <w:sz w:val="16"/>
                <w:szCs w:val="16"/>
              </w:rPr>
              <w:t>3,65</w:t>
            </w:r>
          </w:p>
        </w:tc>
        <w:tc>
          <w:tcPr>
            <w:tcW w:w="907" w:type="dxa"/>
            <w:tcBorders>
              <w:top w:val="nil"/>
              <w:left w:val="nil"/>
              <w:bottom w:val="nil"/>
              <w:right w:val="nil"/>
            </w:tcBorders>
            <w:shd w:val="clear" w:color="000000" w:fill="DBDBDB"/>
            <w:noWrap/>
            <w:vAlign w:val="center"/>
            <w:hideMark/>
          </w:tcPr>
          <w:p w14:paraId="38917DF9" w14:textId="77777777" w:rsidR="00581065" w:rsidRPr="00581065" w:rsidRDefault="00581065" w:rsidP="001438A5">
            <w:pPr>
              <w:spacing w:after="0" w:line="240" w:lineRule="auto"/>
              <w:jc w:val="center"/>
              <w:rPr>
                <w:rFonts w:cs="Arial"/>
                <w:sz w:val="16"/>
                <w:szCs w:val="16"/>
              </w:rPr>
            </w:pPr>
            <w:r w:rsidRPr="00581065">
              <w:rPr>
                <w:rFonts w:cs="Arial"/>
                <w:sz w:val="16"/>
                <w:szCs w:val="16"/>
              </w:rPr>
              <w:t>3,74</w:t>
            </w:r>
          </w:p>
        </w:tc>
        <w:tc>
          <w:tcPr>
            <w:tcW w:w="907" w:type="dxa"/>
            <w:tcBorders>
              <w:top w:val="nil"/>
              <w:left w:val="nil"/>
              <w:bottom w:val="nil"/>
              <w:right w:val="nil"/>
            </w:tcBorders>
            <w:shd w:val="clear" w:color="auto" w:fill="auto"/>
            <w:noWrap/>
            <w:vAlign w:val="center"/>
            <w:hideMark/>
          </w:tcPr>
          <w:p w14:paraId="409A8EBA" w14:textId="77777777" w:rsidR="00581065" w:rsidRPr="00581065" w:rsidRDefault="00581065" w:rsidP="001438A5">
            <w:pPr>
              <w:spacing w:after="0" w:line="240" w:lineRule="auto"/>
              <w:jc w:val="center"/>
              <w:rPr>
                <w:rFonts w:cs="Arial"/>
                <w:sz w:val="16"/>
                <w:szCs w:val="16"/>
              </w:rPr>
            </w:pPr>
            <w:r w:rsidRPr="00581065">
              <w:rPr>
                <w:rFonts w:cs="Arial"/>
                <w:sz w:val="16"/>
                <w:szCs w:val="16"/>
              </w:rPr>
              <w:t>3,99</w:t>
            </w:r>
          </w:p>
        </w:tc>
        <w:tc>
          <w:tcPr>
            <w:tcW w:w="907" w:type="dxa"/>
            <w:tcBorders>
              <w:top w:val="nil"/>
              <w:left w:val="nil"/>
              <w:bottom w:val="nil"/>
              <w:right w:val="nil"/>
            </w:tcBorders>
            <w:shd w:val="clear" w:color="auto" w:fill="auto"/>
            <w:noWrap/>
            <w:vAlign w:val="center"/>
            <w:hideMark/>
          </w:tcPr>
          <w:p w14:paraId="0462442D" w14:textId="77777777" w:rsidR="00581065" w:rsidRPr="00581065" w:rsidRDefault="00581065" w:rsidP="001438A5">
            <w:pPr>
              <w:spacing w:after="0" w:line="240" w:lineRule="auto"/>
              <w:jc w:val="center"/>
              <w:rPr>
                <w:rFonts w:cs="Arial"/>
                <w:sz w:val="16"/>
                <w:szCs w:val="16"/>
              </w:rPr>
            </w:pPr>
            <w:r w:rsidRPr="00581065">
              <w:rPr>
                <w:rFonts w:cs="Arial"/>
                <w:sz w:val="16"/>
                <w:szCs w:val="16"/>
              </w:rPr>
              <w:t>4,14</w:t>
            </w:r>
          </w:p>
        </w:tc>
        <w:tc>
          <w:tcPr>
            <w:tcW w:w="907" w:type="dxa"/>
            <w:tcBorders>
              <w:top w:val="nil"/>
              <w:left w:val="nil"/>
              <w:bottom w:val="nil"/>
              <w:right w:val="nil"/>
            </w:tcBorders>
            <w:shd w:val="clear" w:color="000000" w:fill="DBDBDB"/>
            <w:noWrap/>
            <w:vAlign w:val="center"/>
            <w:hideMark/>
          </w:tcPr>
          <w:p w14:paraId="48DE1437" w14:textId="77777777" w:rsidR="00581065" w:rsidRPr="00581065" w:rsidRDefault="00581065" w:rsidP="001438A5">
            <w:pPr>
              <w:spacing w:after="0" w:line="240" w:lineRule="auto"/>
              <w:jc w:val="center"/>
              <w:rPr>
                <w:rFonts w:cs="Arial"/>
                <w:sz w:val="16"/>
                <w:szCs w:val="16"/>
              </w:rPr>
            </w:pPr>
            <w:r w:rsidRPr="00581065">
              <w:rPr>
                <w:rFonts w:cs="Arial"/>
                <w:sz w:val="16"/>
                <w:szCs w:val="16"/>
              </w:rPr>
              <w:t>3,58</w:t>
            </w:r>
          </w:p>
        </w:tc>
        <w:tc>
          <w:tcPr>
            <w:tcW w:w="907" w:type="dxa"/>
            <w:tcBorders>
              <w:top w:val="nil"/>
              <w:left w:val="nil"/>
              <w:bottom w:val="nil"/>
              <w:right w:val="nil"/>
            </w:tcBorders>
            <w:shd w:val="clear" w:color="auto" w:fill="auto"/>
            <w:noWrap/>
            <w:vAlign w:val="center"/>
            <w:hideMark/>
          </w:tcPr>
          <w:p w14:paraId="0ABA5FB8" w14:textId="77777777" w:rsidR="00581065" w:rsidRPr="00581065" w:rsidRDefault="00581065" w:rsidP="001438A5">
            <w:pPr>
              <w:spacing w:after="0" w:line="240" w:lineRule="auto"/>
              <w:jc w:val="center"/>
              <w:rPr>
                <w:rFonts w:cs="Arial"/>
                <w:sz w:val="16"/>
                <w:szCs w:val="16"/>
              </w:rPr>
            </w:pPr>
            <w:r w:rsidRPr="00581065">
              <w:rPr>
                <w:rFonts w:cs="Arial"/>
                <w:sz w:val="16"/>
                <w:szCs w:val="16"/>
              </w:rPr>
              <w:t>3,7</w:t>
            </w:r>
            <w:r>
              <w:rPr>
                <w:rFonts w:cs="Arial"/>
                <w:sz w:val="16"/>
                <w:szCs w:val="16"/>
              </w:rPr>
              <w:t>0</w:t>
            </w:r>
          </w:p>
        </w:tc>
        <w:tc>
          <w:tcPr>
            <w:tcW w:w="907" w:type="dxa"/>
            <w:tcBorders>
              <w:top w:val="nil"/>
              <w:left w:val="nil"/>
              <w:bottom w:val="nil"/>
              <w:right w:val="nil"/>
            </w:tcBorders>
            <w:shd w:val="clear" w:color="auto" w:fill="auto"/>
            <w:noWrap/>
            <w:vAlign w:val="center"/>
            <w:hideMark/>
          </w:tcPr>
          <w:p w14:paraId="2AF6D23D" w14:textId="77777777" w:rsidR="00581065" w:rsidRPr="00581065" w:rsidRDefault="00581065" w:rsidP="001438A5">
            <w:pPr>
              <w:spacing w:after="0" w:line="240" w:lineRule="auto"/>
              <w:jc w:val="center"/>
              <w:rPr>
                <w:rFonts w:cs="Arial"/>
                <w:sz w:val="16"/>
                <w:szCs w:val="16"/>
              </w:rPr>
            </w:pPr>
            <w:r w:rsidRPr="00581065">
              <w:rPr>
                <w:rFonts w:cs="Arial"/>
                <w:sz w:val="16"/>
                <w:szCs w:val="16"/>
              </w:rPr>
              <w:t>4,81</w:t>
            </w:r>
          </w:p>
        </w:tc>
      </w:tr>
      <w:tr w:rsidR="00581065" w:rsidRPr="00581065" w14:paraId="40E7F228" w14:textId="77777777" w:rsidTr="001438A5">
        <w:trPr>
          <w:trHeight w:val="300"/>
        </w:trPr>
        <w:tc>
          <w:tcPr>
            <w:tcW w:w="1417" w:type="dxa"/>
            <w:tcBorders>
              <w:top w:val="nil"/>
              <w:left w:val="nil"/>
              <w:bottom w:val="nil"/>
              <w:right w:val="nil"/>
            </w:tcBorders>
            <w:shd w:val="clear" w:color="auto" w:fill="auto"/>
            <w:noWrap/>
            <w:vAlign w:val="center"/>
            <w:hideMark/>
          </w:tcPr>
          <w:p w14:paraId="5523613F"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Chorvatsko</w:t>
            </w:r>
          </w:p>
        </w:tc>
        <w:tc>
          <w:tcPr>
            <w:tcW w:w="907" w:type="dxa"/>
            <w:tcBorders>
              <w:top w:val="nil"/>
              <w:left w:val="single" w:sz="4" w:space="0" w:color="000000"/>
              <w:bottom w:val="nil"/>
              <w:right w:val="nil"/>
            </w:tcBorders>
            <w:shd w:val="clear" w:color="auto" w:fill="auto"/>
            <w:noWrap/>
            <w:vAlign w:val="center"/>
            <w:hideMark/>
          </w:tcPr>
          <w:p w14:paraId="49568255" w14:textId="77777777" w:rsidR="00581065" w:rsidRPr="00581065" w:rsidRDefault="00581065" w:rsidP="001438A5">
            <w:pPr>
              <w:spacing w:after="0" w:line="240" w:lineRule="auto"/>
              <w:jc w:val="center"/>
              <w:rPr>
                <w:rFonts w:cs="Arial"/>
                <w:sz w:val="16"/>
                <w:szCs w:val="16"/>
              </w:rPr>
            </w:pPr>
            <w:r w:rsidRPr="00581065">
              <w:rPr>
                <w:rFonts w:cs="Arial"/>
                <w:sz w:val="16"/>
                <w:szCs w:val="16"/>
              </w:rPr>
              <w:t>3,54</w:t>
            </w:r>
          </w:p>
        </w:tc>
        <w:tc>
          <w:tcPr>
            <w:tcW w:w="907" w:type="dxa"/>
            <w:tcBorders>
              <w:top w:val="nil"/>
              <w:left w:val="nil"/>
              <w:bottom w:val="nil"/>
              <w:right w:val="nil"/>
            </w:tcBorders>
            <w:shd w:val="clear" w:color="auto" w:fill="auto"/>
            <w:noWrap/>
            <w:vAlign w:val="center"/>
            <w:hideMark/>
          </w:tcPr>
          <w:p w14:paraId="16D2C58E" w14:textId="77777777" w:rsidR="00581065" w:rsidRPr="00581065" w:rsidRDefault="00581065" w:rsidP="001438A5">
            <w:pPr>
              <w:spacing w:after="0" w:line="240" w:lineRule="auto"/>
              <w:jc w:val="center"/>
              <w:rPr>
                <w:rFonts w:cs="Arial"/>
                <w:sz w:val="16"/>
                <w:szCs w:val="16"/>
              </w:rPr>
            </w:pPr>
            <w:r w:rsidRPr="00581065">
              <w:rPr>
                <w:rFonts w:cs="Arial"/>
                <w:sz w:val="16"/>
                <w:szCs w:val="16"/>
              </w:rPr>
              <w:t>4,57</w:t>
            </w:r>
          </w:p>
        </w:tc>
        <w:tc>
          <w:tcPr>
            <w:tcW w:w="907" w:type="dxa"/>
            <w:tcBorders>
              <w:top w:val="nil"/>
              <w:left w:val="nil"/>
              <w:bottom w:val="nil"/>
              <w:right w:val="nil"/>
            </w:tcBorders>
            <w:shd w:val="clear" w:color="auto" w:fill="auto"/>
            <w:noWrap/>
            <w:vAlign w:val="center"/>
            <w:hideMark/>
          </w:tcPr>
          <w:p w14:paraId="2EF1A7C9" w14:textId="77777777" w:rsidR="00581065" w:rsidRPr="00581065" w:rsidRDefault="00581065" w:rsidP="001438A5">
            <w:pPr>
              <w:spacing w:after="0" w:line="240" w:lineRule="auto"/>
              <w:jc w:val="center"/>
              <w:rPr>
                <w:rFonts w:cs="Arial"/>
                <w:sz w:val="16"/>
                <w:szCs w:val="16"/>
              </w:rPr>
            </w:pPr>
            <w:r w:rsidRPr="00581065">
              <w:rPr>
                <w:rFonts w:cs="Arial"/>
                <w:sz w:val="16"/>
                <w:szCs w:val="16"/>
              </w:rPr>
              <w:t>2,41</w:t>
            </w:r>
          </w:p>
        </w:tc>
        <w:tc>
          <w:tcPr>
            <w:tcW w:w="907" w:type="dxa"/>
            <w:tcBorders>
              <w:top w:val="nil"/>
              <w:left w:val="nil"/>
              <w:bottom w:val="nil"/>
              <w:right w:val="nil"/>
            </w:tcBorders>
            <w:shd w:val="clear" w:color="auto" w:fill="auto"/>
            <w:noWrap/>
            <w:vAlign w:val="center"/>
            <w:hideMark/>
          </w:tcPr>
          <w:p w14:paraId="07BEA3A3" w14:textId="77777777" w:rsidR="00581065" w:rsidRPr="00581065" w:rsidRDefault="00581065" w:rsidP="001438A5">
            <w:pPr>
              <w:spacing w:after="0" w:line="240" w:lineRule="auto"/>
              <w:jc w:val="center"/>
              <w:rPr>
                <w:rFonts w:cs="Arial"/>
                <w:sz w:val="16"/>
                <w:szCs w:val="16"/>
              </w:rPr>
            </w:pPr>
            <w:r w:rsidRPr="00581065">
              <w:rPr>
                <w:rFonts w:cs="Arial"/>
                <w:sz w:val="16"/>
                <w:szCs w:val="16"/>
              </w:rPr>
              <w:t>2,29</w:t>
            </w:r>
          </w:p>
        </w:tc>
        <w:tc>
          <w:tcPr>
            <w:tcW w:w="907" w:type="dxa"/>
            <w:tcBorders>
              <w:top w:val="nil"/>
              <w:left w:val="nil"/>
              <w:bottom w:val="nil"/>
              <w:right w:val="nil"/>
            </w:tcBorders>
            <w:shd w:val="clear" w:color="auto" w:fill="auto"/>
            <w:noWrap/>
            <w:vAlign w:val="center"/>
            <w:hideMark/>
          </w:tcPr>
          <w:p w14:paraId="379860FC" w14:textId="77777777" w:rsidR="00581065" w:rsidRPr="00581065" w:rsidRDefault="00581065" w:rsidP="001438A5">
            <w:pPr>
              <w:spacing w:after="0" w:line="240" w:lineRule="auto"/>
              <w:jc w:val="center"/>
              <w:rPr>
                <w:rFonts w:cs="Arial"/>
                <w:sz w:val="16"/>
                <w:szCs w:val="16"/>
              </w:rPr>
            </w:pPr>
            <w:r w:rsidRPr="00581065">
              <w:rPr>
                <w:rFonts w:cs="Arial"/>
                <w:sz w:val="16"/>
                <w:szCs w:val="16"/>
              </w:rPr>
              <w:t>2,66</w:t>
            </w:r>
          </w:p>
        </w:tc>
        <w:tc>
          <w:tcPr>
            <w:tcW w:w="907" w:type="dxa"/>
            <w:tcBorders>
              <w:top w:val="nil"/>
              <w:left w:val="nil"/>
              <w:bottom w:val="nil"/>
              <w:right w:val="nil"/>
            </w:tcBorders>
            <w:shd w:val="clear" w:color="auto" w:fill="auto"/>
            <w:noWrap/>
            <w:vAlign w:val="center"/>
            <w:hideMark/>
          </w:tcPr>
          <w:p w14:paraId="6BCD62EF" w14:textId="77777777" w:rsidR="00581065" w:rsidRPr="00581065" w:rsidRDefault="00581065" w:rsidP="001438A5">
            <w:pPr>
              <w:spacing w:after="0" w:line="240" w:lineRule="auto"/>
              <w:jc w:val="center"/>
              <w:rPr>
                <w:rFonts w:cs="Arial"/>
                <w:sz w:val="16"/>
                <w:szCs w:val="16"/>
              </w:rPr>
            </w:pPr>
            <w:r w:rsidRPr="00581065">
              <w:rPr>
                <w:rFonts w:cs="Arial"/>
                <w:sz w:val="16"/>
                <w:szCs w:val="16"/>
              </w:rPr>
              <w:t>3,06</w:t>
            </w:r>
          </w:p>
        </w:tc>
        <w:tc>
          <w:tcPr>
            <w:tcW w:w="907" w:type="dxa"/>
            <w:tcBorders>
              <w:top w:val="nil"/>
              <w:left w:val="nil"/>
              <w:bottom w:val="nil"/>
              <w:right w:val="nil"/>
            </w:tcBorders>
            <w:shd w:val="clear" w:color="auto" w:fill="auto"/>
            <w:noWrap/>
            <w:vAlign w:val="center"/>
            <w:hideMark/>
          </w:tcPr>
          <w:p w14:paraId="41595E4A" w14:textId="77777777" w:rsidR="00581065" w:rsidRPr="00581065" w:rsidRDefault="00581065" w:rsidP="001438A5">
            <w:pPr>
              <w:spacing w:after="0" w:line="240" w:lineRule="auto"/>
              <w:jc w:val="center"/>
              <w:rPr>
                <w:rFonts w:cs="Arial"/>
                <w:sz w:val="16"/>
                <w:szCs w:val="16"/>
              </w:rPr>
            </w:pPr>
            <w:r w:rsidRPr="00581065">
              <w:rPr>
                <w:rFonts w:cs="Arial"/>
                <w:sz w:val="16"/>
                <w:szCs w:val="16"/>
              </w:rPr>
              <w:t>2,81</w:t>
            </w:r>
          </w:p>
        </w:tc>
        <w:tc>
          <w:tcPr>
            <w:tcW w:w="907" w:type="dxa"/>
            <w:tcBorders>
              <w:top w:val="nil"/>
              <w:left w:val="nil"/>
              <w:bottom w:val="nil"/>
              <w:right w:val="nil"/>
            </w:tcBorders>
            <w:shd w:val="clear" w:color="auto" w:fill="auto"/>
            <w:noWrap/>
            <w:vAlign w:val="center"/>
            <w:hideMark/>
          </w:tcPr>
          <w:p w14:paraId="1C831347" w14:textId="77777777" w:rsidR="00581065" w:rsidRPr="00581065" w:rsidRDefault="00581065" w:rsidP="001438A5">
            <w:pPr>
              <w:spacing w:after="0" w:line="240" w:lineRule="auto"/>
              <w:jc w:val="center"/>
              <w:rPr>
                <w:rFonts w:cs="Arial"/>
                <w:sz w:val="16"/>
                <w:szCs w:val="16"/>
              </w:rPr>
            </w:pPr>
            <w:r w:rsidRPr="00581065">
              <w:rPr>
                <w:rFonts w:cs="Arial"/>
                <w:sz w:val="16"/>
                <w:szCs w:val="16"/>
              </w:rPr>
              <w:t>3,34</w:t>
            </w:r>
          </w:p>
        </w:tc>
        <w:tc>
          <w:tcPr>
            <w:tcW w:w="907" w:type="dxa"/>
            <w:tcBorders>
              <w:top w:val="nil"/>
              <w:left w:val="nil"/>
              <w:bottom w:val="nil"/>
              <w:right w:val="nil"/>
            </w:tcBorders>
            <w:shd w:val="clear" w:color="auto" w:fill="auto"/>
            <w:noWrap/>
            <w:vAlign w:val="center"/>
            <w:hideMark/>
          </w:tcPr>
          <w:p w14:paraId="6B874ED3" w14:textId="77777777" w:rsidR="00581065" w:rsidRPr="00581065" w:rsidRDefault="00581065" w:rsidP="001438A5">
            <w:pPr>
              <w:spacing w:after="0" w:line="240" w:lineRule="auto"/>
              <w:jc w:val="center"/>
              <w:rPr>
                <w:rFonts w:cs="Arial"/>
                <w:sz w:val="16"/>
                <w:szCs w:val="16"/>
              </w:rPr>
            </w:pPr>
            <w:r w:rsidRPr="00581065">
              <w:rPr>
                <w:rFonts w:cs="Arial"/>
                <w:sz w:val="16"/>
                <w:szCs w:val="16"/>
              </w:rPr>
              <w:t>3,03</w:t>
            </w:r>
          </w:p>
        </w:tc>
      </w:tr>
      <w:tr w:rsidR="00581065" w:rsidRPr="00581065" w14:paraId="02C3AF1E" w14:textId="77777777" w:rsidTr="001438A5">
        <w:trPr>
          <w:trHeight w:val="300"/>
        </w:trPr>
        <w:tc>
          <w:tcPr>
            <w:tcW w:w="1417" w:type="dxa"/>
            <w:tcBorders>
              <w:top w:val="nil"/>
              <w:left w:val="nil"/>
              <w:bottom w:val="nil"/>
              <w:right w:val="nil"/>
            </w:tcBorders>
            <w:shd w:val="clear" w:color="auto" w:fill="auto"/>
            <w:noWrap/>
            <w:vAlign w:val="center"/>
            <w:hideMark/>
          </w:tcPr>
          <w:p w14:paraId="1D41CBF7"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Irsko</w:t>
            </w:r>
          </w:p>
        </w:tc>
        <w:tc>
          <w:tcPr>
            <w:tcW w:w="907" w:type="dxa"/>
            <w:tcBorders>
              <w:top w:val="nil"/>
              <w:left w:val="single" w:sz="4" w:space="0" w:color="000000"/>
              <w:bottom w:val="nil"/>
              <w:right w:val="nil"/>
            </w:tcBorders>
            <w:shd w:val="clear" w:color="auto" w:fill="auto"/>
            <w:noWrap/>
            <w:vAlign w:val="center"/>
            <w:hideMark/>
          </w:tcPr>
          <w:p w14:paraId="003A77A2" w14:textId="77777777" w:rsidR="00581065" w:rsidRPr="00581065" w:rsidRDefault="00581065" w:rsidP="001438A5">
            <w:pPr>
              <w:spacing w:after="0" w:line="240" w:lineRule="auto"/>
              <w:jc w:val="center"/>
              <w:rPr>
                <w:rFonts w:cs="Arial"/>
                <w:sz w:val="16"/>
                <w:szCs w:val="16"/>
              </w:rPr>
            </w:pPr>
            <w:r w:rsidRPr="00581065">
              <w:rPr>
                <w:rFonts w:cs="Arial"/>
                <w:sz w:val="16"/>
                <w:szCs w:val="16"/>
              </w:rPr>
              <w:t>4,19</w:t>
            </w:r>
          </w:p>
        </w:tc>
        <w:tc>
          <w:tcPr>
            <w:tcW w:w="907" w:type="dxa"/>
            <w:tcBorders>
              <w:top w:val="nil"/>
              <w:left w:val="nil"/>
              <w:bottom w:val="nil"/>
              <w:right w:val="nil"/>
            </w:tcBorders>
            <w:shd w:val="clear" w:color="auto" w:fill="auto"/>
            <w:noWrap/>
            <w:vAlign w:val="center"/>
            <w:hideMark/>
          </w:tcPr>
          <w:p w14:paraId="5E0C3E78" w14:textId="77777777" w:rsidR="00581065" w:rsidRPr="00581065" w:rsidRDefault="00581065" w:rsidP="001438A5">
            <w:pPr>
              <w:spacing w:after="0" w:line="240" w:lineRule="auto"/>
              <w:jc w:val="center"/>
              <w:rPr>
                <w:rFonts w:cs="Arial"/>
                <w:sz w:val="16"/>
                <w:szCs w:val="16"/>
              </w:rPr>
            </w:pPr>
            <w:r w:rsidRPr="00581065">
              <w:rPr>
                <w:rFonts w:cs="Arial"/>
                <w:sz w:val="16"/>
                <w:szCs w:val="16"/>
              </w:rPr>
              <w:t>3,41</w:t>
            </w:r>
          </w:p>
        </w:tc>
        <w:tc>
          <w:tcPr>
            <w:tcW w:w="907" w:type="dxa"/>
            <w:tcBorders>
              <w:top w:val="nil"/>
              <w:left w:val="nil"/>
              <w:bottom w:val="nil"/>
              <w:right w:val="nil"/>
            </w:tcBorders>
            <w:shd w:val="clear" w:color="auto" w:fill="auto"/>
            <w:noWrap/>
            <w:vAlign w:val="center"/>
            <w:hideMark/>
          </w:tcPr>
          <w:p w14:paraId="16C5596A" w14:textId="77777777" w:rsidR="00581065" w:rsidRPr="00581065" w:rsidRDefault="00581065" w:rsidP="001438A5">
            <w:pPr>
              <w:spacing w:after="0" w:line="240" w:lineRule="auto"/>
              <w:jc w:val="center"/>
              <w:rPr>
                <w:rFonts w:cs="Arial"/>
                <w:sz w:val="16"/>
                <w:szCs w:val="16"/>
              </w:rPr>
            </w:pPr>
            <w:r w:rsidRPr="00581065">
              <w:rPr>
                <w:rFonts w:cs="Arial"/>
                <w:sz w:val="16"/>
                <w:szCs w:val="16"/>
              </w:rPr>
              <w:t>2,7</w:t>
            </w:r>
          </w:p>
        </w:tc>
        <w:tc>
          <w:tcPr>
            <w:tcW w:w="907" w:type="dxa"/>
            <w:tcBorders>
              <w:top w:val="nil"/>
              <w:left w:val="nil"/>
              <w:bottom w:val="nil"/>
              <w:right w:val="nil"/>
            </w:tcBorders>
            <w:shd w:val="clear" w:color="auto" w:fill="auto"/>
            <w:noWrap/>
            <w:vAlign w:val="center"/>
            <w:hideMark/>
          </w:tcPr>
          <w:p w14:paraId="2C03F4E0" w14:textId="77777777" w:rsidR="00581065" w:rsidRPr="00581065" w:rsidRDefault="00581065" w:rsidP="001438A5">
            <w:pPr>
              <w:spacing w:after="0" w:line="240" w:lineRule="auto"/>
              <w:jc w:val="center"/>
              <w:rPr>
                <w:rFonts w:cs="Arial"/>
                <w:sz w:val="16"/>
                <w:szCs w:val="16"/>
              </w:rPr>
            </w:pPr>
            <w:r w:rsidRPr="00581065">
              <w:rPr>
                <w:rFonts w:cs="Arial"/>
                <w:sz w:val="16"/>
                <w:szCs w:val="16"/>
              </w:rPr>
              <w:t>3,12</w:t>
            </w:r>
          </w:p>
        </w:tc>
        <w:tc>
          <w:tcPr>
            <w:tcW w:w="907" w:type="dxa"/>
            <w:tcBorders>
              <w:top w:val="nil"/>
              <w:left w:val="nil"/>
              <w:bottom w:val="nil"/>
              <w:right w:val="nil"/>
            </w:tcBorders>
            <w:shd w:val="clear" w:color="auto" w:fill="auto"/>
            <w:noWrap/>
            <w:vAlign w:val="center"/>
            <w:hideMark/>
          </w:tcPr>
          <w:p w14:paraId="2ED60626" w14:textId="77777777" w:rsidR="00581065" w:rsidRPr="00581065" w:rsidRDefault="00581065" w:rsidP="001438A5">
            <w:pPr>
              <w:spacing w:after="0" w:line="240" w:lineRule="auto"/>
              <w:jc w:val="center"/>
              <w:rPr>
                <w:rFonts w:cs="Arial"/>
                <w:sz w:val="16"/>
                <w:szCs w:val="16"/>
              </w:rPr>
            </w:pPr>
            <w:r w:rsidRPr="00581065">
              <w:rPr>
                <w:rFonts w:cs="Arial"/>
                <w:sz w:val="16"/>
                <w:szCs w:val="16"/>
              </w:rPr>
              <w:t>2,93</w:t>
            </w:r>
          </w:p>
        </w:tc>
        <w:tc>
          <w:tcPr>
            <w:tcW w:w="907" w:type="dxa"/>
            <w:tcBorders>
              <w:top w:val="nil"/>
              <w:left w:val="nil"/>
              <w:bottom w:val="nil"/>
              <w:right w:val="nil"/>
            </w:tcBorders>
            <w:shd w:val="clear" w:color="auto" w:fill="auto"/>
            <w:noWrap/>
            <w:vAlign w:val="center"/>
            <w:hideMark/>
          </w:tcPr>
          <w:p w14:paraId="63B6B24D" w14:textId="77777777" w:rsidR="00581065" w:rsidRPr="00581065" w:rsidRDefault="00581065" w:rsidP="001438A5">
            <w:pPr>
              <w:spacing w:after="0" w:line="240" w:lineRule="auto"/>
              <w:jc w:val="center"/>
              <w:rPr>
                <w:rFonts w:cs="Arial"/>
                <w:sz w:val="16"/>
                <w:szCs w:val="16"/>
              </w:rPr>
            </w:pPr>
            <w:r w:rsidRPr="00581065">
              <w:rPr>
                <w:rFonts w:cs="Arial"/>
                <w:sz w:val="16"/>
                <w:szCs w:val="16"/>
              </w:rPr>
              <w:t>2,69</w:t>
            </w:r>
          </w:p>
        </w:tc>
        <w:tc>
          <w:tcPr>
            <w:tcW w:w="907" w:type="dxa"/>
            <w:tcBorders>
              <w:top w:val="nil"/>
              <w:left w:val="nil"/>
              <w:bottom w:val="nil"/>
              <w:right w:val="nil"/>
            </w:tcBorders>
            <w:shd w:val="clear" w:color="auto" w:fill="auto"/>
            <w:noWrap/>
            <w:vAlign w:val="center"/>
            <w:hideMark/>
          </w:tcPr>
          <w:p w14:paraId="72E30D49" w14:textId="77777777" w:rsidR="00581065" w:rsidRPr="00581065" w:rsidRDefault="00581065" w:rsidP="001438A5">
            <w:pPr>
              <w:spacing w:after="0" w:line="240" w:lineRule="auto"/>
              <w:jc w:val="center"/>
              <w:rPr>
                <w:rFonts w:cs="Arial"/>
                <w:sz w:val="16"/>
                <w:szCs w:val="16"/>
              </w:rPr>
            </w:pPr>
            <w:r w:rsidRPr="00581065">
              <w:rPr>
                <w:rFonts w:cs="Arial"/>
                <w:sz w:val="16"/>
                <w:szCs w:val="16"/>
              </w:rPr>
              <w:t>2,53</w:t>
            </w:r>
          </w:p>
        </w:tc>
        <w:tc>
          <w:tcPr>
            <w:tcW w:w="907" w:type="dxa"/>
            <w:tcBorders>
              <w:top w:val="nil"/>
              <w:left w:val="nil"/>
              <w:bottom w:val="nil"/>
              <w:right w:val="nil"/>
            </w:tcBorders>
            <w:shd w:val="clear" w:color="auto" w:fill="auto"/>
            <w:noWrap/>
            <w:vAlign w:val="center"/>
            <w:hideMark/>
          </w:tcPr>
          <w:p w14:paraId="0B819725" w14:textId="77777777" w:rsidR="00581065" w:rsidRPr="00581065" w:rsidRDefault="00581065" w:rsidP="001438A5">
            <w:pPr>
              <w:spacing w:after="0" w:line="240" w:lineRule="auto"/>
              <w:jc w:val="center"/>
              <w:rPr>
                <w:rFonts w:cs="Arial"/>
                <w:sz w:val="16"/>
                <w:szCs w:val="16"/>
              </w:rPr>
            </w:pPr>
            <w:r w:rsidRPr="00581065">
              <w:rPr>
                <w:rFonts w:cs="Arial"/>
                <w:sz w:val="16"/>
                <w:szCs w:val="16"/>
              </w:rPr>
              <w:t>2,04</w:t>
            </w:r>
          </w:p>
        </w:tc>
        <w:tc>
          <w:tcPr>
            <w:tcW w:w="907" w:type="dxa"/>
            <w:tcBorders>
              <w:top w:val="nil"/>
              <w:left w:val="nil"/>
              <w:bottom w:val="nil"/>
              <w:right w:val="nil"/>
            </w:tcBorders>
            <w:shd w:val="clear" w:color="auto" w:fill="auto"/>
            <w:noWrap/>
            <w:vAlign w:val="center"/>
            <w:hideMark/>
          </w:tcPr>
          <w:p w14:paraId="05901008" w14:textId="77777777" w:rsidR="00581065" w:rsidRPr="00581065" w:rsidRDefault="00581065" w:rsidP="001438A5">
            <w:pPr>
              <w:spacing w:after="0" w:line="240" w:lineRule="auto"/>
              <w:jc w:val="center"/>
              <w:rPr>
                <w:rFonts w:cs="Arial"/>
                <w:sz w:val="16"/>
                <w:szCs w:val="16"/>
              </w:rPr>
            </w:pPr>
            <w:r w:rsidRPr="00581065">
              <w:rPr>
                <w:rFonts w:cs="Arial"/>
                <w:sz w:val="16"/>
                <w:szCs w:val="16"/>
              </w:rPr>
              <w:t>2,69</w:t>
            </w:r>
          </w:p>
        </w:tc>
      </w:tr>
      <w:tr w:rsidR="00581065" w:rsidRPr="00581065" w14:paraId="0F9399D5" w14:textId="77777777" w:rsidTr="001438A5">
        <w:trPr>
          <w:trHeight w:val="300"/>
        </w:trPr>
        <w:tc>
          <w:tcPr>
            <w:tcW w:w="1417" w:type="dxa"/>
            <w:tcBorders>
              <w:top w:val="nil"/>
              <w:left w:val="nil"/>
              <w:bottom w:val="nil"/>
              <w:right w:val="nil"/>
            </w:tcBorders>
            <w:shd w:val="clear" w:color="auto" w:fill="auto"/>
            <w:noWrap/>
            <w:vAlign w:val="center"/>
            <w:hideMark/>
          </w:tcPr>
          <w:p w14:paraId="2821CBD2"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Itálie</w:t>
            </w:r>
          </w:p>
        </w:tc>
        <w:tc>
          <w:tcPr>
            <w:tcW w:w="907" w:type="dxa"/>
            <w:tcBorders>
              <w:top w:val="nil"/>
              <w:left w:val="single" w:sz="4" w:space="0" w:color="000000"/>
              <w:bottom w:val="nil"/>
              <w:right w:val="nil"/>
            </w:tcBorders>
            <w:shd w:val="clear" w:color="auto" w:fill="auto"/>
            <w:noWrap/>
            <w:vAlign w:val="center"/>
            <w:hideMark/>
          </w:tcPr>
          <w:p w14:paraId="3394FA6E" w14:textId="77777777" w:rsidR="00581065" w:rsidRPr="00581065" w:rsidRDefault="00581065" w:rsidP="001438A5">
            <w:pPr>
              <w:spacing w:after="0" w:line="240" w:lineRule="auto"/>
              <w:jc w:val="center"/>
              <w:rPr>
                <w:rFonts w:cs="Arial"/>
                <w:sz w:val="16"/>
                <w:szCs w:val="16"/>
              </w:rPr>
            </w:pPr>
            <w:r w:rsidRPr="00581065">
              <w:rPr>
                <w:rFonts w:cs="Arial"/>
                <w:sz w:val="16"/>
                <w:szCs w:val="16"/>
              </w:rPr>
              <w:t>3,3</w:t>
            </w:r>
            <w:r>
              <w:rPr>
                <w:rFonts w:cs="Arial"/>
                <w:sz w:val="16"/>
                <w:szCs w:val="16"/>
              </w:rPr>
              <w:t>0</w:t>
            </w:r>
          </w:p>
        </w:tc>
        <w:tc>
          <w:tcPr>
            <w:tcW w:w="907" w:type="dxa"/>
            <w:tcBorders>
              <w:top w:val="nil"/>
              <w:left w:val="nil"/>
              <w:bottom w:val="nil"/>
              <w:right w:val="nil"/>
            </w:tcBorders>
            <w:shd w:val="clear" w:color="auto" w:fill="auto"/>
            <w:noWrap/>
            <w:vAlign w:val="center"/>
            <w:hideMark/>
          </w:tcPr>
          <w:p w14:paraId="75580ED9" w14:textId="77777777" w:rsidR="00581065" w:rsidRPr="00581065" w:rsidRDefault="00581065" w:rsidP="001438A5">
            <w:pPr>
              <w:spacing w:after="0" w:line="240" w:lineRule="auto"/>
              <w:jc w:val="center"/>
              <w:rPr>
                <w:rFonts w:cs="Arial"/>
                <w:sz w:val="16"/>
                <w:szCs w:val="16"/>
              </w:rPr>
            </w:pPr>
            <w:r w:rsidRPr="00581065">
              <w:rPr>
                <w:rFonts w:cs="Arial"/>
                <w:sz w:val="16"/>
                <w:szCs w:val="16"/>
              </w:rPr>
              <w:t>2,89</w:t>
            </w:r>
          </w:p>
        </w:tc>
        <w:tc>
          <w:tcPr>
            <w:tcW w:w="907" w:type="dxa"/>
            <w:tcBorders>
              <w:top w:val="nil"/>
              <w:left w:val="nil"/>
              <w:bottom w:val="nil"/>
              <w:right w:val="nil"/>
            </w:tcBorders>
            <w:shd w:val="clear" w:color="auto" w:fill="auto"/>
            <w:noWrap/>
            <w:vAlign w:val="center"/>
            <w:hideMark/>
          </w:tcPr>
          <w:p w14:paraId="4E3E8036" w14:textId="77777777" w:rsidR="00581065" w:rsidRPr="00581065" w:rsidRDefault="00581065" w:rsidP="001438A5">
            <w:pPr>
              <w:spacing w:after="0" w:line="240" w:lineRule="auto"/>
              <w:jc w:val="center"/>
              <w:rPr>
                <w:rFonts w:cs="Arial"/>
                <w:sz w:val="16"/>
                <w:szCs w:val="16"/>
              </w:rPr>
            </w:pPr>
            <w:r w:rsidRPr="00581065">
              <w:rPr>
                <w:rFonts w:cs="Arial"/>
                <w:sz w:val="16"/>
                <w:szCs w:val="16"/>
              </w:rPr>
              <w:t>2,98</w:t>
            </w:r>
          </w:p>
        </w:tc>
        <w:tc>
          <w:tcPr>
            <w:tcW w:w="907" w:type="dxa"/>
            <w:tcBorders>
              <w:top w:val="nil"/>
              <w:left w:val="nil"/>
              <w:bottom w:val="nil"/>
              <w:right w:val="nil"/>
            </w:tcBorders>
            <w:shd w:val="clear" w:color="auto" w:fill="auto"/>
            <w:noWrap/>
            <w:vAlign w:val="center"/>
            <w:hideMark/>
          </w:tcPr>
          <w:p w14:paraId="4EC96850" w14:textId="77777777" w:rsidR="00581065" w:rsidRPr="00581065" w:rsidRDefault="00581065" w:rsidP="001438A5">
            <w:pPr>
              <w:spacing w:after="0" w:line="240" w:lineRule="auto"/>
              <w:jc w:val="center"/>
              <w:rPr>
                <w:rFonts w:cs="Arial"/>
                <w:sz w:val="16"/>
                <w:szCs w:val="16"/>
              </w:rPr>
            </w:pPr>
            <w:r w:rsidRPr="00581065">
              <w:rPr>
                <w:rFonts w:cs="Arial"/>
                <w:sz w:val="16"/>
                <w:szCs w:val="16"/>
              </w:rPr>
              <w:t>3,01</w:t>
            </w:r>
          </w:p>
        </w:tc>
        <w:tc>
          <w:tcPr>
            <w:tcW w:w="907" w:type="dxa"/>
            <w:tcBorders>
              <w:top w:val="nil"/>
              <w:left w:val="nil"/>
              <w:bottom w:val="nil"/>
              <w:right w:val="nil"/>
            </w:tcBorders>
            <w:shd w:val="clear" w:color="auto" w:fill="auto"/>
            <w:noWrap/>
            <w:vAlign w:val="center"/>
            <w:hideMark/>
          </w:tcPr>
          <w:p w14:paraId="1FB3B6F5" w14:textId="77777777" w:rsidR="00581065" w:rsidRPr="00581065" w:rsidRDefault="00581065" w:rsidP="001438A5">
            <w:pPr>
              <w:spacing w:after="0" w:line="240" w:lineRule="auto"/>
              <w:jc w:val="center"/>
              <w:rPr>
                <w:rFonts w:cs="Arial"/>
                <w:sz w:val="16"/>
                <w:szCs w:val="16"/>
              </w:rPr>
            </w:pPr>
            <w:r w:rsidRPr="00581065">
              <w:rPr>
                <w:rFonts w:cs="Arial"/>
                <w:sz w:val="16"/>
                <w:szCs w:val="16"/>
              </w:rPr>
              <w:t>3,11</w:t>
            </w:r>
          </w:p>
        </w:tc>
        <w:tc>
          <w:tcPr>
            <w:tcW w:w="907" w:type="dxa"/>
            <w:tcBorders>
              <w:top w:val="nil"/>
              <w:left w:val="nil"/>
              <w:bottom w:val="nil"/>
              <w:right w:val="nil"/>
            </w:tcBorders>
            <w:shd w:val="clear" w:color="auto" w:fill="auto"/>
            <w:noWrap/>
            <w:vAlign w:val="center"/>
            <w:hideMark/>
          </w:tcPr>
          <w:p w14:paraId="4C7E8C13" w14:textId="77777777" w:rsidR="00581065" w:rsidRPr="00581065" w:rsidRDefault="00581065" w:rsidP="001438A5">
            <w:pPr>
              <w:spacing w:after="0" w:line="240" w:lineRule="auto"/>
              <w:jc w:val="center"/>
              <w:rPr>
                <w:rFonts w:cs="Arial"/>
                <w:sz w:val="16"/>
                <w:szCs w:val="16"/>
              </w:rPr>
            </w:pPr>
            <w:r w:rsidRPr="00581065">
              <w:rPr>
                <w:rFonts w:cs="Arial"/>
                <w:sz w:val="16"/>
                <w:szCs w:val="16"/>
              </w:rPr>
              <w:t>2,6</w:t>
            </w:r>
            <w:r>
              <w:rPr>
                <w:rFonts w:cs="Arial"/>
                <w:sz w:val="16"/>
                <w:szCs w:val="16"/>
              </w:rPr>
              <w:t>0</w:t>
            </w:r>
          </w:p>
        </w:tc>
        <w:tc>
          <w:tcPr>
            <w:tcW w:w="907" w:type="dxa"/>
            <w:tcBorders>
              <w:top w:val="nil"/>
              <w:left w:val="nil"/>
              <w:bottom w:val="nil"/>
              <w:right w:val="nil"/>
            </w:tcBorders>
            <w:shd w:val="clear" w:color="auto" w:fill="auto"/>
            <w:noWrap/>
            <w:vAlign w:val="center"/>
            <w:hideMark/>
          </w:tcPr>
          <w:p w14:paraId="2DD0A226" w14:textId="77777777" w:rsidR="00581065" w:rsidRPr="00581065" w:rsidRDefault="00581065" w:rsidP="001438A5">
            <w:pPr>
              <w:spacing w:after="0" w:line="240" w:lineRule="auto"/>
              <w:jc w:val="center"/>
              <w:rPr>
                <w:rFonts w:cs="Arial"/>
                <w:sz w:val="16"/>
                <w:szCs w:val="16"/>
              </w:rPr>
            </w:pPr>
            <w:r w:rsidRPr="00581065">
              <w:rPr>
                <w:rFonts w:cs="Arial"/>
                <w:sz w:val="16"/>
                <w:szCs w:val="16"/>
              </w:rPr>
              <w:t>2,47</w:t>
            </w:r>
          </w:p>
        </w:tc>
        <w:tc>
          <w:tcPr>
            <w:tcW w:w="907" w:type="dxa"/>
            <w:tcBorders>
              <w:top w:val="nil"/>
              <w:left w:val="nil"/>
              <w:bottom w:val="nil"/>
              <w:right w:val="nil"/>
            </w:tcBorders>
            <w:shd w:val="clear" w:color="auto" w:fill="auto"/>
            <w:noWrap/>
            <w:vAlign w:val="center"/>
            <w:hideMark/>
          </w:tcPr>
          <w:p w14:paraId="37E95F33" w14:textId="77777777" w:rsidR="00581065" w:rsidRPr="00581065" w:rsidRDefault="00581065" w:rsidP="001438A5">
            <w:pPr>
              <w:spacing w:after="0" w:line="240" w:lineRule="auto"/>
              <w:jc w:val="center"/>
              <w:rPr>
                <w:rFonts w:cs="Arial"/>
                <w:sz w:val="16"/>
                <w:szCs w:val="16"/>
              </w:rPr>
            </w:pPr>
            <w:r w:rsidRPr="00581065">
              <w:rPr>
                <w:rFonts w:cs="Arial"/>
                <w:sz w:val="16"/>
                <w:szCs w:val="16"/>
              </w:rPr>
              <w:t>2,7</w:t>
            </w:r>
            <w:r>
              <w:rPr>
                <w:rFonts w:cs="Arial"/>
                <w:sz w:val="16"/>
                <w:szCs w:val="16"/>
              </w:rPr>
              <w:t>0</w:t>
            </w:r>
          </w:p>
        </w:tc>
        <w:tc>
          <w:tcPr>
            <w:tcW w:w="907" w:type="dxa"/>
            <w:tcBorders>
              <w:top w:val="nil"/>
              <w:left w:val="nil"/>
              <w:bottom w:val="nil"/>
              <w:right w:val="nil"/>
            </w:tcBorders>
            <w:shd w:val="clear" w:color="auto" w:fill="auto"/>
            <w:noWrap/>
            <w:vAlign w:val="center"/>
            <w:hideMark/>
          </w:tcPr>
          <w:p w14:paraId="0EF607BD" w14:textId="77777777" w:rsidR="00581065" w:rsidRPr="00581065" w:rsidRDefault="00581065" w:rsidP="001438A5">
            <w:pPr>
              <w:spacing w:after="0" w:line="240" w:lineRule="auto"/>
              <w:jc w:val="center"/>
              <w:rPr>
                <w:rFonts w:cs="Arial"/>
                <w:sz w:val="16"/>
                <w:szCs w:val="16"/>
              </w:rPr>
            </w:pPr>
            <w:r w:rsidRPr="00581065">
              <w:rPr>
                <w:rFonts w:cs="Arial"/>
                <w:sz w:val="16"/>
                <w:szCs w:val="16"/>
              </w:rPr>
              <w:t>2,61</w:t>
            </w:r>
          </w:p>
        </w:tc>
      </w:tr>
      <w:tr w:rsidR="00581065" w:rsidRPr="00581065" w14:paraId="71E1C686" w14:textId="77777777" w:rsidTr="001438A5">
        <w:trPr>
          <w:trHeight w:val="300"/>
        </w:trPr>
        <w:tc>
          <w:tcPr>
            <w:tcW w:w="1417" w:type="dxa"/>
            <w:tcBorders>
              <w:top w:val="nil"/>
              <w:left w:val="nil"/>
              <w:bottom w:val="nil"/>
              <w:right w:val="nil"/>
            </w:tcBorders>
            <w:shd w:val="clear" w:color="auto" w:fill="auto"/>
            <w:noWrap/>
            <w:vAlign w:val="center"/>
            <w:hideMark/>
          </w:tcPr>
          <w:p w14:paraId="2C812E63"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Kypr</w:t>
            </w:r>
          </w:p>
        </w:tc>
        <w:tc>
          <w:tcPr>
            <w:tcW w:w="907" w:type="dxa"/>
            <w:tcBorders>
              <w:top w:val="nil"/>
              <w:left w:val="single" w:sz="4" w:space="0" w:color="000000"/>
              <w:bottom w:val="nil"/>
              <w:right w:val="nil"/>
            </w:tcBorders>
            <w:shd w:val="clear" w:color="auto" w:fill="auto"/>
            <w:noWrap/>
            <w:vAlign w:val="center"/>
            <w:hideMark/>
          </w:tcPr>
          <w:p w14:paraId="72DD53AB" w14:textId="77777777" w:rsidR="00581065" w:rsidRPr="00581065" w:rsidRDefault="00581065" w:rsidP="001438A5">
            <w:pPr>
              <w:spacing w:after="0" w:line="240" w:lineRule="auto"/>
              <w:jc w:val="center"/>
              <w:rPr>
                <w:rFonts w:cs="Arial"/>
                <w:sz w:val="16"/>
                <w:szCs w:val="16"/>
              </w:rPr>
            </w:pPr>
            <w:r w:rsidRPr="00581065">
              <w:rPr>
                <w:rFonts w:cs="Arial"/>
                <w:sz w:val="16"/>
                <w:szCs w:val="16"/>
              </w:rPr>
              <w:t>4,03</w:t>
            </w:r>
          </w:p>
        </w:tc>
        <w:tc>
          <w:tcPr>
            <w:tcW w:w="907" w:type="dxa"/>
            <w:tcBorders>
              <w:top w:val="nil"/>
              <w:left w:val="nil"/>
              <w:bottom w:val="nil"/>
              <w:right w:val="nil"/>
            </w:tcBorders>
            <w:shd w:val="clear" w:color="auto" w:fill="auto"/>
            <w:noWrap/>
            <w:vAlign w:val="center"/>
            <w:hideMark/>
          </w:tcPr>
          <w:p w14:paraId="2FDFC0CE" w14:textId="77777777" w:rsidR="00581065" w:rsidRPr="00581065" w:rsidRDefault="00581065" w:rsidP="001438A5">
            <w:pPr>
              <w:spacing w:after="0" w:line="240" w:lineRule="auto"/>
              <w:jc w:val="center"/>
              <w:rPr>
                <w:rFonts w:cs="Arial"/>
                <w:sz w:val="16"/>
                <w:szCs w:val="16"/>
              </w:rPr>
            </w:pPr>
            <w:r w:rsidRPr="00581065">
              <w:rPr>
                <w:rFonts w:cs="Arial"/>
                <w:sz w:val="16"/>
                <w:szCs w:val="16"/>
              </w:rPr>
              <w:t>3,91</w:t>
            </w:r>
          </w:p>
        </w:tc>
        <w:tc>
          <w:tcPr>
            <w:tcW w:w="907" w:type="dxa"/>
            <w:tcBorders>
              <w:top w:val="nil"/>
              <w:left w:val="nil"/>
              <w:bottom w:val="nil"/>
              <w:right w:val="nil"/>
            </w:tcBorders>
            <w:shd w:val="clear" w:color="auto" w:fill="auto"/>
            <w:noWrap/>
            <w:vAlign w:val="center"/>
            <w:hideMark/>
          </w:tcPr>
          <w:p w14:paraId="35F47814" w14:textId="77777777" w:rsidR="00581065" w:rsidRPr="00581065" w:rsidRDefault="00581065" w:rsidP="001438A5">
            <w:pPr>
              <w:spacing w:after="0" w:line="240" w:lineRule="auto"/>
              <w:jc w:val="center"/>
              <w:rPr>
                <w:rFonts w:cs="Arial"/>
                <w:sz w:val="16"/>
                <w:szCs w:val="16"/>
              </w:rPr>
            </w:pPr>
            <w:r w:rsidRPr="00581065">
              <w:rPr>
                <w:rFonts w:cs="Arial"/>
                <w:sz w:val="16"/>
                <w:szCs w:val="16"/>
              </w:rPr>
              <w:t>3,65</w:t>
            </w:r>
          </w:p>
        </w:tc>
        <w:tc>
          <w:tcPr>
            <w:tcW w:w="907" w:type="dxa"/>
            <w:tcBorders>
              <w:top w:val="nil"/>
              <w:left w:val="nil"/>
              <w:bottom w:val="nil"/>
              <w:right w:val="nil"/>
            </w:tcBorders>
            <w:shd w:val="clear" w:color="auto" w:fill="auto"/>
            <w:noWrap/>
            <w:vAlign w:val="center"/>
            <w:hideMark/>
          </w:tcPr>
          <w:p w14:paraId="7EAF578D" w14:textId="77777777" w:rsidR="00581065" w:rsidRPr="00581065" w:rsidRDefault="00581065" w:rsidP="001438A5">
            <w:pPr>
              <w:spacing w:after="0" w:line="240" w:lineRule="auto"/>
              <w:jc w:val="center"/>
              <w:rPr>
                <w:rFonts w:cs="Arial"/>
                <w:sz w:val="16"/>
                <w:szCs w:val="16"/>
              </w:rPr>
            </w:pPr>
            <w:r w:rsidRPr="00581065">
              <w:rPr>
                <w:rFonts w:cs="Arial"/>
                <w:sz w:val="16"/>
                <w:szCs w:val="16"/>
              </w:rPr>
              <w:t>2,6</w:t>
            </w:r>
            <w:r>
              <w:rPr>
                <w:rFonts w:cs="Arial"/>
                <w:sz w:val="16"/>
                <w:szCs w:val="16"/>
              </w:rPr>
              <w:t>0</w:t>
            </w:r>
          </w:p>
        </w:tc>
        <w:tc>
          <w:tcPr>
            <w:tcW w:w="907" w:type="dxa"/>
            <w:tcBorders>
              <w:top w:val="nil"/>
              <w:left w:val="nil"/>
              <w:bottom w:val="nil"/>
              <w:right w:val="nil"/>
            </w:tcBorders>
            <w:shd w:val="clear" w:color="auto" w:fill="auto"/>
            <w:noWrap/>
            <w:vAlign w:val="center"/>
            <w:hideMark/>
          </w:tcPr>
          <w:p w14:paraId="27BEB695" w14:textId="77777777" w:rsidR="00581065" w:rsidRPr="00581065" w:rsidRDefault="00581065" w:rsidP="001438A5">
            <w:pPr>
              <w:spacing w:after="0" w:line="240" w:lineRule="auto"/>
              <w:jc w:val="center"/>
              <w:rPr>
                <w:rFonts w:cs="Arial"/>
                <w:sz w:val="16"/>
                <w:szCs w:val="16"/>
              </w:rPr>
            </w:pPr>
            <w:r w:rsidRPr="00581065">
              <w:rPr>
                <w:rFonts w:cs="Arial"/>
                <w:sz w:val="16"/>
                <w:szCs w:val="16"/>
              </w:rPr>
              <w:t>1,53</w:t>
            </w:r>
          </w:p>
        </w:tc>
        <w:tc>
          <w:tcPr>
            <w:tcW w:w="907" w:type="dxa"/>
            <w:tcBorders>
              <w:top w:val="nil"/>
              <w:left w:val="nil"/>
              <w:bottom w:val="nil"/>
              <w:right w:val="nil"/>
            </w:tcBorders>
            <w:shd w:val="clear" w:color="auto" w:fill="auto"/>
            <w:noWrap/>
            <w:vAlign w:val="center"/>
            <w:hideMark/>
          </w:tcPr>
          <w:p w14:paraId="5A6F3D6E" w14:textId="77777777" w:rsidR="00581065" w:rsidRPr="00581065" w:rsidRDefault="00581065" w:rsidP="001438A5">
            <w:pPr>
              <w:spacing w:after="0" w:line="240" w:lineRule="auto"/>
              <w:jc w:val="center"/>
              <w:rPr>
                <w:rFonts w:cs="Arial"/>
                <w:sz w:val="16"/>
                <w:szCs w:val="16"/>
              </w:rPr>
            </w:pPr>
            <w:r w:rsidRPr="00581065">
              <w:rPr>
                <w:rFonts w:cs="Arial"/>
                <w:sz w:val="16"/>
                <w:szCs w:val="16"/>
              </w:rPr>
              <w:t>1,92</w:t>
            </w:r>
          </w:p>
        </w:tc>
        <w:tc>
          <w:tcPr>
            <w:tcW w:w="907" w:type="dxa"/>
            <w:tcBorders>
              <w:top w:val="nil"/>
              <w:left w:val="nil"/>
              <w:bottom w:val="nil"/>
              <w:right w:val="nil"/>
            </w:tcBorders>
            <w:shd w:val="clear" w:color="auto" w:fill="auto"/>
            <w:noWrap/>
            <w:vAlign w:val="center"/>
            <w:hideMark/>
          </w:tcPr>
          <w:p w14:paraId="789493DA" w14:textId="77777777" w:rsidR="00581065" w:rsidRPr="00581065" w:rsidRDefault="00581065" w:rsidP="001438A5">
            <w:pPr>
              <w:spacing w:after="0" w:line="240" w:lineRule="auto"/>
              <w:jc w:val="center"/>
              <w:rPr>
                <w:rFonts w:cs="Arial"/>
                <w:sz w:val="16"/>
                <w:szCs w:val="16"/>
              </w:rPr>
            </w:pPr>
            <w:r w:rsidRPr="00581065">
              <w:rPr>
                <w:rFonts w:cs="Arial"/>
                <w:sz w:val="16"/>
                <w:szCs w:val="16"/>
              </w:rPr>
              <w:t>0,85</w:t>
            </w:r>
          </w:p>
        </w:tc>
        <w:tc>
          <w:tcPr>
            <w:tcW w:w="907" w:type="dxa"/>
            <w:tcBorders>
              <w:top w:val="nil"/>
              <w:left w:val="nil"/>
              <w:bottom w:val="nil"/>
              <w:right w:val="nil"/>
            </w:tcBorders>
            <w:shd w:val="clear" w:color="auto" w:fill="auto"/>
            <w:noWrap/>
            <w:vAlign w:val="center"/>
            <w:hideMark/>
          </w:tcPr>
          <w:p w14:paraId="76F90BCD" w14:textId="77777777" w:rsidR="00581065" w:rsidRPr="00581065" w:rsidRDefault="00581065" w:rsidP="001438A5">
            <w:pPr>
              <w:spacing w:after="0" w:line="240" w:lineRule="auto"/>
              <w:jc w:val="center"/>
              <w:rPr>
                <w:rFonts w:cs="Arial"/>
                <w:sz w:val="16"/>
                <w:szCs w:val="16"/>
              </w:rPr>
            </w:pPr>
            <w:r w:rsidRPr="00581065">
              <w:rPr>
                <w:rFonts w:cs="Arial"/>
                <w:sz w:val="16"/>
                <w:szCs w:val="16"/>
              </w:rPr>
              <w:t>4,51</w:t>
            </w:r>
          </w:p>
        </w:tc>
        <w:tc>
          <w:tcPr>
            <w:tcW w:w="907" w:type="dxa"/>
            <w:tcBorders>
              <w:top w:val="nil"/>
              <w:left w:val="nil"/>
              <w:bottom w:val="nil"/>
              <w:right w:val="nil"/>
            </w:tcBorders>
            <w:shd w:val="clear" w:color="auto" w:fill="auto"/>
            <w:noWrap/>
            <w:vAlign w:val="center"/>
            <w:hideMark/>
          </w:tcPr>
          <w:p w14:paraId="4B46B02F" w14:textId="77777777" w:rsidR="00581065" w:rsidRPr="00581065" w:rsidRDefault="00581065" w:rsidP="001438A5">
            <w:pPr>
              <w:spacing w:after="0" w:line="240" w:lineRule="auto"/>
              <w:jc w:val="center"/>
              <w:rPr>
                <w:rFonts w:cs="Arial"/>
                <w:sz w:val="16"/>
                <w:szCs w:val="16"/>
              </w:rPr>
            </w:pPr>
            <w:r w:rsidRPr="00581065">
              <w:rPr>
                <w:rFonts w:cs="Arial"/>
                <w:sz w:val="16"/>
                <w:szCs w:val="16"/>
              </w:rPr>
              <w:t>3,89</w:t>
            </w:r>
          </w:p>
        </w:tc>
      </w:tr>
      <w:tr w:rsidR="00581065" w:rsidRPr="00581065" w14:paraId="7B33BBB3" w14:textId="77777777" w:rsidTr="001438A5">
        <w:trPr>
          <w:trHeight w:val="300"/>
        </w:trPr>
        <w:tc>
          <w:tcPr>
            <w:tcW w:w="1417" w:type="dxa"/>
            <w:tcBorders>
              <w:top w:val="nil"/>
              <w:left w:val="nil"/>
              <w:bottom w:val="nil"/>
              <w:right w:val="nil"/>
            </w:tcBorders>
            <w:shd w:val="clear" w:color="auto" w:fill="auto"/>
            <w:noWrap/>
            <w:vAlign w:val="center"/>
            <w:hideMark/>
          </w:tcPr>
          <w:p w14:paraId="7D89FF82"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Litva</w:t>
            </w:r>
          </w:p>
        </w:tc>
        <w:tc>
          <w:tcPr>
            <w:tcW w:w="907" w:type="dxa"/>
            <w:tcBorders>
              <w:top w:val="nil"/>
              <w:left w:val="single" w:sz="4" w:space="0" w:color="000000"/>
              <w:bottom w:val="nil"/>
              <w:right w:val="nil"/>
            </w:tcBorders>
            <w:shd w:val="clear" w:color="auto" w:fill="auto"/>
            <w:noWrap/>
            <w:vAlign w:val="center"/>
            <w:hideMark/>
          </w:tcPr>
          <w:p w14:paraId="321C0FBE" w14:textId="77777777" w:rsidR="00581065" w:rsidRPr="00581065" w:rsidRDefault="00581065" w:rsidP="001438A5">
            <w:pPr>
              <w:spacing w:after="0" w:line="240" w:lineRule="auto"/>
              <w:jc w:val="center"/>
              <w:rPr>
                <w:rFonts w:cs="Arial"/>
                <w:sz w:val="16"/>
                <w:szCs w:val="16"/>
              </w:rPr>
            </w:pPr>
            <w:r w:rsidRPr="00581065">
              <w:rPr>
                <w:rFonts w:cs="Arial"/>
                <w:sz w:val="16"/>
                <w:szCs w:val="16"/>
              </w:rPr>
              <w:t>4,83</w:t>
            </w:r>
          </w:p>
        </w:tc>
        <w:tc>
          <w:tcPr>
            <w:tcW w:w="907" w:type="dxa"/>
            <w:tcBorders>
              <w:top w:val="nil"/>
              <w:left w:val="nil"/>
              <w:bottom w:val="nil"/>
              <w:right w:val="nil"/>
            </w:tcBorders>
            <w:shd w:val="clear" w:color="auto" w:fill="auto"/>
            <w:noWrap/>
            <w:vAlign w:val="center"/>
            <w:hideMark/>
          </w:tcPr>
          <w:p w14:paraId="7994CD0D" w14:textId="77777777" w:rsidR="00581065" w:rsidRPr="00581065" w:rsidRDefault="00581065" w:rsidP="001438A5">
            <w:pPr>
              <w:spacing w:after="0" w:line="240" w:lineRule="auto"/>
              <w:jc w:val="center"/>
              <w:rPr>
                <w:rFonts w:cs="Arial"/>
                <w:sz w:val="16"/>
                <w:szCs w:val="16"/>
              </w:rPr>
            </w:pPr>
            <w:r w:rsidRPr="00581065">
              <w:rPr>
                <w:rFonts w:cs="Arial"/>
                <w:sz w:val="16"/>
                <w:szCs w:val="16"/>
              </w:rPr>
              <w:t>6,26</w:t>
            </w:r>
          </w:p>
        </w:tc>
        <w:tc>
          <w:tcPr>
            <w:tcW w:w="907" w:type="dxa"/>
            <w:tcBorders>
              <w:top w:val="nil"/>
              <w:left w:val="nil"/>
              <w:bottom w:val="nil"/>
              <w:right w:val="nil"/>
            </w:tcBorders>
            <w:shd w:val="clear" w:color="auto" w:fill="auto"/>
            <w:noWrap/>
            <w:vAlign w:val="center"/>
            <w:hideMark/>
          </w:tcPr>
          <w:p w14:paraId="5C8B748A" w14:textId="77777777" w:rsidR="00581065" w:rsidRPr="00581065" w:rsidRDefault="00581065" w:rsidP="001438A5">
            <w:pPr>
              <w:spacing w:after="0" w:line="240" w:lineRule="auto"/>
              <w:jc w:val="center"/>
              <w:rPr>
                <w:rFonts w:cs="Arial"/>
                <w:sz w:val="16"/>
                <w:szCs w:val="16"/>
              </w:rPr>
            </w:pPr>
            <w:r w:rsidRPr="00581065">
              <w:rPr>
                <w:rFonts w:cs="Arial"/>
                <w:sz w:val="16"/>
                <w:szCs w:val="16"/>
              </w:rPr>
              <w:t>5</w:t>
            </w:r>
            <w:r>
              <w:rPr>
                <w:rFonts w:cs="Arial"/>
                <w:sz w:val="16"/>
                <w:szCs w:val="16"/>
              </w:rPr>
              <w:t>,00</w:t>
            </w:r>
          </w:p>
        </w:tc>
        <w:tc>
          <w:tcPr>
            <w:tcW w:w="907" w:type="dxa"/>
            <w:tcBorders>
              <w:top w:val="nil"/>
              <w:left w:val="nil"/>
              <w:bottom w:val="nil"/>
              <w:right w:val="nil"/>
            </w:tcBorders>
            <w:shd w:val="clear" w:color="auto" w:fill="auto"/>
            <w:noWrap/>
            <w:vAlign w:val="center"/>
            <w:hideMark/>
          </w:tcPr>
          <w:p w14:paraId="6D02C60B" w14:textId="77777777" w:rsidR="00581065" w:rsidRPr="00581065" w:rsidRDefault="00581065" w:rsidP="001438A5">
            <w:pPr>
              <w:spacing w:after="0" w:line="240" w:lineRule="auto"/>
              <w:jc w:val="center"/>
              <w:rPr>
                <w:rFonts w:cs="Arial"/>
                <w:sz w:val="16"/>
                <w:szCs w:val="16"/>
              </w:rPr>
            </w:pPr>
            <w:r w:rsidRPr="00581065">
              <w:rPr>
                <w:rFonts w:cs="Arial"/>
                <w:sz w:val="16"/>
                <w:szCs w:val="16"/>
              </w:rPr>
              <w:t>5,56</w:t>
            </w:r>
          </w:p>
        </w:tc>
        <w:tc>
          <w:tcPr>
            <w:tcW w:w="907" w:type="dxa"/>
            <w:tcBorders>
              <w:top w:val="nil"/>
              <w:left w:val="nil"/>
              <w:bottom w:val="nil"/>
              <w:right w:val="nil"/>
            </w:tcBorders>
            <w:shd w:val="clear" w:color="auto" w:fill="auto"/>
            <w:noWrap/>
            <w:vAlign w:val="center"/>
            <w:hideMark/>
          </w:tcPr>
          <w:p w14:paraId="1E749420" w14:textId="77777777" w:rsidR="00581065" w:rsidRPr="00581065" w:rsidRDefault="00581065" w:rsidP="001438A5">
            <w:pPr>
              <w:spacing w:after="0" w:line="240" w:lineRule="auto"/>
              <w:jc w:val="center"/>
              <w:rPr>
                <w:rFonts w:cs="Arial"/>
                <w:sz w:val="16"/>
                <w:szCs w:val="16"/>
              </w:rPr>
            </w:pPr>
            <w:r w:rsidRPr="00581065">
              <w:rPr>
                <w:rFonts w:cs="Arial"/>
                <w:sz w:val="16"/>
                <w:szCs w:val="16"/>
              </w:rPr>
              <w:t>4,29</w:t>
            </w:r>
          </w:p>
        </w:tc>
        <w:tc>
          <w:tcPr>
            <w:tcW w:w="907" w:type="dxa"/>
            <w:tcBorders>
              <w:top w:val="nil"/>
              <w:left w:val="nil"/>
              <w:bottom w:val="nil"/>
              <w:right w:val="nil"/>
            </w:tcBorders>
            <w:shd w:val="clear" w:color="auto" w:fill="auto"/>
            <w:noWrap/>
            <w:vAlign w:val="center"/>
            <w:hideMark/>
          </w:tcPr>
          <w:p w14:paraId="79635A7A" w14:textId="77777777" w:rsidR="00581065" w:rsidRPr="00581065" w:rsidRDefault="00581065" w:rsidP="001438A5">
            <w:pPr>
              <w:spacing w:after="0" w:line="240" w:lineRule="auto"/>
              <w:jc w:val="center"/>
              <w:rPr>
                <w:rFonts w:cs="Arial"/>
                <w:sz w:val="16"/>
                <w:szCs w:val="16"/>
              </w:rPr>
            </w:pPr>
            <w:r w:rsidRPr="00581065">
              <w:rPr>
                <w:rFonts w:cs="Arial"/>
                <w:sz w:val="16"/>
                <w:szCs w:val="16"/>
              </w:rPr>
              <w:t>4,39</w:t>
            </w:r>
          </w:p>
        </w:tc>
        <w:tc>
          <w:tcPr>
            <w:tcW w:w="907" w:type="dxa"/>
            <w:tcBorders>
              <w:top w:val="nil"/>
              <w:left w:val="nil"/>
              <w:bottom w:val="nil"/>
              <w:right w:val="nil"/>
            </w:tcBorders>
            <w:shd w:val="clear" w:color="auto" w:fill="auto"/>
            <w:noWrap/>
            <w:vAlign w:val="center"/>
            <w:hideMark/>
          </w:tcPr>
          <w:p w14:paraId="7392E5C4" w14:textId="77777777" w:rsidR="00581065" w:rsidRPr="00581065" w:rsidRDefault="00581065" w:rsidP="001438A5">
            <w:pPr>
              <w:spacing w:after="0" w:line="240" w:lineRule="auto"/>
              <w:jc w:val="center"/>
              <w:rPr>
                <w:rFonts w:cs="Arial"/>
                <w:sz w:val="16"/>
                <w:szCs w:val="16"/>
              </w:rPr>
            </w:pPr>
            <w:r w:rsidRPr="00581065">
              <w:rPr>
                <w:rFonts w:cs="Arial"/>
                <w:sz w:val="16"/>
                <w:szCs w:val="16"/>
              </w:rPr>
              <w:t>3,47</w:t>
            </w:r>
          </w:p>
        </w:tc>
        <w:tc>
          <w:tcPr>
            <w:tcW w:w="907" w:type="dxa"/>
            <w:tcBorders>
              <w:top w:val="nil"/>
              <w:left w:val="nil"/>
              <w:bottom w:val="nil"/>
              <w:right w:val="nil"/>
            </w:tcBorders>
            <w:shd w:val="clear" w:color="auto" w:fill="auto"/>
            <w:noWrap/>
            <w:vAlign w:val="center"/>
            <w:hideMark/>
          </w:tcPr>
          <w:p w14:paraId="65857C53" w14:textId="77777777" w:rsidR="00581065" w:rsidRPr="00581065" w:rsidRDefault="00581065" w:rsidP="001438A5">
            <w:pPr>
              <w:spacing w:after="0" w:line="240" w:lineRule="auto"/>
              <w:jc w:val="center"/>
              <w:rPr>
                <w:rFonts w:cs="Arial"/>
                <w:sz w:val="16"/>
                <w:szCs w:val="16"/>
              </w:rPr>
            </w:pPr>
            <w:r w:rsidRPr="00581065">
              <w:rPr>
                <w:rFonts w:cs="Arial"/>
                <w:sz w:val="16"/>
                <w:szCs w:val="16"/>
              </w:rPr>
              <w:t>3,89</w:t>
            </w:r>
          </w:p>
        </w:tc>
        <w:tc>
          <w:tcPr>
            <w:tcW w:w="907" w:type="dxa"/>
            <w:tcBorders>
              <w:top w:val="nil"/>
              <w:left w:val="nil"/>
              <w:bottom w:val="nil"/>
              <w:right w:val="nil"/>
            </w:tcBorders>
            <w:shd w:val="clear" w:color="auto" w:fill="auto"/>
            <w:noWrap/>
            <w:vAlign w:val="center"/>
            <w:hideMark/>
          </w:tcPr>
          <w:p w14:paraId="4CFF5A30" w14:textId="77777777" w:rsidR="00581065" w:rsidRPr="00581065" w:rsidRDefault="00581065" w:rsidP="001438A5">
            <w:pPr>
              <w:spacing w:after="0" w:line="240" w:lineRule="auto"/>
              <w:jc w:val="center"/>
              <w:rPr>
                <w:rFonts w:cs="Arial"/>
                <w:sz w:val="16"/>
                <w:szCs w:val="16"/>
              </w:rPr>
            </w:pPr>
            <w:r w:rsidRPr="00581065">
              <w:rPr>
                <w:rFonts w:cs="Arial"/>
                <w:sz w:val="16"/>
                <w:szCs w:val="16"/>
              </w:rPr>
              <w:t>3,62</w:t>
            </w:r>
          </w:p>
        </w:tc>
      </w:tr>
      <w:tr w:rsidR="00581065" w:rsidRPr="00581065" w14:paraId="543FA42A" w14:textId="77777777" w:rsidTr="001438A5">
        <w:trPr>
          <w:trHeight w:val="300"/>
        </w:trPr>
        <w:tc>
          <w:tcPr>
            <w:tcW w:w="1417" w:type="dxa"/>
            <w:tcBorders>
              <w:top w:val="nil"/>
              <w:left w:val="nil"/>
              <w:bottom w:val="nil"/>
              <w:right w:val="nil"/>
            </w:tcBorders>
            <w:shd w:val="clear" w:color="auto" w:fill="auto"/>
            <w:noWrap/>
            <w:vAlign w:val="center"/>
            <w:hideMark/>
          </w:tcPr>
          <w:p w14:paraId="0AB4C12F"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Lotyšsko</w:t>
            </w:r>
          </w:p>
        </w:tc>
        <w:tc>
          <w:tcPr>
            <w:tcW w:w="907" w:type="dxa"/>
            <w:tcBorders>
              <w:top w:val="nil"/>
              <w:left w:val="single" w:sz="4" w:space="0" w:color="000000"/>
              <w:bottom w:val="nil"/>
              <w:right w:val="nil"/>
            </w:tcBorders>
            <w:shd w:val="clear" w:color="auto" w:fill="auto"/>
            <w:noWrap/>
            <w:vAlign w:val="center"/>
            <w:hideMark/>
          </w:tcPr>
          <w:p w14:paraId="5363E4FD" w14:textId="77777777" w:rsidR="00581065" w:rsidRPr="00581065" w:rsidRDefault="00581065" w:rsidP="001438A5">
            <w:pPr>
              <w:spacing w:after="0" w:line="240" w:lineRule="auto"/>
              <w:jc w:val="center"/>
              <w:rPr>
                <w:rFonts w:cs="Arial"/>
                <w:sz w:val="16"/>
                <w:szCs w:val="16"/>
              </w:rPr>
            </w:pPr>
            <w:r w:rsidRPr="00581065">
              <w:rPr>
                <w:rFonts w:cs="Arial"/>
                <w:sz w:val="16"/>
                <w:szCs w:val="16"/>
              </w:rPr>
              <w:t>6,13</w:t>
            </w:r>
          </w:p>
        </w:tc>
        <w:tc>
          <w:tcPr>
            <w:tcW w:w="907" w:type="dxa"/>
            <w:tcBorders>
              <w:top w:val="nil"/>
              <w:left w:val="nil"/>
              <w:bottom w:val="nil"/>
              <w:right w:val="nil"/>
            </w:tcBorders>
            <w:shd w:val="clear" w:color="auto" w:fill="auto"/>
            <w:noWrap/>
            <w:vAlign w:val="center"/>
            <w:hideMark/>
          </w:tcPr>
          <w:p w14:paraId="3A54B19A" w14:textId="77777777" w:rsidR="00581065" w:rsidRPr="00581065" w:rsidRDefault="00581065" w:rsidP="001438A5">
            <w:pPr>
              <w:spacing w:after="0" w:line="240" w:lineRule="auto"/>
              <w:jc w:val="center"/>
              <w:rPr>
                <w:rFonts w:cs="Arial"/>
                <w:sz w:val="16"/>
                <w:szCs w:val="16"/>
              </w:rPr>
            </w:pPr>
            <w:r w:rsidRPr="00581065">
              <w:rPr>
                <w:rFonts w:cs="Arial"/>
                <w:sz w:val="16"/>
                <w:szCs w:val="16"/>
              </w:rPr>
              <w:t>5,25</w:t>
            </w:r>
          </w:p>
        </w:tc>
        <w:tc>
          <w:tcPr>
            <w:tcW w:w="907" w:type="dxa"/>
            <w:tcBorders>
              <w:top w:val="nil"/>
              <w:left w:val="nil"/>
              <w:bottom w:val="nil"/>
              <w:right w:val="nil"/>
            </w:tcBorders>
            <w:shd w:val="clear" w:color="auto" w:fill="auto"/>
            <w:noWrap/>
            <w:vAlign w:val="center"/>
            <w:hideMark/>
          </w:tcPr>
          <w:p w14:paraId="5E2E25CE" w14:textId="77777777" w:rsidR="00581065" w:rsidRPr="00581065" w:rsidRDefault="00581065" w:rsidP="001438A5">
            <w:pPr>
              <w:spacing w:after="0" w:line="240" w:lineRule="auto"/>
              <w:jc w:val="center"/>
              <w:rPr>
                <w:rFonts w:cs="Arial"/>
                <w:sz w:val="16"/>
                <w:szCs w:val="16"/>
              </w:rPr>
            </w:pPr>
            <w:r w:rsidRPr="00581065">
              <w:rPr>
                <w:rFonts w:cs="Arial"/>
                <w:sz w:val="16"/>
                <w:szCs w:val="16"/>
              </w:rPr>
              <w:t>4,46</w:t>
            </w:r>
          </w:p>
        </w:tc>
        <w:tc>
          <w:tcPr>
            <w:tcW w:w="907" w:type="dxa"/>
            <w:tcBorders>
              <w:top w:val="nil"/>
              <w:left w:val="nil"/>
              <w:bottom w:val="nil"/>
              <w:right w:val="nil"/>
            </w:tcBorders>
            <w:shd w:val="clear" w:color="auto" w:fill="auto"/>
            <w:noWrap/>
            <w:vAlign w:val="center"/>
            <w:hideMark/>
          </w:tcPr>
          <w:p w14:paraId="2B6D26E7" w14:textId="77777777" w:rsidR="00581065" w:rsidRPr="00581065" w:rsidRDefault="00581065" w:rsidP="001438A5">
            <w:pPr>
              <w:spacing w:after="0" w:line="240" w:lineRule="auto"/>
              <w:jc w:val="center"/>
              <w:rPr>
                <w:rFonts w:cs="Arial"/>
                <w:sz w:val="16"/>
                <w:szCs w:val="16"/>
              </w:rPr>
            </w:pPr>
            <w:r w:rsidRPr="00581065">
              <w:rPr>
                <w:rFonts w:cs="Arial"/>
                <w:sz w:val="16"/>
                <w:szCs w:val="16"/>
              </w:rPr>
              <w:t>5,96</w:t>
            </w:r>
          </w:p>
        </w:tc>
        <w:tc>
          <w:tcPr>
            <w:tcW w:w="907" w:type="dxa"/>
            <w:tcBorders>
              <w:top w:val="nil"/>
              <w:left w:val="nil"/>
              <w:bottom w:val="nil"/>
              <w:right w:val="nil"/>
            </w:tcBorders>
            <w:shd w:val="clear" w:color="auto" w:fill="auto"/>
            <w:noWrap/>
            <w:vAlign w:val="center"/>
            <w:hideMark/>
          </w:tcPr>
          <w:p w14:paraId="157A484F" w14:textId="77777777" w:rsidR="00581065" w:rsidRPr="00581065" w:rsidRDefault="00581065" w:rsidP="001438A5">
            <w:pPr>
              <w:spacing w:after="0" w:line="240" w:lineRule="auto"/>
              <w:jc w:val="center"/>
              <w:rPr>
                <w:rFonts w:cs="Arial"/>
                <w:sz w:val="16"/>
                <w:szCs w:val="16"/>
              </w:rPr>
            </w:pPr>
            <w:r w:rsidRPr="00581065">
              <w:rPr>
                <w:rFonts w:cs="Arial"/>
                <w:sz w:val="16"/>
                <w:szCs w:val="16"/>
              </w:rPr>
              <w:t>4,14</w:t>
            </w:r>
          </w:p>
        </w:tc>
        <w:tc>
          <w:tcPr>
            <w:tcW w:w="907" w:type="dxa"/>
            <w:tcBorders>
              <w:top w:val="nil"/>
              <w:left w:val="nil"/>
              <w:bottom w:val="nil"/>
              <w:right w:val="nil"/>
            </w:tcBorders>
            <w:shd w:val="clear" w:color="auto" w:fill="auto"/>
            <w:noWrap/>
            <w:vAlign w:val="center"/>
            <w:hideMark/>
          </w:tcPr>
          <w:p w14:paraId="0F34B0C1" w14:textId="77777777" w:rsidR="00581065" w:rsidRPr="00581065" w:rsidRDefault="00581065" w:rsidP="001438A5">
            <w:pPr>
              <w:spacing w:after="0" w:line="240" w:lineRule="auto"/>
              <w:jc w:val="center"/>
              <w:rPr>
                <w:rFonts w:cs="Arial"/>
                <w:sz w:val="16"/>
                <w:szCs w:val="16"/>
              </w:rPr>
            </w:pPr>
            <w:r w:rsidRPr="00581065">
              <w:rPr>
                <w:rFonts w:cs="Arial"/>
                <w:sz w:val="16"/>
                <w:szCs w:val="16"/>
              </w:rPr>
              <w:t>5,45</w:t>
            </w:r>
          </w:p>
        </w:tc>
        <w:tc>
          <w:tcPr>
            <w:tcW w:w="907" w:type="dxa"/>
            <w:tcBorders>
              <w:top w:val="nil"/>
              <w:left w:val="nil"/>
              <w:bottom w:val="nil"/>
              <w:right w:val="nil"/>
            </w:tcBorders>
            <w:shd w:val="clear" w:color="auto" w:fill="auto"/>
            <w:noWrap/>
            <w:vAlign w:val="center"/>
            <w:hideMark/>
          </w:tcPr>
          <w:p w14:paraId="736D9C79" w14:textId="77777777" w:rsidR="00581065" w:rsidRPr="00581065" w:rsidRDefault="00581065" w:rsidP="001438A5">
            <w:pPr>
              <w:spacing w:after="0" w:line="240" w:lineRule="auto"/>
              <w:jc w:val="center"/>
              <w:rPr>
                <w:rFonts w:cs="Arial"/>
                <w:sz w:val="16"/>
                <w:szCs w:val="16"/>
              </w:rPr>
            </w:pPr>
            <w:r w:rsidRPr="00581065">
              <w:rPr>
                <w:rFonts w:cs="Arial"/>
                <w:sz w:val="16"/>
                <w:szCs w:val="16"/>
              </w:rPr>
              <w:t>2,79</w:t>
            </w:r>
          </w:p>
        </w:tc>
        <w:tc>
          <w:tcPr>
            <w:tcW w:w="907" w:type="dxa"/>
            <w:tcBorders>
              <w:top w:val="nil"/>
              <w:left w:val="nil"/>
              <w:bottom w:val="nil"/>
              <w:right w:val="nil"/>
            </w:tcBorders>
            <w:shd w:val="clear" w:color="auto" w:fill="auto"/>
            <w:noWrap/>
            <w:vAlign w:val="center"/>
            <w:hideMark/>
          </w:tcPr>
          <w:p w14:paraId="4F18CF48" w14:textId="77777777" w:rsidR="00581065" w:rsidRPr="00581065" w:rsidRDefault="00581065" w:rsidP="001438A5">
            <w:pPr>
              <w:spacing w:after="0" w:line="240" w:lineRule="auto"/>
              <w:jc w:val="center"/>
              <w:rPr>
                <w:rFonts w:cs="Arial"/>
                <w:sz w:val="16"/>
                <w:szCs w:val="16"/>
              </w:rPr>
            </w:pPr>
            <w:r w:rsidRPr="00581065">
              <w:rPr>
                <w:rFonts w:cs="Arial"/>
                <w:sz w:val="16"/>
                <w:szCs w:val="16"/>
              </w:rPr>
              <w:t>4,69</w:t>
            </w:r>
          </w:p>
        </w:tc>
        <w:tc>
          <w:tcPr>
            <w:tcW w:w="907" w:type="dxa"/>
            <w:tcBorders>
              <w:top w:val="nil"/>
              <w:left w:val="nil"/>
              <w:bottom w:val="nil"/>
              <w:right w:val="nil"/>
            </w:tcBorders>
            <w:shd w:val="clear" w:color="auto" w:fill="auto"/>
            <w:noWrap/>
            <w:vAlign w:val="center"/>
            <w:hideMark/>
          </w:tcPr>
          <w:p w14:paraId="05D4EAC8" w14:textId="77777777" w:rsidR="00581065" w:rsidRPr="00581065" w:rsidRDefault="00581065" w:rsidP="001438A5">
            <w:pPr>
              <w:spacing w:after="0" w:line="240" w:lineRule="auto"/>
              <w:jc w:val="center"/>
              <w:rPr>
                <w:rFonts w:cs="Arial"/>
                <w:sz w:val="16"/>
                <w:szCs w:val="16"/>
              </w:rPr>
            </w:pPr>
            <w:r w:rsidRPr="00581065">
              <w:rPr>
                <w:rFonts w:cs="Arial"/>
                <w:sz w:val="16"/>
                <w:szCs w:val="16"/>
              </w:rPr>
              <w:t>3,36</w:t>
            </w:r>
          </w:p>
        </w:tc>
      </w:tr>
      <w:tr w:rsidR="00581065" w:rsidRPr="00581065" w14:paraId="2209DFC8" w14:textId="77777777" w:rsidTr="001438A5">
        <w:trPr>
          <w:trHeight w:val="300"/>
        </w:trPr>
        <w:tc>
          <w:tcPr>
            <w:tcW w:w="1417" w:type="dxa"/>
            <w:tcBorders>
              <w:top w:val="nil"/>
              <w:left w:val="nil"/>
              <w:bottom w:val="nil"/>
              <w:right w:val="nil"/>
            </w:tcBorders>
            <w:shd w:val="clear" w:color="auto" w:fill="auto"/>
            <w:noWrap/>
            <w:vAlign w:val="center"/>
            <w:hideMark/>
          </w:tcPr>
          <w:p w14:paraId="2889D13A"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Lucembursko</w:t>
            </w:r>
          </w:p>
        </w:tc>
        <w:tc>
          <w:tcPr>
            <w:tcW w:w="907" w:type="dxa"/>
            <w:tcBorders>
              <w:top w:val="nil"/>
              <w:left w:val="single" w:sz="4" w:space="0" w:color="000000"/>
              <w:bottom w:val="nil"/>
              <w:right w:val="nil"/>
            </w:tcBorders>
            <w:shd w:val="clear" w:color="auto" w:fill="auto"/>
            <w:noWrap/>
            <w:vAlign w:val="center"/>
            <w:hideMark/>
          </w:tcPr>
          <w:p w14:paraId="4A2C5C1C" w14:textId="77777777" w:rsidR="00581065" w:rsidRPr="00581065" w:rsidRDefault="00581065" w:rsidP="001438A5">
            <w:pPr>
              <w:spacing w:after="0" w:line="240" w:lineRule="auto"/>
              <w:jc w:val="center"/>
              <w:rPr>
                <w:rFonts w:cs="Arial"/>
                <w:sz w:val="16"/>
                <w:szCs w:val="16"/>
              </w:rPr>
            </w:pPr>
            <w:r w:rsidRPr="00581065">
              <w:rPr>
                <w:rFonts w:cs="Arial"/>
                <w:sz w:val="16"/>
                <w:szCs w:val="16"/>
              </w:rPr>
              <w:t>3,63</w:t>
            </w:r>
          </w:p>
        </w:tc>
        <w:tc>
          <w:tcPr>
            <w:tcW w:w="907" w:type="dxa"/>
            <w:tcBorders>
              <w:top w:val="nil"/>
              <w:left w:val="nil"/>
              <w:bottom w:val="nil"/>
              <w:right w:val="nil"/>
            </w:tcBorders>
            <w:shd w:val="clear" w:color="auto" w:fill="auto"/>
            <w:noWrap/>
            <w:vAlign w:val="center"/>
            <w:hideMark/>
          </w:tcPr>
          <w:p w14:paraId="22D6874C" w14:textId="77777777" w:rsidR="00581065" w:rsidRPr="00581065" w:rsidRDefault="00581065" w:rsidP="001438A5">
            <w:pPr>
              <w:spacing w:after="0" w:line="240" w:lineRule="auto"/>
              <w:jc w:val="center"/>
              <w:rPr>
                <w:rFonts w:cs="Arial"/>
                <w:sz w:val="16"/>
                <w:szCs w:val="16"/>
              </w:rPr>
            </w:pPr>
            <w:r w:rsidRPr="00581065">
              <w:rPr>
                <w:rFonts w:cs="Arial"/>
                <w:sz w:val="16"/>
                <w:szCs w:val="16"/>
              </w:rPr>
              <w:t>5,16</w:t>
            </w:r>
          </w:p>
        </w:tc>
        <w:tc>
          <w:tcPr>
            <w:tcW w:w="907" w:type="dxa"/>
            <w:tcBorders>
              <w:top w:val="nil"/>
              <w:left w:val="nil"/>
              <w:bottom w:val="nil"/>
              <w:right w:val="nil"/>
            </w:tcBorders>
            <w:shd w:val="clear" w:color="auto" w:fill="auto"/>
            <w:noWrap/>
            <w:vAlign w:val="center"/>
            <w:hideMark/>
          </w:tcPr>
          <w:p w14:paraId="1B114262" w14:textId="77777777" w:rsidR="00581065" w:rsidRPr="00581065" w:rsidRDefault="00581065" w:rsidP="001438A5">
            <w:pPr>
              <w:spacing w:after="0" w:line="240" w:lineRule="auto"/>
              <w:jc w:val="center"/>
              <w:rPr>
                <w:rFonts w:cs="Arial"/>
                <w:sz w:val="16"/>
                <w:szCs w:val="16"/>
              </w:rPr>
            </w:pPr>
            <w:r w:rsidRPr="00581065">
              <w:rPr>
                <w:rFonts w:cs="Arial"/>
                <w:sz w:val="16"/>
                <w:szCs w:val="16"/>
              </w:rPr>
              <w:t>1,63</w:t>
            </w:r>
          </w:p>
        </w:tc>
        <w:tc>
          <w:tcPr>
            <w:tcW w:w="907" w:type="dxa"/>
            <w:tcBorders>
              <w:top w:val="nil"/>
              <w:left w:val="nil"/>
              <w:bottom w:val="nil"/>
              <w:right w:val="nil"/>
            </w:tcBorders>
            <w:shd w:val="clear" w:color="auto" w:fill="auto"/>
            <w:noWrap/>
            <w:vAlign w:val="center"/>
            <w:hideMark/>
          </w:tcPr>
          <w:p w14:paraId="002C5FEE" w14:textId="77777777" w:rsidR="00581065" w:rsidRPr="00581065" w:rsidRDefault="00581065" w:rsidP="001438A5">
            <w:pPr>
              <w:spacing w:after="0" w:line="240" w:lineRule="auto"/>
              <w:jc w:val="center"/>
              <w:rPr>
                <w:rFonts w:cs="Arial"/>
                <w:sz w:val="16"/>
                <w:szCs w:val="16"/>
              </w:rPr>
            </w:pPr>
            <w:r w:rsidRPr="00581065">
              <w:rPr>
                <w:rFonts w:cs="Arial"/>
                <w:sz w:val="16"/>
                <w:szCs w:val="16"/>
              </w:rPr>
              <w:t>3,71</w:t>
            </w:r>
          </w:p>
        </w:tc>
        <w:tc>
          <w:tcPr>
            <w:tcW w:w="907" w:type="dxa"/>
            <w:tcBorders>
              <w:top w:val="nil"/>
              <w:left w:val="nil"/>
              <w:bottom w:val="nil"/>
              <w:right w:val="nil"/>
            </w:tcBorders>
            <w:shd w:val="clear" w:color="auto" w:fill="auto"/>
            <w:noWrap/>
            <w:vAlign w:val="center"/>
            <w:hideMark/>
          </w:tcPr>
          <w:p w14:paraId="4168D506" w14:textId="77777777" w:rsidR="00581065" w:rsidRPr="00581065" w:rsidRDefault="00581065" w:rsidP="001438A5">
            <w:pPr>
              <w:spacing w:after="0" w:line="240" w:lineRule="auto"/>
              <w:jc w:val="center"/>
              <w:rPr>
                <w:rFonts w:cs="Arial"/>
                <w:sz w:val="16"/>
                <w:szCs w:val="16"/>
              </w:rPr>
            </w:pPr>
            <w:r w:rsidRPr="00581065">
              <w:rPr>
                <w:rFonts w:cs="Arial"/>
                <w:sz w:val="16"/>
                <w:szCs w:val="16"/>
              </w:rPr>
              <w:t>4,39</w:t>
            </w:r>
          </w:p>
        </w:tc>
        <w:tc>
          <w:tcPr>
            <w:tcW w:w="907" w:type="dxa"/>
            <w:tcBorders>
              <w:top w:val="nil"/>
              <w:left w:val="nil"/>
              <w:bottom w:val="nil"/>
              <w:right w:val="nil"/>
            </w:tcBorders>
            <w:shd w:val="clear" w:color="auto" w:fill="auto"/>
            <w:noWrap/>
            <w:vAlign w:val="center"/>
            <w:hideMark/>
          </w:tcPr>
          <w:p w14:paraId="6DC11D6C" w14:textId="77777777" w:rsidR="00581065" w:rsidRPr="00581065" w:rsidRDefault="00581065" w:rsidP="001438A5">
            <w:pPr>
              <w:spacing w:after="0" w:line="240" w:lineRule="auto"/>
              <w:jc w:val="center"/>
              <w:rPr>
                <w:rFonts w:cs="Arial"/>
                <w:sz w:val="16"/>
                <w:szCs w:val="16"/>
              </w:rPr>
            </w:pPr>
            <w:r w:rsidRPr="00581065">
              <w:rPr>
                <w:rFonts w:cs="Arial"/>
                <w:sz w:val="16"/>
                <w:szCs w:val="16"/>
              </w:rPr>
              <w:t>10,8</w:t>
            </w:r>
          </w:p>
        </w:tc>
        <w:tc>
          <w:tcPr>
            <w:tcW w:w="907" w:type="dxa"/>
            <w:tcBorders>
              <w:top w:val="nil"/>
              <w:left w:val="nil"/>
              <w:bottom w:val="nil"/>
              <w:right w:val="nil"/>
            </w:tcBorders>
            <w:shd w:val="clear" w:color="auto" w:fill="auto"/>
            <w:noWrap/>
            <w:vAlign w:val="center"/>
            <w:hideMark/>
          </w:tcPr>
          <w:p w14:paraId="2492A316" w14:textId="77777777" w:rsidR="00581065" w:rsidRPr="00581065" w:rsidRDefault="00581065" w:rsidP="001438A5">
            <w:pPr>
              <w:spacing w:after="0" w:line="240" w:lineRule="auto"/>
              <w:jc w:val="center"/>
              <w:rPr>
                <w:rFonts w:cs="Arial"/>
                <w:sz w:val="16"/>
                <w:szCs w:val="16"/>
              </w:rPr>
            </w:pPr>
            <w:r w:rsidRPr="00581065">
              <w:rPr>
                <w:rFonts w:cs="Arial"/>
                <w:sz w:val="16"/>
                <w:szCs w:val="16"/>
              </w:rPr>
              <w:t>2,59</w:t>
            </w:r>
          </w:p>
        </w:tc>
        <w:tc>
          <w:tcPr>
            <w:tcW w:w="907" w:type="dxa"/>
            <w:tcBorders>
              <w:top w:val="nil"/>
              <w:left w:val="nil"/>
              <w:bottom w:val="nil"/>
              <w:right w:val="nil"/>
            </w:tcBorders>
            <w:shd w:val="clear" w:color="auto" w:fill="auto"/>
            <w:noWrap/>
            <w:vAlign w:val="center"/>
            <w:hideMark/>
          </w:tcPr>
          <w:p w14:paraId="2887375E" w14:textId="77777777" w:rsidR="00581065" w:rsidRPr="00581065" w:rsidRDefault="00581065" w:rsidP="001438A5">
            <w:pPr>
              <w:spacing w:after="0" w:line="240" w:lineRule="auto"/>
              <w:jc w:val="center"/>
              <w:rPr>
                <w:rFonts w:cs="Arial"/>
                <w:sz w:val="16"/>
                <w:szCs w:val="16"/>
              </w:rPr>
            </w:pPr>
            <w:r w:rsidRPr="00581065">
              <w:rPr>
                <w:rFonts w:cs="Arial"/>
                <w:sz w:val="16"/>
                <w:szCs w:val="16"/>
              </w:rPr>
              <w:t>6,42</w:t>
            </w:r>
          </w:p>
        </w:tc>
        <w:tc>
          <w:tcPr>
            <w:tcW w:w="907" w:type="dxa"/>
            <w:tcBorders>
              <w:top w:val="nil"/>
              <w:left w:val="nil"/>
              <w:bottom w:val="nil"/>
              <w:right w:val="nil"/>
            </w:tcBorders>
            <w:shd w:val="clear" w:color="auto" w:fill="auto"/>
            <w:noWrap/>
            <w:vAlign w:val="center"/>
            <w:hideMark/>
          </w:tcPr>
          <w:p w14:paraId="6663E9B6" w14:textId="77777777" w:rsidR="00581065" w:rsidRPr="00581065" w:rsidRDefault="00581065" w:rsidP="001438A5">
            <w:pPr>
              <w:spacing w:after="0" w:line="240" w:lineRule="auto"/>
              <w:jc w:val="center"/>
              <w:rPr>
                <w:rFonts w:cs="Arial"/>
                <w:sz w:val="16"/>
                <w:szCs w:val="16"/>
              </w:rPr>
            </w:pPr>
            <w:r w:rsidRPr="00581065">
              <w:rPr>
                <w:rFonts w:cs="Arial"/>
                <w:sz w:val="16"/>
                <w:szCs w:val="16"/>
              </w:rPr>
              <w:t>5,2</w:t>
            </w:r>
            <w:r>
              <w:rPr>
                <w:rFonts w:cs="Arial"/>
                <w:sz w:val="16"/>
                <w:szCs w:val="16"/>
              </w:rPr>
              <w:t>0</w:t>
            </w:r>
          </w:p>
        </w:tc>
      </w:tr>
      <w:tr w:rsidR="00581065" w:rsidRPr="00581065" w14:paraId="0EC34725" w14:textId="77777777" w:rsidTr="001438A5">
        <w:trPr>
          <w:trHeight w:val="300"/>
        </w:trPr>
        <w:tc>
          <w:tcPr>
            <w:tcW w:w="1417" w:type="dxa"/>
            <w:tcBorders>
              <w:top w:val="nil"/>
              <w:left w:val="nil"/>
              <w:bottom w:val="nil"/>
              <w:right w:val="nil"/>
            </w:tcBorders>
            <w:shd w:val="clear" w:color="auto" w:fill="auto"/>
            <w:noWrap/>
            <w:vAlign w:val="center"/>
            <w:hideMark/>
          </w:tcPr>
          <w:p w14:paraId="6FDACE60"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Maďarsko</w:t>
            </w:r>
          </w:p>
        </w:tc>
        <w:tc>
          <w:tcPr>
            <w:tcW w:w="907" w:type="dxa"/>
            <w:tcBorders>
              <w:top w:val="nil"/>
              <w:left w:val="single" w:sz="4" w:space="0" w:color="000000"/>
              <w:bottom w:val="nil"/>
              <w:right w:val="nil"/>
            </w:tcBorders>
            <w:shd w:val="clear" w:color="auto" w:fill="auto"/>
            <w:noWrap/>
            <w:vAlign w:val="center"/>
            <w:hideMark/>
          </w:tcPr>
          <w:p w14:paraId="382C2718" w14:textId="77777777" w:rsidR="00581065" w:rsidRPr="00581065" w:rsidRDefault="00581065" w:rsidP="001438A5">
            <w:pPr>
              <w:spacing w:after="0" w:line="240" w:lineRule="auto"/>
              <w:jc w:val="center"/>
              <w:rPr>
                <w:rFonts w:cs="Arial"/>
                <w:sz w:val="16"/>
                <w:szCs w:val="16"/>
              </w:rPr>
            </w:pPr>
            <w:r w:rsidRPr="00581065">
              <w:rPr>
                <w:rFonts w:cs="Arial"/>
                <w:sz w:val="16"/>
                <w:szCs w:val="16"/>
              </w:rPr>
              <w:t>3,63</w:t>
            </w:r>
          </w:p>
        </w:tc>
        <w:tc>
          <w:tcPr>
            <w:tcW w:w="907" w:type="dxa"/>
            <w:tcBorders>
              <w:top w:val="nil"/>
              <w:left w:val="nil"/>
              <w:bottom w:val="nil"/>
              <w:right w:val="nil"/>
            </w:tcBorders>
            <w:shd w:val="clear" w:color="auto" w:fill="auto"/>
            <w:noWrap/>
            <w:vAlign w:val="center"/>
            <w:hideMark/>
          </w:tcPr>
          <w:p w14:paraId="10E4A50E" w14:textId="77777777" w:rsidR="00581065" w:rsidRPr="00581065" w:rsidRDefault="00581065" w:rsidP="001438A5">
            <w:pPr>
              <w:spacing w:after="0" w:line="240" w:lineRule="auto"/>
              <w:jc w:val="center"/>
              <w:rPr>
                <w:rFonts w:cs="Arial"/>
                <w:sz w:val="16"/>
                <w:szCs w:val="16"/>
              </w:rPr>
            </w:pPr>
            <w:r w:rsidRPr="00581065">
              <w:rPr>
                <w:rFonts w:cs="Arial"/>
                <w:sz w:val="16"/>
                <w:szCs w:val="16"/>
              </w:rPr>
              <w:t>2,03</w:t>
            </w:r>
          </w:p>
        </w:tc>
        <w:tc>
          <w:tcPr>
            <w:tcW w:w="907" w:type="dxa"/>
            <w:tcBorders>
              <w:top w:val="nil"/>
              <w:left w:val="nil"/>
              <w:bottom w:val="nil"/>
              <w:right w:val="nil"/>
            </w:tcBorders>
            <w:shd w:val="clear" w:color="auto" w:fill="auto"/>
            <w:noWrap/>
            <w:vAlign w:val="center"/>
            <w:hideMark/>
          </w:tcPr>
          <w:p w14:paraId="2E9CBBB1" w14:textId="77777777" w:rsidR="00581065" w:rsidRPr="00581065" w:rsidRDefault="00581065" w:rsidP="001438A5">
            <w:pPr>
              <w:spacing w:after="0" w:line="240" w:lineRule="auto"/>
              <w:jc w:val="center"/>
              <w:rPr>
                <w:rFonts w:cs="Arial"/>
                <w:sz w:val="16"/>
                <w:szCs w:val="16"/>
              </w:rPr>
            </w:pPr>
            <w:r w:rsidRPr="00581065">
              <w:rPr>
                <w:rFonts w:cs="Arial"/>
                <w:sz w:val="16"/>
                <w:szCs w:val="16"/>
              </w:rPr>
              <w:t>1,75</w:t>
            </w:r>
          </w:p>
        </w:tc>
        <w:tc>
          <w:tcPr>
            <w:tcW w:w="907" w:type="dxa"/>
            <w:tcBorders>
              <w:top w:val="nil"/>
              <w:left w:val="nil"/>
              <w:bottom w:val="nil"/>
              <w:right w:val="nil"/>
            </w:tcBorders>
            <w:shd w:val="clear" w:color="auto" w:fill="auto"/>
            <w:noWrap/>
            <w:vAlign w:val="center"/>
            <w:hideMark/>
          </w:tcPr>
          <w:p w14:paraId="4DD93238" w14:textId="77777777" w:rsidR="00581065" w:rsidRPr="00581065" w:rsidRDefault="00581065" w:rsidP="001438A5">
            <w:pPr>
              <w:spacing w:after="0" w:line="240" w:lineRule="auto"/>
              <w:jc w:val="center"/>
              <w:rPr>
                <w:rFonts w:cs="Arial"/>
                <w:sz w:val="16"/>
                <w:szCs w:val="16"/>
              </w:rPr>
            </w:pPr>
            <w:r w:rsidRPr="00581065">
              <w:rPr>
                <w:rFonts w:cs="Arial"/>
                <w:sz w:val="16"/>
                <w:szCs w:val="16"/>
              </w:rPr>
              <w:t>2,86</w:t>
            </w:r>
          </w:p>
        </w:tc>
        <w:tc>
          <w:tcPr>
            <w:tcW w:w="907" w:type="dxa"/>
            <w:tcBorders>
              <w:top w:val="nil"/>
              <w:left w:val="nil"/>
              <w:bottom w:val="nil"/>
              <w:right w:val="nil"/>
            </w:tcBorders>
            <w:shd w:val="clear" w:color="auto" w:fill="auto"/>
            <w:noWrap/>
            <w:vAlign w:val="center"/>
            <w:hideMark/>
          </w:tcPr>
          <w:p w14:paraId="20685BAC" w14:textId="77777777" w:rsidR="00581065" w:rsidRPr="00581065" w:rsidRDefault="00581065" w:rsidP="001438A5">
            <w:pPr>
              <w:spacing w:after="0" w:line="240" w:lineRule="auto"/>
              <w:jc w:val="center"/>
              <w:rPr>
                <w:rFonts w:cs="Arial"/>
                <w:sz w:val="16"/>
                <w:szCs w:val="16"/>
              </w:rPr>
            </w:pPr>
            <w:r w:rsidRPr="00581065">
              <w:rPr>
                <w:rFonts w:cs="Arial"/>
                <w:sz w:val="16"/>
                <w:szCs w:val="16"/>
              </w:rPr>
              <w:t>2,9</w:t>
            </w:r>
            <w:r>
              <w:rPr>
                <w:rFonts w:cs="Arial"/>
                <w:sz w:val="16"/>
                <w:szCs w:val="16"/>
              </w:rPr>
              <w:t>0</w:t>
            </w:r>
          </w:p>
        </w:tc>
        <w:tc>
          <w:tcPr>
            <w:tcW w:w="907" w:type="dxa"/>
            <w:tcBorders>
              <w:top w:val="nil"/>
              <w:left w:val="nil"/>
              <w:bottom w:val="nil"/>
              <w:right w:val="nil"/>
            </w:tcBorders>
            <w:shd w:val="clear" w:color="auto" w:fill="auto"/>
            <w:noWrap/>
            <w:vAlign w:val="center"/>
            <w:hideMark/>
          </w:tcPr>
          <w:p w14:paraId="5E919A58" w14:textId="77777777" w:rsidR="00581065" w:rsidRPr="00581065" w:rsidRDefault="00581065" w:rsidP="001438A5">
            <w:pPr>
              <w:spacing w:after="0" w:line="240" w:lineRule="auto"/>
              <w:jc w:val="center"/>
              <w:rPr>
                <w:rFonts w:cs="Arial"/>
                <w:sz w:val="16"/>
                <w:szCs w:val="16"/>
              </w:rPr>
            </w:pPr>
            <w:r w:rsidRPr="00581065">
              <w:rPr>
                <w:rFonts w:cs="Arial"/>
                <w:sz w:val="16"/>
                <w:szCs w:val="16"/>
              </w:rPr>
              <w:t>2,75</w:t>
            </w:r>
          </w:p>
        </w:tc>
        <w:tc>
          <w:tcPr>
            <w:tcW w:w="907" w:type="dxa"/>
            <w:tcBorders>
              <w:top w:val="nil"/>
              <w:left w:val="nil"/>
              <w:bottom w:val="nil"/>
              <w:right w:val="nil"/>
            </w:tcBorders>
            <w:shd w:val="clear" w:color="auto" w:fill="auto"/>
            <w:noWrap/>
            <w:vAlign w:val="center"/>
            <w:hideMark/>
          </w:tcPr>
          <w:p w14:paraId="12DAF90A" w14:textId="77777777" w:rsidR="00581065" w:rsidRPr="00581065" w:rsidRDefault="00581065" w:rsidP="001438A5">
            <w:pPr>
              <w:spacing w:after="0" w:line="240" w:lineRule="auto"/>
              <w:jc w:val="center"/>
              <w:rPr>
                <w:rFonts w:cs="Arial"/>
                <w:sz w:val="16"/>
                <w:szCs w:val="16"/>
              </w:rPr>
            </w:pPr>
            <w:r w:rsidRPr="00581065">
              <w:rPr>
                <w:rFonts w:cs="Arial"/>
                <w:sz w:val="16"/>
                <w:szCs w:val="16"/>
              </w:rPr>
              <w:t>2,63</w:t>
            </w:r>
          </w:p>
        </w:tc>
        <w:tc>
          <w:tcPr>
            <w:tcW w:w="907" w:type="dxa"/>
            <w:tcBorders>
              <w:top w:val="nil"/>
              <w:left w:val="nil"/>
              <w:bottom w:val="nil"/>
              <w:right w:val="nil"/>
            </w:tcBorders>
            <w:shd w:val="clear" w:color="auto" w:fill="auto"/>
            <w:noWrap/>
            <w:vAlign w:val="center"/>
            <w:hideMark/>
          </w:tcPr>
          <w:p w14:paraId="7590AAA7" w14:textId="77777777" w:rsidR="00581065" w:rsidRPr="00581065" w:rsidRDefault="00581065" w:rsidP="001438A5">
            <w:pPr>
              <w:spacing w:after="0" w:line="240" w:lineRule="auto"/>
              <w:jc w:val="center"/>
              <w:rPr>
                <w:rFonts w:cs="Arial"/>
                <w:sz w:val="16"/>
                <w:szCs w:val="16"/>
              </w:rPr>
            </w:pPr>
            <w:r w:rsidRPr="00581065">
              <w:rPr>
                <w:rFonts w:cs="Arial"/>
                <w:sz w:val="16"/>
                <w:szCs w:val="16"/>
              </w:rPr>
              <w:t>2,39</w:t>
            </w:r>
          </w:p>
        </w:tc>
        <w:tc>
          <w:tcPr>
            <w:tcW w:w="907" w:type="dxa"/>
            <w:tcBorders>
              <w:top w:val="nil"/>
              <w:left w:val="nil"/>
              <w:bottom w:val="nil"/>
              <w:right w:val="nil"/>
            </w:tcBorders>
            <w:shd w:val="clear" w:color="auto" w:fill="auto"/>
            <w:noWrap/>
            <w:vAlign w:val="center"/>
            <w:hideMark/>
          </w:tcPr>
          <w:p w14:paraId="49EFC772" w14:textId="77777777" w:rsidR="00581065" w:rsidRPr="00581065" w:rsidRDefault="00581065" w:rsidP="001438A5">
            <w:pPr>
              <w:spacing w:after="0" w:line="240" w:lineRule="auto"/>
              <w:jc w:val="center"/>
              <w:rPr>
                <w:rFonts w:cs="Arial"/>
                <w:sz w:val="16"/>
                <w:szCs w:val="16"/>
              </w:rPr>
            </w:pPr>
            <w:r w:rsidRPr="00581065">
              <w:rPr>
                <w:rFonts w:cs="Arial"/>
                <w:sz w:val="16"/>
                <w:szCs w:val="16"/>
              </w:rPr>
              <w:t>2,62</w:t>
            </w:r>
          </w:p>
        </w:tc>
      </w:tr>
      <w:tr w:rsidR="00581065" w:rsidRPr="00581065" w14:paraId="37E2D363" w14:textId="77777777" w:rsidTr="001438A5">
        <w:trPr>
          <w:trHeight w:val="300"/>
        </w:trPr>
        <w:tc>
          <w:tcPr>
            <w:tcW w:w="1417" w:type="dxa"/>
            <w:tcBorders>
              <w:top w:val="nil"/>
              <w:left w:val="nil"/>
              <w:bottom w:val="nil"/>
              <w:right w:val="nil"/>
            </w:tcBorders>
            <w:shd w:val="clear" w:color="auto" w:fill="auto"/>
            <w:noWrap/>
            <w:vAlign w:val="center"/>
            <w:hideMark/>
          </w:tcPr>
          <w:p w14:paraId="748D0B0A"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Malta</w:t>
            </w:r>
          </w:p>
        </w:tc>
        <w:tc>
          <w:tcPr>
            <w:tcW w:w="907" w:type="dxa"/>
            <w:tcBorders>
              <w:top w:val="nil"/>
              <w:left w:val="single" w:sz="4" w:space="0" w:color="000000"/>
              <w:bottom w:val="nil"/>
              <w:right w:val="nil"/>
            </w:tcBorders>
            <w:shd w:val="clear" w:color="auto" w:fill="auto"/>
            <w:noWrap/>
            <w:vAlign w:val="center"/>
            <w:hideMark/>
          </w:tcPr>
          <w:p w14:paraId="61ED6C1A" w14:textId="77777777" w:rsidR="00581065" w:rsidRPr="00581065" w:rsidRDefault="00581065" w:rsidP="001438A5">
            <w:pPr>
              <w:spacing w:after="0" w:line="240" w:lineRule="auto"/>
              <w:jc w:val="center"/>
              <w:rPr>
                <w:rFonts w:cs="Arial"/>
                <w:sz w:val="16"/>
                <w:szCs w:val="16"/>
              </w:rPr>
            </w:pPr>
            <w:r w:rsidRPr="00581065">
              <w:rPr>
                <w:rFonts w:cs="Arial"/>
                <w:sz w:val="16"/>
                <w:szCs w:val="16"/>
              </w:rPr>
              <w:t>0,82</w:t>
            </w:r>
          </w:p>
        </w:tc>
        <w:tc>
          <w:tcPr>
            <w:tcW w:w="907" w:type="dxa"/>
            <w:tcBorders>
              <w:top w:val="nil"/>
              <w:left w:val="nil"/>
              <w:bottom w:val="nil"/>
              <w:right w:val="nil"/>
            </w:tcBorders>
            <w:shd w:val="clear" w:color="auto" w:fill="auto"/>
            <w:noWrap/>
            <w:vAlign w:val="center"/>
            <w:hideMark/>
          </w:tcPr>
          <w:p w14:paraId="6C5909D1" w14:textId="77777777" w:rsidR="00581065" w:rsidRPr="00581065" w:rsidRDefault="00581065" w:rsidP="001438A5">
            <w:pPr>
              <w:spacing w:after="0" w:line="240" w:lineRule="auto"/>
              <w:jc w:val="center"/>
              <w:rPr>
                <w:rFonts w:cs="Arial"/>
                <w:sz w:val="16"/>
                <w:szCs w:val="16"/>
              </w:rPr>
            </w:pPr>
            <w:r w:rsidRPr="00581065">
              <w:rPr>
                <w:rFonts w:cs="Arial"/>
                <w:sz w:val="16"/>
                <w:szCs w:val="16"/>
              </w:rPr>
              <w:t>7,6</w:t>
            </w:r>
            <w:r>
              <w:rPr>
                <w:rFonts w:cs="Arial"/>
                <w:sz w:val="16"/>
                <w:szCs w:val="16"/>
              </w:rPr>
              <w:t>0</w:t>
            </w:r>
          </w:p>
        </w:tc>
        <w:tc>
          <w:tcPr>
            <w:tcW w:w="907" w:type="dxa"/>
            <w:tcBorders>
              <w:top w:val="nil"/>
              <w:left w:val="nil"/>
              <w:bottom w:val="nil"/>
              <w:right w:val="nil"/>
            </w:tcBorders>
            <w:shd w:val="clear" w:color="auto" w:fill="auto"/>
            <w:noWrap/>
            <w:vAlign w:val="center"/>
            <w:hideMark/>
          </w:tcPr>
          <w:p w14:paraId="2EDA981B" w14:textId="77777777" w:rsidR="00581065" w:rsidRPr="00581065" w:rsidRDefault="00581065" w:rsidP="001438A5">
            <w:pPr>
              <w:spacing w:after="0" w:line="240" w:lineRule="auto"/>
              <w:jc w:val="center"/>
              <w:rPr>
                <w:rFonts w:cs="Arial"/>
                <w:sz w:val="16"/>
                <w:szCs w:val="16"/>
              </w:rPr>
            </w:pPr>
            <w:r w:rsidRPr="00581065">
              <w:rPr>
                <w:rFonts w:cs="Arial"/>
                <w:sz w:val="16"/>
                <w:szCs w:val="16"/>
              </w:rPr>
              <w:t>4,74</w:t>
            </w:r>
          </w:p>
        </w:tc>
        <w:tc>
          <w:tcPr>
            <w:tcW w:w="907" w:type="dxa"/>
            <w:tcBorders>
              <w:top w:val="nil"/>
              <w:left w:val="nil"/>
              <w:bottom w:val="nil"/>
              <w:right w:val="nil"/>
            </w:tcBorders>
            <w:shd w:val="clear" w:color="auto" w:fill="auto"/>
            <w:noWrap/>
            <w:vAlign w:val="center"/>
            <w:hideMark/>
          </w:tcPr>
          <w:p w14:paraId="1309FCFB" w14:textId="77777777" w:rsidR="00581065" w:rsidRPr="00581065" w:rsidRDefault="00581065" w:rsidP="001438A5">
            <w:pPr>
              <w:spacing w:after="0" w:line="240" w:lineRule="auto"/>
              <w:jc w:val="center"/>
              <w:rPr>
                <w:rFonts w:cs="Arial"/>
                <w:sz w:val="16"/>
                <w:szCs w:val="16"/>
              </w:rPr>
            </w:pPr>
            <w:r w:rsidRPr="00581065">
              <w:rPr>
                <w:rFonts w:cs="Arial"/>
                <w:sz w:val="16"/>
                <w:szCs w:val="16"/>
              </w:rPr>
              <w:t>4,63</w:t>
            </w:r>
          </w:p>
        </w:tc>
        <w:tc>
          <w:tcPr>
            <w:tcW w:w="907" w:type="dxa"/>
            <w:tcBorders>
              <w:top w:val="nil"/>
              <w:left w:val="nil"/>
              <w:bottom w:val="nil"/>
              <w:right w:val="nil"/>
            </w:tcBorders>
            <w:shd w:val="clear" w:color="auto" w:fill="auto"/>
            <w:noWrap/>
            <w:vAlign w:val="center"/>
            <w:hideMark/>
          </w:tcPr>
          <w:p w14:paraId="013AF35E" w14:textId="77777777" w:rsidR="00581065" w:rsidRPr="00581065" w:rsidRDefault="00581065" w:rsidP="001438A5">
            <w:pPr>
              <w:spacing w:after="0" w:line="240" w:lineRule="auto"/>
              <w:jc w:val="center"/>
              <w:rPr>
                <w:rFonts w:cs="Arial"/>
                <w:sz w:val="16"/>
                <w:szCs w:val="16"/>
              </w:rPr>
            </w:pPr>
            <w:r w:rsidRPr="00581065">
              <w:rPr>
                <w:rFonts w:cs="Arial"/>
                <w:sz w:val="16"/>
                <w:szCs w:val="16"/>
              </w:rPr>
              <w:t>3,48</w:t>
            </w:r>
          </w:p>
        </w:tc>
        <w:tc>
          <w:tcPr>
            <w:tcW w:w="907" w:type="dxa"/>
            <w:tcBorders>
              <w:top w:val="nil"/>
              <w:left w:val="nil"/>
              <w:bottom w:val="nil"/>
              <w:right w:val="nil"/>
            </w:tcBorders>
            <w:shd w:val="clear" w:color="auto" w:fill="auto"/>
            <w:noWrap/>
            <w:vAlign w:val="center"/>
            <w:hideMark/>
          </w:tcPr>
          <w:p w14:paraId="4D9709E1" w14:textId="77777777" w:rsidR="00581065" w:rsidRPr="00581065" w:rsidRDefault="00581065" w:rsidP="001438A5">
            <w:pPr>
              <w:spacing w:after="0" w:line="240" w:lineRule="auto"/>
              <w:jc w:val="center"/>
              <w:rPr>
                <w:rFonts w:cs="Arial"/>
                <w:sz w:val="16"/>
                <w:szCs w:val="16"/>
              </w:rPr>
            </w:pPr>
            <w:r w:rsidRPr="00581065">
              <w:rPr>
                <w:rFonts w:cs="Arial"/>
                <w:sz w:val="16"/>
                <w:szCs w:val="16"/>
              </w:rPr>
              <w:t>3,95</w:t>
            </w:r>
          </w:p>
        </w:tc>
        <w:tc>
          <w:tcPr>
            <w:tcW w:w="907" w:type="dxa"/>
            <w:tcBorders>
              <w:top w:val="nil"/>
              <w:left w:val="nil"/>
              <w:bottom w:val="nil"/>
              <w:right w:val="nil"/>
            </w:tcBorders>
            <w:shd w:val="clear" w:color="auto" w:fill="auto"/>
            <w:noWrap/>
            <w:vAlign w:val="center"/>
            <w:hideMark/>
          </w:tcPr>
          <w:p w14:paraId="3662E770" w14:textId="77777777" w:rsidR="00581065" w:rsidRPr="00581065" w:rsidRDefault="00581065" w:rsidP="001438A5">
            <w:pPr>
              <w:spacing w:after="0" w:line="240" w:lineRule="auto"/>
              <w:jc w:val="center"/>
              <w:rPr>
                <w:rFonts w:cs="Arial"/>
                <w:sz w:val="16"/>
                <w:szCs w:val="16"/>
              </w:rPr>
            </w:pPr>
            <w:r w:rsidRPr="00581065">
              <w:rPr>
                <w:rFonts w:cs="Arial"/>
                <w:sz w:val="16"/>
                <w:szCs w:val="16"/>
              </w:rPr>
              <w:t>0,57</w:t>
            </w:r>
          </w:p>
        </w:tc>
        <w:tc>
          <w:tcPr>
            <w:tcW w:w="907" w:type="dxa"/>
            <w:tcBorders>
              <w:top w:val="nil"/>
              <w:left w:val="nil"/>
              <w:bottom w:val="nil"/>
              <w:right w:val="nil"/>
            </w:tcBorders>
            <w:shd w:val="clear" w:color="auto" w:fill="auto"/>
            <w:noWrap/>
            <w:vAlign w:val="center"/>
            <w:hideMark/>
          </w:tcPr>
          <w:p w14:paraId="0B558BCF" w14:textId="77777777" w:rsidR="00581065" w:rsidRPr="00581065" w:rsidRDefault="00581065" w:rsidP="001438A5">
            <w:pPr>
              <w:spacing w:after="0" w:line="240" w:lineRule="auto"/>
              <w:jc w:val="center"/>
              <w:rPr>
                <w:rFonts w:cs="Arial"/>
                <w:sz w:val="16"/>
                <w:szCs w:val="16"/>
              </w:rPr>
            </w:pPr>
            <w:r w:rsidRPr="00581065">
              <w:rPr>
                <w:rFonts w:cs="Arial"/>
                <w:sz w:val="16"/>
                <w:szCs w:val="16"/>
              </w:rPr>
              <w:t>2,31</w:t>
            </w:r>
          </w:p>
        </w:tc>
        <w:tc>
          <w:tcPr>
            <w:tcW w:w="907" w:type="dxa"/>
            <w:tcBorders>
              <w:top w:val="nil"/>
              <w:left w:val="nil"/>
              <w:bottom w:val="nil"/>
              <w:right w:val="nil"/>
            </w:tcBorders>
            <w:shd w:val="clear" w:color="auto" w:fill="auto"/>
            <w:noWrap/>
            <w:vAlign w:val="center"/>
            <w:hideMark/>
          </w:tcPr>
          <w:p w14:paraId="6BE128B0" w14:textId="77777777" w:rsidR="00581065" w:rsidRPr="00581065" w:rsidRDefault="00581065" w:rsidP="001438A5">
            <w:pPr>
              <w:spacing w:after="0" w:line="240" w:lineRule="auto"/>
              <w:jc w:val="center"/>
              <w:rPr>
                <w:rFonts w:cs="Arial"/>
                <w:sz w:val="16"/>
                <w:szCs w:val="16"/>
              </w:rPr>
            </w:pPr>
            <w:r w:rsidRPr="00581065">
              <w:rPr>
                <w:rFonts w:cs="Arial"/>
                <w:sz w:val="16"/>
                <w:szCs w:val="16"/>
              </w:rPr>
              <w:t>1,46</w:t>
            </w:r>
          </w:p>
        </w:tc>
      </w:tr>
      <w:tr w:rsidR="00581065" w:rsidRPr="00581065" w14:paraId="4FAF41AF" w14:textId="77777777" w:rsidTr="001438A5">
        <w:trPr>
          <w:trHeight w:val="300"/>
        </w:trPr>
        <w:tc>
          <w:tcPr>
            <w:tcW w:w="1417" w:type="dxa"/>
            <w:tcBorders>
              <w:top w:val="nil"/>
              <w:left w:val="nil"/>
              <w:bottom w:val="nil"/>
              <w:right w:val="nil"/>
            </w:tcBorders>
            <w:shd w:val="clear" w:color="auto" w:fill="auto"/>
            <w:noWrap/>
            <w:vAlign w:val="center"/>
            <w:hideMark/>
          </w:tcPr>
          <w:p w14:paraId="13D442BA"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Německo</w:t>
            </w:r>
          </w:p>
        </w:tc>
        <w:tc>
          <w:tcPr>
            <w:tcW w:w="907" w:type="dxa"/>
            <w:tcBorders>
              <w:top w:val="nil"/>
              <w:left w:val="single" w:sz="4" w:space="0" w:color="000000"/>
              <w:bottom w:val="nil"/>
              <w:right w:val="nil"/>
            </w:tcBorders>
            <w:shd w:val="clear" w:color="auto" w:fill="auto"/>
            <w:noWrap/>
            <w:vAlign w:val="center"/>
            <w:hideMark/>
          </w:tcPr>
          <w:p w14:paraId="5110912B" w14:textId="77777777" w:rsidR="00581065" w:rsidRPr="00581065" w:rsidRDefault="00581065" w:rsidP="001438A5">
            <w:pPr>
              <w:spacing w:after="0" w:line="240" w:lineRule="auto"/>
              <w:jc w:val="center"/>
              <w:rPr>
                <w:rFonts w:cs="Arial"/>
                <w:sz w:val="16"/>
                <w:szCs w:val="16"/>
              </w:rPr>
            </w:pPr>
            <w:r w:rsidRPr="00581065">
              <w:rPr>
                <w:rFonts w:cs="Arial"/>
                <w:sz w:val="16"/>
                <w:szCs w:val="16"/>
              </w:rPr>
              <w:t>1,52</w:t>
            </w:r>
          </w:p>
        </w:tc>
        <w:tc>
          <w:tcPr>
            <w:tcW w:w="907" w:type="dxa"/>
            <w:tcBorders>
              <w:top w:val="nil"/>
              <w:left w:val="nil"/>
              <w:bottom w:val="nil"/>
              <w:right w:val="nil"/>
            </w:tcBorders>
            <w:shd w:val="clear" w:color="auto" w:fill="auto"/>
            <w:noWrap/>
            <w:vAlign w:val="center"/>
            <w:hideMark/>
          </w:tcPr>
          <w:p w14:paraId="039DEFEC" w14:textId="77777777" w:rsidR="00581065" w:rsidRPr="00581065" w:rsidRDefault="00581065" w:rsidP="001438A5">
            <w:pPr>
              <w:spacing w:after="0" w:line="240" w:lineRule="auto"/>
              <w:jc w:val="center"/>
              <w:rPr>
                <w:rFonts w:cs="Arial"/>
                <w:sz w:val="16"/>
                <w:szCs w:val="16"/>
              </w:rPr>
            </w:pPr>
            <w:r w:rsidRPr="00581065">
              <w:rPr>
                <w:rFonts w:cs="Arial"/>
                <w:sz w:val="16"/>
                <w:szCs w:val="16"/>
              </w:rPr>
              <w:t>1,47</w:t>
            </w:r>
          </w:p>
        </w:tc>
        <w:tc>
          <w:tcPr>
            <w:tcW w:w="907" w:type="dxa"/>
            <w:tcBorders>
              <w:top w:val="nil"/>
              <w:left w:val="nil"/>
              <w:bottom w:val="nil"/>
              <w:right w:val="nil"/>
            </w:tcBorders>
            <w:shd w:val="clear" w:color="auto" w:fill="auto"/>
            <w:noWrap/>
            <w:vAlign w:val="center"/>
            <w:hideMark/>
          </w:tcPr>
          <w:p w14:paraId="5D09E748" w14:textId="77777777" w:rsidR="00581065" w:rsidRPr="00581065" w:rsidRDefault="00581065" w:rsidP="001438A5">
            <w:pPr>
              <w:spacing w:after="0" w:line="240" w:lineRule="auto"/>
              <w:jc w:val="center"/>
              <w:rPr>
                <w:rFonts w:cs="Arial"/>
                <w:sz w:val="16"/>
                <w:szCs w:val="16"/>
              </w:rPr>
            </w:pPr>
            <w:r w:rsidRPr="00581065">
              <w:rPr>
                <w:rFonts w:cs="Arial"/>
                <w:sz w:val="16"/>
                <w:szCs w:val="16"/>
              </w:rPr>
              <w:t>1,26</w:t>
            </w:r>
          </w:p>
        </w:tc>
        <w:tc>
          <w:tcPr>
            <w:tcW w:w="907" w:type="dxa"/>
            <w:tcBorders>
              <w:top w:val="nil"/>
              <w:left w:val="nil"/>
              <w:bottom w:val="nil"/>
              <w:right w:val="nil"/>
            </w:tcBorders>
            <w:shd w:val="clear" w:color="auto" w:fill="auto"/>
            <w:noWrap/>
            <w:vAlign w:val="center"/>
            <w:hideMark/>
          </w:tcPr>
          <w:p w14:paraId="5FFA97FC" w14:textId="77777777" w:rsidR="00581065" w:rsidRPr="00581065" w:rsidRDefault="00581065" w:rsidP="001438A5">
            <w:pPr>
              <w:spacing w:after="0" w:line="240" w:lineRule="auto"/>
              <w:jc w:val="center"/>
              <w:rPr>
                <w:rFonts w:cs="Arial"/>
                <w:sz w:val="16"/>
                <w:szCs w:val="16"/>
              </w:rPr>
            </w:pPr>
            <w:r w:rsidRPr="00581065">
              <w:rPr>
                <w:rFonts w:cs="Arial"/>
                <w:sz w:val="16"/>
                <w:szCs w:val="16"/>
              </w:rPr>
              <w:t>1,43</w:t>
            </w:r>
          </w:p>
        </w:tc>
        <w:tc>
          <w:tcPr>
            <w:tcW w:w="907" w:type="dxa"/>
            <w:tcBorders>
              <w:top w:val="nil"/>
              <w:left w:val="nil"/>
              <w:bottom w:val="nil"/>
              <w:right w:val="nil"/>
            </w:tcBorders>
            <w:shd w:val="clear" w:color="auto" w:fill="auto"/>
            <w:noWrap/>
            <w:vAlign w:val="center"/>
            <w:hideMark/>
          </w:tcPr>
          <w:p w14:paraId="2BA58ECB" w14:textId="77777777" w:rsidR="00581065" w:rsidRPr="00581065" w:rsidRDefault="00581065" w:rsidP="001438A5">
            <w:pPr>
              <w:spacing w:after="0" w:line="240" w:lineRule="auto"/>
              <w:jc w:val="center"/>
              <w:rPr>
                <w:rFonts w:cs="Arial"/>
                <w:sz w:val="16"/>
                <w:szCs w:val="16"/>
              </w:rPr>
            </w:pPr>
            <w:r w:rsidRPr="00581065">
              <w:rPr>
                <w:rFonts w:cs="Arial"/>
                <w:sz w:val="16"/>
                <w:szCs w:val="16"/>
              </w:rPr>
              <w:t>1,27</w:t>
            </w:r>
          </w:p>
        </w:tc>
        <w:tc>
          <w:tcPr>
            <w:tcW w:w="907" w:type="dxa"/>
            <w:tcBorders>
              <w:top w:val="nil"/>
              <w:left w:val="nil"/>
              <w:bottom w:val="nil"/>
              <w:right w:val="nil"/>
            </w:tcBorders>
            <w:shd w:val="clear" w:color="auto" w:fill="auto"/>
            <w:noWrap/>
            <w:vAlign w:val="center"/>
            <w:hideMark/>
          </w:tcPr>
          <w:p w14:paraId="0963B8F9" w14:textId="77777777" w:rsidR="00581065" w:rsidRPr="00581065" w:rsidRDefault="00581065" w:rsidP="001438A5">
            <w:pPr>
              <w:spacing w:after="0" w:line="240" w:lineRule="auto"/>
              <w:jc w:val="center"/>
              <w:rPr>
                <w:rFonts w:cs="Arial"/>
                <w:sz w:val="16"/>
                <w:szCs w:val="16"/>
              </w:rPr>
            </w:pPr>
            <w:r w:rsidRPr="00581065">
              <w:rPr>
                <w:rFonts w:cs="Arial"/>
                <w:sz w:val="16"/>
                <w:szCs w:val="16"/>
              </w:rPr>
              <w:t>1,12</w:t>
            </w:r>
          </w:p>
        </w:tc>
        <w:tc>
          <w:tcPr>
            <w:tcW w:w="907" w:type="dxa"/>
            <w:tcBorders>
              <w:top w:val="nil"/>
              <w:left w:val="nil"/>
              <w:bottom w:val="nil"/>
              <w:right w:val="nil"/>
            </w:tcBorders>
            <w:shd w:val="clear" w:color="auto" w:fill="auto"/>
            <w:noWrap/>
            <w:vAlign w:val="center"/>
            <w:hideMark/>
          </w:tcPr>
          <w:p w14:paraId="51BBD6E9" w14:textId="77777777" w:rsidR="00581065" w:rsidRPr="00581065" w:rsidRDefault="00581065" w:rsidP="001438A5">
            <w:pPr>
              <w:spacing w:after="0" w:line="240" w:lineRule="auto"/>
              <w:jc w:val="center"/>
              <w:rPr>
                <w:rFonts w:cs="Arial"/>
                <w:sz w:val="16"/>
                <w:szCs w:val="16"/>
              </w:rPr>
            </w:pPr>
            <w:r w:rsidRPr="00581065">
              <w:rPr>
                <w:rFonts w:cs="Arial"/>
                <w:sz w:val="16"/>
                <w:szCs w:val="16"/>
              </w:rPr>
              <w:t>1,19</w:t>
            </w:r>
          </w:p>
        </w:tc>
        <w:tc>
          <w:tcPr>
            <w:tcW w:w="907" w:type="dxa"/>
            <w:tcBorders>
              <w:top w:val="nil"/>
              <w:left w:val="nil"/>
              <w:bottom w:val="nil"/>
              <w:right w:val="nil"/>
            </w:tcBorders>
            <w:shd w:val="clear" w:color="auto" w:fill="auto"/>
            <w:noWrap/>
            <w:vAlign w:val="center"/>
            <w:hideMark/>
          </w:tcPr>
          <w:p w14:paraId="2E309A2A" w14:textId="77777777" w:rsidR="00581065" w:rsidRPr="00581065" w:rsidRDefault="00581065" w:rsidP="001438A5">
            <w:pPr>
              <w:spacing w:after="0" w:line="240" w:lineRule="auto"/>
              <w:jc w:val="center"/>
              <w:rPr>
                <w:rFonts w:cs="Arial"/>
                <w:sz w:val="16"/>
                <w:szCs w:val="16"/>
              </w:rPr>
            </w:pPr>
            <w:r w:rsidRPr="00581065">
              <w:rPr>
                <w:rFonts w:cs="Arial"/>
                <w:sz w:val="16"/>
                <w:szCs w:val="16"/>
              </w:rPr>
              <w:t>1</w:t>
            </w:r>
            <w:r>
              <w:rPr>
                <w:rFonts w:cs="Arial"/>
                <w:sz w:val="16"/>
                <w:szCs w:val="16"/>
              </w:rPr>
              <w:t>,00</w:t>
            </w:r>
          </w:p>
        </w:tc>
        <w:tc>
          <w:tcPr>
            <w:tcW w:w="907" w:type="dxa"/>
            <w:tcBorders>
              <w:top w:val="nil"/>
              <w:left w:val="nil"/>
              <w:bottom w:val="nil"/>
              <w:right w:val="nil"/>
            </w:tcBorders>
            <w:shd w:val="clear" w:color="auto" w:fill="auto"/>
            <w:noWrap/>
            <w:vAlign w:val="center"/>
            <w:hideMark/>
          </w:tcPr>
          <w:p w14:paraId="1996F7DB" w14:textId="77777777" w:rsidR="00581065" w:rsidRPr="00581065" w:rsidRDefault="00581065" w:rsidP="001438A5">
            <w:pPr>
              <w:spacing w:after="0" w:line="240" w:lineRule="auto"/>
              <w:jc w:val="center"/>
              <w:rPr>
                <w:rFonts w:cs="Arial"/>
                <w:sz w:val="16"/>
                <w:szCs w:val="16"/>
              </w:rPr>
            </w:pPr>
            <w:r w:rsidRPr="00581065">
              <w:rPr>
                <w:rFonts w:cs="Arial"/>
                <w:sz w:val="16"/>
                <w:szCs w:val="16"/>
              </w:rPr>
              <w:t>1,05</w:t>
            </w:r>
          </w:p>
        </w:tc>
      </w:tr>
      <w:tr w:rsidR="00581065" w:rsidRPr="00581065" w14:paraId="28DBACA3" w14:textId="77777777" w:rsidTr="001438A5">
        <w:trPr>
          <w:trHeight w:val="300"/>
        </w:trPr>
        <w:tc>
          <w:tcPr>
            <w:tcW w:w="1417" w:type="dxa"/>
            <w:tcBorders>
              <w:top w:val="nil"/>
              <w:left w:val="nil"/>
              <w:bottom w:val="nil"/>
              <w:right w:val="nil"/>
            </w:tcBorders>
            <w:shd w:val="clear" w:color="auto" w:fill="auto"/>
            <w:noWrap/>
            <w:vAlign w:val="center"/>
            <w:hideMark/>
          </w:tcPr>
          <w:p w14:paraId="1177A819"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Nizozemsko</w:t>
            </w:r>
          </w:p>
        </w:tc>
        <w:tc>
          <w:tcPr>
            <w:tcW w:w="907" w:type="dxa"/>
            <w:tcBorders>
              <w:top w:val="nil"/>
              <w:left w:val="single" w:sz="4" w:space="0" w:color="000000"/>
              <w:bottom w:val="nil"/>
              <w:right w:val="nil"/>
            </w:tcBorders>
            <w:shd w:val="clear" w:color="auto" w:fill="auto"/>
            <w:noWrap/>
            <w:vAlign w:val="center"/>
            <w:hideMark/>
          </w:tcPr>
          <w:p w14:paraId="36789289" w14:textId="77777777" w:rsidR="00581065" w:rsidRPr="00581065" w:rsidRDefault="00581065" w:rsidP="001438A5">
            <w:pPr>
              <w:spacing w:after="0" w:line="240" w:lineRule="auto"/>
              <w:jc w:val="center"/>
              <w:rPr>
                <w:rFonts w:cs="Arial"/>
                <w:sz w:val="16"/>
                <w:szCs w:val="16"/>
              </w:rPr>
            </w:pPr>
            <w:r w:rsidRPr="00581065">
              <w:rPr>
                <w:rFonts w:cs="Arial"/>
                <w:sz w:val="16"/>
                <w:szCs w:val="16"/>
              </w:rPr>
              <w:t>0,74</w:t>
            </w:r>
          </w:p>
        </w:tc>
        <w:tc>
          <w:tcPr>
            <w:tcW w:w="907" w:type="dxa"/>
            <w:tcBorders>
              <w:top w:val="nil"/>
              <w:left w:val="nil"/>
              <w:bottom w:val="nil"/>
              <w:right w:val="nil"/>
            </w:tcBorders>
            <w:shd w:val="clear" w:color="auto" w:fill="auto"/>
            <w:noWrap/>
            <w:vAlign w:val="center"/>
            <w:hideMark/>
          </w:tcPr>
          <w:p w14:paraId="4A9A683D" w14:textId="77777777" w:rsidR="00581065" w:rsidRPr="00581065" w:rsidRDefault="00581065" w:rsidP="001438A5">
            <w:pPr>
              <w:spacing w:after="0" w:line="240" w:lineRule="auto"/>
              <w:jc w:val="center"/>
              <w:rPr>
                <w:rFonts w:cs="Arial"/>
                <w:sz w:val="16"/>
                <w:szCs w:val="16"/>
              </w:rPr>
            </w:pPr>
            <w:r w:rsidRPr="00581065">
              <w:rPr>
                <w:rFonts w:cs="Arial"/>
                <w:sz w:val="16"/>
                <w:szCs w:val="16"/>
              </w:rPr>
              <w:t>0,74</w:t>
            </w:r>
          </w:p>
        </w:tc>
        <w:tc>
          <w:tcPr>
            <w:tcW w:w="907" w:type="dxa"/>
            <w:tcBorders>
              <w:top w:val="nil"/>
              <w:left w:val="nil"/>
              <w:bottom w:val="nil"/>
              <w:right w:val="nil"/>
            </w:tcBorders>
            <w:shd w:val="clear" w:color="auto" w:fill="auto"/>
            <w:noWrap/>
            <w:vAlign w:val="center"/>
            <w:hideMark/>
          </w:tcPr>
          <w:p w14:paraId="209DB72A" w14:textId="77777777" w:rsidR="00581065" w:rsidRPr="00581065" w:rsidRDefault="00581065" w:rsidP="001438A5">
            <w:pPr>
              <w:spacing w:after="0" w:line="240" w:lineRule="auto"/>
              <w:jc w:val="center"/>
              <w:rPr>
                <w:rFonts w:cs="Arial"/>
                <w:sz w:val="16"/>
                <w:szCs w:val="16"/>
              </w:rPr>
            </w:pPr>
            <w:r w:rsidRPr="00581065">
              <w:rPr>
                <w:rFonts w:cs="Arial"/>
                <w:sz w:val="16"/>
                <w:szCs w:val="16"/>
              </w:rPr>
              <w:t>0,77</w:t>
            </w:r>
          </w:p>
        </w:tc>
        <w:tc>
          <w:tcPr>
            <w:tcW w:w="907" w:type="dxa"/>
            <w:tcBorders>
              <w:top w:val="nil"/>
              <w:left w:val="nil"/>
              <w:bottom w:val="nil"/>
              <w:right w:val="nil"/>
            </w:tcBorders>
            <w:shd w:val="clear" w:color="000000" w:fill="DBDBDB"/>
            <w:noWrap/>
            <w:vAlign w:val="center"/>
            <w:hideMark/>
          </w:tcPr>
          <w:p w14:paraId="5D889947" w14:textId="77777777" w:rsidR="00581065" w:rsidRPr="00581065" w:rsidRDefault="00581065" w:rsidP="001438A5">
            <w:pPr>
              <w:spacing w:after="0" w:line="240" w:lineRule="auto"/>
              <w:jc w:val="center"/>
              <w:rPr>
                <w:rFonts w:cs="Arial"/>
                <w:sz w:val="16"/>
                <w:szCs w:val="16"/>
              </w:rPr>
            </w:pPr>
            <w:r w:rsidRPr="00581065">
              <w:rPr>
                <w:rFonts w:cs="Arial"/>
                <w:sz w:val="16"/>
                <w:szCs w:val="16"/>
              </w:rPr>
              <w:t>1,01</w:t>
            </w:r>
          </w:p>
        </w:tc>
        <w:tc>
          <w:tcPr>
            <w:tcW w:w="907" w:type="dxa"/>
            <w:tcBorders>
              <w:top w:val="nil"/>
              <w:left w:val="nil"/>
              <w:bottom w:val="nil"/>
              <w:right w:val="nil"/>
            </w:tcBorders>
            <w:shd w:val="clear" w:color="auto" w:fill="auto"/>
            <w:noWrap/>
            <w:vAlign w:val="center"/>
            <w:hideMark/>
          </w:tcPr>
          <w:p w14:paraId="5C6D1C85" w14:textId="77777777" w:rsidR="00581065" w:rsidRPr="00581065" w:rsidRDefault="00581065" w:rsidP="001438A5">
            <w:pPr>
              <w:spacing w:after="0" w:line="240" w:lineRule="auto"/>
              <w:jc w:val="center"/>
              <w:rPr>
                <w:rFonts w:cs="Arial"/>
                <w:sz w:val="16"/>
                <w:szCs w:val="16"/>
              </w:rPr>
            </w:pPr>
            <w:r w:rsidRPr="00581065">
              <w:rPr>
                <w:rFonts w:cs="Arial"/>
                <w:sz w:val="16"/>
                <w:szCs w:val="16"/>
              </w:rPr>
              <w:t>0,76</w:t>
            </w:r>
          </w:p>
        </w:tc>
        <w:tc>
          <w:tcPr>
            <w:tcW w:w="907" w:type="dxa"/>
            <w:tcBorders>
              <w:top w:val="nil"/>
              <w:left w:val="nil"/>
              <w:bottom w:val="nil"/>
              <w:right w:val="nil"/>
            </w:tcBorders>
            <w:shd w:val="clear" w:color="auto" w:fill="auto"/>
            <w:noWrap/>
            <w:vAlign w:val="center"/>
            <w:hideMark/>
          </w:tcPr>
          <w:p w14:paraId="60EC1173" w14:textId="77777777" w:rsidR="00581065" w:rsidRPr="00581065" w:rsidRDefault="00581065" w:rsidP="001438A5">
            <w:pPr>
              <w:spacing w:after="0" w:line="240" w:lineRule="auto"/>
              <w:jc w:val="center"/>
              <w:rPr>
                <w:rFonts w:cs="Arial"/>
                <w:sz w:val="16"/>
                <w:szCs w:val="16"/>
              </w:rPr>
            </w:pPr>
            <w:r w:rsidRPr="00581065">
              <w:rPr>
                <w:rFonts w:cs="Arial"/>
                <w:sz w:val="16"/>
                <w:szCs w:val="16"/>
              </w:rPr>
              <w:t>0,71</w:t>
            </w:r>
          </w:p>
        </w:tc>
        <w:tc>
          <w:tcPr>
            <w:tcW w:w="907" w:type="dxa"/>
            <w:tcBorders>
              <w:top w:val="nil"/>
              <w:left w:val="nil"/>
              <w:bottom w:val="nil"/>
              <w:right w:val="nil"/>
            </w:tcBorders>
            <w:shd w:val="clear" w:color="auto" w:fill="auto"/>
            <w:noWrap/>
            <w:vAlign w:val="center"/>
            <w:hideMark/>
          </w:tcPr>
          <w:p w14:paraId="5B6661A3" w14:textId="77777777" w:rsidR="00581065" w:rsidRPr="00581065" w:rsidRDefault="00581065" w:rsidP="001438A5">
            <w:pPr>
              <w:spacing w:after="0" w:line="240" w:lineRule="auto"/>
              <w:jc w:val="center"/>
              <w:rPr>
                <w:rFonts w:cs="Arial"/>
                <w:sz w:val="16"/>
                <w:szCs w:val="16"/>
              </w:rPr>
            </w:pPr>
            <w:r w:rsidRPr="00581065">
              <w:rPr>
                <w:rFonts w:cs="Arial"/>
                <w:sz w:val="16"/>
                <w:szCs w:val="16"/>
              </w:rPr>
              <w:t>0,78</w:t>
            </w:r>
          </w:p>
        </w:tc>
        <w:tc>
          <w:tcPr>
            <w:tcW w:w="907" w:type="dxa"/>
            <w:tcBorders>
              <w:top w:val="nil"/>
              <w:left w:val="nil"/>
              <w:bottom w:val="nil"/>
              <w:right w:val="nil"/>
            </w:tcBorders>
            <w:shd w:val="clear" w:color="auto" w:fill="auto"/>
            <w:noWrap/>
            <w:vAlign w:val="center"/>
            <w:hideMark/>
          </w:tcPr>
          <w:p w14:paraId="01BC8389" w14:textId="77777777" w:rsidR="00581065" w:rsidRPr="00581065" w:rsidRDefault="00581065" w:rsidP="001438A5">
            <w:pPr>
              <w:spacing w:after="0" w:line="240" w:lineRule="auto"/>
              <w:jc w:val="center"/>
              <w:rPr>
                <w:rFonts w:cs="Arial"/>
                <w:sz w:val="16"/>
                <w:szCs w:val="16"/>
              </w:rPr>
            </w:pPr>
            <w:r w:rsidRPr="00581065">
              <w:rPr>
                <w:rFonts w:cs="Arial"/>
                <w:sz w:val="16"/>
                <w:szCs w:val="16"/>
              </w:rPr>
              <w:t>0,87</w:t>
            </w:r>
          </w:p>
        </w:tc>
        <w:tc>
          <w:tcPr>
            <w:tcW w:w="907" w:type="dxa"/>
            <w:tcBorders>
              <w:top w:val="nil"/>
              <w:left w:val="nil"/>
              <w:bottom w:val="nil"/>
              <w:right w:val="nil"/>
            </w:tcBorders>
            <w:shd w:val="clear" w:color="auto" w:fill="auto"/>
            <w:noWrap/>
            <w:vAlign w:val="center"/>
            <w:hideMark/>
          </w:tcPr>
          <w:p w14:paraId="380EBFAA" w14:textId="77777777" w:rsidR="00581065" w:rsidRPr="00581065" w:rsidRDefault="00581065" w:rsidP="001438A5">
            <w:pPr>
              <w:spacing w:after="0" w:line="240" w:lineRule="auto"/>
              <w:jc w:val="center"/>
              <w:rPr>
                <w:rFonts w:cs="Arial"/>
                <w:sz w:val="16"/>
                <w:szCs w:val="16"/>
              </w:rPr>
            </w:pPr>
            <w:r w:rsidRPr="00581065">
              <w:rPr>
                <w:rFonts w:cs="Arial"/>
                <w:sz w:val="16"/>
                <w:szCs w:val="16"/>
              </w:rPr>
              <w:t>0,69</w:t>
            </w:r>
          </w:p>
        </w:tc>
      </w:tr>
      <w:tr w:rsidR="00581065" w:rsidRPr="00581065" w14:paraId="254E004F" w14:textId="77777777" w:rsidTr="001438A5">
        <w:trPr>
          <w:trHeight w:val="300"/>
        </w:trPr>
        <w:tc>
          <w:tcPr>
            <w:tcW w:w="1417" w:type="dxa"/>
            <w:tcBorders>
              <w:top w:val="nil"/>
              <w:left w:val="nil"/>
              <w:bottom w:val="nil"/>
              <w:right w:val="nil"/>
            </w:tcBorders>
            <w:shd w:val="clear" w:color="auto" w:fill="auto"/>
            <w:noWrap/>
            <w:vAlign w:val="center"/>
            <w:hideMark/>
          </w:tcPr>
          <w:p w14:paraId="0E7AA576"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Polsko</w:t>
            </w:r>
          </w:p>
        </w:tc>
        <w:tc>
          <w:tcPr>
            <w:tcW w:w="907" w:type="dxa"/>
            <w:tcBorders>
              <w:top w:val="nil"/>
              <w:left w:val="single" w:sz="4" w:space="0" w:color="000000"/>
              <w:bottom w:val="nil"/>
              <w:right w:val="nil"/>
            </w:tcBorders>
            <w:shd w:val="clear" w:color="auto" w:fill="auto"/>
            <w:noWrap/>
            <w:vAlign w:val="center"/>
            <w:hideMark/>
          </w:tcPr>
          <w:p w14:paraId="122A54D8" w14:textId="77777777" w:rsidR="00581065" w:rsidRPr="00581065" w:rsidRDefault="00581065" w:rsidP="001438A5">
            <w:pPr>
              <w:spacing w:after="0" w:line="240" w:lineRule="auto"/>
              <w:jc w:val="center"/>
              <w:rPr>
                <w:rFonts w:cs="Arial"/>
                <w:sz w:val="16"/>
                <w:szCs w:val="16"/>
              </w:rPr>
            </w:pPr>
            <w:r w:rsidRPr="00581065">
              <w:rPr>
                <w:rFonts w:cs="Arial"/>
                <w:sz w:val="16"/>
                <w:szCs w:val="16"/>
              </w:rPr>
              <w:t>2,68</w:t>
            </w:r>
          </w:p>
        </w:tc>
        <w:tc>
          <w:tcPr>
            <w:tcW w:w="907" w:type="dxa"/>
            <w:tcBorders>
              <w:top w:val="nil"/>
              <w:left w:val="nil"/>
              <w:bottom w:val="nil"/>
              <w:right w:val="nil"/>
            </w:tcBorders>
            <w:shd w:val="clear" w:color="auto" w:fill="auto"/>
            <w:noWrap/>
            <w:vAlign w:val="center"/>
            <w:hideMark/>
          </w:tcPr>
          <w:p w14:paraId="7D05A60D" w14:textId="77777777" w:rsidR="00581065" w:rsidRPr="00581065" w:rsidRDefault="00581065" w:rsidP="001438A5">
            <w:pPr>
              <w:spacing w:after="0" w:line="240" w:lineRule="auto"/>
              <w:jc w:val="center"/>
              <w:rPr>
                <w:rFonts w:cs="Arial"/>
                <w:sz w:val="16"/>
                <w:szCs w:val="16"/>
              </w:rPr>
            </w:pPr>
            <w:r w:rsidRPr="00581065">
              <w:rPr>
                <w:rFonts w:cs="Arial"/>
                <w:sz w:val="16"/>
                <w:szCs w:val="16"/>
              </w:rPr>
              <w:t>2,55</w:t>
            </w:r>
          </w:p>
        </w:tc>
        <w:tc>
          <w:tcPr>
            <w:tcW w:w="907" w:type="dxa"/>
            <w:tcBorders>
              <w:top w:val="nil"/>
              <w:left w:val="nil"/>
              <w:bottom w:val="nil"/>
              <w:right w:val="nil"/>
            </w:tcBorders>
            <w:shd w:val="clear" w:color="auto" w:fill="auto"/>
            <w:noWrap/>
            <w:vAlign w:val="center"/>
            <w:hideMark/>
          </w:tcPr>
          <w:p w14:paraId="5CC03AC8" w14:textId="77777777" w:rsidR="00581065" w:rsidRPr="00581065" w:rsidRDefault="00581065" w:rsidP="001438A5">
            <w:pPr>
              <w:spacing w:after="0" w:line="240" w:lineRule="auto"/>
              <w:jc w:val="center"/>
              <w:rPr>
                <w:rFonts w:cs="Arial"/>
                <w:sz w:val="16"/>
                <w:szCs w:val="16"/>
              </w:rPr>
            </w:pPr>
            <w:r w:rsidRPr="00581065">
              <w:rPr>
                <w:rFonts w:cs="Arial"/>
                <w:sz w:val="16"/>
                <w:szCs w:val="16"/>
              </w:rPr>
              <w:t>1,93</w:t>
            </w:r>
          </w:p>
        </w:tc>
        <w:tc>
          <w:tcPr>
            <w:tcW w:w="907" w:type="dxa"/>
            <w:tcBorders>
              <w:top w:val="nil"/>
              <w:left w:val="nil"/>
              <w:bottom w:val="nil"/>
              <w:right w:val="nil"/>
            </w:tcBorders>
            <w:shd w:val="clear" w:color="auto" w:fill="auto"/>
            <w:noWrap/>
            <w:vAlign w:val="center"/>
            <w:hideMark/>
          </w:tcPr>
          <w:p w14:paraId="559BE073" w14:textId="77777777" w:rsidR="00581065" w:rsidRPr="00581065" w:rsidRDefault="00581065" w:rsidP="001438A5">
            <w:pPr>
              <w:spacing w:after="0" w:line="240" w:lineRule="auto"/>
              <w:jc w:val="center"/>
              <w:rPr>
                <w:rFonts w:cs="Arial"/>
                <w:sz w:val="16"/>
                <w:szCs w:val="16"/>
              </w:rPr>
            </w:pPr>
            <w:r w:rsidRPr="00581065">
              <w:rPr>
                <w:rFonts w:cs="Arial"/>
                <w:sz w:val="16"/>
                <w:szCs w:val="16"/>
              </w:rPr>
              <w:t>1,91</w:t>
            </w:r>
          </w:p>
        </w:tc>
        <w:tc>
          <w:tcPr>
            <w:tcW w:w="907" w:type="dxa"/>
            <w:tcBorders>
              <w:top w:val="nil"/>
              <w:left w:val="nil"/>
              <w:bottom w:val="nil"/>
              <w:right w:val="nil"/>
            </w:tcBorders>
            <w:shd w:val="clear" w:color="auto" w:fill="auto"/>
            <w:noWrap/>
            <w:vAlign w:val="center"/>
            <w:hideMark/>
          </w:tcPr>
          <w:p w14:paraId="57FE74CB" w14:textId="77777777" w:rsidR="00581065" w:rsidRPr="00581065" w:rsidRDefault="00581065" w:rsidP="001438A5">
            <w:pPr>
              <w:spacing w:after="0" w:line="240" w:lineRule="auto"/>
              <w:jc w:val="center"/>
              <w:rPr>
                <w:rFonts w:cs="Arial"/>
                <w:sz w:val="16"/>
                <w:szCs w:val="16"/>
              </w:rPr>
            </w:pPr>
            <w:r w:rsidRPr="00581065">
              <w:rPr>
                <w:rFonts w:cs="Arial"/>
                <w:sz w:val="16"/>
                <w:szCs w:val="16"/>
              </w:rPr>
              <w:t>2,02</w:t>
            </w:r>
          </w:p>
        </w:tc>
        <w:tc>
          <w:tcPr>
            <w:tcW w:w="907" w:type="dxa"/>
            <w:tcBorders>
              <w:top w:val="nil"/>
              <w:left w:val="nil"/>
              <w:bottom w:val="nil"/>
              <w:right w:val="nil"/>
            </w:tcBorders>
            <w:shd w:val="clear" w:color="auto" w:fill="auto"/>
            <w:noWrap/>
            <w:vAlign w:val="center"/>
            <w:hideMark/>
          </w:tcPr>
          <w:p w14:paraId="57D3617E" w14:textId="77777777" w:rsidR="00581065" w:rsidRPr="00581065" w:rsidRDefault="00581065" w:rsidP="001438A5">
            <w:pPr>
              <w:spacing w:after="0" w:line="240" w:lineRule="auto"/>
              <w:jc w:val="center"/>
              <w:rPr>
                <w:rFonts w:cs="Arial"/>
                <w:sz w:val="16"/>
                <w:szCs w:val="16"/>
              </w:rPr>
            </w:pPr>
            <w:r w:rsidRPr="00581065">
              <w:rPr>
                <w:rFonts w:cs="Arial"/>
                <w:sz w:val="16"/>
                <w:szCs w:val="16"/>
              </w:rPr>
              <w:t>1,61</w:t>
            </w:r>
          </w:p>
        </w:tc>
        <w:tc>
          <w:tcPr>
            <w:tcW w:w="907" w:type="dxa"/>
            <w:tcBorders>
              <w:top w:val="nil"/>
              <w:left w:val="nil"/>
              <w:bottom w:val="nil"/>
              <w:right w:val="nil"/>
            </w:tcBorders>
            <w:shd w:val="clear" w:color="auto" w:fill="auto"/>
            <w:noWrap/>
            <w:vAlign w:val="center"/>
            <w:hideMark/>
          </w:tcPr>
          <w:p w14:paraId="634FFF21" w14:textId="77777777" w:rsidR="00581065" w:rsidRPr="00581065" w:rsidRDefault="00581065" w:rsidP="001438A5">
            <w:pPr>
              <w:spacing w:after="0" w:line="240" w:lineRule="auto"/>
              <w:jc w:val="center"/>
              <w:rPr>
                <w:rFonts w:cs="Arial"/>
                <w:sz w:val="16"/>
                <w:szCs w:val="16"/>
              </w:rPr>
            </w:pPr>
            <w:r w:rsidRPr="00581065">
              <w:rPr>
                <w:rFonts w:cs="Arial"/>
                <w:sz w:val="16"/>
                <w:szCs w:val="16"/>
              </w:rPr>
              <w:t>1,84</w:t>
            </w:r>
          </w:p>
        </w:tc>
        <w:tc>
          <w:tcPr>
            <w:tcW w:w="907" w:type="dxa"/>
            <w:tcBorders>
              <w:top w:val="nil"/>
              <w:left w:val="nil"/>
              <w:bottom w:val="nil"/>
              <w:right w:val="nil"/>
            </w:tcBorders>
            <w:shd w:val="clear" w:color="auto" w:fill="auto"/>
            <w:noWrap/>
            <w:vAlign w:val="center"/>
            <w:hideMark/>
          </w:tcPr>
          <w:p w14:paraId="0EFB8575" w14:textId="77777777" w:rsidR="00581065" w:rsidRPr="00581065" w:rsidRDefault="00581065" w:rsidP="001438A5">
            <w:pPr>
              <w:spacing w:after="0" w:line="240" w:lineRule="auto"/>
              <w:jc w:val="center"/>
              <w:rPr>
                <w:rFonts w:cs="Arial"/>
                <w:sz w:val="16"/>
                <w:szCs w:val="16"/>
              </w:rPr>
            </w:pPr>
            <w:r w:rsidRPr="00581065">
              <w:rPr>
                <w:rFonts w:cs="Arial"/>
                <w:sz w:val="16"/>
                <w:szCs w:val="16"/>
              </w:rPr>
              <w:t>1,76</w:t>
            </w:r>
          </w:p>
        </w:tc>
        <w:tc>
          <w:tcPr>
            <w:tcW w:w="907" w:type="dxa"/>
            <w:tcBorders>
              <w:top w:val="nil"/>
              <w:left w:val="nil"/>
              <w:bottom w:val="nil"/>
              <w:right w:val="nil"/>
            </w:tcBorders>
            <w:shd w:val="clear" w:color="auto" w:fill="auto"/>
            <w:noWrap/>
            <w:vAlign w:val="center"/>
            <w:hideMark/>
          </w:tcPr>
          <w:p w14:paraId="623BA5A1" w14:textId="77777777" w:rsidR="00581065" w:rsidRPr="00581065" w:rsidRDefault="00581065" w:rsidP="001438A5">
            <w:pPr>
              <w:spacing w:after="0" w:line="240" w:lineRule="auto"/>
              <w:jc w:val="center"/>
              <w:rPr>
                <w:rFonts w:cs="Arial"/>
                <w:sz w:val="16"/>
                <w:szCs w:val="16"/>
              </w:rPr>
            </w:pPr>
            <w:r w:rsidRPr="00581065">
              <w:rPr>
                <w:rFonts w:cs="Arial"/>
                <w:sz w:val="16"/>
                <w:szCs w:val="16"/>
              </w:rPr>
              <w:t>1,08</w:t>
            </w:r>
          </w:p>
        </w:tc>
      </w:tr>
      <w:tr w:rsidR="00581065" w:rsidRPr="00581065" w14:paraId="769FD3AE" w14:textId="77777777" w:rsidTr="001438A5">
        <w:trPr>
          <w:trHeight w:val="300"/>
        </w:trPr>
        <w:tc>
          <w:tcPr>
            <w:tcW w:w="1417" w:type="dxa"/>
            <w:tcBorders>
              <w:top w:val="nil"/>
              <w:left w:val="nil"/>
              <w:bottom w:val="nil"/>
              <w:right w:val="nil"/>
            </w:tcBorders>
            <w:shd w:val="clear" w:color="auto" w:fill="auto"/>
            <w:noWrap/>
            <w:vAlign w:val="center"/>
            <w:hideMark/>
          </w:tcPr>
          <w:p w14:paraId="3C6EA2FA"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Portugalsko</w:t>
            </w:r>
          </w:p>
        </w:tc>
        <w:tc>
          <w:tcPr>
            <w:tcW w:w="907" w:type="dxa"/>
            <w:tcBorders>
              <w:top w:val="nil"/>
              <w:left w:val="single" w:sz="4" w:space="0" w:color="000000"/>
              <w:bottom w:val="nil"/>
              <w:right w:val="nil"/>
            </w:tcBorders>
            <w:shd w:val="clear" w:color="auto" w:fill="auto"/>
            <w:noWrap/>
            <w:vAlign w:val="center"/>
            <w:hideMark/>
          </w:tcPr>
          <w:p w14:paraId="7B6F2736" w14:textId="77777777" w:rsidR="00581065" w:rsidRPr="00581065" w:rsidRDefault="00581065" w:rsidP="001438A5">
            <w:pPr>
              <w:spacing w:after="0" w:line="240" w:lineRule="auto"/>
              <w:jc w:val="center"/>
              <w:rPr>
                <w:rFonts w:cs="Arial"/>
                <w:sz w:val="16"/>
                <w:szCs w:val="16"/>
              </w:rPr>
            </w:pPr>
            <w:r w:rsidRPr="00581065">
              <w:rPr>
                <w:rFonts w:cs="Arial"/>
                <w:sz w:val="16"/>
                <w:szCs w:val="16"/>
              </w:rPr>
              <w:t>4,94</w:t>
            </w:r>
          </w:p>
        </w:tc>
        <w:tc>
          <w:tcPr>
            <w:tcW w:w="907" w:type="dxa"/>
            <w:tcBorders>
              <w:top w:val="nil"/>
              <w:left w:val="nil"/>
              <w:bottom w:val="nil"/>
              <w:right w:val="nil"/>
            </w:tcBorders>
            <w:shd w:val="clear" w:color="auto" w:fill="auto"/>
            <w:noWrap/>
            <w:vAlign w:val="center"/>
            <w:hideMark/>
          </w:tcPr>
          <w:p w14:paraId="72402D03" w14:textId="77777777" w:rsidR="00581065" w:rsidRPr="00581065" w:rsidRDefault="00581065" w:rsidP="001438A5">
            <w:pPr>
              <w:spacing w:after="0" w:line="240" w:lineRule="auto"/>
              <w:jc w:val="center"/>
              <w:rPr>
                <w:rFonts w:cs="Arial"/>
                <w:sz w:val="16"/>
                <w:szCs w:val="16"/>
              </w:rPr>
            </w:pPr>
            <w:r w:rsidRPr="00581065">
              <w:rPr>
                <w:rFonts w:cs="Arial"/>
                <w:sz w:val="16"/>
                <w:szCs w:val="16"/>
              </w:rPr>
              <w:t>4,81</w:t>
            </w:r>
          </w:p>
        </w:tc>
        <w:tc>
          <w:tcPr>
            <w:tcW w:w="907" w:type="dxa"/>
            <w:tcBorders>
              <w:top w:val="nil"/>
              <w:left w:val="nil"/>
              <w:bottom w:val="nil"/>
              <w:right w:val="nil"/>
            </w:tcBorders>
            <w:shd w:val="clear" w:color="auto" w:fill="auto"/>
            <w:noWrap/>
            <w:vAlign w:val="center"/>
            <w:hideMark/>
          </w:tcPr>
          <w:p w14:paraId="230BC999" w14:textId="77777777" w:rsidR="00581065" w:rsidRPr="00581065" w:rsidRDefault="00581065" w:rsidP="001438A5">
            <w:pPr>
              <w:spacing w:after="0" w:line="240" w:lineRule="auto"/>
              <w:jc w:val="center"/>
              <w:rPr>
                <w:rFonts w:cs="Arial"/>
                <w:sz w:val="16"/>
                <w:szCs w:val="16"/>
              </w:rPr>
            </w:pPr>
            <w:r w:rsidRPr="00581065">
              <w:rPr>
                <w:rFonts w:cs="Arial"/>
                <w:sz w:val="16"/>
                <w:szCs w:val="16"/>
              </w:rPr>
              <w:t>4,48</w:t>
            </w:r>
          </w:p>
        </w:tc>
        <w:tc>
          <w:tcPr>
            <w:tcW w:w="907" w:type="dxa"/>
            <w:tcBorders>
              <w:top w:val="nil"/>
              <w:left w:val="nil"/>
              <w:bottom w:val="nil"/>
              <w:right w:val="nil"/>
            </w:tcBorders>
            <w:shd w:val="clear" w:color="auto" w:fill="auto"/>
            <w:noWrap/>
            <w:vAlign w:val="center"/>
            <w:hideMark/>
          </w:tcPr>
          <w:p w14:paraId="1641AFA7" w14:textId="77777777" w:rsidR="00581065" w:rsidRPr="00581065" w:rsidRDefault="00581065" w:rsidP="001438A5">
            <w:pPr>
              <w:spacing w:after="0" w:line="240" w:lineRule="auto"/>
              <w:jc w:val="center"/>
              <w:rPr>
                <w:rFonts w:cs="Arial"/>
                <w:sz w:val="16"/>
                <w:szCs w:val="16"/>
              </w:rPr>
            </w:pPr>
            <w:r w:rsidRPr="00581065">
              <w:rPr>
                <w:rFonts w:cs="Arial"/>
                <w:sz w:val="16"/>
                <w:szCs w:val="16"/>
              </w:rPr>
              <w:t>4,72</w:t>
            </w:r>
          </w:p>
        </w:tc>
        <w:tc>
          <w:tcPr>
            <w:tcW w:w="907" w:type="dxa"/>
            <w:tcBorders>
              <w:top w:val="nil"/>
              <w:left w:val="nil"/>
              <w:bottom w:val="nil"/>
              <w:right w:val="nil"/>
            </w:tcBorders>
            <w:shd w:val="clear" w:color="auto" w:fill="auto"/>
            <w:noWrap/>
            <w:vAlign w:val="center"/>
            <w:hideMark/>
          </w:tcPr>
          <w:p w14:paraId="70FC4E91" w14:textId="77777777" w:rsidR="00581065" w:rsidRPr="00581065" w:rsidRDefault="00581065" w:rsidP="001438A5">
            <w:pPr>
              <w:spacing w:after="0" w:line="240" w:lineRule="auto"/>
              <w:jc w:val="center"/>
              <w:rPr>
                <w:rFonts w:cs="Arial"/>
                <w:sz w:val="16"/>
                <w:szCs w:val="16"/>
              </w:rPr>
            </w:pPr>
            <w:r w:rsidRPr="00581065">
              <w:rPr>
                <w:rFonts w:cs="Arial"/>
                <w:sz w:val="16"/>
                <w:szCs w:val="16"/>
              </w:rPr>
              <w:t>4,62</w:t>
            </w:r>
          </w:p>
        </w:tc>
        <w:tc>
          <w:tcPr>
            <w:tcW w:w="907" w:type="dxa"/>
            <w:tcBorders>
              <w:top w:val="nil"/>
              <w:left w:val="nil"/>
              <w:bottom w:val="nil"/>
              <w:right w:val="nil"/>
            </w:tcBorders>
            <w:shd w:val="clear" w:color="auto" w:fill="auto"/>
            <w:noWrap/>
            <w:vAlign w:val="center"/>
            <w:hideMark/>
          </w:tcPr>
          <w:p w14:paraId="1A5EF3A9" w14:textId="77777777" w:rsidR="00581065" w:rsidRPr="00581065" w:rsidRDefault="00581065" w:rsidP="001438A5">
            <w:pPr>
              <w:spacing w:after="0" w:line="240" w:lineRule="auto"/>
              <w:jc w:val="center"/>
              <w:rPr>
                <w:rFonts w:cs="Arial"/>
                <w:sz w:val="16"/>
                <w:szCs w:val="16"/>
              </w:rPr>
            </w:pPr>
            <w:r w:rsidRPr="00581065">
              <w:rPr>
                <w:rFonts w:cs="Arial"/>
                <w:sz w:val="16"/>
                <w:szCs w:val="16"/>
              </w:rPr>
              <w:t>3,96</w:t>
            </w:r>
          </w:p>
        </w:tc>
        <w:tc>
          <w:tcPr>
            <w:tcW w:w="907" w:type="dxa"/>
            <w:tcBorders>
              <w:top w:val="nil"/>
              <w:left w:val="nil"/>
              <w:bottom w:val="nil"/>
              <w:right w:val="nil"/>
            </w:tcBorders>
            <w:shd w:val="clear" w:color="auto" w:fill="auto"/>
            <w:noWrap/>
            <w:vAlign w:val="center"/>
            <w:hideMark/>
          </w:tcPr>
          <w:p w14:paraId="47B64BEC" w14:textId="77777777" w:rsidR="00581065" w:rsidRPr="00581065" w:rsidRDefault="00581065" w:rsidP="001438A5">
            <w:pPr>
              <w:spacing w:after="0" w:line="240" w:lineRule="auto"/>
              <w:jc w:val="center"/>
              <w:rPr>
                <w:rFonts w:cs="Arial"/>
                <w:sz w:val="16"/>
                <w:szCs w:val="16"/>
              </w:rPr>
            </w:pPr>
            <w:r w:rsidRPr="00581065">
              <w:rPr>
                <w:rFonts w:cs="Arial"/>
                <w:sz w:val="16"/>
                <w:szCs w:val="16"/>
              </w:rPr>
              <w:t>3,86</w:t>
            </w:r>
          </w:p>
        </w:tc>
        <w:tc>
          <w:tcPr>
            <w:tcW w:w="907" w:type="dxa"/>
            <w:tcBorders>
              <w:top w:val="nil"/>
              <w:left w:val="nil"/>
              <w:bottom w:val="nil"/>
              <w:right w:val="nil"/>
            </w:tcBorders>
            <w:shd w:val="clear" w:color="auto" w:fill="auto"/>
            <w:noWrap/>
            <w:vAlign w:val="center"/>
            <w:hideMark/>
          </w:tcPr>
          <w:p w14:paraId="378B790C" w14:textId="77777777" w:rsidR="00581065" w:rsidRPr="00581065" w:rsidRDefault="00581065" w:rsidP="001438A5">
            <w:pPr>
              <w:spacing w:after="0" w:line="240" w:lineRule="auto"/>
              <w:jc w:val="center"/>
              <w:rPr>
                <w:rFonts w:cs="Arial"/>
                <w:sz w:val="16"/>
                <w:szCs w:val="16"/>
              </w:rPr>
            </w:pPr>
            <w:r w:rsidRPr="00581065">
              <w:rPr>
                <w:rFonts w:cs="Arial"/>
                <w:sz w:val="16"/>
                <w:szCs w:val="16"/>
              </w:rPr>
              <w:t>2,69</w:t>
            </w:r>
          </w:p>
        </w:tc>
        <w:tc>
          <w:tcPr>
            <w:tcW w:w="907" w:type="dxa"/>
            <w:tcBorders>
              <w:top w:val="nil"/>
              <w:left w:val="nil"/>
              <w:bottom w:val="nil"/>
              <w:right w:val="nil"/>
            </w:tcBorders>
            <w:shd w:val="clear" w:color="auto" w:fill="auto"/>
            <w:noWrap/>
            <w:vAlign w:val="center"/>
            <w:hideMark/>
          </w:tcPr>
          <w:p w14:paraId="7CAF92CE" w14:textId="77777777" w:rsidR="00581065" w:rsidRPr="00581065" w:rsidRDefault="00581065" w:rsidP="001438A5">
            <w:pPr>
              <w:spacing w:after="0" w:line="240" w:lineRule="auto"/>
              <w:jc w:val="center"/>
              <w:rPr>
                <w:rFonts w:cs="Arial"/>
                <w:sz w:val="16"/>
                <w:szCs w:val="16"/>
              </w:rPr>
            </w:pPr>
            <w:r w:rsidRPr="00581065">
              <w:rPr>
                <w:rFonts w:cs="Arial"/>
                <w:sz w:val="16"/>
                <w:szCs w:val="16"/>
              </w:rPr>
              <w:t>2,71</w:t>
            </w:r>
          </w:p>
        </w:tc>
      </w:tr>
      <w:tr w:rsidR="00581065" w:rsidRPr="00581065" w14:paraId="004256F1" w14:textId="77777777" w:rsidTr="001438A5">
        <w:trPr>
          <w:trHeight w:val="300"/>
        </w:trPr>
        <w:tc>
          <w:tcPr>
            <w:tcW w:w="1417" w:type="dxa"/>
            <w:tcBorders>
              <w:top w:val="nil"/>
              <w:left w:val="nil"/>
              <w:bottom w:val="nil"/>
              <w:right w:val="nil"/>
            </w:tcBorders>
            <w:shd w:val="clear" w:color="auto" w:fill="auto"/>
            <w:noWrap/>
            <w:vAlign w:val="center"/>
            <w:hideMark/>
          </w:tcPr>
          <w:p w14:paraId="6C88BB4F"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Rakousko</w:t>
            </w:r>
          </w:p>
        </w:tc>
        <w:tc>
          <w:tcPr>
            <w:tcW w:w="907" w:type="dxa"/>
            <w:tcBorders>
              <w:top w:val="nil"/>
              <w:left w:val="single" w:sz="4" w:space="0" w:color="000000"/>
              <w:bottom w:val="nil"/>
              <w:right w:val="nil"/>
            </w:tcBorders>
            <w:shd w:val="clear" w:color="auto" w:fill="auto"/>
            <w:noWrap/>
            <w:vAlign w:val="center"/>
            <w:hideMark/>
          </w:tcPr>
          <w:p w14:paraId="5486C4B4" w14:textId="77777777" w:rsidR="00581065" w:rsidRPr="00581065" w:rsidRDefault="00581065" w:rsidP="001438A5">
            <w:pPr>
              <w:spacing w:after="0" w:line="240" w:lineRule="auto"/>
              <w:jc w:val="center"/>
              <w:rPr>
                <w:rFonts w:cs="Arial"/>
                <w:sz w:val="16"/>
                <w:szCs w:val="16"/>
              </w:rPr>
            </w:pPr>
            <w:r w:rsidRPr="00581065">
              <w:rPr>
                <w:rFonts w:cs="Arial"/>
                <w:sz w:val="16"/>
                <w:szCs w:val="16"/>
              </w:rPr>
              <w:t>3,61</w:t>
            </w:r>
          </w:p>
        </w:tc>
        <w:tc>
          <w:tcPr>
            <w:tcW w:w="907" w:type="dxa"/>
            <w:tcBorders>
              <w:top w:val="nil"/>
              <w:left w:val="nil"/>
              <w:bottom w:val="nil"/>
              <w:right w:val="nil"/>
            </w:tcBorders>
            <w:shd w:val="clear" w:color="auto" w:fill="auto"/>
            <w:noWrap/>
            <w:vAlign w:val="center"/>
            <w:hideMark/>
          </w:tcPr>
          <w:p w14:paraId="513502BC" w14:textId="77777777" w:rsidR="00581065" w:rsidRPr="00581065" w:rsidRDefault="00581065" w:rsidP="001438A5">
            <w:pPr>
              <w:spacing w:after="0" w:line="240" w:lineRule="auto"/>
              <w:jc w:val="center"/>
              <w:rPr>
                <w:rFonts w:cs="Arial"/>
                <w:sz w:val="16"/>
                <w:szCs w:val="16"/>
              </w:rPr>
            </w:pPr>
            <w:r w:rsidRPr="00581065">
              <w:rPr>
                <w:rFonts w:cs="Arial"/>
                <w:sz w:val="16"/>
                <w:szCs w:val="16"/>
              </w:rPr>
              <w:t>4,42</w:t>
            </w:r>
          </w:p>
        </w:tc>
        <w:tc>
          <w:tcPr>
            <w:tcW w:w="907" w:type="dxa"/>
            <w:tcBorders>
              <w:top w:val="nil"/>
              <w:left w:val="nil"/>
              <w:bottom w:val="nil"/>
              <w:right w:val="nil"/>
            </w:tcBorders>
            <w:shd w:val="clear" w:color="auto" w:fill="auto"/>
            <w:noWrap/>
            <w:vAlign w:val="center"/>
            <w:hideMark/>
          </w:tcPr>
          <w:p w14:paraId="79B6BBDD" w14:textId="77777777" w:rsidR="00581065" w:rsidRPr="00581065" w:rsidRDefault="00581065" w:rsidP="001438A5">
            <w:pPr>
              <w:spacing w:after="0" w:line="240" w:lineRule="auto"/>
              <w:jc w:val="center"/>
              <w:rPr>
                <w:rFonts w:cs="Arial"/>
                <w:sz w:val="16"/>
                <w:szCs w:val="16"/>
              </w:rPr>
            </w:pPr>
            <w:r w:rsidRPr="00581065">
              <w:rPr>
                <w:rFonts w:cs="Arial"/>
                <w:sz w:val="16"/>
                <w:szCs w:val="16"/>
              </w:rPr>
              <w:t>4,23</w:t>
            </w:r>
          </w:p>
        </w:tc>
        <w:tc>
          <w:tcPr>
            <w:tcW w:w="907" w:type="dxa"/>
            <w:tcBorders>
              <w:top w:val="nil"/>
              <w:left w:val="nil"/>
              <w:bottom w:val="nil"/>
              <w:right w:val="nil"/>
            </w:tcBorders>
            <w:shd w:val="clear" w:color="auto" w:fill="auto"/>
            <w:noWrap/>
            <w:vAlign w:val="center"/>
            <w:hideMark/>
          </w:tcPr>
          <w:p w14:paraId="7251F7C1" w14:textId="77777777" w:rsidR="00581065" w:rsidRPr="00581065" w:rsidRDefault="00581065" w:rsidP="001438A5">
            <w:pPr>
              <w:spacing w:after="0" w:line="240" w:lineRule="auto"/>
              <w:jc w:val="center"/>
              <w:rPr>
                <w:rFonts w:cs="Arial"/>
                <w:sz w:val="16"/>
                <w:szCs w:val="16"/>
              </w:rPr>
            </w:pPr>
            <w:r w:rsidRPr="00581065">
              <w:rPr>
                <w:rFonts w:cs="Arial"/>
                <w:sz w:val="16"/>
                <w:szCs w:val="16"/>
              </w:rPr>
              <w:t>3,96</w:t>
            </w:r>
          </w:p>
        </w:tc>
        <w:tc>
          <w:tcPr>
            <w:tcW w:w="907" w:type="dxa"/>
            <w:tcBorders>
              <w:top w:val="nil"/>
              <w:left w:val="nil"/>
              <w:bottom w:val="nil"/>
              <w:right w:val="nil"/>
            </w:tcBorders>
            <w:shd w:val="clear" w:color="auto" w:fill="auto"/>
            <w:noWrap/>
            <w:vAlign w:val="center"/>
            <w:hideMark/>
          </w:tcPr>
          <w:p w14:paraId="4D9AABA9" w14:textId="77777777" w:rsidR="00581065" w:rsidRPr="00581065" w:rsidRDefault="00581065" w:rsidP="001438A5">
            <w:pPr>
              <w:spacing w:after="0" w:line="240" w:lineRule="auto"/>
              <w:jc w:val="center"/>
              <w:rPr>
                <w:rFonts w:cs="Arial"/>
                <w:sz w:val="16"/>
                <w:szCs w:val="16"/>
              </w:rPr>
            </w:pPr>
            <w:r w:rsidRPr="00581065">
              <w:rPr>
                <w:rFonts w:cs="Arial"/>
                <w:sz w:val="16"/>
                <w:szCs w:val="16"/>
              </w:rPr>
              <w:t>4,23</w:t>
            </w:r>
          </w:p>
        </w:tc>
        <w:tc>
          <w:tcPr>
            <w:tcW w:w="907" w:type="dxa"/>
            <w:tcBorders>
              <w:top w:val="nil"/>
              <w:left w:val="nil"/>
              <w:bottom w:val="nil"/>
              <w:right w:val="nil"/>
            </w:tcBorders>
            <w:shd w:val="clear" w:color="auto" w:fill="auto"/>
            <w:noWrap/>
            <w:vAlign w:val="center"/>
            <w:hideMark/>
          </w:tcPr>
          <w:p w14:paraId="41B858AC" w14:textId="77777777" w:rsidR="00581065" w:rsidRPr="00581065" w:rsidRDefault="00581065" w:rsidP="001438A5">
            <w:pPr>
              <w:spacing w:after="0" w:line="240" w:lineRule="auto"/>
              <w:jc w:val="center"/>
              <w:rPr>
                <w:rFonts w:cs="Arial"/>
                <w:sz w:val="16"/>
                <w:szCs w:val="16"/>
              </w:rPr>
            </w:pPr>
            <w:r w:rsidRPr="00581065">
              <w:rPr>
                <w:rFonts w:cs="Arial"/>
                <w:sz w:val="16"/>
                <w:szCs w:val="16"/>
              </w:rPr>
              <w:t>5,44</w:t>
            </w:r>
          </w:p>
        </w:tc>
        <w:tc>
          <w:tcPr>
            <w:tcW w:w="907" w:type="dxa"/>
            <w:tcBorders>
              <w:top w:val="nil"/>
              <w:left w:val="nil"/>
              <w:bottom w:val="nil"/>
              <w:right w:val="nil"/>
            </w:tcBorders>
            <w:shd w:val="clear" w:color="auto" w:fill="auto"/>
            <w:noWrap/>
            <w:vAlign w:val="center"/>
            <w:hideMark/>
          </w:tcPr>
          <w:p w14:paraId="582E9600" w14:textId="77777777" w:rsidR="00581065" w:rsidRPr="00581065" w:rsidRDefault="00581065" w:rsidP="001438A5">
            <w:pPr>
              <w:spacing w:after="0" w:line="240" w:lineRule="auto"/>
              <w:jc w:val="center"/>
              <w:rPr>
                <w:rFonts w:cs="Arial"/>
                <w:sz w:val="16"/>
                <w:szCs w:val="16"/>
              </w:rPr>
            </w:pPr>
            <w:r w:rsidRPr="00581065">
              <w:rPr>
                <w:rFonts w:cs="Arial"/>
                <w:sz w:val="16"/>
                <w:szCs w:val="16"/>
              </w:rPr>
              <w:t>4,11</w:t>
            </w:r>
          </w:p>
        </w:tc>
        <w:tc>
          <w:tcPr>
            <w:tcW w:w="907" w:type="dxa"/>
            <w:tcBorders>
              <w:top w:val="nil"/>
              <w:left w:val="nil"/>
              <w:bottom w:val="nil"/>
              <w:right w:val="nil"/>
            </w:tcBorders>
            <w:shd w:val="clear" w:color="auto" w:fill="auto"/>
            <w:noWrap/>
            <w:vAlign w:val="center"/>
            <w:hideMark/>
          </w:tcPr>
          <w:p w14:paraId="0E3D5DD6" w14:textId="77777777" w:rsidR="00581065" w:rsidRPr="00581065" w:rsidRDefault="00581065" w:rsidP="001438A5">
            <w:pPr>
              <w:spacing w:after="0" w:line="240" w:lineRule="auto"/>
              <w:jc w:val="center"/>
              <w:rPr>
                <w:rFonts w:cs="Arial"/>
                <w:sz w:val="16"/>
                <w:szCs w:val="16"/>
              </w:rPr>
            </w:pPr>
            <w:r w:rsidRPr="00581065">
              <w:rPr>
                <w:rFonts w:cs="Arial"/>
                <w:sz w:val="16"/>
                <w:szCs w:val="16"/>
              </w:rPr>
              <w:t>4,31</w:t>
            </w:r>
          </w:p>
        </w:tc>
        <w:tc>
          <w:tcPr>
            <w:tcW w:w="907" w:type="dxa"/>
            <w:tcBorders>
              <w:top w:val="nil"/>
              <w:left w:val="nil"/>
              <w:bottom w:val="nil"/>
              <w:right w:val="nil"/>
            </w:tcBorders>
            <w:shd w:val="clear" w:color="auto" w:fill="auto"/>
            <w:noWrap/>
            <w:vAlign w:val="center"/>
            <w:hideMark/>
          </w:tcPr>
          <w:p w14:paraId="63459A6E" w14:textId="77777777" w:rsidR="00581065" w:rsidRPr="00581065" w:rsidRDefault="00581065" w:rsidP="001438A5">
            <w:pPr>
              <w:spacing w:after="0" w:line="240" w:lineRule="auto"/>
              <w:jc w:val="center"/>
              <w:rPr>
                <w:rFonts w:cs="Arial"/>
                <w:sz w:val="16"/>
                <w:szCs w:val="16"/>
              </w:rPr>
            </w:pPr>
            <w:r w:rsidRPr="00581065">
              <w:rPr>
                <w:rFonts w:cs="Arial"/>
                <w:sz w:val="16"/>
                <w:szCs w:val="16"/>
              </w:rPr>
              <w:t>3,54</w:t>
            </w:r>
          </w:p>
        </w:tc>
      </w:tr>
      <w:tr w:rsidR="00581065" w:rsidRPr="00581065" w14:paraId="717B1898" w14:textId="77777777" w:rsidTr="001438A5">
        <w:trPr>
          <w:trHeight w:val="300"/>
        </w:trPr>
        <w:tc>
          <w:tcPr>
            <w:tcW w:w="1417" w:type="dxa"/>
            <w:tcBorders>
              <w:top w:val="nil"/>
              <w:left w:val="nil"/>
              <w:bottom w:val="nil"/>
              <w:right w:val="nil"/>
            </w:tcBorders>
            <w:shd w:val="clear" w:color="auto" w:fill="auto"/>
            <w:noWrap/>
            <w:vAlign w:val="center"/>
            <w:hideMark/>
          </w:tcPr>
          <w:p w14:paraId="0C0DFB06"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Rumunsko</w:t>
            </w:r>
          </w:p>
        </w:tc>
        <w:tc>
          <w:tcPr>
            <w:tcW w:w="907" w:type="dxa"/>
            <w:tcBorders>
              <w:top w:val="nil"/>
              <w:left w:val="single" w:sz="4" w:space="0" w:color="000000"/>
              <w:bottom w:val="nil"/>
              <w:right w:val="nil"/>
            </w:tcBorders>
            <w:shd w:val="clear" w:color="auto" w:fill="auto"/>
            <w:noWrap/>
            <w:vAlign w:val="center"/>
            <w:hideMark/>
          </w:tcPr>
          <w:p w14:paraId="0F63D3C0" w14:textId="77777777" w:rsidR="00581065" w:rsidRPr="00581065" w:rsidRDefault="00581065" w:rsidP="001438A5">
            <w:pPr>
              <w:spacing w:after="0" w:line="240" w:lineRule="auto"/>
              <w:jc w:val="center"/>
              <w:rPr>
                <w:rFonts w:cs="Arial"/>
                <w:sz w:val="16"/>
                <w:szCs w:val="16"/>
              </w:rPr>
            </w:pPr>
            <w:r w:rsidRPr="00581065">
              <w:rPr>
                <w:rFonts w:cs="Arial"/>
                <w:sz w:val="16"/>
                <w:szCs w:val="16"/>
              </w:rPr>
              <w:t>8,67</w:t>
            </w:r>
          </w:p>
        </w:tc>
        <w:tc>
          <w:tcPr>
            <w:tcW w:w="907" w:type="dxa"/>
            <w:tcBorders>
              <w:top w:val="nil"/>
              <w:left w:val="nil"/>
              <w:bottom w:val="nil"/>
              <w:right w:val="nil"/>
            </w:tcBorders>
            <w:shd w:val="clear" w:color="auto" w:fill="auto"/>
            <w:noWrap/>
            <w:vAlign w:val="center"/>
            <w:hideMark/>
          </w:tcPr>
          <w:p w14:paraId="03BF21F2" w14:textId="77777777" w:rsidR="00581065" w:rsidRPr="00581065" w:rsidRDefault="00581065" w:rsidP="001438A5">
            <w:pPr>
              <w:spacing w:after="0" w:line="240" w:lineRule="auto"/>
              <w:jc w:val="center"/>
              <w:rPr>
                <w:rFonts w:cs="Arial"/>
                <w:sz w:val="16"/>
                <w:szCs w:val="16"/>
              </w:rPr>
            </w:pPr>
            <w:r w:rsidRPr="00581065">
              <w:rPr>
                <w:rFonts w:cs="Arial"/>
                <w:sz w:val="16"/>
                <w:szCs w:val="16"/>
              </w:rPr>
              <w:t>7,57</w:t>
            </w:r>
          </w:p>
        </w:tc>
        <w:tc>
          <w:tcPr>
            <w:tcW w:w="907" w:type="dxa"/>
            <w:tcBorders>
              <w:top w:val="nil"/>
              <w:left w:val="nil"/>
              <w:bottom w:val="nil"/>
              <w:right w:val="nil"/>
            </w:tcBorders>
            <w:shd w:val="clear" w:color="auto" w:fill="auto"/>
            <w:noWrap/>
            <w:vAlign w:val="center"/>
            <w:hideMark/>
          </w:tcPr>
          <w:p w14:paraId="5685E3CB" w14:textId="77777777" w:rsidR="00581065" w:rsidRPr="00581065" w:rsidRDefault="00581065" w:rsidP="001438A5">
            <w:pPr>
              <w:spacing w:after="0" w:line="240" w:lineRule="auto"/>
              <w:jc w:val="center"/>
              <w:rPr>
                <w:rFonts w:cs="Arial"/>
                <w:sz w:val="16"/>
                <w:szCs w:val="16"/>
              </w:rPr>
            </w:pPr>
            <w:r w:rsidRPr="00581065">
              <w:rPr>
                <w:rFonts w:cs="Arial"/>
                <w:sz w:val="16"/>
                <w:szCs w:val="16"/>
              </w:rPr>
              <w:t>6,9</w:t>
            </w:r>
            <w:r>
              <w:rPr>
                <w:rFonts w:cs="Arial"/>
                <w:sz w:val="16"/>
                <w:szCs w:val="16"/>
              </w:rPr>
              <w:t>0</w:t>
            </w:r>
          </w:p>
        </w:tc>
        <w:tc>
          <w:tcPr>
            <w:tcW w:w="907" w:type="dxa"/>
            <w:tcBorders>
              <w:top w:val="nil"/>
              <w:left w:val="nil"/>
              <w:bottom w:val="nil"/>
              <w:right w:val="nil"/>
            </w:tcBorders>
            <w:shd w:val="clear" w:color="auto" w:fill="auto"/>
            <w:noWrap/>
            <w:vAlign w:val="center"/>
            <w:hideMark/>
          </w:tcPr>
          <w:p w14:paraId="6980BEA5" w14:textId="77777777" w:rsidR="00581065" w:rsidRPr="00581065" w:rsidRDefault="00581065" w:rsidP="001438A5">
            <w:pPr>
              <w:spacing w:after="0" w:line="240" w:lineRule="auto"/>
              <w:jc w:val="center"/>
              <w:rPr>
                <w:rFonts w:cs="Arial"/>
                <w:sz w:val="16"/>
                <w:szCs w:val="16"/>
              </w:rPr>
            </w:pPr>
            <w:r w:rsidRPr="00581065">
              <w:rPr>
                <w:rFonts w:cs="Arial"/>
                <w:sz w:val="16"/>
                <w:szCs w:val="16"/>
              </w:rPr>
              <w:t>7,13</w:t>
            </w:r>
          </w:p>
        </w:tc>
        <w:tc>
          <w:tcPr>
            <w:tcW w:w="907" w:type="dxa"/>
            <w:tcBorders>
              <w:top w:val="nil"/>
              <w:left w:val="nil"/>
              <w:bottom w:val="nil"/>
              <w:right w:val="nil"/>
            </w:tcBorders>
            <w:shd w:val="clear" w:color="auto" w:fill="auto"/>
            <w:noWrap/>
            <w:vAlign w:val="center"/>
            <w:hideMark/>
          </w:tcPr>
          <w:p w14:paraId="0B1EA4A6" w14:textId="77777777" w:rsidR="00581065" w:rsidRPr="00581065" w:rsidRDefault="00581065" w:rsidP="001438A5">
            <w:pPr>
              <w:spacing w:after="0" w:line="240" w:lineRule="auto"/>
              <w:jc w:val="center"/>
              <w:rPr>
                <w:rFonts w:cs="Arial"/>
                <w:sz w:val="16"/>
                <w:szCs w:val="16"/>
              </w:rPr>
            </w:pPr>
            <w:r w:rsidRPr="00581065">
              <w:rPr>
                <w:rFonts w:cs="Arial"/>
                <w:sz w:val="16"/>
                <w:szCs w:val="16"/>
              </w:rPr>
              <w:t>7,49</w:t>
            </w:r>
          </w:p>
        </w:tc>
        <w:tc>
          <w:tcPr>
            <w:tcW w:w="907" w:type="dxa"/>
            <w:tcBorders>
              <w:top w:val="nil"/>
              <w:left w:val="nil"/>
              <w:bottom w:val="nil"/>
              <w:right w:val="nil"/>
            </w:tcBorders>
            <w:shd w:val="clear" w:color="auto" w:fill="auto"/>
            <w:noWrap/>
            <w:vAlign w:val="center"/>
            <w:hideMark/>
          </w:tcPr>
          <w:p w14:paraId="319F2C94" w14:textId="77777777" w:rsidR="00581065" w:rsidRPr="00581065" w:rsidRDefault="00581065" w:rsidP="001438A5">
            <w:pPr>
              <w:spacing w:after="0" w:line="240" w:lineRule="auto"/>
              <w:jc w:val="center"/>
              <w:rPr>
                <w:rFonts w:cs="Arial"/>
                <w:sz w:val="16"/>
                <w:szCs w:val="16"/>
              </w:rPr>
            </w:pPr>
            <w:r w:rsidRPr="00581065">
              <w:rPr>
                <w:rFonts w:cs="Arial"/>
                <w:sz w:val="16"/>
                <w:szCs w:val="16"/>
              </w:rPr>
              <w:t>6,11</w:t>
            </w:r>
          </w:p>
        </w:tc>
        <w:tc>
          <w:tcPr>
            <w:tcW w:w="907" w:type="dxa"/>
            <w:tcBorders>
              <w:top w:val="nil"/>
              <w:left w:val="nil"/>
              <w:bottom w:val="nil"/>
              <w:right w:val="nil"/>
            </w:tcBorders>
            <w:shd w:val="clear" w:color="auto" w:fill="auto"/>
            <w:noWrap/>
            <w:vAlign w:val="center"/>
            <w:hideMark/>
          </w:tcPr>
          <w:p w14:paraId="427DED0D" w14:textId="77777777" w:rsidR="00581065" w:rsidRPr="00581065" w:rsidRDefault="00581065" w:rsidP="001438A5">
            <w:pPr>
              <w:spacing w:after="0" w:line="240" w:lineRule="auto"/>
              <w:jc w:val="center"/>
              <w:rPr>
                <w:rFonts w:cs="Arial"/>
                <w:sz w:val="16"/>
                <w:szCs w:val="16"/>
              </w:rPr>
            </w:pPr>
            <w:r w:rsidRPr="00581065">
              <w:rPr>
                <w:rFonts w:cs="Arial"/>
                <w:sz w:val="16"/>
                <w:szCs w:val="16"/>
              </w:rPr>
              <w:t>5,72</w:t>
            </w:r>
          </w:p>
        </w:tc>
        <w:tc>
          <w:tcPr>
            <w:tcW w:w="907" w:type="dxa"/>
            <w:tcBorders>
              <w:top w:val="nil"/>
              <w:left w:val="nil"/>
              <w:bottom w:val="nil"/>
              <w:right w:val="nil"/>
            </w:tcBorders>
            <w:shd w:val="clear" w:color="auto" w:fill="auto"/>
            <w:noWrap/>
            <w:vAlign w:val="center"/>
            <w:hideMark/>
          </w:tcPr>
          <w:p w14:paraId="73FBE9E8" w14:textId="77777777" w:rsidR="00581065" w:rsidRPr="00581065" w:rsidRDefault="00581065" w:rsidP="001438A5">
            <w:pPr>
              <w:spacing w:after="0" w:line="240" w:lineRule="auto"/>
              <w:jc w:val="center"/>
              <w:rPr>
                <w:rFonts w:cs="Arial"/>
                <w:sz w:val="16"/>
                <w:szCs w:val="16"/>
              </w:rPr>
            </w:pPr>
            <w:r w:rsidRPr="00581065">
              <w:rPr>
                <w:rFonts w:cs="Arial"/>
                <w:sz w:val="16"/>
                <w:szCs w:val="16"/>
              </w:rPr>
              <w:t>5,27</w:t>
            </w:r>
          </w:p>
        </w:tc>
        <w:tc>
          <w:tcPr>
            <w:tcW w:w="907" w:type="dxa"/>
            <w:tcBorders>
              <w:top w:val="nil"/>
              <w:left w:val="nil"/>
              <w:bottom w:val="nil"/>
              <w:right w:val="nil"/>
            </w:tcBorders>
            <w:shd w:val="clear" w:color="auto" w:fill="auto"/>
            <w:noWrap/>
            <w:vAlign w:val="center"/>
            <w:hideMark/>
          </w:tcPr>
          <w:p w14:paraId="22494F7C" w14:textId="77777777" w:rsidR="00581065" w:rsidRPr="00581065" w:rsidRDefault="00581065" w:rsidP="001438A5">
            <w:pPr>
              <w:spacing w:after="0" w:line="240" w:lineRule="auto"/>
              <w:jc w:val="center"/>
              <w:rPr>
                <w:rFonts w:cs="Arial"/>
                <w:sz w:val="16"/>
                <w:szCs w:val="16"/>
              </w:rPr>
            </w:pPr>
            <w:r w:rsidRPr="00581065">
              <w:rPr>
                <w:rFonts w:cs="Arial"/>
                <w:sz w:val="16"/>
                <w:szCs w:val="16"/>
              </w:rPr>
              <w:t>3,38</w:t>
            </w:r>
          </w:p>
        </w:tc>
      </w:tr>
      <w:tr w:rsidR="00581065" w:rsidRPr="00581065" w14:paraId="2C886F24" w14:textId="77777777" w:rsidTr="001438A5">
        <w:trPr>
          <w:trHeight w:val="300"/>
        </w:trPr>
        <w:tc>
          <w:tcPr>
            <w:tcW w:w="1417" w:type="dxa"/>
            <w:tcBorders>
              <w:top w:val="nil"/>
              <w:left w:val="nil"/>
              <w:bottom w:val="nil"/>
              <w:right w:val="nil"/>
            </w:tcBorders>
            <w:shd w:val="clear" w:color="auto" w:fill="auto"/>
            <w:noWrap/>
            <w:vAlign w:val="center"/>
            <w:hideMark/>
          </w:tcPr>
          <w:p w14:paraId="1A6B632D"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Řecko</w:t>
            </w:r>
          </w:p>
        </w:tc>
        <w:tc>
          <w:tcPr>
            <w:tcW w:w="907" w:type="dxa"/>
            <w:tcBorders>
              <w:top w:val="nil"/>
              <w:left w:val="single" w:sz="4" w:space="0" w:color="000000"/>
              <w:bottom w:val="nil"/>
              <w:right w:val="nil"/>
            </w:tcBorders>
            <w:shd w:val="clear" w:color="auto" w:fill="auto"/>
            <w:noWrap/>
            <w:vAlign w:val="center"/>
            <w:hideMark/>
          </w:tcPr>
          <w:p w14:paraId="24C874D0" w14:textId="77777777" w:rsidR="00581065" w:rsidRPr="00581065" w:rsidRDefault="00581065" w:rsidP="001438A5">
            <w:pPr>
              <w:spacing w:after="0" w:line="240" w:lineRule="auto"/>
              <w:jc w:val="center"/>
              <w:rPr>
                <w:rFonts w:cs="Arial"/>
                <w:sz w:val="16"/>
                <w:szCs w:val="16"/>
              </w:rPr>
            </w:pPr>
            <w:r w:rsidRPr="00581065">
              <w:rPr>
                <w:rFonts w:cs="Arial"/>
                <w:sz w:val="16"/>
                <w:szCs w:val="16"/>
              </w:rPr>
              <w:t>1,39</w:t>
            </w:r>
          </w:p>
        </w:tc>
        <w:tc>
          <w:tcPr>
            <w:tcW w:w="907" w:type="dxa"/>
            <w:tcBorders>
              <w:top w:val="nil"/>
              <w:left w:val="nil"/>
              <w:bottom w:val="nil"/>
              <w:right w:val="nil"/>
            </w:tcBorders>
            <w:shd w:val="clear" w:color="auto" w:fill="auto"/>
            <w:noWrap/>
            <w:vAlign w:val="center"/>
            <w:hideMark/>
          </w:tcPr>
          <w:p w14:paraId="393623A2" w14:textId="77777777" w:rsidR="00581065" w:rsidRPr="00581065" w:rsidRDefault="00581065" w:rsidP="001438A5">
            <w:pPr>
              <w:spacing w:after="0" w:line="240" w:lineRule="auto"/>
              <w:jc w:val="center"/>
              <w:rPr>
                <w:rFonts w:cs="Arial"/>
                <w:sz w:val="16"/>
                <w:szCs w:val="16"/>
              </w:rPr>
            </w:pPr>
            <w:r w:rsidRPr="00581065">
              <w:rPr>
                <w:rFonts w:cs="Arial"/>
                <w:sz w:val="16"/>
                <w:szCs w:val="16"/>
              </w:rPr>
              <w:t>1,33</w:t>
            </w:r>
          </w:p>
        </w:tc>
        <w:tc>
          <w:tcPr>
            <w:tcW w:w="907" w:type="dxa"/>
            <w:tcBorders>
              <w:top w:val="nil"/>
              <w:left w:val="nil"/>
              <w:bottom w:val="nil"/>
              <w:right w:val="nil"/>
            </w:tcBorders>
            <w:shd w:val="clear" w:color="auto" w:fill="auto"/>
            <w:noWrap/>
            <w:vAlign w:val="center"/>
            <w:hideMark/>
          </w:tcPr>
          <w:p w14:paraId="6D01D00C" w14:textId="77777777" w:rsidR="00581065" w:rsidRPr="00581065" w:rsidRDefault="00581065" w:rsidP="001438A5">
            <w:pPr>
              <w:spacing w:after="0" w:line="240" w:lineRule="auto"/>
              <w:jc w:val="center"/>
              <w:rPr>
                <w:rFonts w:cs="Arial"/>
                <w:sz w:val="16"/>
                <w:szCs w:val="16"/>
              </w:rPr>
            </w:pPr>
            <w:r w:rsidRPr="00581065">
              <w:rPr>
                <w:rFonts w:cs="Arial"/>
                <w:sz w:val="16"/>
                <w:szCs w:val="16"/>
              </w:rPr>
              <w:t>1,19</w:t>
            </w:r>
          </w:p>
        </w:tc>
        <w:tc>
          <w:tcPr>
            <w:tcW w:w="907" w:type="dxa"/>
            <w:tcBorders>
              <w:top w:val="nil"/>
              <w:left w:val="nil"/>
              <w:bottom w:val="nil"/>
              <w:right w:val="nil"/>
            </w:tcBorders>
            <w:shd w:val="clear" w:color="000000" w:fill="DBDBDB"/>
            <w:noWrap/>
            <w:vAlign w:val="center"/>
            <w:hideMark/>
          </w:tcPr>
          <w:p w14:paraId="79974029" w14:textId="77777777" w:rsidR="00581065" w:rsidRPr="00581065" w:rsidRDefault="00581065" w:rsidP="001438A5">
            <w:pPr>
              <w:spacing w:after="0" w:line="240" w:lineRule="auto"/>
              <w:jc w:val="center"/>
              <w:rPr>
                <w:rFonts w:cs="Arial"/>
                <w:sz w:val="16"/>
                <w:szCs w:val="16"/>
              </w:rPr>
            </w:pPr>
            <w:r w:rsidRPr="00581065">
              <w:rPr>
                <w:rFonts w:cs="Arial"/>
                <w:sz w:val="16"/>
                <w:szCs w:val="16"/>
              </w:rPr>
              <w:t>1,18</w:t>
            </w:r>
          </w:p>
        </w:tc>
        <w:tc>
          <w:tcPr>
            <w:tcW w:w="907" w:type="dxa"/>
            <w:tcBorders>
              <w:top w:val="nil"/>
              <w:left w:val="nil"/>
              <w:bottom w:val="nil"/>
              <w:right w:val="nil"/>
            </w:tcBorders>
            <w:shd w:val="clear" w:color="auto" w:fill="auto"/>
            <w:noWrap/>
            <w:vAlign w:val="center"/>
            <w:hideMark/>
          </w:tcPr>
          <w:p w14:paraId="3A856300" w14:textId="77777777" w:rsidR="00581065" w:rsidRPr="00581065" w:rsidRDefault="00581065" w:rsidP="001438A5">
            <w:pPr>
              <w:spacing w:after="0" w:line="240" w:lineRule="auto"/>
              <w:jc w:val="center"/>
              <w:rPr>
                <w:rFonts w:cs="Arial"/>
                <w:sz w:val="16"/>
                <w:szCs w:val="16"/>
              </w:rPr>
            </w:pPr>
            <w:r w:rsidRPr="00581065">
              <w:rPr>
                <w:rFonts w:cs="Arial"/>
                <w:sz w:val="16"/>
                <w:szCs w:val="16"/>
              </w:rPr>
              <w:t>2,44</w:t>
            </w:r>
          </w:p>
        </w:tc>
        <w:tc>
          <w:tcPr>
            <w:tcW w:w="907" w:type="dxa"/>
            <w:tcBorders>
              <w:top w:val="nil"/>
              <w:left w:val="nil"/>
              <w:bottom w:val="nil"/>
              <w:right w:val="nil"/>
            </w:tcBorders>
            <w:shd w:val="clear" w:color="auto" w:fill="auto"/>
            <w:noWrap/>
            <w:vAlign w:val="center"/>
            <w:hideMark/>
          </w:tcPr>
          <w:p w14:paraId="2A33C574" w14:textId="77777777" w:rsidR="00581065" w:rsidRPr="00581065" w:rsidRDefault="00581065" w:rsidP="001438A5">
            <w:pPr>
              <w:spacing w:after="0" w:line="240" w:lineRule="auto"/>
              <w:jc w:val="center"/>
              <w:rPr>
                <w:rFonts w:cs="Arial"/>
                <w:sz w:val="16"/>
                <w:szCs w:val="16"/>
              </w:rPr>
            </w:pPr>
            <w:r w:rsidRPr="00581065">
              <w:rPr>
                <w:rFonts w:cs="Arial"/>
                <w:sz w:val="16"/>
                <w:szCs w:val="16"/>
              </w:rPr>
              <w:t>1,93</w:t>
            </w:r>
          </w:p>
        </w:tc>
        <w:tc>
          <w:tcPr>
            <w:tcW w:w="907" w:type="dxa"/>
            <w:tcBorders>
              <w:top w:val="nil"/>
              <w:left w:val="nil"/>
              <w:bottom w:val="nil"/>
              <w:right w:val="nil"/>
            </w:tcBorders>
            <w:shd w:val="clear" w:color="auto" w:fill="auto"/>
            <w:noWrap/>
            <w:vAlign w:val="center"/>
            <w:hideMark/>
          </w:tcPr>
          <w:p w14:paraId="1F2AAD70" w14:textId="77777777" w:rsidR="00581065" w:rsidRPr="00581065" w:rsidRDefault="00581065" w:rsidP="001438A5">
            <w:pPr>
              <w:spacing w:after="0" w:line="240" w:lineRule="auto"/>
              <w:jc w:val="center"/>
              <w:rPr>
                <w:rFonts w:cs="Arial"/>
                <w:sz w:val="16"/>
                <w:szCs w:val="16"/>
              </w:rPr>
            </w:pPr>
            <w:r w:rsidRPr="00581065">
              <w:rPr>
                <w:rFonts w:cs="Arial"/>
                <w:sz w:val="16"/>
                <w:szCs w:val="16"/>
              </w:rPr>
              <w:t>1,96</w:t>
            </w:r>
          </w:p>
        </w:tc>
        <w:tc>
          <w:tcPr>
            <w:tcW w:w="907" w:type="dxa"/>
            <w:tcBorders>
              <w:top w:val="nil"/>
              <w:left w:val="nil"/>
              <w:bottom w:val="nil"/>
              <w:right w:val="nil"/>
            </w:tcBorders>
            <w:shd w:val="clear" w:color="auto" w:fill="auto"/>
            <w:noWrap/>
            <w:vAlign w:val="center"/>
            <w:hideMark/>
          </w:tcPr>
          <w:p w14:paraId="434C614D" w14:textId="77777777" w:rsidR="00581065" w:rsidRPr="00581065" w:rsidRDefault="00581065" w:rsidP="001438A5">
            <w:pPr>
              <w:spacing w:after="0" w:line="240" w:lineRule="auto"/>
              <w:jc w:val="center"/>
              <w:rPr>
                <w:rFonts w:cs="Arial"/>
                <w:sz w:val="16"/>
                <w:szCs w:val="16"/>
              </w:rPr>
            </w:pPr>
            <w:r w:rsidRPr="00581065">
              <w:rPr>
                <w:rFonts w:cs="Arial"/>
                <w:sz w:val="16"/>
                <w:szCs w:val="16"/>
              </w:rPr>
              <w:t>1,69</w:t>
            </w:r>
          </w:p>
        </w:tc>
        <w:tc>
          <w:tcPr>
            <w:tcW w:w="907" w:type="dxa"/>
            <w:tcBorders>
              <w:top w:val="nil"/>
              <w:left w:val="nil"/>
              <w:bottom w:val="nil"/>
              <w:right w:val="nil"/>
            </w:tcBorders>
            <w:shd w:val="clear" w:color="auto" w:fill="auto"/>
            <w:noWrap/>
            <w:vAlign w:val="center"/>
            <w:hideMark/>
          </w:tcPr>
          <w:p w14:paraId="643DA8FA" w14:textId="77777777" w:rsidR="00581065" w:rsidRPr="00581065" w:rsidRDefault="00581065" w:rsidP="001438A5">
            <w:pPr>
              <w:spacing w:after="0" w:line="240" w:lineRule="auto"/>
              <w:jc w:val="center"/>
              <w:rPr>
                <w:rFonts w:cs="Arial"/>
                <w:sz w:val="16"/>
                <w:szCs w:val="16"/>
              </w:rPr>
            </w:pPr>
            <w:r w:rsidRPr="00581065">
              <w:rPr>
                <w:rFonts w:cs="Arial"/>
                <w:sz w:val="16"/>
                <w:szCs w:val="16"/>
              </w:rPr>
              <w:t>1,57</w:t>
            </w:r>
          </w:p>
        </w:tc>
      </w:tr>
      <w:tr w:rsidR="00581065" w:rsidRPr="00581065" w14:paraId="45A853D9" w14:textId="77777777" w:rsidTr="001438A5">
        <w:trPr>
          <w:trHeight w:val="300"/>
        </w:trPr>
        <w:tc>
          <w:tcPr>
            <w:tcW w:w="1417" w:type="dxa"/>
            <w:tcBorders>
              <w:top w:val="nil"/>
              <w:left w:val="nil"/>
              <w:bottom w:val="nil"/>
              <w:right w:val="nil"/>
            </w:tcBorders>
            <w:shd w:val="clear" w:color="auto" w:fill="auto"/>
            <w:noWrap/>
            <w:vAlign w:val="center"/>
            <w:hideMark/>
          </w:tcPr>
          <w:p w14:paraId="091C7646"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Slovensko</w:t>
            </w:r>
          </w:p>
        </w:tc>
        <w:tc>
          <w:tcPr>
            <w:tcW w:w="907" w:type="dxa"/>
            <w:tcBorders>
              <w:top w:val="nil"/>
              <w:left w:val="single" w:sz="4" w:space="0" w:color="000000"/>
              <w:bottom w:val="nil"/>
              <w:right w:val="nil"/>
            </w:tcBorders>
            <w:shd w:val="clear" w:color="auto" w:fill="auto"/>
            <w:noWrap/>
            <w:vAlign w:val="center"/>
            <w:hideMark/>
          </w:tcPr>
          <w:p w14:paraId="23F205C4" w14:textId="77777777" w:rsidR="00581065" w:rsidRPr="00581065" w:rsidRDefault="00581065" w:rsidP="001438A5">
            <w:pPr>
              <w:spacing w:after="0" w:line="240" w:lineRule="auto"/>
              <w:jc w:val="center"/>
              <w:rPr>
                <w:rFonts w:cs="Arial"/>
                <w:sz w:val="16"/>
                <w:szCs w:val="16"/>
              </w:rPr>
            </w:pPr>
            <w:r w:rsidRPr="00581065">
              <w:rPr>
                <w:rFonts w:cs="Arial"/>
                <w:sz w:val="16"/>
                <w:szCs w:val="16"/>
              </w:rPr>
              <w:t>2,26</w:t>
            </w:r>
          </w:p>
        </w:tc>
        <w:tc>
          <w:tcPr>
            <w:tcW w:w="907" w:type="dxa"/>
            <w:tcBorders>
              <w:top w:val="nil"/>
              <w:left w:val="nil"/>
              <w:bottom w:val="nil"/>
              <w:right w:val="nil"/>
            </w:tcBorders>
            <w:shd w:val="clear" w:color="auto" w:fill="auto"/>
            <w:noWrap/>
            <w:vAlign w:val="center"/>
            <w:hideMark/>
          </w:tcPr>
          <w:p w14:paraId="16D3FBBC" w14:textId="77777777" w:rsidR="00581065" w:rsidRPr="00581065" w:rsidRDefault="00581065" w:rsidP="001438A5">
            <w:pPr>
              <w:spacing w:after="0" w:line="240" w:lineRule="auto"/>
              <w:jc w:val="center"/>
              <w:rPr>
                <w:rFonts w:cs="Arial"/>
                <w:sz w:val="16"/>
                <w:szCs w:val="16"/>
              </w:rPr>
            </w:pPr>
            <w:r w:rsidRPr="00581065">
              <w:rPr>
                <w:rFonts w:cs="Arial"/>
                <w:sz w:val="16"/>
                <w:szCs w:val="16"/>
              </w:rPr>
              <w:t>3,14</w:t>
            </w:r>
          </w:p>
        </w:tc>
        <w:tc>
          <w:tcPr>
            <w:tcW w:w="907" w:type="dxa"/>
            <w:tcBorders>
              <w:top w:val="nil"/>
              <w:left w:val="nil"/>
              <w:bottom w:val="nil"/>
              <w:right w:val="nil"/>
            </w:tcBorders>
            <w:shd w:val="clear" w:color="auto" w:fill="auto"/>
            <w:noWrap/>
            <w:vAlign w:val="center"/>
            <w:hideMark/>
          </w:tcPr>
          <w:p w14:paraId="5D6D125E" w14:textId="77777777" w:rsidR="00581065" w:rsidRPr="00581065" w:rsidRDefault="00581065" w:rsidP="001438A5">
            <w:pPr>
              <w:spacing w:after="0" w:line="240" w:lineRule="auto"/>
              <w:jc w:val="center"/>
              <w:rPr>
                <w:rFonts w:cs="Arial"/>
                <w:sz w:val="16"/>
                <w:szCs w:val="16"/>
              </w:rPr>
            </w:pPr>
            <w:r w:rsidRPr="00581065">
              <w:rPr>
                <w:rFonts w:cs="Arial"/>
                <w:sz w:val="16"/>
                <w:szCs w:val="16"/>
              </w:rPr>
              <w:t>3,33</w:t>
            </w:r>
          </w:p>
        </w:tc>
        <w:tc>
          <w:tcPr>
            <w:tcW w:w="907" w:type="dxa"/>
            <w:tcBorders>
              <w:top w:val="nil"/>
              <w:left w:val="nil"/>
              <w:bottom w:val="nil"/>
              <w:right w:val="nil"/>
            </w:tcBorders>
            <w:shd w:val="clear" w:color="auto" w:fill="auto"/>
            <w:noWrap/>
            <w:vAlign w:val="center"/>
            <w:hideMark/>
          </w:tcPr>
          <w:p w14:paraId="3C668D65" w14:textId="77777777" w:rsidR="00581065" w:rsidRPr="00581065" w:rsidRDefault="00581065" w:rsidP="001438A5">
            <w:pPr>
              <w:spacing w:after="0" w:line="240" w:lineRule="auto"/>
              <w:jc w:val="center"/>
              <w:rPr>
                <w:rFonts w:cs="Arial"/>
                <w:sz w:val="16"/>
                <w:szCs w:val="16"/>
              </w:rPr>
            </w:pPr>
            <w:r w:rsidRPr="00581065">
              <w:rPr>
                <w:rFonts w:cs="Arial"/>
                <w:sz w:val="16"/>
                <w:szCs w:val="16"/>
              </w:rPr>
              <w:t>2,31</w:t>
            </w:r>
          </w:p>
        </w:tc>
        <w:tc>
          <w:tcPr>
            <w:tcW w:w="907" w:type="dxa"/>
            <w:tcBorders>
              <w:top w:val="nil"/>
              <w:left w:val="nil"/>
              <w:bottom w:val="nil"/>
              <w:right w:val="nil"/>
            </w:tcBorders>
            <w:shd w:val="clear" w:color="auto" w:fill="auto"/>
            <w:noWrap/>
            <w:vAlign w:val="center"/>
            <w:hideMark/>
          </w:tcPr>
          <w:p w14:paraId="454B2F16" w14:textId="77777777" w:rsidR="00581065" w:rsidRPr="00581065" w:rsidRDefault="00581065" w:rsidP="001438A5">
            <w:pPr>
              <w:spacing w:after="0" w:line="240" w:lineRule="auto"/>
              <w:jc w:val="center"/>
              <w:rPr>
                <w:rFonts w:cs="Arial"/>
                <w:sz w:val="16"/>
                <w:szCs w:val="16"/>
              </w:rPr>
            </w:pPr>
            <w:r w:rsidRPr="00581065">
              <w:rPr>
                <w:rFonts w:cs="Arial"/>
                <w:sz w:val="16"/>
                <w:szCs w:val="16"/>
              </w:rPr>
              <w:t>3,63</w:t>
            </w:r>
          </w:p>
        </w:tc>
        <w:tc>
          <w:tcPr>
            <w:tcW w:w="907" w:type="dxa"/>
            <w:tcBorders>
              <w:top w:val="nil"/>
              <w:left w:val="nil"/>
              <w:bottom w:val="nil"/>
              <w:right w:val="nil"/>
            </w:tcBorders>
            <w:shd w:val="clear" w:color="auto" w:fill="auto"/>
            <w:noWrap/>
            <w:vAlign w:val="center"/>
            <w:hideMark/>
          </w:tcPr>
          <w:p w14:paraId="705A3F33" w14:textId="77777777" w:rsidR="00581065" w:rsidRPr="00581065" w:rsidRDefault="00581065" w:rsidP="001438A5">
            <w:pPr>
              <w:spacing w:after="0" w:line="240" w:lineRule="auto"/>
              <w:jc w:val="center"/>
              <w:rPr>
                <w:rFonts w:cs="Arial"/>
                <w:sz w:val="16"/>
                <w:szCs w:val="16"/>
              </w:rPr>
            </w:pPr>
            <w:r w:rsidRPr="00581065">
              <w:rPr>
                <w:rFonts w:cs="Arial"/>
                <w:sz w:val="16"/>
                <w:szCs w:val="16"/>
              </w:rPr>
              <w:t>2,72</w:t>
            </w:r>
          </w:p>
        </w:tc>
        <w:tc>
          <w:tcPr>
            <w:tcW w:w="907" w:type="dxa"/>
            <w:tcBorders>
              <w:top w:val="nil"/>
              <w:left w:val="nil"/>
              <w:bottom w:val="nil"/>
              <w:right w:val="nil"/>
            </w:tcBorders>
            <w:shd w:val="clear" w:color="auto" w:fill="auto"/>
            <w:noWrap/>
            <w:vAlign w:val="center"/>
            <w:hideMark/>
          </w:tcPr>
          <w:p w14:paraId="51376A0F" w14:textId="77777777" w:rsidR="00581065" w:rsidRPr="00581065" w:rsidRDefault="00581065" w:rsidP="001438A5">
            <w:pPr>
              <w:spacing w:after="0" w:line="240" w:lineRule="auto"/>
              <w:jc w:val="center"/>
              <w:rPr>
                <w:rFonts w:cs="Arial"/>
                <w:sz w:val="16"/>
                <w:szCs w:val="16"/>
              </w:rPr>
            </w:pPr>
            <w:r w:rsidRPr="00581065">
              <w:rPr>
                <w:rFonts w:cs="Arial"/>
                <w:sz w:val="16"/>
                <w:szCs w:val="16"/>
              </w:rPr>
              <w:t>2,78</w:t>
            </w:r>
          </w:p>
        </w:tc>
        <w:tc>
          <w:tcPr>
            <w:tcW w:w="907" w:type="dxa"/>
            <w:tcBorders>
              <w:top w:val="nil"/>
              <w:left w:val="nil"/>
              <w:bottom w:val="nil"/>
              <w:right w:val="nil"/>
            </w:tcBorders>
            <w:shd w:val="clear" w:color="auto" w:fill="auto"/>
            <w:noWrap/>
            <w:vAlign w:val="center"/>
            <w:hideMark/>
          </w:tcPr>
          <w:p w14:paraId="55EC95E4" w14:textId="77777777" w:rsidR="00581065" w:rsidRPr="00581065" w:rsidRDefault="00581065" w:rsidP="001438A5">
            <w:pPr>
              <w:spacing w:after="0" w:line="240" w:lineRule="auto"/>
              <w:jc w:val="center"/>
              <w:rPr>
                <w:rFonts w:cs="Arial"/>
                <w:sz w:val="16"/>
                <w:szCs w:val="16"/>
              </w:rPr>
            </w:pPr>
            <w:r w:rsidRPr="00581065">
              <w:rPr>
                <w:rFonts w:cs="Arial"/>
                <w:sz w:val="16"/>
                <w:szCs w:val="16"/>
              </w:rPr>
              <w:t>2,57</w:t>
            </w:r>
          </w:p>
        </w:tc>
        <w:tc>
          <w:tcPr>
            <w:tcW w:w="907" w:type="dxa"/>
            <w:tcBorders>
              <w:top w:val="nil"/>
              <w:left w:val="nil"/>
              <w:bottom w:val="nil"/>
              <w:right w:val="nil"/>
            </w:tcBorders>
            <w:shd w:val="clear" w:color="auto" w:fill="auto"/>
            <w:noWrap/>
            <w:vAlign w:val="center"/>
            <w:hideMark/>
          </w:tcPr>
          <w:p w14:paraId="703F40DD" w14:textId="77777777" w:rsidR="00581065" w:rsidRPr="00581065" w:rsidRDefault="00581065" w:rsidP="001438A5">
            <w:pPr>
              <w:spacing w:after="0" w:line="240" w:lineRule="auto"/>
              <w:jc w:val="center"/>
              <w:rPr>
                <w:rFonts w:cs="Arial"/>
                <w:sz w:val="16"/>
                <w:szCs w:val="16"/>
              </w:rPr>
            </w:pPr>
            <w:r w:rsidRPr="00581065">
              <w:rPr>
                <w:rFonts w:cs="Arial"/>
                <w:sz w:val="16"/>
                <w:szCs w:val="16"/>
              </w:rPr>
              <w:t>2,22</w:t>
            </w:r>
          </w:p>
        </w:tc>
      </w:tr>
      <w:tr w:rsidR="00581065" w:rsidRPr="00581065" w14:paraId="326F0093" w14:textId="77777777" w:rsidTr="001438A5">
        <w:trPr>
          <w:trHeight w:val="300"/>
        </w:trPr>
        <w:tc>
          <w:tcPr>
            <w:tcW w:w="1417" w:type="dxa"/>
            <w:tcBorders>
              <w:top w:val="nil"/>
              <w:left w:val="nil"/>
              <w:bottom w:val="nil"/>
              <w:right w:val="nil"/>
            </w:tcBorders>
            <w:shd w:val="clear" w:color="auto" w:fill="auto"/>
            <w:noWrap/>
            <w:vAlign w:val="center"/>
            <w:hideMark/>
          </w:tcPr>
          <w:p w14:paraId="65A58585"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Slovinsko</w:t>
            </w:r>
          </w:p>
        </w:tc>
        <w:tc>
          <w:tcPr>
            <w:tcW w:w="907" w:type="dxa"/>
            <w:tcBorders>
              <w:top w:val="nil"/>
              <w:left w:val="single" w:sz="4" w:space="0" w:color="000000"/>
              <w:bottom w:val="nil"/>
              <w:right w:val="nil"/>
            </w:tcBorders>
            <w:shd w:val="clear" w:color="auto" w:fill="auto"/>
            <w:noWrap/>
            <w:vAlign w:val="center"/>
            <w:hideMark/>
          </w:tcPr>
          <w:p w14:paraId="1A00296B" w14:textId="77777777" w:rsidR="00581065" w:rsidRPr="00581065" w:rsidRDefault="00581065" w:rsidP="001438A5">
            <w:pPr>
              <w:spacing w:after="0" w:line="240" w:lineRule="auto"/>
              <w:jc w:val="center"/>
              <w:rPr>
                <w:rFonts w:cs="Arial"/>
                <w:sz w:val="16"/>
                <w:szCs w:val="16"/>
              </w:rPr>
            </w:pPr>
            <w:r w:rsidRPr="00581065">
              <w:rPr>
                <w:rFonts w:cs="Arial"/>
                <w:sz w:val="16"/>
                <w:szCs w:val="16"/>
              </w:rPr>
              <w:t>4,15</w:t>
            </w:r>
          </w:p>
        </w:tc>
        <w:tc>
          <w:tcPr>
            <w:tcW w:w="907" w:type="dxa"/>
            <w:tcBorders>
              <w:top w:val="nil"/>
              <w:left w:val="nil"/>
              <w:bottom w:val="nil"/>
              <w:right w:val="nil"/>
            </w:tcBorders>
            <w:shd w:val="clear" w:color="auto" w:fill="auto"/>
            <w:noWrap/>
            <w:vAlign w:val="center"/>
            <w:hideMark/>
          </w:tcPr>
          <w:p w14:paraId="1341A924" w14:textId="77777777" w:rsidR="00581065" w:rsidRPr="00581065" w:rsidRDefault="00581065" w:rsidP="001438A5">
            <w:pPr>
              <w:spacing w:after="0" w:line="240" w:lineRule="auto"/>
              <w:jc w:val="center"/>
              <w:rPr>
                <w:rFonts w:cs="Arial"/>
                <w:sz w:val="16"/>
                <w:szCs w:val="16"/>
              </w:rPr>
            </w:pPr>
            <w:r w:rsidRPr="00581065">
              <w:rPr>
                <w:rFonts w:cs="Arial"/>
                <w:sz w:val="16"/>
                <w:szCs w:val="16"/>
              </w:rPr>
              <w:t>3,19</w:t>
            </w:r>
          </w:p>
        </w:tc>
        <w:tc>
          <w:tcPr>
            <w:tcW w:w="907" w:type="dxa"/>
            <w:tcBorders>
              <w:top w:val="nil"/>
              <w:left w:val="nil"/>
              <w:bottom w:val="nil"/>
              <w:right w:val="nil"/>
            </w:tcBorders>
            <w:shd w:val="clear" w:color="auto" w:fill="auto"/>
            <w:noWrap/>
            <w:vAlign w:val="center"/>
            <w:hideMark/>
          </w:tcPr>
          <w:p w14:paraId="5902978E" w14:textId="77777777" w:rsidR="00581065" w:rsidRPr="00581065" w:rsidRDefault="00581065" w:rsidP="001438A5">
            <w:pPr>
              <w:spacing w:after="0" w:line="240" w:lineRule="auto"/>
              <w:jc w:val="center"/>
              <w:rPr>
                <w:rFonts w:cs="Arial"/>
                <w:sz w:val="16"/>
                <w:szCs w:val="16"/>
              </w:rPr>
            </w:pPr>
            <w:r w:rsidRPr="00581065">
              <w:rPr>
                <w:rFonts w:cs="Arial"/>
                <w:sz w:val="16"/>
                <w:szCs w:val="16"/>
              </w:rPr>
              <w:t>2,96</w:t>
            </w:r>
          </w:p>
        </w:tc>
        <w:tc>
          <w:tcPr>
            <w:tcW w:w="907" w:type="dxa"/>
            <w:tcBorders>
              <w:top w:val="nil"/>
              <w:left w:val="nil"/>
              <w:bottom w:val="nil"/>
              <w:right w:val="nil"/>
            </w:tcBorders>
            <w:shd w:val="clear" w:color="auto" w:fill="auto"/>
            <w:noWrap/>
            <w:vAlign w:val="center"/>
            <w:hideMark/>
          </w:tcPr>
          <w:p w14:paraId="537CF561" w14:textId="77777777" w:rsidR="00581065" w:rsidRPr="00581065" w:rsidRDefault="00581065" w:rsidP="001438A5">
            <w:pPr>
              <w:spacing w:after="0" w:line="240" w:lineRule="auto"/>
              <w:jc w:val="center"/>
              <w:rPr>
                <w:rFonts w:cs="Arial"/>
                <w:sz w:val="16"/>
                <w:szCs w:val="16"/>
              </w:rPr>
            </w:pPr>
            <w:r w:rsidRPr="00581065">
              <w:rPr>
                <w:rFonts w:cs="Arial"/>
                <w:sz w:val="16"/>
                <w:szCs w:val="16"/>
              </w:rPr>
              <w:t>3,97</w:t>
            </w:r>
          </w:p>
        </w:tc>
        <w:tc>
          <w:tcPr>
            <w:tcW w:w="907" w:type="dxa"/>
            <w:tcBorders>
              <w:top w:val="nil"/>
              <w:left w:val="nil"/>
              <w:bottom w:val="nil"/>
              <w:right w:val="nil"/>
            </w:tcBorders>
            <w:shd w:val="clear" w:color="auto" w:fill="auto"/>
            <w:noWrap/>
            <w:vAlign w:val="center"/>
            <w:hideMark/>
          </w:tcPr>
          <w:p w14:paraId="7BDE7F6C" w14:textId="77777777" w:rsidR="00581065" w:rsidRPr="00581065" w:rsidRDefault="00581065" w:rsidP="001438A5">
            <w:pPr>
              <w:spacing w:after="0" w:line="240" w:lineRule="auto"/>
              <w:jc w:val="center"/>
              <w:rPr>
                <w:rFonts w:cs="Arial"/>
                <w:sz w:val="16"/>
                <w:szCs w:val="16"/>
              </w:rPr>
            </w:pPr>
            <w:r w:rsidRPr="00581065">
              <w:rPr>
                <w:rFonts w:cs="Arial"/>
                <w:sz w:val="16"/>
                <w:szCs w:val="16"/>
              </w:rPr>
              <w:t>3,55</w:t>
            </w:r>
          </w:p>
        </w:tc>
        <w:tc>
          <w:tcPr>
            <w:tcW w:w="907" w:type="dxa"/>
            <w:tcBorders>
              <w:top w:val="nil"/>
              <w:left w:val="nil"/>
              <w:bottom w:val="nil"/>
              <w:right w:val="nil"/>
            </w:tcBorders>
            <w:shd w:val="clear" w:color="auto" w:fill="auto"/>
            <w:noWrap/>
            <w:vAlign w:val="center"/>
            <w:hideMark/>
          </w:tcPr>
          <w:p w14:paraId="21CB55BC" w14:textId="77777777" w:rsidR="00581065" w:rsidRPr="00581065" w:rsidRDefault="00581065" w:rsidP="001438A5">
            <w:pPr>
              <w:spacing w:after="0" w:line="240" w:lineRule="auto"/>
              <w:jc w:val="center"/>
              <w:rPr>
                <w:rFonts w:cs="Arial"/>
                <w:sz w:val="16"/>
                <w:szCs w:val="16"/>
              </w:rPr>
            </w:pPr>
            <w:r w:rsidRPr="00581065">
              <w:rPr>
                <w:rFonts w:cs="Arial"/>
                <w:sz w:val="16"/>
                <w:szCs w:val="16"/>
              </w:rPr>
              <w:t>2,23</w:t>
            </w:r>
          </w:p>
        </w:tc>
        <w:tc>
          <w:tcPr>
            <w:tcW w:w="907" w:type="dxa"/>
            <w:tcBorders>
              <w:top w:val="nil"/>
              <w:left w:val="nil"/>
              <w:bottom w:val="nil"/>
              <w:right w:val="nil"/>
            </w:tcBorders>
            <w:shd w:val="clear" w:color="auto" w:fill="auto"/>
            <w:noWrap/>
            <w:vAlign w:val="center"/>
            <w:hideMark/>
          </w:tcPr>
          <w:p w14:paraId="10A4DEBF" w14:textId="77777777" w:rsidR="00581065" w:rsidRPr="00581065" w:rsidRDefault="00581065" w:rsidP="001438A5">
            <w:pPr>
              <w:spacing w:after="0" w:line="240" w:lineRule="auto"/>
              <w:jc w:val="center"/>
              <w:rPr>
                <w:rFonts w:cs="Arial"/>
                <w:sz w:val="16"/>
                <w:szCs w:val="16"/>
              </w:rPr>
            </w:pPr>
            <w:r w:rsidRPr="00581065">
              <w:rPr>
                <w:rFonts w:cs="Arial"/>
                <w:sz w:val="16"/>
                <w:szCs w:val="16"/>
              </w:rPr>
              <w:t>2,76</w:t>
            </w:r>
          </w:p>
        </w:tc>
        <w:tc>
          <w:tcPr>
            <w:tcW w:w="907" w:type="dxa"/>
            <w:tcBorders>
              <w:top w:val="nil"/>
              <w:left w:val="nil"/>
              <w:bottom w:val="nil"/>
              <w:right w:val="nil"/>
            </w:tcBorders>
            <w:shd w:val="clear" w:color="auto" w:fill="auto"/>
            <w:noWrap/>
            <w:vAlign w:val="center"/>
            <w:hideMark/>
          </w:tcPr>
          <w:p w14:paraId="200209E0" w14:textId="77777777" w:rsidR="00581065" w:rsidRPr="00581065" w:rsidRDefault="00581065" w:rsidP="001438A5">
            <w:pPr>
              <w:spacing w:after="0" w:line="240" w:lineRule="auto"/>
              <w:jc w:val="center"/>
              <w:rPr>
                <w:rFonts w:cs="Arial"/>
                <w:sz w:val="16"/>
                <w:szCs w:val="16"/>
              </w:rPr>
            </w:pPr>
            <w:r w:rsidRPr="00581065">
              <w:rPr>
                <w:rFonts w:cs="Arial"/>
                <w:sz w:val="16"/>
                <w:szCs w:val="16"/>
              </w:rPr>
              <w:t>2,12</w:t>
            </w:r>
          </w:p>
        </w:tc>
        <w:tc>
          <w:tcPr>
            <w:tcW w:w="907" w:type="dxa"/>
            <w:tcBorders>
              <w:top w:val="nil"/>
              <w:left w:val="nil"/>
              <w:bottom w:val="nil"/>
              <w:right w:val="nil"/>
            </w:tcBorders>
            <w:shd w:val="clear" w:color="auto" w:fill="auto"/>
            <w:noWrap/>
            <w:vAlign w:val="center"/>
            <w:hideMark/>
          </w:tcPr>
          <w:p w14:paraId="09418A9B" w14:textId="77777777" w:rsidR="00581065" w:rsidRPr="00581065" w:rsidRDefault="00581065" w:rsidP="001438A5">
            <w:pPr>
              <w:spacing w:after="0" w:line="240" w:lineRule="auto"/>
              <w:jc w:val="center"/>
              <w:rPr>
                <w:rFonts w:cs="Arial"/>
                <w:sz w:val="16"/>
                <w:szCs w:val="16"/>
              </w:rPr>
            </w:pPr>
            <w:r w:rsidRPr="00581065">
              <w:rPr>
                <w:rFonts w:cs="Arial"/>
                <w:sz w:val="16"/>
                <w:szCs w:val="16"/>
              </w:rPr>
              <w:t>1,9</w:t>
            </w:r>
            <w:r>
              <w:rPr>
                <w:rFonts w:cs="Arial"/>
                <w:sz w:val="16"/>
                <w:szCs w:val="16"/>
              </w:rPr>
              <w:t>0</w:t>
            </w:r>
          </w:p>
        </w:tc>
      </w:tr>
      <w:tr w:rsidR="00581065" w:rsidRPr="00581065" w14:paraId="51CE5545" w14:textId="77777777" w:rsidTr="001438A5">
        <w:trPr>
          <w:trHeight w:val="300"/>
        </w:trPr>
        <w:tc>
          <w:tcPr>
            <w:tcW w:w="1417" w:type="dxa"/>
            <w:tcBorders>
              <w:top w:val="nil"/>
              <w:left w:val="nil"/>
              <w:bottom w:val="nil"/>
              <w:right w:val="nil"/>
            </w:tcBorders>
            <w:shd w:val="clear" w:color="auto" w:fill="auto"/>
            <w:noWrap/>
            <w:vAlign w:val="center"/>
            <w:hideMark/>
          </w:tcPr>
          <w:p w14:paraId="6775DDF1"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Španělsko</w:t>
            </w:r>
          </w:p>
        </w:tc>
        <w:tc>
          <w:tcPr>
            <w:tcW w:w="907" w:type="dxa"/>
            <w:tcBorders>
              <w:top w:val="nil"/>
              <w:left w:val="single" w:sz="4" w:space="0" w:color="000000"/>
              <w:bottom w:val="nil"/>
              <w:right w:val="nil"/>
            </w:tcBorders>
            <w:shd w:val="clear" w:color="000000" w:fill="DBDBDB"/>
            <w:noWrap/>
            <w:vAlign w:val="center"/>
            <w:hideMark/>
          </w:tcPr>
          <w:p w14:paraId="2FD05EE3" w14:textId="77777777" w:rsidR="00581065" w:rsidRPr="00581065" w:rsidRDefault="00581065" w:rsidP="001438A5">
            <w:pPr>
              <w:spacing w:after="0" w:line="240" w:lineRule="auto"/>
              <w:jc w:val="center"/>
              <w:rPr>
                <w:rFonts w:cs="Arial"/>
                <w:sz w:val="16"/>
                <w:szCs w:val="16"/>
              </w:rPr>
            </w:pPr>
            <w:r w:rsidRPr="00581065">
              <w:rPr>
                <w:rFonts w:cs="Arial"/>
                <w:sz w:val="16"/>
                <w:szCs w:val="16"/>
              </w:rPr>
              <w:t>3,24</w:t>
            </w:r>
          </w:p>
        </w:tc>
        <w:tc>
          <w:tcPr>
            <w:tcW w:w="907" w:type="dxa"/>
            <w:tcBorders>
              <w:top w:val="nil"/>
              <w:left w:val="nil"/>
              <w:bottom w:val="nil"/>
              <w:right w:val="nil"/>
            </w:tcBorders>
            <w:shd w:val="clear" w:color="auto" w:fill="auto"/>
            <w:noWrap/>
            <w:vAlign w:val="center"/>
            <w:hideMark/>
          </w:tcPr>
          <w:p w14:paraId="67D4F95D" w14:textId="77777777" w:rsidR="00581065" w:rsidRPr="00581065" w:rsidRDefault="00581065" w:rsidP="001438A5">
            <w:pPr>
              <w:spacing w:after="0" w:line="240" w:lineRule="auto"/>
              <w:jc w:val="center"/>
              <w:rPr>
                <w:rFonts w:cs="Arial"/>
                <w:sz w:val="16"/>
                <w:szCs w:val="16"/>
              </w:rPr>
            </w:pPr>
            <w:r w:rsidRPr="00581065">
              <w:rPr>
                <w:rFonts w:cs="Arial"/>
                <w:sz w:val="16"/>
                <w:szCs w:val="16"/>
              </w:rPr>
              <w:t>3,03</w:t>
            </w:r>
          </w:p>
        </w:tc>
        <w:tc>
          <w:tcPr>
            <w:tcW w:w="907" w:type="dxa"/>
            <w:tcBorders>
              <w:top w:val="nil"/>
              <w:left w:val="nil"/>
              <w:bottom w:val="nil"/>
              <w:right w:val="nil"/>
            </w:tcBorders>
            <w:shd w:val="clear" w:color="auto" w:fill="auto"/>
            <w:noWrap/>
            <w:vAlign w:val="center"/>
            <w:hideMark/>
          </w:tcPr>
          <w:p w14:paraId="706F48E3" w14:textId="77777777" w:rsidR="00581065" w:rsidRPr="00581065" w:rsidRDefault="00581065" w:rsidP="001438A5">
            <w:pPr>
              <w:spacing w:after="0" w:line="240" w:lineRule="auto"/>
              <w:jc w:val="center"/>
              <w:rPr>
                <w:rFonts w:cs="Arial"/>
                <w:sz w:val="16"/>
                <w:szCs w:val="16"/>
              </w:rPr>
            </w:pPr>
            <w:r w:rsidRPr="00581065">
              <w:rPr>
                <w:rFonts w:cs="Arial"/>
                <w:sz w:val="16"/>
                <w:szCs w:val="16"/>
              </w:rPr>
              <w:t>2,69</w:t>
            </w:r>
          </w:p>
        </w:tc>
        <w:tc>
          <w:tcPr>
            <w:tcW w:w="907" w:type="dxa"/>
            <w:tcBorders>
              <w:top w:val="nil"/>
              <w:left w:val="nil"/>
              <w:bottom w:val="nil"/>
              <w:right w:val="nil"/>
            </w:tcBorders>
            <w:shd w:val="clear" w:color="auto" w:fill="auto"/>
            <w:noWrap/>
            <w:vAlign w:val="center"/>
            <w:hideMark/>
          </w:tcPr>
          <w:p w14:paraId="784C2013" w14:textId="77777777" w:rsidR="00581065" w:rsidRPr="00581065" w:rsidRDefault="00581065" w:rsidP="001438A5">
            <w:pPr>
              <w:spacing w:after="0" w:line="240" w:lineRule="auto"/>
              <w:jc w:val="center"/>
              <w:rPr>
                <w:rFonts w:cs="Arial"/>
                <w:sz w:val="16"/>
                <w:szCs w:val="16"/>
              </w:rPr>
            </w:pPr>
            <w:r w:rsidRPr="00581065">
              <w:rPr>
                <w:rFonts w:cs="Arial"/>
                <w:sz w:val="16"/>
                <w:szCs w:val="16"/>
              </w:rPr>
              <w:t>3,11</w:t>
            </w:r>
          </w:p>
        </w:tc>
        <w:tc>
          <w:tcPr>
            <w:tcW w:w="907" w:type="dxa"/>
            <w:tcBorders>
              <w:top w:val="nil"/>
              <w:left w:val="nil"/>
              <w:bottom w:val="nil"/>
              <w:right w:val="nil"/>
            </w:tcBorders>
            <w:shd w:val="clear" w:color="auto" w:fill="auto"/>
            <w:noWrap/>
            <w:vAlign w:val="center"/>
            <w:hideMark/>
          </w:tcPr>
          <w:p w14:paraId="1B778399" w14:textId="77777777" w:rsidR="00581065" w:rsidRPr="00581065" w:rsidRDefault="00581065" w:rsidP="001438A5">
            <w:pPr>
              <w:spacing w:after="0" w:line="240" w:lineRule="auto"/>
              <w:jc w:val="center"/>
              <w:rPr>
                <w:rFonts w:cs="Arial"/>
                <w:sz w:val="16"/>
                <w:szCs w:val="16"/>
              </w:rPr>
            </w:pPr>
            <w:r w:rsidRPr="00581065">
              <w:rPr>
                <w:rFonts w:cs="Arial"/>
                <w:sz w:val="16"/>
                <w:szCs w:val="16"/>
              </w:rPr>
              <w:t>3,54</w:t>
            </w:r>
          </w:p>
        </w:tc>
        <w:tc>
          <w:tcPr>
            <w:tcW w:w="907" w:type="dxa"/>
            <w:tcBorders>
              <w:top w:val="nil"/>
              <w:left w:val="nil"/>
              <w:bottom w:val="nil"/>
              <w:right w:val="nil"/>
            </w:tcBorders>
            <w:shd w:val="clear" w:color="auto" w:fill="auto"/>
            <w:noWrap/>
            <w:vAlign w:val="center"/>
            <w:hideMark/>
          </w:tcPr>
          <w:p w14:paraId="53004073" w14:textId="77777777" w:rsidR="00581065" w:rsidRPr="00581065" w:rsidRDefault="00581065" w:rsidP="001438A5">
            <w:pPr>
              <w:spacing w:after="0" w:line="240" w:lineRule="auto"/>
              <w:jc w:val="center"/>
              <w:rPr>
                <w:rFonts w:cs="Arial"/>
                <w:sz w:val="16"/>
                <w:szCs w:val="16"/>
              </w:rPr>
            </w:pPr>
            <w:r w:rsidRPr="00581065">
              <w:rPr>
                <w:rFonts w:cs="Arial"/>
                <w:sz w:val="16"/>
                <w:szCs w:val="16"/>
              </w:rPr>
              <w:t>2,89</w:t>
            </w:r>
          </w:p>
        </w:tc>
        <w:tc>
          <w:tcPr>
            <w:tcW w:w="907" w:type="dxa"/>
            <w:tcBorders>
              <w:top w:val="nil"/>
              <w:left w:val="nil"/>
              <w:bottom w:val="nil"/>
              <w:right w:val="nil"/>
            </w:tcBorders>
            <w:shd w:val="clear" w:color="auto" w:fill="auto"/>
            <w:noWrap/>
            <w:vAlign w:val="center"/>
            <w:hideMark/>
          </w:tcPr>
          <w:p w14:paraId="4BB55AA3" w14:textId="77777777" w:rsidR="00581065" w:rsidRPr="00581065" w:rsidRDefault="00581065" w:rsidP="001438A5">
            <w:pPr>
              <w:spacing w:after="0" w:line="240" w:lineRule="auto"/>
              <w:jc w:val="center"/>
              <w:rPr>
                <w:rFonts w:cs="Arial"/>
                <w:sz w:val="16"/>
                <w:szCs w:val="16"/>
              </w:rPr>
            </w:pPr>
            <w:r w:rsidRPr="00581065">
              <w:rPr>
                <w:rFonts w:cs="Arial"/>
                <w:sz w:val="16"/>
                <w:szCs w:val="16"/>
              </w:rPr>
              <w:t>2,89</w:t>
            </w:r>
          </w:p>
        </w:tc>
        <w:tc>
          <w:tcPr>
            <w:tcW w:w="907" w:type="dxa"/>
            <w:tcBorders>
              <w:top w:val="nil"/>
              <w:left w:val="nil"/>
              <w:bottom w:val="nil"/>
              <w:right w:val="nil"/>
            </w:tcBorders>
            <w:shd w:val="clear" w:color="auto" w:fill="auto"/>
            <w:noWrap/>
            <w:vAlign w:val="center"/>
            <w:hideMark/>
          </w:tcPr>
          <w:p w14:paraId="0762F769" w14:textId="77777777" w:rsidR="00581065" w:rsidRPr="00581065" w:rsidRDefault="00581065" w:rsidP="001438A5">
            <w:pPr>
              <w:spacing w:after="0" w:line="240" w:lineRule="auto"/>
              <w:jc w:val="center"/>
              <w:rPr>
                <w:rFonts w:cs="Arial"/>
                <w:sz w:val="16"/>
                <w:szCs w:val="16"/>
              </w:rPr>
            </w:pPr>
            <w:r w:rsidRPr="00581065">
              <w:rPr>
                <w:rFonts w:cs="Arial"/>
                <w:sz w:val="16"/>
                <w:szCs w:val="16"/>
              </w:rPr>
              <w:t>2,84</w:t>
            </w:r>
          </w:p>
        </w:tc>
        <w:tc>
          <w:tcPr>
            <w:tcW w:w="907" w:type="dxa"/>
            <w:tcBorders>
              <w:top w:val="nil"/>
              <w:left w:val="nil"/>
              <w:bottom w:val="nil"/>
              <w:right w:val="nil"/>
            </w:tcBorders>
            <w:shd w:val="clear" w:color="auto" w:fill="auto"/>
            <w:noWrap/>
            <w:vAlign w:val="center"/>
            <w:hideMark/>
          </w:tcPr>
          <w:p w14:paraId="7ABA229A" w14:textId="77777777" w:rsidR="00581065" w:rsidRPr="00581065" w:rsidRDefault="00581065" w:rsidP="001438A5">
            <w:pPr>
              <w:spacing w:after="0" w:line="240" w:lineRule="auto"/>
              <w:jc w:val="center"/>
              <w:rPr>
                <w:rFonts w:cs="Arial"/>
                <w:sz w:val="16"/>
                <w:szCs w:val="16"/>
              </w:rPr>
            </w:pPr>
            <w:r w:rsidRPr="00581065">
              <w:rPr>
                <w:rFonts w:cs="Arial"/>
                <w:sz w:val="16"/>
                <w:szCs w:val="16"/>
              </w:rPr>
              <w:t>3,27</w:t>
            </w:r>
          </w:p>
        </w:tc>
      </w:tr>
      <w:tr w:rsidR="00581065" w:rsidRPr="00581065" w14:paraId="56C5606B" w14:textId="77777777" w:rsidTr="001438A5">
        <w:trPr>
          <w:trHeight w:val="300"/>
        </w:trPr>
        <w:tc>
          <w:tcPr>
            <w:tcW w:w="1417" w:type="dxa"/>
            <w:tcBorders>
              <w:top w:val="nil"/>
              <w:left w:val="nil"/>
              <w:bottom w:val="nil"/>
              <w:right w:val="nil"/>
            </w:tcBorders>
            <w:shd w:val="clear" w:color="auto" w:fill="auto"/>
            <w:noWrap/>
            <w:vAlign w:val="center"/>
            <w:hideMark/>
          </w:tcPr>
          <w:p w14:paraId="73AA247C"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Švédsko</w:t>
            </w:r>
          </w:p>
        </w:tc>
        <w:tc>
          <w:tcPr>
            <w:tcW w:w="907" w:type="dxa"/>
            <w:tcBorders>
              <w:top w:val="nil"/>
              <w:left w:val="single" w:sz="4" w:space="0" w:color="000000"/>
              <w:bottom w:val="nil"/>
              <w:right w:val="nil"/>
            </w:tcBorders>
            <w:shd w:val="clear" w:color="auto" w:fill="auto"/>
            <w:noWrap/>
            <w:vAlign w:val="center"/>
            <w:hideMark/>
          </w:tcPr>
          <w:p w14:paraId="6146A2E1" w14:textId="77777777" w:rsidR="00581065" w:rsidRPr="00581065" w:rsidRDefault="00581065" w:rsidP="001438A5">
            <w:pPr>
              <w:spacing w:after="0" w:line="240" w:lineRule="auto"/>
              <w:jc w:val="center"/>
              <w:rPr>
                <w:rFonts w:cs="Arial"/>
                <w:sz w:val="16"/>
                <w:szCs w:val="16"/>
              </w:rPr>
            </w:pPr>
            <w:r w:rsidRPr="00581065">
              <w:rPr>
                <w:rFonts w:cs="Arial"/>
                <w:sz w:val="16"/>
                <w:szCs w:val="16"/>
              </w:rPr>
              <w:t>2,33</w:t>
            </w:r>
          </w:p>
        </w:tc>
        <w:tc>
          <w:tcPr>
            <w:tcW w:w="907" w:type="dxa"/>
            <w:tcBorders>
              <w:top w:val="nil"/>
              <w:left w:val="nil"/>
              <w:bottom w:val="nil"/>
              <w:right w:val="nil"/>
            </w:tcBorders>
            <w:shd w:val="clear" w:color="auto" w:fill="auto"/>
            <w:noWrap/>
            <w:vAlign w:val="center"/>
            <w:hideMark/>
          </w:tcPr>
          <w:p w14:paraId="6DE37910" w14:textId="77777777" w:rsidR="00581065" w:rsidRPr="00581065" w:rsidRDefault="00581065" w:rsidP="001438A5">
            <w:pPr>
              <w:spacing w:after="0" w:line="240" w:lineRule="auto"/>
              <w:jc w:val="center"/>
              <w:rPr>
                <w:rFonts w:cs="Arial"/>
                <w:sz w:val="16"/>
                <w:szCs w:val="16"/>
              </w:rPr>
            </w:pPr>
            <w:r w:rsidRPr="00581065">
              <w:rPr>
                <w:rFonts w:cs="Arial"/>
                <w:sz w:val="16"/>
                <w:szCs w:val="16"/>
              </w:rPr>
              <w:t>1,37</w:t>
            </w:r>
          </w:p>
        </w:tc>
        <w:tc>
          <w:tcPr>
            <w:tcW w:w="907" w:type="dxa"/>
            <w:tcBorders>
              <w:top w:val="nil"/>
              <w:left w:val="nil"/>
              <w:bottom w:val="nil"/>
              <w:right w:val="nil"/>
            </w:tcBorders>
            <w:shd w:val="clear" w:color="auto" w:fill="auto"/>
            <w:noWrap/>
            <w:vAlign w:val="center"/>
            <w:hideMark/>
          </w:tcPr>
          <w:p w14:paraId="4AA84729" w14:textId="77777777" w:rsidR="00581065" w:rsidRPr="00581065" w:rsidRDefault="00581065" w:rsidP="001438A5">
            <w:pPr>
              <w:spacing w:after="0" w:line="240" w:lineRule="auto"/>
              <w:jc w:val="center"/>
              <w:rPr>
                <w:rFonts w:cs="Arial"/>
                <w:sz w:val="16"/>
                <w:szCs w:val="16"/>
              </w:rPr>
            </w:pPr>
            <w:r w:rsidRPr="00581065">
              <w:rPr>
                <w:rFonts w:cs="Arial"/>
                <w:sz w:val="16"/>
                <w:szCs w:val="16"/>
              </w:rPr>
              <w:t>1,24</w:t>
            </w:r>
          </w:p>
        </w:tc>
        <w:tc>
          <w:tcPr>
            <w:tcW w:w="907" w:type="dxa"/>
            <w:tcBorders>
              <w:top w:val="nil"/>
              <w:left w:val="nil"/>
              <w:bottom w:val="nil"/>
              <w:right w:val="nil"/>
            </w:tcBorders>
            <w:shd w:val="clear" w:color="auto" w:fill="auto"/>
            <w:noWrap/>
            <w:vAlign w:val="center"/>
            <w:hideMark/>
          </w:tcPr>
          <w:p w14:paraId="34BEBC8C" w14:textId="77777777" w:rsidR="00581065" w:rsidRPr="00581065" w:rsidRDefault="00581065" w:rsidP="001438A5">
            <w:pPr>
              <w:spacing w:after="0" w:line="240" w:lineRule="auto"/>
              <w:jc w:val="center"/>
              <w:rPr>
                <w:rFonts w:cs="Arial"/>
                <w:sz w:val="16"/>
                <w:szCs w:val="16"/>
              </w:rPr>
            </w:pPr>
            <w:r w:rsidRPr="00581065">
              <w:rPr>
                <w:rFonts w:cs="Arial"/>
                <w:sz w:val="16"/>
                <w:szCs w:val="16"/>
              </w:rPr>
              <w:t>1,49</w:t>
            </w:r>
          </w:p>
        </w:tc>
        <w:tc>
          <w:tcPr>
            <w:tcW w:w="907" w:type="dxa"/>
            <w:tcBorders>
              <w:top w:val="nil"/>
              <w:left w:val="nil"/>
              <w:bottom w:val="nil"/>
              <w:right w:val="nil"/>
            </w:tcBorders>
            <w:shd w:val="clear" w:color="auto" w:fill="auto"/>
            <w:noWrap/>
            <w:vAlign w:val="center"/>
            <w:hideMark/>
          </w:tcPr>
          <w:p w14:paraId="145419BC" w14:textId="77777777" w:rsidR="00581065" w:rsidRPr="00581065" w:rsidRDefault="00581065" w:rsidP="001438A5">
            <w:pPr>
              <w:spacing w:after="0" w:line="240" w:lineRule="auto"/>
              <w:jc w:val="center"/>
              <w:rPr>
                <w:rFonts w:cs="Arial"/>
                <w:sz w:val="16"/>
                <w:szCs w:val="16"/>
              </w:rPr>
            </w:pPr>
            <w:r w:rsidRPr="00581065">
              <w:rPr>
                <w:rFonts w:cs="Arial"/>
                <w:sz w:val="16"/>
                <w:szCs w:val="16"/>
              </w:rPr>
              <w:t>1,15</w:t>
            </w:r>
          </w:p>
        </w:tc>
        <w:tc>
          <w:tcPr>
            <w:tcW w:w="907" w:type="dxa"/>
            <w:tcBorders>
              <w:top w:val="nil"/>
              <w:left w:val="nil"/>
              <w:bottom w:val="nil"/>
              <w:right w:val="nil"/>
            </w:tcBorders>
            <w:shd w:val="clear" w:color="auto" w:fill="auto"/>
            <w:noWrap/>
            <w:vAlign w:val="center"/>
            <w:hideMark/>
          </w:tcPr>
          <w:p w14:paraId="796BF0B9" w14:textId="77777777" w:rsidR="00581065" w:rsidRPr="00581065" w:rsidRDefault="00581065" w:rsidP="001438A5">
            <w:pPr>
              <w:spacing w:after="0" w:line="240" w:lineRule="auto"/>
              <w:jc w:val="center"/>
              <w:rPr>
                <w:rFonts w:cs="Arial"/>
                <w:sz w:val="16"/>
                <w:szCs w:val="16"/>
              </w:rPr>
            </w:pPr>
            <w:r w:rsidRPr="00581065">
              <w:rPr>
                <w:rFonts w:cs="Arial"/>
                <w:sz w:val="16"/>
                <w:szCs w:val="16"/>
              </w:rPr>
              <w:t>1,21</w:t>
            </w:r>
          </w:p>
        </w:tc>
        <w:tc>
          <w:tcPr>
            <w:tcW w:w="907" w:type="dxa"/>
            <w:tcBorders>
              <w:top w:val="nil"/>
              <w:left w:val="nil"/>
              <w:bottom w:val="nil"/>
              <w:right w:val="nil"/>
            </w:tcBorders>
            <w:shd w:val="clear" w:color="auto" w:fill="auto"/>
            <w:noWrap/>
            <w:vAlign w:val="center"/>
            <w:hideMark/>
          </w:tcPr>
          <w:p w14:paraId="3CFEE896" w14:textId="77777777" w:rsidR="00581065" w:rsidRPr="00581065" w:rsidRDefault="00581065" w:rsidP="001438A5">
            <w:pPr>
              <w:spacing w:after="0" w:line="240" w:lineRule="auto"/>
              <w:jc w:val="center"/>
              <w:rPr>
                <w:rFonts w:cs="Arial"/>
                <w:sz w:val="16"/>
                <w:szCs w:val="16"/>
              </w:rPr>
            </w:pPr>
            <w:r w:rsidRPr="00581065">
              <w:rPr>
                <w:rFonts w:cs="Arial"/>
                <w:sz w:val="16"/>
                <w:szCs w:val="16"/>
              </w:rPr>
              <w:t>1,7</w:t>
            </w:r>
            <w:r>
              <w:rPr>
                <w:rFonts w:cs="Arial"/>
                <w:sz w:val="16"/>
                <w:szCs w:val="16"/>
              </w:rPr>
              <w:t>0</w:t>
            </w:r>
          </w:p>
        </w:tc>
        <w:tc>
          <w:tcPr>
            <w:tcW w:w="907" w:type="dxa"/>
            <w:tcBorders>
              <w:top w:val="nil"/>
              <w:left w:val="nil"/>
              <w:bottom w:val="nil"/>
              <w:right w:val="nil"/>
            </w:tcBorders>
            <w:shd w:val="clear" w:color="auto" w:fill="auto"/>
            <w:noWrap/>
            <w:vAlign w:val="center"/>
            <w:hideMark/>
          </w:tcPr>
          <w:p w14:paraId="1A2D943E" w14:textId="77777777" w:rsidR="00581065" w:rsidRPr="00581065" w:rsidRDefault="00581065" w:rsidP="001438A5">
            <w:pPr>
              <w:spacing w:after="0" w:line="240" w:lineRule="auto"/>
              <w:jc w:val="center"/>
              <w:rPr>
                <w:rFonts w:cs="Arial"/>
                <w:sz w:val="16"/>
                <w:szCs w:val="16"/>
              </w:rPr>
            </w:pPr>
            <w:r w:rsidRPr="00581065">
              <w:rPr>
                <w:rFonts w:cs="Arial"/>
                <w:sz w:val="16"/>
                <w:szCs w:val="16"/>
              </w:rPr>
              <w:t>1,66</w:t>
            </w:r>
          </w:p>
        </w:tc>
        <w:tc>
          <w:tcPr>
            <w:tcW w:w="907" w:type="dxa"/>
            <w:tcBorders>
              <w:top w:val="nil"/>
              <w:left w:val="nil"/>
              <w:bottom w:val="nil"/>
              <w:right w:val="nil"/>
            </w:tcBorders>
            <w:shd w:val="clear" w:color="auto" w:fill="auto"/>
            <w:noWrap/>
            <w:vAlign w:val="center"/>
            <w:hideMark/>
          </w:tcPr>
          <w:p w14:paraId="619CC884" w14:textId="77777777" w:rsidR="00581065" w:rsidRPr="00581065" w:rsidRDefault="00581065" w:rsidP="001438A5">
            <w:pPr>
              <w:spacing w:after="0" w:line="240" w:lineRule="auto"/>
              <w:jc w:val="center"/>
              <w:rPr>
                <w:rFonts w:cs="Arial"/>
                <w:sz w:val="16"/>
                <w:szCs w:val="16"/>
              </w:rPr>
            </w:pPr>
            <w:r w:rsidRPr="00581065">
              <w:rPr>
                <w:rFonts w:cs="Arial"/>
                <w:sz w:val="16"/>
                <w:szCs w:val="16"/>
              </w:rPr>
              <w:t>1,14</w:t>
            </w:r>
          </w:p>
        </w:tc>
      </w:tr>
    </w:tbl>
    <w:p w14:paraId="6D10DB5C" w14:textId="77777777" w:rsidR="00581065" w:rsidRDefault="00581065" w:rsidP="00F40B8C"/>
    <w:p w14:paraId="3ABC473E" w14:textId="77777777" w:rsidR="00581065" w:rsidRPr="0083282F" w:rsidRDefault="00581065" w:rsidP="00581065">
      <w:pPr>
        <w:spacing w:after="0" w:line="240" w:lineRule="auto"/>
        <w:rPr>
          <w:rFonts w:cs="Arial"/>
          <w:sz w:val="16"/>
          <w:szCs w:val="16"/>
        </w:rPr>
      </w:pPr>
      <w:r w:rsidRPr="0083282F">
        <w:rPr>
          <w:rFonts w:cs="Arial"/>
          <w:sz w:val="16"/>
          <w:szCs w:val="16"/>
          <w:highlight w:val="lightGray"/>
        </w:rPr>
        <w:t>Přerušení v časové řadě</w:t>
      </w:r>
    </w:p>
    <w:p w14:paraId="6405E1E0" w14:textId="77777777" w:rsidR="00581065" w:rsidRPr="00D92E20" w:rsidRDefault="00581065" w:rsidP="00581065">
      <w:pPr>
        <w:spacing w:after="120"/>
        <w:jc w:val="both"/>
        <w:rPr>
          <w:sz w:val="16"/>
        </w:rPr>
      </w:pPr>
      <w:r w:rsidRPr="00D92E20">
        <w:rPr>
          <w:sz w:val="16"/>
        </w:rPr>
        <w:t>Zdroj: Eurostat (ESAW)</w:t>
      </w:r>
    </w:p>
    <w:p w14:paraId="50B72BBC" w14:textId="77777777" w:rsidR="007459BF" w:rsidRDefault="007459BF">
      <w:pPr>
        <w:spacing w:after="0" w:line="240" w:lineRule="auto"/>
        <w:rPr>
          <w:rFonts w:eastAsia="MS Gothic"/>
          <w:b/>
          <w:bCs/>
          <w:color w:val="BC091B"/>
          <w:sz w:val="28"/>
          <w:szCs w:val="26"/>
        </w:rPr>
      </w:pPr>
      <w:r>
        <w:br w:type="page"/>
      </w:r>
    </w:p>
    <w:p w14:paraId="1E15B194" w14:textId="77777777" w:rsidR="00581065" w:rsidRDefault="007459BF" w:rsidP="007459BF">
      <w:pPr>
        <w:pStyle w:val="Nadpis2"/>
      </w:pPr>
      <w:bookmarkStart w:id="24" w:name="_Toc104792917"/>
      <w:r w:rsidRPr="00BB1EF6">
        <w:lastRenderedPageBreak/>
        <w:t>4.6 Závěrečné shrnutí</w:t>
      </w:r>
      <w:bookmarkEnd w:id="24"/>
    </w:p>
    <w:p w14:paraId="414A2BEB" w14:textId="3F35B54D" w:rsidR="00447822" w:rsidRDefault="007459BF" w:rsidP="004229D4">
      <w:pPr>
        <w:pStyle w:val="Seznam"/>
        <w:numPr>
          <w:ilvl w:val="0"/>
          <w:numId w:val="32"/>
        </w:numPr>
        <w:spacing w:after="120" w:line="264" w:lineRule="auto"/>
        <w:contextualSpacing w:val="0"/>
        <w:jc w:val="both"/>
      </w:pPr>
      <w:r w:rsidRPr="00447822">
        <w:t>V </w:t>
      </w:r>
      <w:r w:rsidR="00447822" w:rsidRPr="00447822">
        <w:t>roce</w:t>
      </w:r>
      <w:r w:rsidRPr="00447822">
        <w:t xml:space="preserve"> 2021 bylo v Česku</w:t>
      </w:r>
      <w:r w:rsidRPr="00447822">
        <w:rPr>
          <w:b/>
        </w:rPr>
        <w:t xml:space="preserve"> nemocensky pojištěno </w:t>
      </w:r>
      <w:r w:rsidRPr="00447822">
        <w:t>celkem</w:t>
      </w:r>
      <w:r w:rsidRPr="00447822">
        <w:rPr>
          <w:b/>
        </w:rPr>
        <w:t xml:space="preserve"> </w:t>
      </w:r>
      <w:r w:rsidR="00447822" w:rsidRPr="00447822">
        <w:rPr>
          <w:b/>
        </w:rPr>
        <w:t>4</w:t>
      </w:r>
      <w:r w:rsidR="00C319F1">
        <w:rPr>
          <w:b/>
        </w:rPr>
        <w:t> </w:t>
      </w:r>
      <w:r w:rsidR="00447822" w:rsidRPr="00447822">
        <w:rPr>
          <w:b/>
        </w:rPr>
        <w:t>708</w:t>
      </w:r>
      <w:r w:rsidRPr="00447822">
        <w:rPr>
          <w:b/>
        </w:rPr>
        <w:t xml:space="preserve"> tis.</w:t>
      </w:r>
      <w:r w:rsidRPr="00447822">
        <w:t xml:space="preserve"> </w:t>
      </w:r>
      <w:r w:rsidRPr="00447822">
        <w:rPr>
          <w:b/>
        </w:rPr>
        <w:t>osob</w:t>
      </w:r>
      <w:r w:rsidRPr="00447822">
        <w:t xml:space="preserve">, </w:t>
      </w:r>
      <w:r w:rsidR="00447822" w:rsidRPr="00447822">
        <w:rPr>
          <w:rFonts w:cs="Arial"/>
          <w:bCs/>
          <w:color w:val="000000"/>
          <w:szCs w:val="20"/>
        </w:rPr>
        <w:t>tedy téměř o 18 tis. (tj. o 0,4</w:t>
      </w:r>
      <w:r w:rsidR="00580463">
        <w:rPr>
          <w:rFonts w:cs="Arial"/>
          <w:bCs/>
          <w:color w:val="000000"/>
          <w:szCs w:val="20"/>
        </w:rPr>
        <w:t> </w:t>
      </w:r>
      <w:r w:rsidR="00447822" w:rsidRPr="00D92E20">
        <w:rPr>
          <w:rFonts w:cs="Arial"/>
          <w:bCs/>
          <w:color w:val="000000"/>
          <w:szCs w:val="20"/>
        </w:rPr>
        <w:t xml:space="preserve">%) </w:t>
      </w:r>
      <w:r w:rsidR="00447822">
        <w:rPr>
          <w:rFonts w:cs="Arial"/>
          <w:bCs/>
          <w:color w:val="000000"/>
          <w:szCs w:val="20"/>
        </w:rPr>
        <w:t>více</w:t>
      </w:r>
      <w:r w:rsidR="00447822" w:rsidRPr="00D92E20">
        <w:rPr>
          <w:rFonts w:cs="Arial"/>
          <w:bCs/>
          <w:color w:val="000000"/>
          <w:szCs w:val="20"/>
        </w:rPr>
        <w:t xml:space="preserve"> než před rokem</w:t>
      </w:r>
      <w:r w:rsidRPr="00447822">
        <w:rPr>
          <w:szCs w:val="20"/>
        </w:rPr>
        <w:t>.</w:t>
      </w:r>
      <w:r w:rsidR="00447822" w:rsidRPr="00447822">
        <w:rPr>
          <w:szCs w:val="20"/>
        </w:rPr>
        <w:t xml:space="preserve"> </w:t>
      </w:r>
      <w:r w:rsidR="00392BCD" w:rsidRPr="00392BCD">
        <w:rPr>
          <w:b/>
          <w:szCs w:val="20"/>
        </w:rPr>
        <w:t>Povinné</w:t>
      </w:r>
      <w:r w:rsidR="00392BCD">
        <w:rPr>
          <w:szCs w:val="20"/>
        </w:rPr>
        <w:t xml:space="preserve"> nemocenské pojištění se týkalo </w:t>
      </w:r>
      <w:r w:rsidR="00392BCD" w:rsidRPr="00FF2069">
        <w:t xml:space="preserve">4 610 tis. zaměstnanců a </w:t>
      </w:r>
      <w:r w:rsidR="00392BCD" w:rsidRPr="00392BCD">
        <w:rPr>
          <w:b/>
        </w:rPr>
        <w:t>dobrovoln</w:t>
      </w:r>
      <w:r w:rsidR="00392BCD">
        <w:rPr>
          <w:b/>
        </w:rPr>
        <w:t>é</w:t>
      </w:r>
      <w:r w:rsidR="00392BCD" w:rsidRPr="00FF2069">
        <w:t xml:space="preserve"> 9</w:t>
      </w:r>
      <w:r w:rsidR="009A44EA">
        <w:t>9</w:t>
      </w:r>
      <w:r w:rsidR="00392BCD" w:rsidRPr="00FF2069">
        <w:t xml:space="preserve"> tis. osob samostatně výdělečně činných</w:t>
      </w:r>
      <w:r w:rsidR="00392BCD">
        <w:t>.</w:t>
      </w:r>
    </w:p>
    <w:p w14:paraId="7D122CC4" w14:textId="310A1216" w:rsidR="005064ED" w:rsidRDefault="005064ED" w:rsidP="005064ED">
      <w:pPr>
        <w:pStyle w:val="Odstavecseseznamem"/>
        <w:numPr>
          <w:ilvl w:val="0"/>
          <w:numId w:val="32"/>
        </w:numPr>
        <w:spacing w:after="120" w:line="264" w:lineRule="auto"/>
        <w:contextualSpacing w:val="0"/>
        <w:jc w:val="both"/>
      </w:pPr>
      <w:r w:rsidRPr="00FF2069">
        <w:t>Za posledních deset let se počet nemocensky pojištěných zaměstnanců zvýšil o 5</w:t>
      </w:r>
      <w:r>
        <w:t>48</w:t>
      </w:r>
      <w:r w:rsidRPr="00FF2069">
        <w:t xml:space="preserve"> tisíc (1</w:t>
      </w:r>
      <w:r>
        <w:t>3</w:t>
      </w:r>
      <w:r w:rsidRPr="00FF2069">
        <w:t> %).</w:t>
      </w:r>
      <w:r w:rsidRPr="00513BF1">
        <w:t xml:space="preserve"> Na tomto nárůstu se podílely především ženy.</w:t>
      </w:r>
      <w:r>
        <w:t xml:space="preserve"> </w:t>
      </w:r>
      <w:r w:rsidRPr="0045441A">
        <w:t>Počet nemocensky pojištěných</w:t>
      </w:r>
      <w:r w:rsidRPr="008221D0">
        <w:rPr>
          <w:b/>
        </w:rPr>
        <w:t xml:space="preserve"> zaměstnankyň</w:t>
      </w:r>
      <w:r w:rsidRPr="00513BF1">
        <w:t xml:space="preserve"> </w:t>
      </w:r>
      <w:r>
        <w:t xml:space="preserve">mezi roky 2011 a 2021 vzrostl </w:t>
      </w:r>
      <w:r w:rsidRPr="00513BF1">
        <w:t xml:space="preserve">o </w:t>
      </w:r>
      <w:r>
        <w:t>15 </w:t>
      </w:r>
      <w:r w:rsidRPr="00513BF1">
        <w:t>% (</w:t>
      </w:r>
      <w:r>
        <w:t>304</w:t>
      </w:r>
      <w:r w:rsidRPr="00513BF1">
        <w:t xml:space="preserve"> tis.). </w:t>
      </w:r>
    </w:p>
    <w:p w14:paraId="75C6A3B5" w14:textId="46B02BC7" w:rsidR="00AC647B" w:rsidRDefault="00AC647B" w:rsidP="00AC647B">
      <w:pPr>
        <w:pStyle w:val="Odstavecseseznamem"/>
        <w:numPr>
          <w:ilvl w:val="0"/>
          <w:numId w:val="31"/>
        </w:numPr>
        <w:spacing w:after="120" w:line="264" w:lineRule="auto"/>
        <w:ind w:left="283" w:hanging="357"/>
        <w:contextualSpacing w:val="0"/>
        <w:jc w:val="both"/>
      </w:pPr>
      <w:r w:rsidRPr="008221D0">
        <w:t xml:space="preserve">Nejvíce pojištěnců, </w:t>
      </w:r>
      <w:r>
        <w:t>93</w:t>
      </w:r>
      <w:r w:rsidRPr="00FF2069">
        <w:t xml:space="preserve"> tis. (30 %)</w:t>
      </w:r>
      <w:r w:rsidRPr="008221D0">
        <w:t xml:space="preserve"> přibylo</w:t>
      </w:r>
      <w:r>
        <w:t xml:space="preserve"> za posledních deset let </w:t>
      </w:r>
      <w:r w:rsidRPr="008221D0">
        <w:t>v</w:t>
      </w:r>
      <w:r>
        <w:t xml:space="preserve">e </w:t>
      </w:r>
      <w:r w:rsidRPr="008221D0">
        <w:rPr>
          <w:b/>
        </w:rPr>
        <w:t>zdravotní a sociální péči</w:t>
      </w:r>
      <w:r w:rsidRPr="008221D0">
        <w:t>. Přičemž jen meziroční nárůst</w:t>
      </w:r>
      <w:r>
        <w:t xml:space="preserve"> v roce 2021</w:t>
      </w:r>
      <w:r w:rsidRPr="008221D0">
        <w:t xml:space="preserve"> – v souvislosti s nebývalým náporem na zdravotnictví v podobě pandemie – činil 19 tis., resp. 5 %. </w:t>
      </w:r>
    </w:p>
    <w:p w14:paraId="38F1CEF2" w14:textId="26D49803" w:rsidR="007459BF" w:rsidRPr="00580463" w:rsidRDefault="007459BF" w:rsidP="004229D4">
      <w:pPr>
        <w:pStyle w:val="Odstavecseseznamem"/>
        <w:numPr>
          <w:ilvl w:val="0"/>
          <w:numId w:val="31"/>
        </w:numPr>
        <w:spacing w:after="120" w:line="264" w:lineRule="auto"/>
        <w:ind w:left="283" w:hanging="357"/>
        <w:contextualSpacing w:val="0"/>
        <w:jc w:val="both"/>
      </w:pPr>
      <w:r w:rsidRPr="00580463">
        <w:t>V</w:t>
      </w:r>
      <w:r w:rsidR="00580463" w:rsidRPr="00580463">
        <w:t> roce</w:t>
      </w:r>
      <w:r w:rsidRPr="00580463">
        <w:t xml:space="preserve"> </w:t>
      </w:r>
      <w:r w:rsidR="00580463" w:rsidRPr="00580463">
        <w:t xml:space="preserve">2021 </w:t>
      </w:r>
      <w:r w:rsidR="00AC647B">
        <w:t xml:space="preserve">bylo </w:t>
      </w:r>
      <w:r w:rsidRPr="00AC647B">
        <w:rPr>
          <w:b/>
        </w:rPr>
        <w:t>nahlášeno</w:t>
      </w:r>
      <w:r w:rsidRPr="00580463">
        <w:t xml:space="preserve"> celkem </w:t>
      </w:r>
      <w:r w:rsidR="00580463" w:rsidRPr="00580463">
        <w:rPr>
          <w:b/>
        </w:rPr>
        <w:t>2</w:t>
      </w:r>
      <w:r w:rsidR="00580463" w:rsidRPr="00580463">
        <w:t xml:space="preserve"> </w:t>
      </w:r>
      <w:r w:rsidR="00580463" w:rsidRPr="00580463">
        <w:rPr>
          <w:b/>
        </w:rPr>
        <w:t>755</w:t>
      </w:r>
      <w:r w:rsidRPr="00580463">
        <w:rPr>
          <w:b/>
        </w:rPr>
        <w:t xml:space="preserve"> tis.</w:t>
      </w:r>
      <w:r w:rsidRPr="00580463">
        <w:t xml:space="preserve"> </w:t>
      </w:r>
      <w:r w:rsidRPr="00580463">
        <w:rPr>
          <w:b/>
        </w:rPr>
        <w:t>případů dočasné pracovní neschopnosti</w:t>
      </w:r>
      <w:r w:rsidR="00AC647B">
        <w:rPr>
          <w:b/>
        </w:rPr>
        <w:t xml:space="preserve">, </w:t>
      </w:r>
      <w:r w:rsidR="00AC647B">
        <w:t>93 %</w:t>
      </w:r>
      <w:r w:rsidR="00AC647B" w:rsidRPr="0045441A">
        <w:t xml:space="preserve"> z nich z</w:t>
      </w:r>
      <w:r w:rsidR="00AC647B">
        <w:t> </w:t>
      </w:r>
      <w:r w:rsidR="00AC647B" w:rsidRPr="0045441A">
        <w:t>důvodu nemoci či</w:t>
      </w:r>
      <w:r w:rsidR="00AC647B">
        <w:t xml:space="preserve"> karantény, zbytek kvůli úrazům</w:t>
      </w:r>
      <w:r w:rsidRPr="00580463">
        <w:t xml:space="preserve">. </w:t>
      </w:r>
    </w:p>
    <w:p w14:paraId="78286239" w14:textId="77777777" w:rsidR="009E00DD" w:rsidRPr="009E00DD" w:rsidRDefault="00AC647B" w:rsidP="004229D4">
      <w:pPr>
        <w:pStyle w:val="Odstavecseseznamem"/>
        <w:numPr>
          <w:ilvl w:val="0"/>
          <w:numId w:val="31"/>
        </w:numPr>
        <w:spacing w:after="120" w:line="264" w:lineRule="auto"/>
        <w:ind w:left="283" w:hanging="357"/>
        <w:contextualSpacing w:val="0"/>
        <w:jc w:val="both"/>
      </w:pPr>
      <w:r w:rsidRPr="00580463">
        <w:t xml:space="preserve">Meziročně vzrostl počet </w:t>
      </w:r>
      <w:r>
        <w:t xml:space="preserve">případů dočasné pracovní neschopnosti </w:t>
      </w:r>
      <w:r w:rsidRPr="00580463">
        <w:t>o </w:t>
      </w:r>
      <w:r>
        <w:t>15 % (</w:t>
      </w:r>
      <w:r w:rsidRPr="00580463">
        <w:t xml:space="preserve">+364 tis.). </w:t>
      </w:r>
      <w:r w:rsidR="00580463" w:rsidRPr="00580463">
        <w:rPr>
          <w:bCs/>
        </w:rPr>
        <w:t>Rychleji rostl počet neschopenek u mužů než u žen. Muži zaznamenali o 201 tis. případů (18 %) více než před rokem, počet neschopností žen vzrostl o 163 tis. (13 %).</w:t>
      </w:r>
    </w:p>
    <w:p w14:paraId="2FC4ECE1" w14:textId="240D0D3E" w:rsidR="007459BF" w:rsidRPr="00580463" w:rsidRDefault="009E00DD" w:rsidP="009A44EA">
      <w:pPr>
        <w:pStyle w:val="Odstavecseseznamem"/>
        <w:numPr>
          <w:ilvl w:val="0"/>
          <w:numId w:val="31"/>
        </w:numPr>
        <w:spacing w:after="120" w:line="264" w:lineRule="auto"/>
        <w:ind w:left="283" w:hanging="357"/>
        <w:contextualSpacing w:val="0"/>
        <w:jc w:val="both"/>
      </w:pPr>
      <w:r>
        <w:rPr>
          <w:bCs/>
        </w:rPr>
        <w:t>V roce 2021 bylo vystaveno 2 550 tis. neschopenek</w:t>
      </w:r>
      <w:r w:rsidRPr="00D92E20">
        <w:rPr>
          <w:bCs/>
        </w:rPr>
        <w:t xml:space="preserve"> </w:t>
      </w:r>
      <w:r w:rsidRPr="00D92E20">
        <w:rPr>
          <w:b/>
          <w:bCs/>
        </w:rPr>
        <w:t>pro nemoc</w:t>
      </w:r>
      <w:r>
        <w:rPr>
          <w:bCs/>
        </w:rPr>
        <w:t xml:space="preserve">, </w:t>
      </w:r>
      <w:r w:rsidRPr="00D92E20">
        <w:rPr>
          <w:bCs/>
        </w:rPr>
        <w:t>o </w:t>
      </w:r>
      <w:r>
        <w:rPr>
          <w:bCs/>
        </w:rPr>
        <w:t xml:space="preserve">839 </w:t>
      </w:r>
      <w:r w:rsidRPr="00D92E20">
        <w:rPr>
          <w:bCs/>
        </w:rPr>
        <w:t xml:space="preserve">tis. více než </w:t>
      </w:r>
      <w:r w:rsidR="002F2C0C">
        <w:rPr>
          <w:bCs/>
        </w:rPr>
        <w:t>v období</w:t>
      </w:r>
      <w:r w:rsidR="009A44EA">
        <w:rPr>
          <w:bCs/>
        </w:rPr>
        <w:t xml:space="preserve"> před pandemií (tedy </w:t>
      </w:r>
      <w:r>
        <w:rPr>
          <w:bCs/>
        </w:rPr>
        <w:t>v roce 2019</w:t>
      </w:r>
      <w:r w:rsidR="009A44EA">
        <w:rPr>
          <w:bCs/>
        </w:rPr>
        <w:t>)</w:t>
      </w:r>
      <w:r w:rsidRPr="00D92E20">
        <w:rPr>
          <w:bCs/>
        </w:rPr>
        <w:t xml:space="preserve">. V relativním vyjádření došlo k nárůstu o </w:t>
      </w:r>
      <w:r>
        <w:rPr>
          <w:bCs/>
        </w:rPr>
        <w:t>polovinu</w:t>
      </w:r>
      <w:r w:rsidRPr="00D92E20">
        <w:rPr>
          <w:bCs/>
        </w:rPr>
        <w:t>.</w:t>
      </w:r>
      <w:r w:rsidR="00580463" w:rsidRPr="00580463">
        <w:rPr>
          <w:bCs/>
        </w:rPr>
        <w:t xml:space="preserve"> </w:t>
      </w:r>
      <w:r w:rsidR="009A44EA">
        <w:rPr>
          <w:bCs/>
        </w:rPr>
        <w:t>P</w:t>
      </w:r>
      <w:r w:rsidR="007459BF" w:rsidRPr="009A44EA">
        <w:rPr>
          <w:rFonts w:cs="Arial"/>
        </w:rPr>
        <w:t xml:space="preserve">očet neschopenek </w:t>
      </w:r>
      <w:r w:rsidR="007459BF" w:rsidRPr="009A44EA">
        <w:rPr>
          <w:rFonts w:cs="Arial"/>
          <w:b/>
          <w:bCs/>
        </w:rPr>
        <w:t>pro nemoc</w:t>
      </w:r>
      <w:r w:rsidR="007459BF" w:rsidRPr="009A44EA">
        <w:rPr>
          <w:rFonts w:cs="Arial"/>
        </w:rPr>
        <w:t xml:space="preserve"> </w:t>
      </w:r>
      <w:r w:rsidR="007459BF" w:rsidRPr="009A44EA">
        <w:rPr>
          <w:rFonts w:cs="Arial"/>
          <w:b/>
        </w:rPr>
        <w:t>u</w:t>
      </w:r>
      <w:r w:rsidR="002F2C0C">
        <w:rPr>
          <w:rFonts w:cs="Arial"/>
          <w:b/>
        </w:rPr>
        <w:t> </w:t>
      </w:r>
      <w:bookmarkStart w:id="25" w:name="_GoBack"/>
      <w:bookmarkEnd w:id="25"/>
      <w:r w:rsidR="007459BF" w:rsidRPr="009A44EA">
        <w:rPr>
          <w:rFonts w:cs="Arial"/>
          <w:b/>
        </w:rPr>
        <w:t>mužů</w:t>
      </w:r>
      <w:r w:rsidR="007459BF" w:rsidRPr="009A44EA">
        <w:rPr>
          <w:rFonts w:cs="Arial"/>
        </w:rPr>
        <w:t xml:space="preserve"> vzrostl dokonce o </w:t>
      </w:r>
      <w:r w:rsidR="00580463" w:rsidRPr="009A44EA">
        <w:rPr>
          <w:rFonts w:cs="Arial"/>
        </w:rPr>
        <w:t>57</w:t>
      </w:r>
      <w:r w:rsidR="007459BF" w:rsidRPr="009A44EA">
        <w:rPr>
          <w:rFonts w:cs="Arial"/>
        </w:rPr>
        <w:t xml:space="preserve"> % (+</w:t>
      </w:r>
      <w:r w:rsidR="00580463" w:rsidRPr="009A44EA">
        <w:rPr>
          <w:rFonts w:cs="Arial"/>
        </w:rPr>
        <w:t>441</w:t>
      </w:r>
      <w:r w:rsidR="007459BF" w:rsidRPr="009A44EA">
        <w:rPr>
          <w:rFonts w:cs="Arial"/>
        </w:rPr>
        <w:t xml:space="preserve"> tis.), zatímco u </w:t>
      </w:r>
      <w:r w:rsidR="007459BF" w:rsidRPr="009A44EA">
        <w:rPr>
          <w:rFonts w:cs="Arial"/>
          <w:b/>
        </w:rPr>
        <w:t>žen</w:t>
      </w:r>
      <w:r w:rsidR="007459BF" w:rsidRPr="009A44EA">
        <w:rPr>
          <w:rFonts w:cs="Arial"/>
        </w:rPr>
        <w:t xml:space="preserve"> o </w:t>
      </w:r>
      <w:r w:rsidR="00580463" w:rsidRPr="009A44EA">
        <w:rPr>
          <w:rFonts w:cs="Arial"/>
        </w:rPr>
        <w:t>42</w:t>
      </w:r>
      <w:r w:rsidR="007459BF" w:rsidRPr="009A44EA">
        <w:rPr>
          <w:rFonts w:cs="Arial"/>
        </w:rPr>
        <w:t xml:space="preserve"> % (+</w:t>
      </w:r>
      <w:r w:rsidR="00580463" w:rsidRPr="009A44EA">
        <w:rPr>
          <w:rFonts w:cs="Arial"/>
        </w:rPr>
        <w:t>398</w:t>
      </w:r>
      <w:r w:rsidR="007459BF" w:rsidRPr="009A44EA">
        <w:rPr>
          <w:rFonts w:cs="Arial"/>
        </w:rPr>
        <w:t xml:space="preserve"> tis.). </w:t>
      </w:r>
    </w:p>
    <w:p w14:paraId="5856A783" w14:textId="69A065E3" w:rsidR="007459BF" w:rsidRDefault="007459BF" w:rsidP="004229D4">
      <w:pPr>
        <w:pStyle w:val="Odstavecseseznamem"/>
        <w:numPr>
          <w:ilvl w:val="0"/>
          <w:numId w:val="31"/>
        </w:numPr>
        <w:spacing w:after="120" w:line="264" w:lineRule="auto"/>
        <w:ind w:left="283" w:hanging="357"/>
        <w:contextualSpacing w:val="0"/>
        <w:jc w:val="both"/>
      </w:pPr>
      <w:r w:rsidRPr="00BB1EF6">
        <w:t>V</w:t>
      </w:r>
      <w:r w:rsidR="006C1F1E" w:rsidRPr="00BB1EF6">
        <w:t xml:space="preserve"> roce</w:t>
      </w:r>
      <w:r w:rsidRPr="00BB1EF6">
        <w:t xml:space="preserve"> 2021 bylo vydáno </w:t>
      </w:r>
      <w:r w:rsidR="00BB1EF6" w:rsidRPr="00BB1EF6">
        <w:rPr>
          <w:b/>
        </w:rPr>
        <w:t>8</w:t>
      </w:r>
      <w:r w:rsidR="009E00DD">
        <w:rPr>
          <w:b/>
        </w:rPr>
        <w:t>60</w:t>
      </w:r>
      <w:r w:rsidRPr="00BB1EF6">
        <w:rPr>
          <w:b/>
        </w:rPr>
        <w:t xml:space="preserve"> tis. neschopenek z důvodu karantény či izolace</w:t>
      </w:r>
      <w:r w:rsidRPr="00BB1EF6">
        <w:t xml:space="preserve">, tj. </w:t>
      </w:r>
      <w:r w:rsidR="00BB1EF6" w:rsidRPr="00BB1EF6">
        <w:t>téměř</w:t>
      </w:r>
      <w:r w:rsidRPr="00BB1EF6">
        <w:t xml:space="preserve"> </w:t>
      </w:r>
      <w:r w:rsidR="00BB1EF6" w:rsidRPr="00BB1EF6">
        <w:t>29 %</w:t>
      </w:r>
      <w:r w:rsidRPr="00BB1EF6">
        <w:t xml:space="preserve"> všech neschopenek vydaných v tomto období.</w:t>
      </w:r>
    </w:p>
    <w:p w14:paraId="4971A901" w14:textId="45FF7C7C" w:rsidR="009E00DD" w:rsidRPr="00BB1EF6" w:rsidRDefault="009E00DD" w:rsidP="009E00DD">
      <w:pPr>
        <w:pStyle w:val="Odstavecseseznamem"/>
        <w:numPr>
          <w:ilvl w:val="0"/>
          <w:numId w:val="31"/>
        </w:numPr>
        <w:spacing w:after="120" w:line="264" w:lineRule="auto"/>
        <w:ind w:left="283" w:hanging="357"/>
        <w:contextualSpacing w:val="0"/>
        <w:jc w:val="both"/>
      </w:pPr>
      <w:r w:rsidRPr="004E1B45">
        <w:t xml:space="preserve">Vedle pandemie mělo na nárůst počtu případů pracovní neschopnosti v posledních 2 letech vliv i </w:t>
      </w:r>
      <w:r w:rsidRPr="00FF2069">
        <w:rPr>
          <w:b/>
        </w:rPr>
        <w:t>zrušení karenční doby</w:t>
      </w:r>
      <w:r w:rsidRPr="004E1B45">
        <w:t xml:space="preserve"> od 1. července 2019, kdy zaměstnanec dostává náhradu mzdy již od prvního dne, a nikoliv až od čtvrtého, jako tomu bylo od roku 2009 až do června 2019.</w:t>
      </w:r>
    </w:p>
    <w:p w14:paraId="54EAEE54" w14:textId="77777777" w:rsidR="009E00DD" w:rsidRDefault="007459BF" w:rsidP="004229D4">
      <w:pPr>
        <w:pStyle w:val="Odstavecseseznamem"/>
        <w:numPr>
          <w:ilvl w:val="0"/>
          <w:numId w:val="31"/>
        </w:numPr>
        <w:spacing w:after="120" w:line="264" w:lineRule="auto"/>
        <w:ind w:left="283" w:hanging="357"/>
        <w:contextualSpacing w:val="0"/>
        <w:jc w:val="both"/>
      </w:pPr>
      <w:r w:rsidRPr="006C1F1E">
        <w:t xml:space="preserve">Z důvodu </w:t>
      </w:r>
      <w:r w:rsidRPr="006C1F1E">
        <w:rPr>
          <w:b/>
        </w:rPr>
        <w:t>pracovního úrazu</w:t>
      </w:r>
      <w:r w:rsidRPr="006C1F1E">
        <w:t xml:space="preserve"> bylo nahlášeno </w:t>
      </w:r>
      <w:r w:rsidR="006C1F1E" w:rsidRPr="006C1F1E">
        <w:t>45</w:t>
      </w:r>
      <w:r w:rsidRPr="006C1F1E">
        <w:t xml:space="preserve"> tis. případů pracovní neschopnosti. Po poklesu v </w:t>
      </w:r>
      <w:r w:rsidR="006C1F1E" w:rsidRPr="006C1F1E">
        <w:t>roce</w:t>
      </w:r>
      <w:r w:rsidRPr="006C1F1E">
        <w:t xml:space="preserve"> 2020, kdy došlo </w:t>
      </w:r>
      <w:r w:rsidR="00E37501" w:rsidRPr="006C1F1E">
        <w:t>k</w:t>
      </w:r>
      <w:r w:rsidR="00E37501">
        <w:t>e</w:t>
      </w:r>
      <w:r w:rsidRPr="006C1F1E">
        <w:t xml:space="preserve"> </w:t>
      </w:r>
      <w:r w:rsidR="006C1F1E" w:rsidRPr="006C1F1E">
        <w:t>41</w:t>
      </w:r>
      <w:r w:rsidRPr="006C1F1E">
        <w:t xml:space="preserve"> tis. pracovních úrazů vyžadujících pracovní neschopnost, se čísla vrátila zhruba na hodnotu</w:t>
      </w:r>
      <w:r w:rsidR="006C1F1E" w:rsidRPr="006C1F1E">
        <w:t xml:space="preserve"> roku</w:t>
      </w:r>
      <w:r w:rsidRPr="006C1F1E">
        <w:t xml:space="preserve"> 2019. Meziročně vzrostl i </w:t>
      </w:r>
      <w:r w:rsidRPr="006C1F1E">
        <w:rPr>
          <w:b/>
        </w:rPr>
        <w:t>počet mimopracovních úrazů</w:t>
      </w:r>
      <w:r w:rsidRPr="006C1F1E">
        <w:t xml:space="preserve">. Ze </w:t>
      </w:r>
      <w:r w:rsidR="006C1F1E" w:rsidRPr="006C1F1E">
        <w:t>147</w:t>
      </w:r>
      <w:r w:rsidRPr="006C1F1E">
        <w:t xml:space="preserve"> tis. na </w:t>
      </w:r>
      <w:r w:rsidR="006C1F1E" w:rsidRPr="006C1F1E">
        <w:t>160</w:t>
      </w:r>
      <w:r w:rsidRPr="006C1F1E">
        <w:t xml:space="preserve"> tis.</w:t>
      </w:r>
    </w:p>
    <w:p w14:paraId="308FB57C" w14:textId="518CE653" w:rsidR="00160306" w:rsidRDefault="00160306" w:rsidP="004229D4">
      <w:pPr>
        <w:pStyle w:val="Odstavecseseznamem"/>
        <w:numPr>
          <w:ilvl w:val="0"/>
          <w:numId w:val="31"/>
        </w:numPr>
        <w:spacing w:after="120" w:line="264" w:lineRule="auto"/>
        <w:ind w:left="283" w:hanging="357"/>
        <w:contextualSpacing w:val="0"/>
        <w:jc w:val="both"/>
      </w:pPr>
      <w:r w:rsidRPr="00951947">
        <w:t>Oproti předchozí</w:t>
      </w:r>
      <w:r>
        <w:t>mu</w:t>
      </w:r>
      <w:r w:rsidRPr="00951947">
        <w:t xml:space="preserve"> roku došlo </w:t>
      </w:r>
      <w:r w:rsidR="00FD1578">
        <w:t xml:space="preserve">v roce 2021 </w:t>
      </w:r>
      <w:r w:rsidRPr="00951947">
        <w:t>k poklesu smrtelných pracovních úrazů ze </w:t>
      </w:r>
      <w:r>
        <w:t>108</w:t>
      </w:r>
      <w:r w:rsidRPr="00951947">
        <w:t xml:space="preserve"> na </w:t>
      </w:r>
      <w:r>
        <w:t>88</w:t>
      </w:r>
      <w:r w:rsidRPr="00951947">
        <w:t xml:space="preserve"> tj. o 1</w:t>
      </w:r>
      <w:r w:rsidR="00FD1578">
        <w:t>9 </w:t>
      </w:r>
      <w:r w:rsidRPr="00951947">
        <w:t xml:space="preserve">%. Muži zaznamenali </w:t>
      </w:r>
      <w:r>
        <w:t>82</w:t>
      </w:r>
      <w:r w:rsidRPr="00951947">
        <w:t xml:space="preserve"> smrtelných pracovních úrazů, což je meziročně o </w:t>
      </w:r>
      <w:r>
        <w:t>23</w:t>
      </w:r>
      <w:r w:rsidRPr="00951947">
        <w:t xml:space="preserve"> méně.</w:t>
      </w:r>
    </w:p>
    <w:p w14:paraId="562813BE" w14:textId="77777777" w:rsidR="00160306" w:rsidRDefault="007459BF" w:rsidP="00160306">
      <w:pPr>
        <w:pStyle w:val="Odstavecseseznamem"/>
        <w:numPr>
          <w:ilvl w:val="0"/>
          <w:numId w:val="31"/>
        </w:numPr>
        <w:spacing w:after="120" w:line="264" w:lineRule="auto"/>
        <w:ind w:left="283" w:hanging="357"/>
        <w:contextualSpacing w:val="0"/>
        <w:jc w:val="both"/>
      </w:pPr>
      <w:r w:rsidRPr="006C1F1E">
        <w:t>V </w:t>
      </w:r>
      <w:r w:rsidR="006C1F1E" w:rsidRPr="006C1F1E">
        <w:t>roce</w:t>
      </w:r>
      <w:r w:rsidRPr="006C1F1E">
        <w:t xml:space="preserve"> 2021</w:t>
      </w:r>
      <w:r w:rsidRPr="006C1F1E">
        <w:rPr>
          <w:b/>
        </w:rPr>
        <w:t xml:space="preserve"> na 100 pojištěnců</w:t>
      </w:r>
      <w:r w:rsidRPr="006C1F1E">
        <w:t xml:space="preserve"> připadalo </w:t>
      </w:r>
      <w:r w:rsidR="006C1F1E" w:rsidRPr="006C1F1E">
        <w:rPr>
          <w:b/>
        </w:rPr>
        <w:t>58,5</w:t>
      </w:r>
      <w:r w:rsidRPr="006C1F1E">
        <w:t xml:space="preserve"> nově hlášených </w:t>
      </w:r>
      <w:r w:rsidRPr="006C1F1E">
        <w:rPr>
          <w:b/>
        </w:rPr>
        <w:t>případů</w:t>
      </w:r>
      <w:r w:rsidRPr="006C1F1E">
        <w:t xml:space="preserve"> dočasné </w:t>
      </w:r>
      <w:r w:rsidRPr="006C1F1E">
        <w:rPr>
          <w:b/>
        </w:rPr>
        <w:t>pracovní neschopnosti</w:t>
      </w:r>
      <w:r w:rsidRPr="006C1F1E">
        <w:t>. To je o 7</w:t>
      </w:r>
      <w:r w:rsidR="006C1F1E" w:rsidRPr="006C1F1E">
        <w:t>,5 více</w:t>
      </w:r>
      <w:r w:rsidRPr="006C1F1E">
        <w:t xml:space="preserve"> než v</w:t>
      </w:r>
      <w:r w:rsidR="006C1F1E" w:rsidRPr="006C1F1E">
        <w:t> předchozím roce</w:t>
      </w:r>
      <w:r w:rsidRPr="006C1F1E">
        <w:t xml:space="preserve">. </w:t>
      </w:r>
      <w:r w:rsidR="00160306" w:rsidRPr="00982550">
        <w:t xml:space="preserve">Z důvodu </w:t>
      </w:r>
      <w:r w:rsidR="00160306" w:rsidRPr="00982550">
        <w:rPr>
          <w:b/>
        </w:rPr>
        <w:t>nemoci</w:t>
      </w:r>
      <w:r w:rsidR="00160306" w:rsidRPr="00982550">
        <w:t xml:space="preserve"> připadalo na 100 pojištěnců 54 případů pracovní neschopnosti, tedy dvakrát více než v roce 2011.</w:t>
      </w:r>
      <w:r w:rsidR="00160306">
        <w:t xml:space="preserve"> </w:t>
      </w:r>
      <w:r w:rsidR="00160306" w:rsidRPr="00982550">
        <w:t xml:space="preserve">Co se týče počtu neschopenek z důvodu </w:t>
      </w:r>
      <w:r w:rsidR="00160306" w:rsidRPr="00982550">
        <w:rPr>
          <w:b/>
        </w:rPr>
        <w:t>pracovního úrazu</w:t>
      </w:r>
      <w:r w:rsidR="00160306" w:rsidRPr="00982550">
        <w:t>, jejich počet se pohybuje okolo 1 případu na 100 pojištěnců.</w:t>
      </w:r>
    </w:p>
    <w:p w14:paraId="1E0E17C6" w14:textId="3A19FE60" w:rsidR="00160306" w:rsidRDefault="00160306" w:rsidP="00160306">
      <w:pPr>
        <w:pStyle w:val="Odstavecseseznamem"/>
        <w:numPr>
          <w:ilvl w:val="0"/>
          <w:numId w:val="31"/>
        </w:numPr>
        <w:spacing w:after="120" w:line="264" w:lineRule="auto"/>
        <w:ind w:left="283" w:hanging="357"/>
        <w:contextualSpacing w:val="0"/>
        <w:jc w:val="both"/>
      </w:pPr>
      <w:r>
        <w:t xml:space="preserve">Za poslední 2 roky </w:t>
      </w:r>
      <w:r w:rsidR="00FD1578">
        <w:t xml:space="preserve">(2019–2021) </w:t>
      </w:r>
      <w:r>
        <w:t>se zvýšil počet případů pro nemoc ve všech sekcích. V sekci Peněžnictví a pojišťovnictví resp. Informační a komunikační činnosti došlo jen k minimálnímu nárůstu.</w:t>
      </w:r>
    </w:p>
    <w:p w14:paraId="158D5514" w14:textId="75A133EE" w:rsidR="007459BF" w:rsidRPr="006C1F1E" w:rsidRDefault="007459BF" w:rsidP="00160306">
      <w:pPr>
        <w:pStyle w:val="Odstavecseseznamem"/>
        <w:numPr>
          <w:ilvl w:val="0"/>
          <w:numId w:val="31"/>
        </w:numPr>
        <w:spacing w:after="120" w:line="264" w:lineRule="auto"/>
        <w:ind w:left="283" w:hanging="357"/>
        <w:contextualSpacing w:val="0"/>
        <w:jc w:val="both"/>
      </w:pPr>
      <w:r w:rsidRPr="006C1F1E">
        <w:t>Nejvíce případů pracovní neschopnosti na 100 pojištěnců v </w:t>
      </w:r>
      <w:r w:rsidRPr="00160306">
        <w:rPr>
          <w:b/>
        </w:rPr>
        <w:t>krajském srovnání</w:t>
      </w:r>
      <w:r w:rsidRPr="006C1F1E">
        <w:t xml:space="preserve"> bylo hlášeno v Libereckém </w:t>
      </w:r>
      <w:r w:rsidR="007C6435">
        <w:t xml:space="preserve">kraji </w:t>
      </w:r>
      <w:r w:rsidRPr="006C1F1E">
        <w:t>(</w:t>
      </w:r>
      <w:r w:rsidR="006C1F1E" w:rsidRPr="006C1F1E">
        <w:t>73). V porovnání s rokem 2019 se počet případů pracovní neschopnosti na 100 pojištěnců v tomto regionu zvýšil o 23.</w:t>
      </w:r>
      <w:r w:rsidRPr="006C1F1E">
        <w:t xml:space="preserve"> </w:t>
      </w:r>
      <w:r w:rsidR="006C1F1E" w:rsidRPr="006C1F1E">
        <w:t xml:space="preserve">Vysokou hodnotu tohoto ukazatele vykazoval rovněž Plzeňský (69) a Královéhradecký </w:t>
      </w:r>
      <w:r w:rsidRPr="006C1F1E">
        <w:t>kraj</w:t>
      </w:r>
      <w:r w:rsidR="006C1F1E" w:rsidRPr="006C1F1E">
        <w:t xml:space="preserve"> (68)</w:t>
      </w:r>
      <w:r w:rsidRPr="006C1F1E">
        <w:t>.</w:t>
      </w:r>
      <w:r w:rsidR="006C1F1E" w:rsidRPr="006C1F1E">
        <w:t xml:space="preserve"> Naopak p</w:t>
      </w:r>
      <w:r w:rsidRPr="006C1F1E">
        <w:t>odprůměrné hodnoty Praha (</w:t>
      </w:r>
      <w:r w:rsidR="006C1F1E" w:rsidRPr="006C1F1E">
        <w:t>44</w:t>
      </w:r>
      <w:r w:rsidRPr="006C1F1E">
        <w:t>) a Jihomoravský kraj (</w:t>
      </w:r>
      <w:r w:rsidR="006C1F1E" w:rsidRPr="006C1F1E">
        <w:t>56</w:t>
      </w:r>
      <w:r w:rsidRPr="006C1F1E">
        <w:t xml:space="preserve">). </w:t>
      </w:r>
    </w:p>
    <w:p w14:paraId="6A05A379" w14:textId="77777777" w:rsidR="007459BF" w:rsidRPr="006C1F1E" w:rsidRDefault="007459BF" w:rsidP="004229D4">
      <w:pPr>
        <w:pStyle w:val="Odstavecseseznamem"/>
        <w:numPr>
          <w:ilvl w:val="0"/>
          <w:numId w:val="31"/>
        </w:numPr>
        <w:spacing w:after="120" w:line="264" w:lineRule="auto"/>
        <w:ind w:left="283" w:hanging="357"/>
        <w:contextualSpacing w:val="0"/>
        <w:jc w:val="both"/>
      </w:pPr>
      <w:r w:rsidRPr="006C1F1E">
        <w:t>Celkově strávili pojištěnci v </w:t>
      </w:r>
      <w:r w:rsidR="006C1F1E" w:rsidRPr="006C1F1E">
        <w:t>roce</w:t>
      </w:r>
      <w:r w:rsidRPr="006C1F1E">
        <w:t xml:space="preserve"> 2021 </w:t>
      </w:r>
      <w:r w:rsidRPr="006C1F1E">
        <w:rPr>
          <w:b/>
        </w:rPr>
        <w:t xml:space="preserve">v pracovní neschopnosti </w:t>
      </w:r>
      <w:r w:rsidR="006C1F1E" w:rsidRPr="006C1F1E">
        <w:rPr>
          <w:b/>
        </w:rPr>
        <w:t>94 950</w:t>
      </w:r>
      <w:r w:rsidRPr="006C1F1E">
        <w:rPr>
          <w:b/>
        </w:rPr>
        <w:t xml:space="preserve"> tis. dnů</w:t>
      </w:r>
      <w:r w:rsidRPr="006C1F1E">
        <w:t xml:space="preserve">, což je o </w:t>
      </w:r>
      <w:r w:rsidR="006C1F1E" w:rsidRPr="006C1F1E">
        <w:t>0,</w:t>
      </w:r>
      <w:r w:rsidRPr="006C1F1E">
        <w:t>7 % více než před rokem. V porovnání s </w:t>
      </w:r>
      <w:r w:rsidR="006C1F1E" w:rsidRPr="006C1F1E">
        <w:t>rokem</w:t>
      </w:r>
      <w:r w:rsidRPr="006C1F1E">
        <w:t xml:space="preserve"> 2019 došlo k nárůstu po</w:t>
      </w:r>
      <w:r w:rsidR="006C1F1E" w:rsidRPr="006C1F1E">
        <w:t>čtu prostonaných dnů o 17 %.</w:t>
      </w:r>
    </w:p>
    <w:p w14:paraId="755D5689" w14:textId="77777777" w:rsidR="007459BF" w:rsidRPr="006C1F1E" w:rsidRDefault="007459BF" w:rsidP="004229D4">
      <w:pPr>
        <w:pStyle w:val="Odstavecseseznamem"/>
        <w:numPr>
          <w:ilvl w:val="0"/>
          <w:numId w:val="31"/>
        </w:numPr>
        <w:spacing w:after="120" w:line="264" w:lineRule="auto"/>
        <w:ind w:left="283" w:hanging="357"/>
        <w:contextualSpacing w:val="0"/>
        <w:jc w:val="both"/>
      </w:pPr>
      <w:r w:rsidRPr="006C1F1E">
        <w:rPr>
          <w:b/>
        </w:rPr>
        <w:t>Průměrná délka</w:t>
      </w:r>
      <w:r w:rsidRPr="006C1F1E">
        <w:t xml:space="preserve"> trvání pracovní n</w:t>
      </w:r>
      <w:r w:rsidR="006C1F1E" w:rsidRPr="006C1F1E">
        <w:t xml:space="preserve">eschopnosti meziročně klesla z 39,4 </w:t>
      </w:r>
      <w:r w:rsidRPr="006C1F1E">
        <w:t>dne v </w:t>
      </w:r>
      <w:r w:rsidR="006C1F1E" w:rsidRPr="006C1F1E">
        <w:t>roce</w:t>
      </w:r>
      <w:r w:rsidRPr="006C1F1E">
        <w:t xml:space="preserve"> 2020 na 3</w:t>
      </w:r>
      <w:r w:rsidR="006C1F1E" w:rsidRPr="006C1F1E">
        <w:t>4,5</w:t>
      </w:r>
      <w:r w:rsidRPr="006C1F1E">
        <w:t> dne v </w:t>
      </w:r>
      <w:r w:rsidR="006C1F1E" w:rsidRPr="006C1F1E">
        <w:t>roce</w:t>
      </w:r>
      <w:r w:rsidRPr="006C1F1E">
        <w:t xml:space="preserve"> 2021. Jedná se o nejkratší dobu za posledních 10 let. </w:t>
      </w:r>
      <w:r w:rsidR="00167288">
        <w:t>Tento pokles byl způsoben větším zastoupením</w:t>
      </w:r>
      <w:r w:rsidRPr="006C1F1E">
        <w:t xml:space="preserve"> krátkodobých neschopností z důvodu nemoci.</w:t>
      </w:r>
    </w:p>
    <w:p w14:paraId="18CDB018" w14:textId="6D43F0E7" w:rsidR="007459BF" w:rsidRPr="00E37501" w:rsidRDefault="007459BF" w:rsidP="004229D4">
      <w:pPr>
        <w:pStyle w:val="Odstavecseseznamem"/>
        <w:numPr>
          <w:ilvl w:val="0"/>
          <w:numId w:val="31"/>
        </w:numPr>
        <w:spacing w:after="120" w:line="264" w:lineRule="auto"/>
        <w:ind w:left="283" w:hanging="357"/>
        <w:contextualSpacing w:val="0"/>
        <w:jc w:val="both"/>
      </w:pPr>
      <w:r w:rsidRPr="00E37501">
        <w:rPr>
          <w:b/>
        </w:rPr>
        <w:t>Ženy</w:t>
      </w:r>
      <w:r w:rsidRPr="00E37501">
        <w:t xml:space="preserve"> strávily v pracovní neschopnosti v průměru na 1 případ </w:t>
      </w:r>
      <w:r w:rsidR="0076266B">
        <w:t>36</w:t>
      </w:r>
      <w:r w:rsidRPr="00E37501">
        <w:t xml:space="preserve"> dn</w:t>
      </w:r>
      <w:r w:rsidR="0076266B">
        <w:t>ů</w:t>
      </w:r>
      <w:r w:rsidRPr="00E37501">
        <w:t xml:space="preserve">, </w:t>
      </w:r>
      <w:r w:rsidRPr="00FD1578">
        <w:rPr>
          <w:b/>
        </w:rPr>
        <w:t>muži</w:t>
      </w:r>
      <w:r w:rsidRPr="00E37501">
        <w:t xml:space="preserve"> </w:t>
      </w:r>
      <w:r w:rsidR="0076266B">
        <w:t>o 3 dny méně.</w:t>
      </w:r>
    </w:p>
    <w:p w14:paraId="25E958F8" w14:textId="050CA2D0" w:rsidR="007459BF" w:rsidRDefault="0076266B" w:rsidP="004229D4">
      <w:pPr>
        <w:pStyle w:val="Odstavecseseznamem"/>
        <w:numPr>
          <w:ilvl w:val="0"/>
          <w:numId w:val="31"/>
        </w:numPr>
        <w:spacing w:after="120" w:line="264" w:lineRule="auto"/>
        <w:ind w:left="283" w:hanging="357"/>
        <w:contextualSpacing w:val="0"/>
        <w:jc w:val="both"/>
      </w:pPr>
      <w:r>
        <w:t xml:space="preserve">Dle </w:t>
      </w:r>
      <w:r w:rsidRPr="0076266B">
        <w:rPr>
          <w:b/>
        </w:rPr>
        <w:t>odvětvového srovnání</w:t>
      </w:r>
      <w:r>
        <w:t xml:space="preserve"> byla n</w:t>
      </w:r>
      <w:r w:rsidR="007459BF" w:rsidRPr="00E37501">
        <w:t>ejdelší doba trvání pracovní neschopnosti (</w:t>
      </w:r>
      <w:r w:rsidR="00E37501" w:rsidRPr="00E37501">
        <w:t>48</w:t>
      </w:r>
      <w:r w:rsidR="007459BF" w:rsidRPr="00E37501">
        <w:t xml:space="preserve"> dnů) v sekci Ubytování, stravování a pohostinství. S</w:t>
      </w:r>
      <w:r w:rsidR="001438A5">
        <w:t> </w:t>
      </w:r>
      <w:r w:rsidR="007459BF" w:rsidRPr="00E37501">
        <w:t>odstupem následovaly sekce Zemědělství, lesnictví, rybářství (4</w:t>
      </w:r>
      <w:r w:rsidR="00E37501" w:rsidRPr="00E37501">
        <w:t>3</w:t>
      </w:r>
      <w:r w:rsidR="007459BF" w:rsidRPr="00E37501">
        <w:t xml:space="preserve"> dnů) a </w:t>
      </w:r>
      <w:r>
        <w:t xml:space="preserve">Těžba a dobývání (41 dnů), </w:t>
      </w:r>
      <w:r w:rsidRPr="00BD6F5B">
        <w:t>kde se na tom výrazně podílely i pracovní úrazy.</w:t>
      </w:r>
    </w:p>
    <w:p w14:paraId="50CEC0AE" w14:textId="09BD2985" w:rsidR="0076266B" w:rsidRDefault="0076266B" w:rsidP="0076266B">
      <w:pPr>
        <w:pStyle w:val="Odstavecseseznamem"/>
        <w:numPr>
          <w:ilvl w:val="0"/>
          <w:numId w:val="31"/>
        </w:numPr>
        <w:spacing w:after="120" w:line="264" w:lineRule="auto"/>
        <w:ind w:left="283" w:hanging="357"/>
        <w:contextualSpacing w:val="0"/>
        <w:jc w:val="both"/>
      </w:pPr>
      <w:r w:rsidRPr="00BD6F5B">
        <w:lastRenderedPageBreak/>
        <w:t xml:space="preserve">Průměrný počet dnů pracovní neschopnosti na 1 nově hlášený případ dočasné pracovní neschopnosti </w:t>
      </w:r>
      <w:r w:rsidRPr="00BD6F5B">
        <w:rPr>
          <w:b/>
        </w:rPr>
        <w:t>pro pracovní úraz</w:t>
      </w:r>
      <w:r w:rsidRPr="00BD6F5B">
        <w:t xml:space="preserve"> dosáhl v minulém roce 58 dnů, což je o 25 dnů více než v případě nemoci.</w:t>
      </w:r>
    </w:p>
    <w:p w14:paraId="205B5267" w14:textId="08E976F1" w:rsidR="0076266B" w:rsidRPr="0076266B" w:rsidRDefault="0076266B" w:rsidP="0076266B">
      <w:pPr>
        <w:pStyle w:val="Odstavecseseznamem"/>
        <w:numPr>
          <w:ilvl w:val="0"/>
          <w:numId w:val="31"/>
        </w:numPr>
        <w:spacing w:after="120" w:line="264" w:lineRule="auto"/>
        <w:ind w:left="283" w:hanging="357"/>
        <w:contextualSpacing w:val="0"/>
        <w:jc w:val="both"/>
      </w:pPr>
      <w:r w:rsidRPr="0076266B">
        <w:t>Nejvyšší průměrnou délku na jeden případ v roce 2021 vykazoval okres Hodonín (43,7 dne) v</w:t>
      </w:r>
      <w:r>
        <w:t> </w:t>
      </w:r>
      <w:r w:rsidRPr="0076266B">
        <w:t>Jihomoravském kraji a Vsetín (43,5 dne) ve Zlínském kraji, které se na předních místech mezi okresy s</w:t>
      </w:r>
      <w:r>
        <w:t> </w:t>
      </w:r>
      <w:r w:rsidRPr="0076266B">
        <w:t>nejdelší pracovní neschopností pohybují již několik let. Následovaly okresy Břeclav (Jihomoravský kraj) a Uherské Hradiště (Zlínský kraj), které vykazovaly průměrnou délku případu pracovní neschopnosti 42</w:t>
      </w:r>
      <w:r w:rsidR="00ED6587">
        <w:t> </w:t>
      </w:r>
      <w:r w:rsidRPr="0076266B">
        <w:t xml:space="preserve">dnů. </w:t>
      </w:r>
    </w:p>
    <w:p w14:paraId="12E10DBC" w14:textId="0832CFD2" w:rsidR="0076266B" w:rsidRPr="0076266B" w:rsidRDefault="0076266B" w:rsidP="0076266B">
      <w:pPr>
        <w:pStyle w:val="Odstavecseseznamem"/>
        <w:numPr>
          <w:ilvl w:val="0"/>
          <w:numId w:val="31"/>
        </w:numPr>
        <w:spacing w:after="120" w:line="264" w:lineRule="auto"/>
        <w:ind w:left="283" w:hanging="357"/>
        <w:contextualSpacing w:val="0"/>
        <w:jc w:val="both"/>
      </w:pPr>
      <w:r w:rsidRPr="0076266B">
        <w:t xml:space="preserve">Naopak nejkratší dobou trvání se mohl opět pochlubit okres Mladá Boleslav (28 dnů) ve Středních Čechách, Pardubice a Rychnov nad Kněžnou v Královéhradeckém kraji (oba shodně 29 dnů). </w:t>
      </w:r>
    </w:p>
    <w:p w14:paraId="0406EA2E" w14:textId="77777777" w:rsidR="007459BF" w:rsidRPr="00E37501" w:rsidRDefault="007459BF" w:rsidP="004229D4">
      <w:pPr>
        <w:pStyle w:val="Odstavecseseznamem"/>
        <w:numPr>
          <w:ilvl w:val="0"/>
          <w:numId w:val="31"/>
        </w:numPr>
        <w:spacing w:after="120" w:line="264" w:lineRule="auto"/>
        <w:ind w:left="283" w:hanging="357"/>
        <w:contextualSpacing w:val="0"/>
        <w:jc w:val="both"/>
      </w:pPr>
      <w:r w:rsidRPr="00E37501">
        <w:rPr>
          <w:b/>
        </w:rPr>
        <w:t xml:space="preserve">Průměrné procento dočasné pracovní neschopnosti </w:t>
      </w:r>
      <w:r w:rsidRPr="00E37501">
        <w:t>v </w:t>
      </w:r>
      <w:r w:rsidR="00E37501" w:rsidRPr="00E37501">
        <w:t>roce</w:t>
      </w:r>
      <w:r w:rsidRPr="00E37501">
        <w:t xml:space="preserve"> 2021 dosáhlo </w:t>
      </w:r>
      <w:r w:rsidR="00E37501" w:rsidRPr="00E37501">
        <w:t>5,5</w:t>
      </w:r>
      <w:r w:rsidRPr="00E37501">
        <w:t xml:space="preserve"> %. V případě mužů činila hodnota </w:t>
      </w:r>
      <w:r w:rsidR="00E37501" w:rsidRPr="00E37501">
        <w:t>5,</w:t>
      </w:r>
      <w:r w:rsidR="001438A5">
        <w:t>2</w:t>
      </w:r>
      <w:r w:rsidRPr="00E37501">
        <w:t xml:space="preserve"> %, u žen </w:t>
      </w:r>
      <w:r w:rsidR="001438A5">
        <w:t>5,9</w:t>
      </w:r>
      <w:r w:rsidRPr="00E37501">
        <w:t xml:space="preserve"> %. Průměrné procento se meziročně </w:t>
      </w:r>
      <w:r w:rsidR="00E37501" w:rsidRPr="00E37501">
        <w:t>téměř ne</w:t>
      </w:r>
      <w:r w:rsidRPr="00E37501">
        <w:t>zvýšilo</w:t>
      </w:r>
      <w:r w:rsidR="00E37501" w:rsidRPr="00E37501">
        <w:t>, za poslední 2 roky byl zaznamenán nárůst</w:t>
      </w:r>
      <w:r w:rsidRPr="00E37501">
        <w:t xml:space="preserve"> o 0,</w:t>
      </w:r>
      <w:r w:rsidR="00E37501" w:rsidRPr="00E37501">
        <w:t>8</w:t>
      </w:r>
      <w:r w:rsidRPr="00E37501">
        <w:t xml:space="preserve"> p. b.</w:t>
      </w:r>
    </w:p>
    <w:p w14:paraId="01F594B1" w14:textId="77777777" w:rsidR="0076266B" w:rsidRDefault="00E37501" w:rsidP="0076266B">
      <w:pPr>
        <w:pStyle w:val="Odstavecseseznamem"/>
        <w:numPr>
          <w:ilvl w:val="0"/>
          <w:numId w:val="31"/>
        </w:numPr>
        <w:spacing w:after="120" w:line="264" w:lineRule="auto"/>
        <w:ind w:left="283" w:hanging="357"/>
        <w:contextualSpacing w:val="0"/>
        <w:jc w:val="both"/>
      </w:pPr>
      <w:r w:rsidRPr="00E37501">
        <w:t>V roce</w:t>
      </w:r>
      <w:r w:rsidR="007459BF" w:rsidRPr="00E37501">
        <w:t xml:space="preserve"> 2021 v České republice kvůli dočasné pracovní neschopnosti </w:t>
      </w:r>
      <w:r w:rsidRPr="00E37501">
        <w:rPr>
          <w:b/>
        </w:rPr>
        <w:t>denně na pracovištích chybělo 26</w:t>
      </w:r>
      <w:r w:rsidR="007459BF" w:rsidRPr="00E37501">
        <w:rPr>
          <w:b/>
        </w:rPr>
        <w:t>0</w:t>
      </w:r>
      <w:r w:rsidR="00B834F7">
        <w:rPr>
          <w:b/>
        </w:rPr>
        <w:t> </w:t>
      </w:r>
      <w:r w:rsidR="0076266B">
        <w:rPr>
          <w:b/>
        </w:rPr>
        <w:t>tis.</w:t>
      </w:r>
      <w:r w:rsidR="007459BF" w:rsidRPr="00E37501">
        <w:rPr>
          <w:b/>
        </w:rPr>
        <w:t xml:space="preserve"> nemocensky pojištěných osob</w:t>
      </w:r>
      <w:r w:rsidR="007459BF" w:rsidRPr="00E37501">
        <w:t>, což bylo ve srovnání s </w:t>
      </w:r>
      <w:r w:rsidRPr="00E37501">
        <w:t>rokem</w:t>
      </w:r>
      <w:r w:rsidR="007459BF" w:rsidRPr="00E37501">
        <w:t xml:space="preserve"> 2020 o </w:t>
      </w:r>
      <w:r w:rsidRPr="00E37501">
        <w:t>1</w:t>
      </w:r>
      <w:r w:rsidR="007459BF" w:rsidRPr="00E37501">
        <w:t xml:space="preserve"> % (2</w:t>
      </w:r>
      <w:r w:rsidRPr="00E37501">
        <w:t>,6</w:t>
      </w:r>
      <w:r w:rsidR="007459BF" w:rsidRPr="00E37501">
        <w:t xml:space="preserve"> tis.) více.</w:t>
      </w:r>
    </w:p>
    <w:p w14:paraId="00C1B783" w14:textId="0B0CE877" w:rsidR="00226E40" w:rsidRDefault="0076266B" w:rsidP="00226E40">
      <w:pPr>
        <w:pStyle w:val="Odstavecseseznamem"/>
        <w:numPr>
          <w:ilvl w:val="0"/>
          <w:numId w:val="31"/>
        </w:numPr>
        <w:spacing w:after="120" w:line="264" w:lineRule="auto"/>
        <w:ind w:left="283" w:hanging="357"/>
        <w:contextualSpacing w:val="0"/>
        <w:jc w:val="both"/>
      </w:pPr>
      <w:r w:rsidRPr="0076266B">
        <w:t xml:space="preserve">Ve srovnání s rokem 2011 chybělo v roce </w:t>
      </w:r>
      <w:r w:rsidR="00163393">
        <w:t xml:space="preserve">2021 </w:t>
      </w:r>
      <w:r w:rsidRPr="0076266B">
        <w:t>v Česku denně na pracovištích v důsledku dočasné pracovní neschopnosti pro nemoc či úraz o 10</w:t>
      </w:r>
      <w:r w:rsidR="00163393">
        <w:t>7</w:t>
      </w:r>
      <w:r w:rsidRPr="0076266B">
        <w:t xml:space="preserve"> tisíc osob více.</w:t>
      </w:r>
    </w:p>
    <w:p w14:paraId="538785DF" w14:textId="496468D2" w:rsidR="00226E40" w:rsidRPr="00226E40" w:rsidRDefault="00226E40" w:rsidP="00226E40">
      <w:pPr>
        <w:pStyle w:val="Odstavecseseznamem"/>
        <w:numPr>
          <w:ilvl w:val="0"/>
          <w:numId w:val="31"/>
        </w:numPr>
        <w:spacing w:after="120" w:line="264" w:lineRule="auto"/>
        <w:ind w:left="283" w:hanging="357"/>
        <w:contextualSpacing w:val="0"/>
        <w:jc w:val="both"/>
      </w:pPr>
      <w:r w:rsidRPr="00226E40">
        <w:t xml:space="preserve">Pracovní neschopnost plyne z různých příčin a statistiky ČSSZ nabízí přehled ukončených případů </w:t>
      </w:r>
      <w:r w:rsidRPr="00226E40">
        <w:rPr>
          <w:b/>
        </w:rPr>
        <w:t>podle diagnóz.</w:t>
      </w:r>
      <w:r w:rsidRPr="00226E40">
        <w:t xml:space="preserve"> Pokud pomineme kategorii ostatní nemoci, kterou oproti předchozím rokům navyšují zejména neschopenky pro případ karantény spojené s covidem, nejčastějším důvodem jsou dlouhodobě nemoci </w:t>
      </w:r>
      <w:r w:rsidRPr="00226E40">
        <w:rPr>
          <w:b/>
        </w:rPr>
        <w:t>dýchací soustavy</w:t>
      </w:r>
      <w:r w:rsidRPr="00226E40">
        <w:t xml:space="preserve">, které v roce 2021 způsobily téměř čtvrtinu všech případů pracovní neschopnosti. Z nemocí této skupiny jsou neschopenky vystavovány především kvůli akutním infekcím dýchacích cest či chřipkám. Na druhou stranu, onemocnění dýchací soustavy </w:t>
      </w:r>
      <w:r>
        <w:t>se vyznačuje v průměru nejkratší dobou</w:t>
      </w:r>
      <w:r w:rsidRPr="00226E40">
        <w:t xml:space="preserve"> pracovní neschopnosti ze všech skupin diagnóz, </w:t>
      </w:r>
      <w:r>
        <w:t xml:space="preserve">trvá </w:t>
      </w:r>
      <w:r w:rsidRPr="00226E40">
        <w:t>15,6 dne na 1 případ.</w:t>
      </w:r>
    </w:p>
    <w:p w14:paraId="52E2A71E" w14:textId="155C021E" w:rsidR="0076266B" w:rsidRPr="00226E40" w:rsidRDefault="00226E40" w:rsidP="00226E40">
      <w:pPr>
        <w:pStyle w:val="Odstavecseseznamem"/>
        <w:numPr>
          <w:ilvl w:val="0"/>
          <w:numId w:val="31"/>
        </w:numPr>
        <w:spacing w:after="120" w:line="264" w:lineRule="auto"/>
        <w:ind w:left="283" w:hanging="357"/>
        <w:contextualSpacing w:val="0"/>
        <w:jc w:val="both"/>
      </w:pPr>
      <w:r w:rsidRPr="00226E40">
        <w:t xml:space="preserve">Nemoci </w:t>
      </w:r>
      <w:r w:rsidRPr="00226E40">
        <w:rPr>
          <w:b/>
        </w:rPr>
        <w:t>pohybové soustavy</w:t>
      </w:r>
      <w:r w:rsidRPr="00226E40">
        <w:t xml:space="preserve"> zapříčinily 14 % pracovních neschopností. </w:t>
      </w:r>
      <w:r w:rsidR="00163393">
        <w:t>Pro t</w:t>
      </w:r>
      <w:r w:rsidRPr="00226E40">
        <w:t xml:space="preserve">yto nemoci </w:t>
      </w:r>
      <w:r w:rsidR="00163393">
        <w:t xml:space="preserve">je </w:t>
      </w:r>
      <w:r w:rsidR="00563F68">
        <w:t>charakteristická</w:t>
      </w:r>
      <w:r w:rsidR="00163393">
        <w:t xml:space="preserve"> poměrně dlouhá doba</w:t>
      </w:r>
      <w:r w:rsidRPr="00226E40">
        <w:t xml:space="preserve"> trvání, v průměru déle než 2 kalendářní měsíce (70,2 dne) na 1 případ. Z nemocí pohybové soustavy zapříčiňují pracovní neschopnost nejčastěji nemoci páteře.</w:t>
      </w:r>
    </w:p>
    <w:p w14:paraId="3270C671" w14:textId="59134F2C" w:rsidR="007459BF" w:rsidRPr="00E37501" w:rsidRDefault="007459BF" w:rsidP="00226E40">
      <w:pPr>
        <w:pStyle w:val="Odstavecseseznamem"/>
        <w:numPr>
          <w:ilvl w:val="0"/>
          <w:numId w:val="31"/>
        </w:numPr>
        <w:spacing w:after="120" w:line="264" w:lineRule="auto"/>
        <w:ind w:left="283" w:hanging="357"/>
        <w:contextualSpacing w:val="0"/>
        <w:jc w:val="both"/>
      </w:pPr>
      <w:r w:rsidRPr="00E37501">
        <w:t xml:space="preserve">Za </w:t>
      </w:r>
      <w:r w:rsidR="00E37501" w:rsidRPr="00E37501">
        <w:t>rok</w:t>
      </w:r>
      <w:r w:rsidRPr="00E37501">
        <w:t xml:space="preserve"> 2021 bylo pojištěncům vyplaceno </w:t>
      </w:r>
      <w:r w:rsidRPr="00E37501">
        <w:rPr>
          <w:b/>
        </w:rPr>
        <w:t xml:space="preserve">nemocenské ve výši </w:t>
      </w:r>
      <w:r w:rsidR="00E37501" w:rsidRPr="00E37501">
        <w:rPr>
          <w:b/>
        </w:rPr>
        <w:t>3</w:t>
      </w:r>
      <w:r w:rsidRPr="00E37501">
        <w:rPr>
          <w:b/>
        </w:rPr>
        <w:t>4</w:t>
      </w:r>
      <w:r w:rsidR="00E37501" w:rsidRPr="00E37501">
        <w:rPr>
          <w:b/>
        </w:rPr>
        <w:t>,0</w:t>
      </w:r>
      <w:r w:rsidRPr="00E37501">
        <w:rPr>
          <w:b/>
        </w:rPr>
        <w:t xml:space="preserve"> mld. Kč</w:t>
      </w:r>
      <w:r w:rsidRPr="00E37501">
        <w:t>. Meziročně výdaje vzrostly o 1,</w:t>
      </w:r>
      <w:r w:rsidR="00E37501" w:rsidRPr="00E37501">
        <w:t>3</w:t>
      </w:r>
      <w:r w:rsidRPr="00E37501">
        <w:t xml:space="preserve"> mld. Kč, tj. o </w:t>
      </w:r>
      <w:r w:rsidR="00E37501" w:rsidRPr="00E37501">
        <w:t>4</w:t>
      </w:r>
      <w:r w:rsidRPr="00E37501">
        <w:t xml:space="preserve"> %. Výdaje na nemocenské v přepočtu na jednoho pojištěnce </w:t>
      </w:r>
      <w:r w:rsidR="00E37501" w:rsidRPr="00E37501">
        <w:t>přesáhly</w:t>
      </w:r>
      <w:r w:rsidRPr="00E37501">
        <w:t xml:space="preserve"> </w:t>
      </w:r>
      <w:r w:rsidR="00E37501" w:rsidRPr="00E37501">
        <w:t>7</w:t>
      </w:r>
      <w:r w:rsidR="00E37501">
        <w:t>,2</w:t>
      </w:r>
      <w:r w:rsidR="00226E40">
        <w:t> tis. Kč v porovnání s 5,6 tis. Kč v roce 2019</w:t>
      </w:r>
      <w:r w:rsidR="00226E40" w:rsidRPr="00E37501">
        <w:t>.</w:t>
      </w:r>
    </w:p>
    <w:p w14:paraId="2B799F37" w14:textId="77777777" w:rsidR="004229D4" w:rsidRDefault="004229D4">
      <w:pPr>
        <w:spacing w:after="0" w:line="240" w:lineRule="auto"/>
        <w:rPr>
          <w:rFonts w:eastAsia="MS Gothic"/>
          <w:b/>
          <w:bCs/>
          <w:color w:val="BC091B"/>
          <w:sz w:val="28"/>
          <w:szCs w:val="26"/>
        </w:rPr>
      </w:pPr>
      <w:r>
        <w:br w:type="page"/>
      </w:r>
    </w:p>
    <w:p w14:paraId="73DDC35D" w14:textId="77777777" w:rsidR="007459BF" w:rsidRPr="00895A72" w:rsidRDefault="007459BF" w:rsidP="007459BF">
      <w:pPr>
        <w:pStyle w:val="Nadpis2"/>
      </w:pPr>
      <w:bookmarkStart w:id="26" w:name="_Toc104792918"/>
      <w:r w:rsidRPr="00895A72">
        <w:lastRenderedPageBreak/>
        <w:t>5. Použité zkratky a značky</w:t>
      </w:r>
      <w:bookmarkEnd w:id="26"/>
    </w:p>
    <w:p w14:paraId="1D9CC471" w14:textId="77777777" w:rsidR="007459BF" w:rsidRPr="00E0156A" w:rsidRDefault="007459BF" w:rsidP="007459BF">
      <w:pPr>
        <w:pStyle w:val="Zkladntextodsazen"/>
        <w:ind w:left="0"/>
        <w:jc w:val="both"/>
        <w:rPr>
          <w:rFonts w:cs="Arial"/>
        </w:rPr>
      </w:pPr>
      <w:r w:rsidRPr="00E0156A">
        <w:rPr>
          <w:rFonts w:cs="Arial"/>
        </w:rPr>
        <w:t>–</w:t>
      </w:r>
      <w:r w:rsidRPr="00E0156A">
        <w:rPr>
          <w:rFonts w:cs="Arial"/>
        </w:rPr>
        <w:tab/>
      </w:r>
      <w:r w:rsidRPr="00E0156A">
        <w:rPr>
          <w:rFonts w:cs="Arial"/>
        </w:rPr>
        <w:tab/>
        <w:t>pomlčka na místě čísla značí, že se jev nevyskytoval</w:t>
      </w:r>
    </w:p>
    <w:p w14:paraId="2228EE0E" w14:textId="77777777" w:rsidR="007459BF" w:rsidRPr="00E0156A" w:rsidRDefault="007459BF" w:rsidP="007459BF">
      <w:pPr>
        <w:pStyle w:val="Zkladntextodsazen"/>
        <w:ind w:left="0"/>
        <w:jc w:val="both"/>
        <w:rPr>
          <w:rFonts w:cs="Arial"/>
        </w:rPr>
      </w:pPr>
      <w:r w:rsidRPr="00E0156A">
        <w:rPr>
          <w:rFonts w:cs="Arial"/>
        </w:rPr>
        <w:t>x</w:t>
      </w:r>
      <w:r w:rsidRPr="00E0156A">
        <w:rPr>
          <w:rFonts w:cs="Arial"/>
        </w:rPr>
        <w:tab/>
      </w:r>
      <w:r w:rsidRPr="00E0156A">
        <w:rPr>
          <w:rFonts w:cs="Arial"/>
        </w:rPr>
        <w:tab/>
        <w:t>křížek (písmeno „x“) na místě čísla značí, že zápis není možný z logických důvodů</w:t>
      </w:r>
    </w:p>
    <w:p w14:paraId="1741621C" w14:textId="77777777" w:rsidR="007459BF" w:rsidRPr="00E0156A" w:rsidRDefault="007459BF" w:rsidP="007459BF">
      <w:pPr>
        <w:pStyle w:val="Zkladntextodsazen"/>
        <w:ind w:left="0"/>
        <w:jc w:val="both"/>
        <w:rPr>
          <w:rFonts w:cs="Arial"/>
        </w:rPr>
      </w:pPr>
      <w:r w:rsidRPr="00E0156A">
        <w:rPr>
          <w:rFonts w:cs="Arial"/>
        </w:rPr>
        <w:t>0</w:t>
      </w:r>
      <w:r w:rsidRPr="00E0156A">
        <w:rPr>
          <w:rFonts w:cs="Arial"/>
        </w:rPr>
        <w:tab/>
      </w:r>
      <w:r w:rsidRPr="00E0156A">
        <w:rPr>
          <w:rFonts w:cs="Arial"/>
        </w:rPr>
        <w:tab/>
        <w:t>nula se používá pro označení číselných údajů menších než polovina zvolené měřicí jednotky</w:t>
      </w:r>
    </w:p>
    <w:p w14:paraId="425D898A" w14:textId="77777777" w:rsidR="007459BF" w:rsidRPr="00E0156A" w:rsidRDefault="007459BF" w:rsidP="007459BF">
      <w:pPr>
        <w:pStyle w:val="Zkladntextodsazen"/>
        <w:ind w:left="0"/>
        <w:jc w:val="both"/>
        <w:rPr>
          <w:rFonts w:cs="Arial"/>
        </w:rPr>
      </w:pPr>
      <w:r w:rsidRPr="00E0156A">
        <w:rPr>
          <w:rFonts w:cs="Arial"/>
        </w:rPr>
        <w:t>i. d.</w:t>
      </w:r>
      <w:r w:rsidRPr="00E0156A">
        <w:rPr>
          <w:rFonts w:cs="Arial"/>
        </w:rPr>
        <w:tab/>
      </w:r>
      <w:r w:rsidRPr="00E0156A">
        <w:rPr>
          <w:rFonts w:cs="Arial"/>
        </w:rPr>
        <w:tab/>
        <w:t>značí důvěrná data (individuální údaje i důvěrné statistické údaje)</w:t>
      </w:r>
    </w:p>
    <w:p w14:paraId="197243E8" w14:textId="77777777" w:rsidR="007459BF" w:rsidRPr="007459BF" w:rsidRDefault="007459BF" w:rsidP="007459BF">
      <w:pPr>
        <w:pStyle w:val="Zkladntextodsazen"/>
        <w:ind w:left="0"/>
        <w:jc w:val="both"/>
        <w:rPr>
          <w:rFonts w:cs="Arial"/>
          <w:highlight w:val="yellow"/>
        </w:rPr>
      </w:pPr>
    </w:p>
    <w:p w14:paraId="4FA3EDC7" w14:textId="77777777" w:rsidR="007459BF" w:rsidRPr="00E0156A" w:rsidRDefault="007459BF" w:rsidP="007459BF">
      <w:pPr>
        <w:pStyle w:val="Zkladntextodsazen"/>
        <w:ind w:left="0"/>
      </w:pPr>
      <w:r w:rsidRPr="00E0156A">
        <w:t>CZ-NACE</w:t>
      </w:r>
      <w:r w:rsidRPr="00E0156A">
        <w:tab/>
        <w:t>Klasifikace ekonomických činností</w:t>
      </w:r>
    </w:p>
    <w:p w14:paraId="5EE5C49B" w14:textId="77777777" w:rsidR="007459BF" w:rsidRPr="00E0156A" w:rsidRDefault="007459BF" w:rsidP="007459BF">
      <w:pPr>
        <w:pStyle w:val="Zkladntextodsazen"/>
        <w:ind w:left="0"/>
      </w:pPr>
      <w:r w:rsidRPr="00E0156A">
        <w:t>CZ-NUTS</w:t>
      </w:r>
      <w:r w:rsidRPr="00E0156A">
        <w:tab/>
        <w:t>Klasifikace územních statistických jednotek</w:t>
      </w:r>
    </w:p>
    <w:p w14:paraId="2FB45BEE" w14:textId="77777777" w:rsidR="007459BF" w:rsidRPr="00E0156A" w:rsidRDefault="007459BF" w:rsidP="007459BF">
      <w:pPr>
        <w:pStyle w:val="Zkladntextodsazen"/>
        <w:ind w:left="0"/>
      </w:pPr>
      <w:r w:rsidRPr="00E0156A">
        <w:t>ČR</w:t>
      </w:r>
      <w:r w:rsidRPr="00E0156A">
        <w:tab/>
      </w:r>
      <w:r w:rsidRPr="00E0156A">
        <w:tab/>
        <w:t>Česká republika</w:t>
      </w:r>
    </w:p>
    <w:p w14:paraId="35378956" w14:textId="77777777" w:rsidR="007459BF" w:rsidRPr="00E0156A" w:rsidRDefault="007459BF" w:rsidP="007459BF">
      <w:pPr>
        <w:pStyle w:val="Zkladntextodsazen"/>
        <w:ind w:left="0"/>
      </w:pPr>
      <w:r w:rsidRPr="00E0156A">
        <w:t>ČSSZ</w:t>
      </w:r>
      <w:r w:rsidRPr="00E0156A">
        <w:tab/>
      </w:r>
      <w:r w:rsidRPr="00E0156A">
        <w:tab/>
        <w:t>Česká správa sociálního zabezpečení</w:t>
      </w:r>
    </w:p>
    <w:p w14:paraId="2E9C73D9" w14:textId="77777777" w:rsidR="007459BF" w:rsidRPr="00E0156A" w:rsidRDefault="007459BF" w:rsidP="007459BF">
      <w:pPr>
        <w:pStyle w:val="Zkladntextodsazen"/>
        <w:ind w:left="0"/>
      </w:pPr>
      <w:r w:rsidRPr="00E0156A">
        <w:t>ČSÚ</w:t>
      </w:r>
      <w:r w:rsidRPr="00E0156A">
        <w:tab/>
      </w:r>
      <w:r w:rsidRPr="00E0156A">
        <w:tab/>
        <w:t>Český statistický úřad</w:t>
      </w:r>
    </w:p>
    <w:p w14:paraId="431509DF" w14:textId="77777777" w:rsidR="007459BF" w:rsidRPr="00E0156A" w:rsidRDefault="007459BF" w:rsidP="007459BF">
      <w:pPr>
        <w:pStyle w:val="Zkladntextodsazen"/>
        <w:ind w:left="0"/>
        <w:jc w:val="both"/>
        <w:rPr>
          <w:rFonts w:cs="Arial"/>
        </w:rPr>
      </w:pPr>
      <w:r w:rsidRPr="00E0156A">
        <w:rPr>
          <w:rFonts w:cs="Arial"/>
        </w:rPr>
        <w:t>DPN</w:t>
      </w:r>
      <w:r w:rsidRPr="00E0156A">
        <w:rPr>
          <w:rFonts w:cs="Arial"/>
        </w:rPr>
        <w:tab/>
      </w:r>
      <w:r w:rsidRPr="00E0156A">
        <w:rPr>
          <w:rFonts w:cs="Arial"/>
        </w:rPr>
        <w:tab/>
        <w:t>dočasná pracovní neschopnost</w:t>
      </w:r>
    </w:p>
    <w:p w14:paraId="19289924" w14:textId="77777777" w:rsidR="007459BF" w:rsidRDefault="007459BF" w:rsidP="007459BF">
      <w:pPr>
        <w:pStyle w:val="Zkladntextodsazen"/>
        <w:ind w:left="0"/>
        <w:jc w:val="both"/>
        <w:rPr>
          <w:rFonts w:cs="Arial"/>
        </w:rPr>
      </w:pPr>
      <w:r w:rsidRPr="00E0156A">
        <w:rPr>
          <w:rFonts w:cs="Arial"/>
        </w:rPr>
        <w:t>ESA</w:t>
      </w:r>
      <w:r w:rsidRPr="00E0156A">
        <w:rPr>
          <w:rFonts w:cs="Arial"/>
        </w:rPr>
        <w:tab/>
      </w:r>
      <w:r w:rsidRPr="00E0156A">
        <w:rPr>
          <w:rFonts w:cs="Arial"/>
        </w:rPr>
        <w:tab/>
        <w:t>Evropský systém účtů</w:t>
      </w:r>
    </w:p>
    <w:p w14:paraId="4587A77C" w14:textId="77777777" w:rsidR="00EE4CC2" w:rsidRPr="00E0156A" w:rsidRDefault="00EE4CC2" w:rsidP="007459BF">
      <w:pPr>
        <w:pStyle w:val="Zkladntextodsazen"/>
        <w:ind w:left="0"/>
        <w:jc w:val="both"/>
      </w:pPr>
      <w:r>
        <w:rPr>
          <w:rFonts w:cs="Arial"/>
        </w:rPr>
        <w:t>ESAW</w:t>
      </w:r>
      <w:r>
        <w:rPr>
          <w:rFonts w:cs="Arial"/>
        </w:rPr>
        <w:tab/>
      </w:r>
      <w:r>
        <w:rPr>
          <w:rFonts w:cs="Arial"/>
        </w:rPr>
        <w:tab/>
        <w:t>European Statistics on Accidents at Work</w:t>
      </w:r>
    </w:p>
    <w:p w14:paraId="00311CBD" w14:textId="77777777" w:rsidR="007459BF" w:rsidRPr="00E0156A" w:rsidRDefault="007459BF" w:rsidP="007459BF">
      <w:pPr>
        <w:pStyle w:val="Zkladntextodsazen"/>
        <w:ind w:left="0"/>
      </w:pPr>
      <w:r w:rsidRPr="00E0156A">
        <w:t>IS KaPr</w:t>
      </w:r>
      <w:r w:rsidRPr="00E0156A">
        <w:tab/>
      </w:r>
      <w:r w:rsidRPr="00E0156A">
        <w:tab/>
        <w:t>Informační systém kategorizace prací</w:t>
      </w:r>
    </w:p>
    <w:p w14:paraId="77282638" w14:textId="77777777" w:rsidR="007459BF" w:rsidRPr="00E0156A" w:rsidRDefault="007459BF" w:rsidP="007459BF">
      <w:pPr>
        <w:pStyle w:val="Zkladntextodsazen"/>
        <w:ind w:left="0"/>
      </w:pPr>
      <w:r w:rsidRPr="00E0156A">
        <w:t>MKN-10</w:t>
      </w:r>
      <w:r w:rsidRPr="00E0156A">
        <w:tab/>
        <w:t>Mezinárodní statistická klasifikace nemocí a přidružených zdravotních problémů</w:t>
      </w:r>
    </w:p>
    <w:p w14:paraId="5A4F2EF3" w14:textId="77777777" w:rsidR="007459BF" w:rsidRPr="00E0156A" w:rsidRDefault="007459BF" w:rsidP="007459BF">
      <w:pPr>
        <w:pStyle w:val="Zkladntextodsazen"/>
        <w:ind w:left="0"/>
      </w:pPr>
      <w:r w:rsidRPr="00E0156A">
        <w:t>MPSV</w:t>
      </w:r>
      <w:r w:rsidRPr="00E0156A">
        <w:tab/>
      </w:r>
      <w:r w:rsidRPr="00E0156A">
        <w:tab/>
        <w:t>Ministerstvo práce a sociálních věcí České republiky</w:t>
      </w:r>
    </w:p>
    <w:p w14:paraId="2AC90B34" w14:textId="77777777" w:rsidR="007459BF" w:rsidRPr="00E0156A" w:rsidRDefault="007459BF" w:rsidP="007459BF">
      <w:pPr>
        <w:pStyle w:val="Zkladntextodsazen"/>
        <w:ind w:left="0"/>
        <w:rPr>
          <w:rFonts w:cs="Arial"/>
        </w:rPr>
      </w:pPr>
      <w:r w:rsidRPr="00E0156A">
        <w:rPr>
          <w:rFonts w:cs="Arial"/>
        </w:rPr>
        <w:t xml:space="preserve">Nem Úr 1–02 </w:t>
      </w:r>
      <w:r w:rsidRPr="00E0156A">
        <w:rPr>
          <w:rFonts w:cs="Arial"/>
        </w:rPr>
        <w:tab/>
        <w:t>Výkaz o pracovní neschopnosti pro nemoc a úraz</w:t>
      </w:r>
    </w:p>
    <w:p w14:paraId="7DBF8515" w14:textId="77777777" w:rsidR="007459BF" w:rsidRPr="00E0156A" w:rsidRDefault="007459BF" w:rsidP="007459BF">
      <w:pPr>
        <w:pStyle w:val="Zkladntextodsazen"/>
        <w:ind w:left="0"/>
      </w:pPr>
      <w:r w:rsidRPr="00E0156A">
        <w:t>OIP</w:t>
      </w:r>
      <w:r w:rsidRPr="00E0156A">
        <w:tab/>
      </w:r>
      <w:r w:rsidRPr="00E0156A">
        <w:tab/>
        <w:t>Oblastní inspektorát práce</w:t>
      </w:r>
    </w:p>
    <w:p w14:paraId="37616380" w14:textId="77777777" w:rsidR="007459BF" w:rsidRPr="00E0156A" w:rsidRDefault="007459BF" w:rsidP="007459BF">
      <w:pPr>
        <w:pStyle w:val="Zkladntextodsazen"/>
        <w:ind w:left="0"/>
      </w:pPr>
      <w:r w:rsidRPr="00E0156A">
        <w:t>OSSZ</w:t>
      </w:r>
      <w:r w:rsidRPr="00E0156A">
        <w:tab/>
      </w:r>
      <w:r w:rsidRPr="00E0156A">
        <w:tab/>
        <w:t>Okresní správa sociálního zabezpečení</w:t>
      </w:r>
    </w:p>
    <w:p w14:paraId="2E32FC7E" w14:textId="77777777" w:rsidR="007459BF" w:rsidRPr="00E0156A" w:rsidRDefault="007459BF" w:rsidP="007459BF">
      <w:pPr>
        <w:pStyle w:val="Zkladntextodsazen"/>
        <w:ind w:left="0"/>
      </w:pPr>
      <w:r w:rsidRPr="00E0156A">
        <w:t>OSVČ</w:t>
      </w:r>
      <w:r w:rsidRPr="00E0156A">
        <w:tab/>
      </w:r>
      <w:r w:rsidRPr="00E0156A">
        <w:tab/>
        <w:t>osoba samostatně výdělečně činná</w:t>
      </w:r>
    </w:p>
    <w:p w14:paraId="750D4330" w14:textId="77777777" w:rsidR="007459BF" w:rsidRPr="00E0156A" w:rsidRDefault="007459BF" w:rsidP="007459BF">
      <w:pPr>
        <w:pStyle w:val="Zkladntextodsazen"/>
        <w:ind w:left="0"/>
      </w:pPr>
      <w:r w:rsidRPr="00E0156A">
        <w:t>PN</w:t>
      </w:r>
      <w:r w:rsidRPr="00E0156A">
        <w:tab/>
      </w:r>
      <w:r w:rsidRPr="00E0156A">
        <w:tab/>
        <w:t>pracovní neschopnost</w:t>
      </w:r>
    </w:p>
    <w:p w14:paraId="18D78B57" w14:textId="77777777" w:rsidR="007459BF" w:rsidRPr="00E0156A" w:rsidRDefault="007459BF" w:rsidP="007459BF">
      <w:pPr>
        <w:pStyle w:val="Zkladntextodsazen"/>
        <w:ind w:left="0"/>
      </w:pPr>
      <w:r w:rsidRPr="00E0156A">
        <w:t>SÚIP</w:t>
      </w:r>
      <w:r w:rsidRPr="00E0156A">
        <w:tab/>
      </w:r>
      <w:r w:rsidRPr="00E0156A">
        <w:tab/>
        <w:t>Státní úřad inspekce práce</w:t>
      </w:r>
    </w:p>
    <w:p w14:paraId="200948AC" w14:textId="77777777" w:rsidR="007459BF" w:rsidRPr="00895A72" w:rsidRDefault="007459BF" w:rsidP="007459BF">
      <w:pPr>
        <w:pStyle w:val="Zkladntextodsazen"/>
        <w:ind w:left="0"/>
      </w:pPr>
      <w:r w:rsidRPr="00895A72">
        <w:t>SZÚ</w:t>
      </w:r>
      <w:r w:rsidRPr="00895A72">
        <w:tab/>
      </w:r>
      <w:r w:rsidRPr="00895A72">
        <w:tab/>
        <w:t>Státní zdravotní ústav</w:t>
      </w:r>
    </w:p>
    <w:p w14:paraId="1F35AD94" w14:textId="77777777" w:rsidR="007459BF" w:rsidRPr="00895A72" w:rsidRDefault="007459BF" w:rsidP="007459BF">
      <w:pPr>
        <w:pStyle w:val="Zkladntextodsazen"/>
        <w:ind w:left="0"/>
      </w:pPr>
      <w:r w:rsidRPr="00895A72">
        <w:rPr>
          <w:rFonts w:cs="Arial"/>
        </w:rPr>
        <w:t>ÚNP 4–01</w:t>
      </w:r>
      <w:r w:rsidRPr="00895A72">
        <w:rPr>
          <w:rFonts w:cs="Arial"/>
        </w:rPr>
        <w:tab/>
        <w:t>Výkaz o úplných nákladech práce</w:t>
      </w:r>
    </w:p>
    <w:p w14:paraId="6950B7FE" w14:textId="77777777" w:rsidR="007459BF" w:rsidRPr="00895A72" w:rsidRDefault="007459BF" w:rsidP="007459BF">
      <w:pPr>
        <w:pStyle w:val="Zkladntextodsazen"/>
        <w:ind w:left="0"/>
      </w:pPr>
      <w:r w:rsidRPr="00895A72">
        <w:t>ÚZIS ČR</w:t>
      </w:r>
      <w:r w:rsidRPr="00895A72">
        <w:tab/>
        <w:t>Ústav zdravotnických informací a statistiky České republiky</w:t>
      </w:r>
    </w:p>
    <w:p w14:paraId="58AF7213" w14:textId="77777777" w:rsidR="007459BF" w:rsidRPr="00895A72" w:rsidRDefault="007459BF" w:rsidP="007459BF">
      <w:pPr>
        <w:pStyle w:val="Zkladntextodsazen"/>
        <w:ind w:left="0"/>
      </w:pPr>
      <w:r w:rsidRPr="00895A72">
        <w:t>VÚBP</w:t>
      </w:r>
      <w:r w:rsidRPr="00895A72">
        <w:tab/>
      </w:r>
      <w:r w:rsidRPr="00895A72">
        <w:tab/>
        <w:t>Výzkumný ústav bezpečnosti práce</w:t>
      </w:r>
    </w:p>
    <w:p w14:paraId="5DB824D5" w14:textId="77777777" w:rsidR="007459BF" w:rsidRDefault="007459BF">
      <w:pPr>
        <w:spacing w:after="0" w:line="240" w:lineRule="auto"/>
        <w:rPr>
          <w:szCs w:val="20"/>
          <w:highlight w:val="yellow"/>
        </w:rPr>
      </w:pPr>
      <w:r>
        <w:rPr>
          <w:highlight w:val="yellow"/>
        </w:rPr>
        <w:br w:type="page"/>
      </w:r>
    </w:p>
    <w:p w14:paraId="7C69E8BA" w14:textId="77777777" w:rsidR="007459BF" w:rsidRPr="00895A72" w:rsidRDefault="007459BF" w:rsidP="007459BF">
      <w:pPr>
        <w:pStyle w:val="Nadpis2"/>
      </w:pPr>
      <w:bookmarkStart w:id="27" w:name="_Toc104792919"/>
      <w:r w:rsidRPr="00895A72">
        <w:lastRenderedPageBreak/>
        <w:t>6. Tabulková část – seznam tabulek</w:t>
      </w:r>
      <w:bookmarkEnd w:id="27"/>
    </w:p>
    <w:p w14:paraId="06121040" w14:textId="77777777" w:rsidR="007459BF" w:rsidRPr="00895A72" w:rsidRDefault="007459BF" w:rsidP="007459BF">
      <w:pPr>
        <w:spacing w:after="0"/>
        <w:rPr>
          <w:rFonts w:cs="Arial"/>
          <w:b/>
        </w:rPr>
      </w:pPr>
      <w:r w:rsidRPr="00895A72">
        <w:rPr>
          <w:rFonts w:cs="Arial"/>
          <w:b/>
        </w:rPr>
        <w:t xml:space="preserve">Pracovní neschopnost pro nemoc a úraz dle velikosti podniku, institucionálních sektorů, </w:t>
      </w:r>
      <w:r w:rsidRPr="00895A72">
        <w:rPr>
          <w:rFonts w:cs="Arial"/>
          <w:b/>
        </w:rPr>
        <w:br/>
        <w:t>sekcí CZ-NACE a krajů</w:t>
      </w:r>
    </w:p>
    <w:p w14:paraId="7E061148" w14:textId="77777777" w:rsidR="007459BF" w:rsidRPr="00895A72" w:rsidRDefault="007459BF" w:rsidP="007459BF">
      <w:pPr>
        <w:spacing w:after="0"/>
        <w:ind w:left="851" w:hanging="851"/>
      </w:pPr>
      <w:r w:rsidRPr="00895A72">
        <w:t>Tab. 1: Základní ukazatele dočasné pracovní neschopnosti</w:t>
      </w:r>
    </w:p>
    <w:p w14:paraId="49D1F389" w14:textId="77777777" w:rsidR="007459BF" w:rsidRPr="00895A72" w:rsidRDefault="007459BF" w:rsidP="007459BF">
      <w:pPr>
        <w:spacing w:after="0"/>
        <w:ind w:left="851" w:hanging="851"/>
      </w:pPr>
      <w:r w:rsidRPr="00895A72">
        <w:t>Tab. 1.1: Počet nemocensky pojištěných</w:t>
      </w:r>
    </w:p>
    <w:p w14:paraId="1678BCB1" w14:textId="77777777" w:rsidR="007459BF" w:rsidRPr="00895A72" w:rsidRDefault="007459BF" w:rsidP="007459BF">
      <w:pPr>
        <w:spacing w:after="0"/>
        <w:ind w:left="851" w:hanging="851"/>
      </w:pPr>
      <w:r w:rsidRPr="00895A72">
        <w:t>Tab. 1.2: Počet nově hlášených případů dočasné pracovní neschopnosti</w:t>
      </w:r>
    </w:p>
    <w:p w14:paraId="30EB97B0" w14:textId="77777777" w:rsidR="007459BF" w:rsidRPr="00895A72" w:rsidRDefault="007459BF" w:rsidP="007459BF">
      <w:pPr>
        <w:spacing w:after="0"/>
        <w:ind w:left="851" w:hanging="851"/>
      </w:pPr>
      <w:r w:rsidRPr="00895A72">
        <w:t>Tab. 1.3: Počet kalendářních dnů dočasné pracovní neschopnosti</w:t>
      </w:r>
    </w:p>
    <w:p w14:paraId="5926F60E" w14:textId="77777777" w:rsidR="007459BF" w:rsidRPr="00895A72" w:rsidRDefault="007459BF" w:rsidP="007459BF">
      <w:pPr>
        <w:spacing w:after="0"/>
        <w:ind w:left="851" w:hanging="851"/>
      </w:pPr>
      <w:r w:rsidRPr="00895A72">
        <w:t>Tab. 1.4: Počet nově hlášených případů dočasné pracovní neschopnosti na 100 pojištěnců</w:t>
      </w:r>
    </w:p>
    <w:p w14:paraId="46BA5CFD" w14:textId="77777777" w:rsidR="007459BF" w:rsidRPr="00895A72" w:rsidRDefault="007459BF" w:rsidP="007459BF">
      <w:pPr>
        <w:spacing w:after="0"/>
        <w:ind w:left="851" w:hanging="851"/>
      </w:pPr>
      <w:r w:rsidRPr="00895A72">
        <w:t>Tab. 1.5: Průměrné procento dočasné pracovní neschopnosti</w:t>
      </w:r>
    </w:p>
    <w:p w14:paraId="768E30F2" w14:textId="77777777" w:rsidR="007459BF" w:rsidRPr="00895A72" w:rsidRDefault="007459BF" w:rsidP="007459BF">
      <w:pPr>
        <w:spacing w:after="0"/>
        <w:ind w:left="851" w:hanging="851"/>
      </w:pPr>
      <w:r w:rsidRPr="00895A72">
        <w:t>Tab. 1.6: Počet kalendářních dnů dočasné pracovní neschopnosti na 1 nově hlášený případ</w:t>
      </w:r>
    </w:p>
    <w:p w14:paraId="47F8A85A" w14:textId="77777777" w:rsidR="007459BF" w:rsidRPr="00895A72" w:rsidRDefault="007459BF" w:rsidP="007459BF">
      <w:pPr>
        <w:spacing w:after="120"/>
        <w:ind w:left="851" w:hanging="851"/>
      </w:pPr>
      <w:r w:rsidRPr="00895A72">
        <w:t>Tab. 1.7: Průměrný denní stav dočasně práce neschopných</w:t>
      </w:r>
    </w:p>
    <w:p w14:paraId="295F6907" w14:textId="77777777" w:rsidR="007459BF" w:rsidRPr="00895A72" w:rsidRDefault="007459BF" w:rsidP="007459BF">
      <w:pPr>
        <w:spacing w:after="60"/>
        <w:ind w:left="851" w:hanging="851"/>
        <w:rPr>
          <w:rStyle w:val="Siln"/>
          <w:rFonts w:eastAsia="MS Gothic" w:cs="Arial"/>
        </w:rPr>
      </w:pPr>
      <w:r w:rsidRPr="00895A72">
        <w:rPr>
          <w:rStyle w:val="Siln"/>
          <w:rFonts w:eastAsia="MS Gothic" w:cs="Arial"/>
        </w:rPr>
        <w:t xml:space="preserve">Pracovní neschopnost </w:t>
      </w:r>
      <w:r w:rsidRPr="00895A72">
        <w:rPr>
          <w:rFonts w:cs="Arial"/>
          <w:b/>
        </w:rPr>
        <w:t>pro nemoc a úraz</w:t>
      </w:r>
      <w:r w:rsidRPr="00895A72">
        <w:rPr>
          <w:rStyle w:val="Siln"/>
          <w:rFonts w:eastAsia="MS Gothic" w:cs="Arial"/>
        </w:rPr>
        <w:t xml:space="preserve"> dle sekcí a oddílů CZ-NACE</w:t>
      </w:r>
    </w:p>
    <w:p w14:paraId="4C4CED56" w14:textId="77777777" w:rsidR="007459BF" w:rsidRPr="00895A72" w:rsidRDefault="007459BF" w:rsidP="007459BF">
      <w:pPr>
        <w:spacing w:after="0"/>
        <w:ind w:left="851" w:hanging="851"/>
        <w:rPr>
          <w:rFonts w:cs="Arial"/>
        </w:rPr>
      </w:pPr>
      <w:r w:rsidRPr="00895A72">
        <w:rPr>
          <w:rFonts w:cs="Arial"/>
        </w:rPr>
        <w:t>Tab. 2: Základní ukazatele dočasné pracovní neschopnosti</w:t>
      </w:r>
    </w:p>
    <w:p w14:paraId="3E39D422" w14:textId="77777777" w:rsidR="007459BF" w:rsidRPr="00895A72" w:rsidRDefault="007459BF" w:rsidP="007459BF">
      <w:pPr>
        <w:spacing w:after="0"/>
        <w:ind w:left="851" w:hanging="851"/>
        <w:rPr>
          <w:rFonts w:cs="Arial"/>
        </w:rPr>
      </w:pPr>
      <w:r w:rsidRPr="00895A72">
        <w:rPr>
          <w:rFonts w:cs="Arial"/>
        </w:rPr>
        <w:t>Tab. 2.1: Počet nemocensky pojištěných</w:t>
      </w:r>
    </w:p>
    <w:p w14:paraId="4B8BF8AA" w14:textId="77777777" w:rsidR="007459BF" w:rsidRPr="00895A72" w:rsidRDefault="007459BF" w:rsidP="007459BF">
      <w:pPr>
        <w:spacing w:after="0"/>
        <w:ind w:left="851" w:hanging="851"/>
        <w:rPr>
          <w:rFonts w:cs="Arial"/>
        </w:rPr>
      </w:pPr>
      <w:r w:rsidRPr="00895A72">
        <w:rPr>
          <w:rFonts w:cs="Arial"/>
        </w:rPr>
        <w:t>Tab. 2.2: Počet nově hlášených případů dočasné pracovní neschopnosti</w:t>
      </w:r>
    </w:p>
    <w:p w14:paraId="53CF6334" w14:textId="77777777" w:rsidR="007459BF" w:rsidRPr="00895A72" w:rsidRDefault="007459BF" w:rsidP="007459BF">
      <w:pPr>
        <w:spacing w:after="0"/>
        <w:ind w:left="851" w:hanging="851"/>
        <w:rPr>
          <w:rFonts w:cs="Arial"/>
        </w:rPr>
      </w:pPr>
      <w:r w:rsidRPr="00895A72">
        <w:rPr>
          <w:rFonts w:cs="Arial"/>
        </w:rPr>
        <w:t>Tab. 2.3: Počet kalendářních dnů dočasné pracovní neschopnosti</w:t>
      </w:r>
    </w:p>
    <w:p w14:paraId="561DACBD" w14:textId="77777777" w:rsidR="007459BF" w:rsidRPr="00895A72" w:rsidRDefault="007459BF" w:rsidP="007459BF">
      <w:pPr>
        <w:spacing w:after="0"/>
        <w:ind w:left="851" w:hanging="851"/>
        <w:rPr>
          <w:rFonts w:cs="Arial"/>
        </w:rPr>
      </w:pPr>
      <w:r w:rsidRPr="00895A72">
        <w:rPr>
          <w:rFonts w:cs="Arial"/>
        </w:rPr>
        <w:t>Tab. 2.4: Počet nově hlášených případů dočasné pracovní neschopnosti na 100 pojištěnců</w:t>
      </w:r>
    </w:p>
    <w:p w14:paraId="4B78A940" w14:textId="77777777" w:rsidR="007459BF" w:rsidRPr="00895A72" w:rsidRDefault="007459BF" w:rsidP="007459BF">
      <w:pPr>
        <w:spacing w:after="0"/>
        <w:ind w:left="851" w:hanging="851"/>
        <w:rPr>
          <w:rFonts w:cs="Arial"/>
        </w:rPr>
      </w:pPr>
      <w:r w:rsidRPr="00895A72">
        <w:rPr>
          <w:rFonts w:cs="Arial"/>
        </w:rPr>
        <w:t>Tab. 2.5: Průměrné procento dočasné pracovní neschopnosti</w:t>
      </w:r>
    </w:p>
    <w:p w14:paraId="6F01C6E0" w14:textId="77777777" w:rsidR="007459BF" w:rsidRPr="00895A72" w:rsidRDefault="007459BF" w:rsidP="007459BF">
      <w:pPr>
        <w:spacing w:after="0"/>
        <w:ind w:left="851" w:hanging="851"/>
        <w:rPr>
          <w:rFonts w:cs="Arial"/>
        </w:rPr>
      </w:pPr>
      <w:r w:rsidRPr="00895A72">
        <w:rPr>
          <w:rFonts w:cs="Arial"/>
        </w:rPr>
        <w:t>Tab. 2.6: Počet kalendářních dnů dočasné pracovní neschopnosti na 1 nově hlášený případ</w:t>
      </w:r>
    </w:p>
    <w:p w14:paraId="32377C48" w14:textId="77777777" w:rsidR="007459BF" w:rsidRPr="00895A72" w:rsidRDefault="007459BF" w:rsidP="007459BF">
      <w:pPr>
        <w:spacing w:after="120"/>
        <w:ind w:left="851" w:hanging="851"/>
        <w:rPr>
          <w:rStyle w:val="Siln"/>
          <w:rFonts w:eastAsia="MS Gothic" w:cs="Arial"/>
          <w:bCs w:val="0"/>
        </w:rPr>
      </w:pPr>
      <w:r w:rsidRPr="00895A72">
        <w:rPr>
          <w:rFonts w:cs="Arial"/>
        </w:rPr>
        <w:t>Tab. 2.7: Průměrný denní stav dočasně práce neschopných</w:t>
      </w:r>
    </w:p>
    <w:p w14:paraId="15A7A835" w14:textId="77777777" w:rsidR="007459BF" w:rsidRPr="00895A72" w:rsidRDefault="007459BF" w:rsidP="007459BF">
      <w:pPr>
        <w:spacing w:after="60"/>
        <w:ind w:left="851" w:hanging="851"/>
        <w:rPr>
          <w:rStyle w:val="Siln"/>
          <w:rFonts w:eastAsia="MS Gothic" w:cs="Arial"/>
          <w:bCs w:val="0"/>
        </w:rPr>
      </w:pPr>
      <w:r w:rsidRPr="00895A72">
        <w:rPr>
          <w:rStyle w:val="Siln"/>
          <w:rFonts w:eastAsia="MS Gothic" w:cs="Arial"/>
          <w:bCs w:val="0"/>
        </w:rPr>
        <w:t xml:space="preserve">Pracovní neschopnost </w:t>
      </w:r>
      <w:r w:rsidRPr="00895A72">
        <w:rPr>
          <w:rFonts w:cs="Arial"/>
          <w:b/>
        </w:rPr>
        <w:t xml:space="preserve">pro nemoc a úraz </w:t>
      </w:r>
      <w:r w:rsidRPr="00895A72">
        <w:rPr>
          <w:rStyle w:val="Siln"/>
          <w:rFonts w:eastAsia="MS Gothic" w:cs="Arial"/>
          <w:bCs w:val="0"/>
        </w:rPr>
        <w:t>dle krajů a okresů</w:t>
      </w:r>
    </w:p>
    <w:p w14:paraId="5BECA8C2" w14:textId="77777777" w:rsidR="007459BF" w:rsidRPr="00895A72" w:rsidRDefault="007459BF" w:rsidP="007459BF">
      <w:pPr>
        <w:spacing w:after="0"/>
        <w:ind w:left="851" w:hanging="851"/>
        <w:rPr>
          <w:rFonts w:cs="Arial"/>
        </w:rPr>
      </w:pPr>
      <w:r w:rsidRPr="00895A72">
        <w:rPr>
          <w:rFonts w:cs="Arial"/>
        </w:rPr>
        <w:t>Tab. 3: Základní ukazatele dočasné pracovní neschopnosti</w:t>
      </w:r>
    </w:p>
    <w:p w14:paraId="2112FA76" w14:textId="77777777" w:rsidR="007459BF" w:rsidRPr="00895A72" w:rsidRDefault="007459BF" w:rsidP="007459BF">
      <w:pPr>
        <w:spacing w:after="0"/>
        <w:ind w:left="851" w:hanging="851"/>
        <w:rPr>
          <w:rFonts w:cs="Arial"/>
        </w:rPr>
      </w:pPr>
      <w:r w:rsidRPr="00895A72">
        <w:rPr>
          <w:rFonts w:cs="Arial"/>
        </w:rPr>
        <w:t>Tab. 3.1: Počet nemocensky pojištěných</w:t>
      </w:r>
    </w:p>
    <w:p w14:paraId="701F4E7E" w14:textId="77777777" w:rsidR="007459BF" w:rsidRPr="00895A72" w:rsidRDefault="007459BF" w:rsidP="007459BF">
      <w:pPr>
        <w:spacing w:after="0"/>
        <w:ind w:left="851" w:hanging="851"/>
        <w:rPr>
          <w:rFonts w:cs="Arial"/>
        </w:rPr>
      </w:pPr>
      <w:r w:rsidRPr="00895A72">
        <w:rPr>
          <w:rFonts w:cs="Arial"/>
        </w:rPr>
        <w:t>Tab. 3.2: Počet nově hlášených případů dočasné pracovní neschopnosti</w:t>
      </w:r>
    </w:p>
    <w:p w14:paraId="7C131881" w14:textId="77777777" w:rsidR="007459BF" w:rsidRPr="00895A72" w:rsidRDefault="007459BF" w:rsidP="007459BF">
      <w:pPr>
        <w:spacing w:after="0"/>
        <w:ind w:left="851" w:hanging="851"/>
        <w:rPr>
          <w:rFonts w:cs="Arial"/>
        </w:rPr>
      </w:pPr>
      <w:r w:rsidRPr="00895A72">
        <w:rPr>
          <w:rFonts w:cs="Arial"/>
        </w:rPr>
        <w:t>Tab. 3.3: Počet kalendářních dnů dočasné pracovní neschopnosti</w:t>
      </w:r>
    </w:p>
    <w:p w14:paraId="039FF9E3" w14:textId="77777777" w:rsidR="007459BF" w:rsidRPr="00895A72" w:rsidRDefault="007459BF" w:rsidP="007459BF">
      <w:pPr>
        <w:spacing w:after="0"/>
        <w:ind w:left="851" w:hanging="851"/>
        <w:rPr>
          <w:rFonts w:cs="Arial"/>
        </w:rPr>
      </w:pPr>
      <w:r w:rsidRPr="00895A72">
        <w:rPr>
          <w:rFonts w:cs="Arial"/>
        </w:rPr>
        <w:t>Tab. 3.4: Počet nově hlášených případů dočasné pracovní neschopnosti na 100 pojištěnců</w:t>
      </w:r>
    </w:p>
    <w:p w14:paraId="2B423808" w14:textId="77777777" w:rsidR="007459BF" w:rsidRPr="00895A72" w:rsidRDefault="007459BF" w:rsidP="007459BF">
      <w:pPr>
        <w:spacing w:after="0"/>
        <w:ind w:left="851" w:hanging="851"/>
        <w:rPr>
          <w:rFonts w:cs="Arial"/>
        </w:rPr>
      </w:pPr>
      <w:r w:rsidRPr="00895A72">
        <w:rPr>
          <w:rFonts w:cs="Arial"/>
        </w:rPr>
        <w:t>Tab. 3.5: Průměrné procento dočasné pracovní neschopnosti</w:t>
      </w:r>
    </w:p>
    <w:p w14:paraId="266C5816" w14:textId="77777777" w:rsidR="007459BF" w:rsidRPr="00895A72" w:rsidRDefault="007459BF" w:rsidP="007459BF">
      <w:pPr>
        <w:spacing w:after="0"/>
        <w:ind w:left="851" w:hanging="851"/>
        <w:rPr>
          <w:rFonts w:cs="Arial"/>
        </w:rPr>
      </w:pPr>
      <w:r w:rsidRPr="00895A72">
        <w:rPr>
          <w:rFonts w:cs="Arial"/>
        </w:rPr>
        <w:t>Tab. 3.6: Počet kalendářních dnů dočasné pracovní neschopnosti na 1 nově hlášený případ</w:t>
      </w:r>
    </w:p>
    <w:p w14:paraId="257BFAEB" w14:textId="77777777" w:rsidR="007459BF" w:rsidRPr="00895A72" w:rsidRDefault="007459BF" w:rsidP="007459BF">
      <w:pPr>
        <w:spacing w:after="120"/>
        <w:ind w:left="851" w:hanging="851"/>
        <w:rPr>
          <w:rFonts w:cs="Arial"/>
        </w:rPr>
      </w:pPr>
      <w:r w:rsidRPr="00895A72">
        <w:rPr>
          <w:rFonts w:cs="Arial"/>
        </w:rPr>
        <w:t>Tab. 3.7: Průměrný denní stav dočasně práce neschopných</w:t>
      </w:r>
    </w:p>
    <w:p w14:paraId="2055C252" w14:textId="77777777" w:rsidR="007459BF" w:rsidRPr="00895A72" w:rsidRDefault="007459BF" w:rsidP="007459BF">
      <w:pPr>
        <w:spacing w:after="60"/>
        <w:ind w:left="851" w:hanging="851"/>
        <w:rPr>
          <w:rStyle w:val="Siln"/>
          <w:rFonts w:eastAsia="MS Gothic" w:cs="Arial"/>
        </w:rPr>
      </w:pPr>
      <w:r w:rsidRPr="00895A72">
        <w:rPr>
          <w:rStyle w:val="Siln"/>
          <w:rFonts w:eastAsia="MS Gothic" w:cs="Arial"/>
        </w:rPr>
        <w:t xml:space="preserve">Pracovní neschopnost </w:t>
      </w:r>
      <w:r w:rsidRPr="00895A72">
        <w:rPr>
          <w:rFonts w:cs="Arial"/>
          <w:b/>
        </w:rPr>
        <w:t xml:space="preserve">pro nemoc a úraz </w:t>
      </w:r>
      <w:r w:rsidRPr="00895A72">
        <w:rPr>
          <w:rStyle w:val="Siln"/>
          <w:rFonts w:eastAsia="MS Gothic" w:cs="Arial"/>
        </w:rPr>
        <w:t>OSVČ (nemocensky pojištěných) v krajích</w:t>
      </w:r>
    </w:p>
    <w:p w14:paraId="150C7911" w14:textId="77777777" w:rsidR="007459BF" w:rsidRPr="00895A72" w:rsidRDefault="007459BF" w:rsidP="007459BF">
      <w:pPr>
        <w:spacing w:after="0"/>
        <w:ind w:left="851" w:hanging="851"/>
        <w:rPr>
          <w:rFonts w:cs="Arial"/>
        </w:rPr>
      </w:pPr>
      <w:r w:rsidRPr="00895A72">
        <w:rPr>
          <w:rFonts w:cs="Arial"/>
        </w:rPr>
        <w:t>Tab. 4: Základní ukazatele dočasné pracovní neschopnosti OSVČ</w:t>
      </w:r>
    </w:p>
    <w:p w14:paraId="1A8D3A46" w14:textId="77777777" w:rsidR="007459BF" w:rsidRPr="00895A72" w:rsidRDefault="007459BF" w:rsidP="007459BF">
      <w:pPr>
        <w:spacing w:after="0"/>
        <w:ind w:left="851" w:hanging="851"/>
        <w:rPr>
          <w:rFonts w:cs="Arial"/>
        </w:rPr>
      </w:pPr>
      <w:r w:rsidRPr="00895A72">
        <w:rPr>
          <w:rFonts w:cs="Arial"/>
        </w:rPr>
        <w:t>Tab. 4.1: Počet nemocensky pojištěných OSVČ</w:t>
      </w:r>
    </w:p>
    <w:p w14:paraId="370152A4" w14:textId="77777777" w:rsidR="007459BF" w:rsidRPr="00895A72" w:rsidRDefault="007459BF" w:rsidP="007459BF">
      <w:pPr>
        <w:spacing w:after="0"/>
        <w:ind w:left="851" w:hanging="851"/>
        <w:rPr>
          <w:rFonts w:cs="Arial"/>
        </w:rPr>
      </w:pPr>
      <w:r w:rsidRPr="00895A72">
        <w:rPr>
          <w:rFonts w:cs="Arial"/>
        </w:rPr>
        <w:t>Tab. 4.2: Počet nově hlášených případů dočasné pracovní neschopnosti OSVČ</w:t>
      </w:r>
    </w:p>
    <w:p w14:paraId="48CC34CB" w14:textId="77777777" w:rsidR="007459BF" w:rsidRPr="00895A72" w:rsidRDefault="007459BF" w:rsidP="007459BF">
      <w:pPr>
        <w:spacing w:after="0"/>
        <w:ind w:left="851" w:hanging="851"/>
        <w:rPr>
          <w:rFonts w:cs="Arial"/>
        </w:rPr>
      </w:pPr>
      <w:r w:rsidRPr="00895A72">
        <w:rPr>
          <w:rFonts w:cs="Arial"/>
        </w:rPr>
        <w:t>Tab. 4.3: Počet kalendářních dnů dočasné pracovní neschopnosti OSVČ</w:t>
      </w:r>
    </w:p>
    <w:p w14:paraId="5D123A11" w14:textId="77777777" w:rsidR="007459BF" w:rsidRPr="00895A72" w:rsidRDefault="007459BF" w:rsidP="007459BF">
      <w:pPr>
        <w:spacing w:after="0"/>
        <w:ind w:left="851" w:hanging="851"/>
        <w:rPr>
          <w:rFonts w:cs="Arial"/>
        </w:rPr>
      </w:pPr>
      <w:r w:rsidRPr="00895A72">
        <w:rPr>
          <w:rFonts w:cs="Arial"/>
        </w:rPr>
        <w:t>Tab. 4.4: Počet nově hlášených případů dočasné pracovní neschopnosti OSVČ na 100 pojištěných OSVČ</w:t>
      </w:r>
    </w:p>
    <w:p w14:paraId="1F4A94B7" w14:textId="77777777" w:rsidR="007459BF" w:rsidRPr="00895A72" w:rsidRDefault="007459BF" w:rsidP="007459BF">
      <w:pPr>
        <w:spacing w:after="0"/>
        <w:ind w:left="851" w:hanging="851"/>
        <w:rPr>
          <w:rFonts w:cs="Arial"/>
        </w:rPr>
      </w:pPr>
      <w:r w:rsidRPr="00895A72">
        <w:rPr>
          <w:rFonts w:cs="Arial"/>
        </w:rPr>
        <w:t>Tab. 4.5: Průměrné procento dočasné pracovní neschopnosti OSVČ</w:t>
      </w:r>
    </w:p>
    <w:p w14:paraId="0B37F199" w14:textId="77777777" w:rsidR="007459BF" w:rsidRPr="00895A72" w:rsidRDefault="007459BF" w:rsidP="007459BF">
      <w:pPr>
        <w:spacing w:after="0"/>
        <w:ind w:left="851" w:hanging="851"/>
        <w:rPr>
          <w:rFonts w:cs="Arial"/>
        </w:rPr>
      </w:pPr>
      <w:r w:rsidRPr="00895A72">
        <w:rPr>
          <w:rFonts w:cs="Arial"/>
        </w:rPr>
        <w:t>Tab. 4.6: Počet kalendářních dnů dočasné pracovní neschopnosti OSVČ na 1 nově hlášený případ</w:t>
      </w:r>
    </w:p>
    <w:p w14:paraId="7C3C2823" w14:textId="77777777" w:rsidR="007459BF" w:rsidRPr="00895A72" w:rsidRDefault="007459BF" w:rsidP="007459BF">
      <w:pPr>
        <w:spacing w:after="120"/>
        <w:ind w:left="851" w:hanging="851"/>
        <w:rPr>
          <w:rFonts w:cs="Arial"/>
        </w:rPr>
      </w:pPr>
      <w:r w:rsidRPr="00895A72">
        <w:rPr>
          <w:rFonts w:cs="Arial"/>
        </w:rPr>
        <w:t>Tab. 4.7: Průměrný denní stav dočasně práce neschopných OSVČ</w:t>
      </w:r>
    </w:p>
    <w:p w14:paraId="2ADCB157" w14:textId="77777777" w:rsidR="007459BF" w:rsidRPr="00895A72" w:rsidRDefault="007459BF" w:rsidP="007459BF">
      <w:pPr>
        <w:spacing w:after="60"/>
        <w:rPr>
          <w:rStyle w:val="Siln"/>
          <w:rFonts w:eastAsia="MS Gothic" w:cs="Arial"/>
          <w:bCs w:val="0"/>
        </w:rPr>
      </w:pPr>
      <w:r w:rsidRPr="00895A72">
        <w:rPr>
          <w:rStyle w:val="Siln"/>
          <w:rFonts w:eastAsia="MS Gothic" w:cs="Arial"/>
          <w:bCs w:val="0"/>
        </w:rPr>
        <w:t>Pracovní úrazovost mladistvých</w:t>
      </w:r>
    </w:p>
    <w:p w14:paraId="6F8C1C5C" w14:textId="77777777" w:rsidR="007459BF" w:rsidRPr="00895A72" w:rsidRDefault="007459BF" w:rsidP="007459BF">
      <w:pPr>
        <w:spacing w:after="120" w:line="240" w:lineRule="auto"/>
        <w:ind w:left="851" w:hanging="851"/>
        <w:rPr>
          <w:rFonts w:cs="Arial"/>
        </w:rPr>
      </w:pPr>
      <w:r w:rsidRPr="00895A72">
        <w:rPr>
          <w:rFonts w:cs="Arial"/>
        </w:rPr>
        <w:t>Tab. 5: Pracovní úrazovost mladistvých</w:t>
      </w:r>
    </w:p>
    <w:p w14:paraId="6D28F9BE" w14:textId="77777777" w:rsidR="007459BF" w:rsidRPr="00895A72" w:rsidRDefault="007459BF" w:rsidP="007459BF">
      <w:pPr>
        <w:spacing w:after="60"/>
        <w:ind w:left="851" w:hanging="851"/>
        <w:rPr>
          <w:rStyle w:val="Siln"/>
          <w:rFonts w:eastAsia="MS Gothic" w:cs="Arial"/>
        </w:rPr>
      </w:pPr>
      <w:r w:rsidRPr="00895A72">
        <w:rPr>
          <w:rStyle w:val="Siln"/>
          <w:rFonts w:eastAsia="MS Gothic" w:cs="Arial"/>
        </w:rPr>
        <w:t>Pracovní úrazy s pracovní neschopností delší než 3 dny</w:t>
      </w:r>
    </w:p>
    <w:p w14:paraId="5801E5D5" w14:textId="77777777" w:rsidR="007459BF" w:rsidRPr="00895A72" w:rsidRDefault="007459BF" w:rsidP="007459BF">
      <w:pPr>
        <w:spacing w:after="120"/>
        <w:ind w:left="851" w:hanging="851"/>
        <w:rPr>
          <w:rFonts w:cs="Arial"/>
        </w:rPr>
      </w:pPr>
      <w:r w:rsidRPr="00895A72">
        <w:rPr>
          <w:rFonts w:cs="Arial"/>
        </w:rPr>
        <w:t>Tab. 6: Pracovní úrazy s pracovní neschopností delší než 3 dny</w:t>
      </w:r>
    </w:p>
    <w:p w14:paraId="5BDB074D" w14:textId="77777777" w:rsidR="007459BF" w:rsidRPr="00895A72" w:rsidRDefault="007459BF" w:rsidP="007459BF">
      <w:pPr>
        <w:spacing w:after="60"/>
        <w:ind w:left="851" w:hanging="851"/>
        <w:rPr>
          <w:rStyle w:val="Siln"/>
          <w:rFonts w:eastAsia="MS Gothic" w:cs="Arial"/>
          <w:bCs w:val="0"/>
        </w:rPr>
      </w:pPr>
      <w:r w:rsidRPr="00895A72">
        <w:rPr>
          <w:rStyle w:val="Siln"/>
          <w:rFonts w:eastAsia="MS Gothic" w:cs="Arial"/>
          <w:bCs w:val="0"/>
        </w:rPr>
        <w:t xml:space="preserve">Pracovní neschopnost </w:t>
      </w:r>
      <w:r w:rsidRPr="00895A72">
        <w:rPr>
          <w:rStyle w:val="Siln"/>
          <w:rFonts w:eastAsia="MS Gothic" w:cs="Arial"/>
        </w:rPr>
        <w:t>pro nemoc a úraz</w:t>
      </w:r>
      <w:r w:rsidRPr="00895A72">
        <w:rPr>
          <w:rStyle w:val="Siln"/>
          <w:rFonts w:eastAsia="MS Gothic" w:cs="Arial"/>
          <w:bCs w:val="0"/>
        </w:rPr>
        <w:t xml:space="preserve"> v nefinančních podnicích</w:t>
      </w:r>
    </w:p>
    <w:p w14:paraId="7CB3F687" w14:textId="77777777" w:rsidR="007459BF" w:rsidRPr="00895A72" w:rsidRDefault="007459BF" w:rsidP="007459BF">
      <w:pPr>
        <w:spacing w:after="0"/>
        <w:ind w:left="851" w:hanging="851"/>
        <w:rPr>
          <w:rFonts w:cs="Arial"/>
        </w:rPr>
      </w:pPr>
      <w:r w:rsidRPr="00895A72">
        <w:rPr>
          <w:rFonts w:cs="Arial"/>
        </w:rPr>
        <w:t>Tab. 7: Základní ukazatele dočasné pracovní neschopnosti</w:t>
      </w:r>
    </w:p>
    <w:p w14:paraId="1F0585EB" w14:textId="77777777" w:rsidR="007459BF" w:rsidRPr="00895A72" w:rsidRDefault="007459BF" w:rsidP="007459BF">
      <w:pPr>
        <w:spacing w:after="0"/>
        <w:ind w:left="851" w:hanging="851"/>
        <w:rPr>
          <w:rFonts w:cs="Arial"/>
        </w:rPr>
      </w:pPr>
      <w:r w:rsidRPr="00895A72">
        <w:rPr>
          <w:rFonts w:cs="Arial"/>
        </w:rPr>
        <w:t>Tab. 7.1: Počet nemocensky pojištěných</w:t>
      </w:r>
    </w:p>
    <w:p w14:paraId="31EF3900" w14:textId="77777777" w:rsidR="007459BF" w:rsidRPr="00895A72" w:rsidRDefault="007459BF" w:rsidP="007459BF">
      <w:pPr>
        <w:spacing w:after="0"/>
        <w:ind w:left="851" w:hanging="851"/>
        <w:rPr>
          <w:rFonts w:cs="Arial"/>
        </w:rPr>
      </w:pPr>
      <w:r w:rsidRPr="00895A72">
        <w:rPr>
          <w:rFonts w:cs="Arial"/>
        </w:rPr>
        <w:t>Tab. 7.2: Počet nově hlášených případů dočasné pracovní neschopnosti</w:t>
      </w:r>
    </w:p>
    <w:p w14:paraId="416A8A6B" w14:textId="77777777" w:rsidR="007459BF" w:rsidRPr="00895A72" w:rsidRDefault="007459BF" w:rsidP="007459BF">
      <w:pPr>
        <w:spacing w:after="0"/>
        <w:ind w:left="851" w:hanging="851"/>
        <w:rPr>
          <w:rFonts w:cs="Arial"/>
        </w:rPr>
      </w:pPr>
      <w:r w:rsidRPr="00895A72">
        <w:rPr>
          <w:rFonts w:cs="Arial"/>
        </w:rPr>
        <w:t>Tab. 7.3: Počet kalendářních dnů dočasné pracovní neschopnosti</w:t>
      </w:r>
    </w:p>
    <w:p w14:paraId="2F4D0769" w14:textId="77777777" w:rsidR="007459BF" w:rsidRPr="00895A72" w:rsidRDefault="007459BF" w:rsidP="007459BF">
      <w:pPr>
        <w:spacing w:after="0"/>
        <w:ind w:left="851" w:hanging="851"/>
        <w:rPr>
          <w:rFonts w:cs="Arial"/>
        </w:rPr>
      </w:pPr>
      <w:r w:rsidRPr="00895A72">
        <w:rPr>
          <w:rFonts w:cs="Arial"/>
        </w:rPr>
        <w:lastRenderedPageBreak/>
        <w:t>Tab. 7.4: Počet nově hlášených případů dočasné pracovní neschopnosti na 100 pojištěnců</w:t>
      </w:r>
    </w:p>
    <w:p w14:paraId="39220722" w14:textId="77777777" w:rsidR="007459BF" w:rsidRPr="00895A72" w:rsidRDefault="007459BF" w:rsidP="007459BF">
      <w:pPr>
        <w:spacing w:after="0"/>
        <w:ind w:left="851" w:hanging="851"/>
        <w:rPr>
          <w:rFonts w:cs="Arial"/>
        </w:rPr>
      </w:pPr>
      <w:r w:rsidRPr="00895A72">
        <w:rPr>
          <w:rFonts w:cs="Arial"/>
        </w:rPr>
        <w:t>Tab. 7.5: Průměrné procento dočasné pracovní neschopnosti</w:t>
      </w:r>
    </w:p>
    <w:p w14:paraId="697881D5" w14:textId="77777777" w:rsidR="007459BF" w:rsidRPr="00895A72" w:rsidRDefault="007459BF" w:rsidP="007459BF">
      <w:pPr>
        <w:spacing w:after="0"/>
        <w:ind w:left="851" w:hanging="851"/>
        <w:rPr>
          <w:rFonts w:cs="Arial"/>
        </w:rPr>
      </w:pPr>
      <w:r w:rsidRPr="00895A72">
        <w:rPr>
          <w:rFonts w:cs="Arial"/>
        </w:rPr>
        <w:t>Tab. 7.6: Počet kalendářních dnů dočasné pracovní neschopnosti na 1 nově hlášený případ</w:t>
      </w:r>
    </w:p>
    <w:p w14:paraId="4F19CA74" w14:textId="77777777" w:rsidR="007459BF" w:rsidRPr="00895A72" w:rsidRDefault="007459BF" w:rsidP="007459BF">
      <w:pPr>
        <w:spacing w:after="120"/>
        <w:ind w:left="851" w:hanging="851"/>
        <w:rPr>
          <w:rFonts w:cs="Arial"/>
        </w:rPr>
      </w:pPr>
      <w:r w:rsidRPr="00895A72">
        <w:rPr>
          <w:rFonts w:cs="Arial"/>
        </w:rPr>
        <w:t>Tab. 7.7: Průměrný denní stav dočasně práce neschopných</w:t>
      </w:r>
    </w:p>
    <w:p w14:paraId="2B78AA92" w14:textId="77777777" w:rsidR="007459BF" w:rsidRPr="00895A72" w:rsidRDefault="007459BF" w:rsidP="007459BF">
      <w:pPr>
        <w:spacing w:after="60"/>
        <w:ind w:left="851" w:hanging="851"/>
        <w:rPr>
          <w:rStyle w:val="Siln"/>
          <w:rFonts w:eastAsia="MS Gothic" w:cs="Arial"/>
        </w:rPr>
      </w:pPr>
      <w:r w:rsidRPr="00895A72">
        <w:rPr>
          <w:rStyle w:val="Siln"/>
          <w:rFonts w:eastAsia="MS Gothic" w:cs="Arial"/>
        </w:rPr>
        <w:t>Pracovní neschopnost pro nemoc a úraz ve zpracovatelském průmyslu</w:t>
      </w:r>
    </w:p>
    <w:p w14:paraId="4F346221" w14:textId="77777777" w:rsidR="007459BF" w:rsidRPr="00895A72" w:rsidRDefault="007459BF" w:rsidP="007459BF">
      <w:pPr>
        <w:spacing w:after="0"/>
        <w:ind w:left="851" w:hanging="851"/>
        <w:rPr>
          <w:rFonts w:cs="Arial"/>
        </w:rPr>
      </w:pPr>
      <w:r w:rsidRPr="00895A72">
        <w:rPr>
          <w:rFonts w:cs="Arial"/>
        </w:rPr>
        <w:t>Tab. 8: Základní ukazatele dočasné pracovní neschopnosti</w:t>
      </w:r>
    </w:p>
    <w:p w14:paraId="27A56395" w14:textId="77777777" w:rsidR="007459BF" w:rsidRPr="00895A72" w:rsidRDefault="007459BF" w:rsidP="007459BF">
      <w:pPr>
        <w:spacing w:after="0"/>
        <w:ind w:left="851" w:hanging="851"/>
        <w:rPr>
          <w:rFonts w:cs="Arial"/>
        </w:rPr>
      </w:pPr>
      <w:r w:rsidRPr="00895A72">
        <w:rPr>
          <w:rFonts w:cs="Arial"/>
        </w:rPr>
        <w:t>Tab. 8.1: Počet nemocensky pojištěných</w:t>
      </w:r>
    </w:p>
    <w:p w14:paraId="0EEA0B92" w14:textId="77777777" w:rsidR="007459BF" w:rsidRPr="00895A72" w:rsidRDefault="007459BF" w:rsidP="007459BF">
      <w:pPr>
        <w:spacing w:after="0"/>
        <w:ind w:left="851" w:hanging="851"/>
        <w:rPr>
          <w:rFonts w:cs="Arial"/>
        </w:rPr>
      </w:pPr>
      <w:r w:rsidRPr="00895A72">
        <w:rPr>
          <w:rFonts w:cs="Arial"/>
        </w:rPr>
        <w:t>Tab. 8.2: Počet nově hlášených případů dočasné pracovní neschopnosti</w:t>
      </w:r>
    </w:p>
    <w:p w14:paraId="43CA9B9B" w14:textId="77777777" w:rsidR="007459BF" w:rsidRPr="00895A72" w:rsidRDefault="007459BF" w:rsidP="007459BF">
      <w:pPr>
        <w:spacing w:after="0"/>
        <w:ind w:left="851" w:hanging="851"/>
        <w:rPr>
          <w:rFonts w:cs="Arial"/>
        </w:rPr>
      </w:pPr>
      <w:r w:rsidRPr="00895A72">
        <w:rPr>
          <w:rFonts w:cs="Arial"/>
        </w:rPr>
        <w:t>Tab. 8.3: Počet kalendářních dnů dočasné pracovní neschopnosti</w:t>
      </w:r>
    </w:p>
    <w:p w14:paraId="4EC072A8" w14:textId="77777777" w:rsidR="007459BF" w:rsidRPr="00895A72" w:rsidRDefault="007459BF" w:rsidP="007459BF">
      <w:pPr>
        <w:spacing w:after="0"/>
        <w:ind w:left="851" w:hanging="851"/>
        <w:rPr>
          <w:rFonts w:cs="Arial"/>
        </w:rPr>
      </w:pPr>
      <w:r w:rsidRPr="00895A72">
        <w:rPr>
          <w:rFonts w:cs="Arial"/>
        </w:rPr>
        <w:t>Tab. 8.4: Počet nově hlášených případů dočasné pracovní neschopnosti na 100 pojištěnců</w:t>
      </w:r>
    </w:p>
    <w:p w14:paraId="47FB7FB5" w14:textId="77777777" w:rsidR="007459BF" w:rsidRPr="00895A72" w:rsidRDefault="007459BF" w:rsidP="007459BF">
      <w:pPr>
        <w:spacing w:after="0"/>
        <w:ind w:left="851" w:hanging="851"/>
        <w:rPr>
          <w:rFonts w:cs="Arial"/>
        </w:rPr>
      </w:pPr>
      <w:r w:rsidRPr="00895A72">
        <w:rPr>
          <w:rFonts w:cs="Arial"/>
        </w:rPr>
        <w:t>Tab. 8.5: Průměrné procento dočasné pracovní neschopnosti</w:t>
      </w:r>
    </w:p>
    <w:p w14:paraId="165F1314" w14:textId="77777777" w:rsidR="007459BF" w:rsidRPr="00895A72" w:rsidRDefault="007459BF" w:rsidP="007459BF">
      <w:pPr>
        <w:spacing w:after="0"/>
        <w:ind w:left="851" w:hanging="851"/>
        <w:rPr>
          <w:rFonts w:cs="Arial"/>
        </w:rPr>
      </w:pPr>
      <w:r w:rsidRPr="00895A72">
        <w:rPr>
          <w:rFonts w:cs="Arial"/>
        </w:rPr>
        <w:t>Tab. 8.6: Počet kalendářních dnů dočasné pracovní neschopnosti na 1 nově hlášený případ</w:t>
      </w:r>
    </w:p>
    <w:p w14:paraId="586BB550" w14:textId="63D0BC2E" w:rsidR="007459BF" w:rsidRPr="007459BF" w:rsidRDefault="007459BF" w:rsidP="007459BF">
      <w:pPr>
        <w:spacing w:after="0"/>
        <w:ind w:left="851" w:hanging="851"/>
      </w:pPr>
      <w:r w:rsidRPr="00895A72">
        <w:rPr>
          <w:rFonts w:cs="Arial"/>
        </w:rPr>
        <w:t>Tab. 8.7: Průměrný denní stav dočasně práce neschopných</w:t>
      </w:r>
      <w:bookmarkEnd w:id="1"/>
    </w:p>
    <w:sectPr w:rsidR="007459BF" w:rsidRPr="007459BF" w:rsidSect="006F5416">
      <w:headerReference w:type="even" r:id="rId44"/>
      <w:headerReference w:type="default" r:id="rId45"/>
      <w:footerReference w:type="even" r:id="rId46"/>
      <w:footerReference w:type="default" r:id="rId47"/>
      <w:pgSz w:w="11906" w:h="16838" w:code="9"/>
      <w:pgMar w:top="1134" w:right="1134" w:bottom="1418" w:left="1134" w:header="680" w:footer="68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7633A" w16cex:dateUtc="2022-05-11T13:18:00Z"/>
  <w16cex:commentExtensible w16cex:durableId="2637633B" w16cex:dateUtc="2022-05-18T13:37:00Z"/>
  <w16cex:commentExtensible w16cex:durableId="263766C9" w16cex:dateUtc="2022-05-24T12:14:00Z"/>
  <w16cex:commentExtensible w16cex:durableId="2637633C" w16cex:dateUtc="2022-05-11T13:21:00Z"/>
  <w16cex:commentExtensible w16cex:durableId="2637633D" w16cex:dateUtc="2022-05-13T15:06:00Z"/>
  <w16cex:commentExtensible w16cex:durableId="2637633E" w16cex:dateUtc="2022-05-11T13:28:00Z"/>
  <w16cex:commentExtensible w16cex:durableId="2637633F" w16cex:dateUtc="2022-05-13T15:07:00Z"/>
  <w16cex:commentExtensible w16cex:durableId="26376340" w16cex:dateUtc="2022-05-11T13:29:00Z"/>
  <w16cex:commentExtensible w16cex:durableId="26376341" w16cex:dateUtc="2022-05-13T15:07:00Z"/>
  <w16cex:commentExtensible w16cex:durableId="26376342" w16cex:dateUtc="2022-05-11T14:39:00Z"/>
  <w16cex:commentExtensible w16cex:durableId="26376343" w16cex:dateUtc="2022-05-18T14:17:00Z"/>
  <w16cex:commentExtensible w16cex:durableId="26376827" w16cex:dateUtc="2022-05-24T12:20:00Z"/>
  <w16cex:commentExtensible w16cex:durableId="26376344" w16cex:dateUtc="2022-05-09T11:47:00Z"/>
  <w16cex:commentExtensible w16cex:durableId="26376345" w16cex:dateUtc="2022-05-13T15:21:00Z"/>
  <w16cex:commentExtensible w16cex:durableId="26376C37" w16cex:dateUtc="2022-05-24T12:37:00Z"/>
  <w16cex:commentExtensible w16cex:durableId="26376346" w16cex:dateUtc="2022-05-09T19:05:00Z"/>
  <w16cex:commentExtensible w16cex:durableId="26376347" w16cex:dateUtc="2022-05-13T15:22:00Z"/>
  <w16cex:commentExtensible w16cex:durableId="26376F7B" w16cex:dateUtc="2022-05-24T12:51:00Z"/>
  <w16cex:commentExtensible w16cex:durableId="26376348" w16cex:dateUtc="2022-05-09T19:16:00Z"/>
  <w16cex:commentExtensible w16cex:durableId="26376349" w16cex:dateUtc="2022-05-13T15:24:00Z"/>
  <w16cex:commentExtensible w16cex:durableId="2637634A" w16cex:dateUtc="2022-05-13T15:25:00Z"/>
  <w16cex:commentExtensible w16cex:durableId="2637634B" w16cex:dateUtc="2022-05-18T14:25:00Z"/>
  <w16cex:commentExtensible w16cex:durableId="2637634C" w16cex:dateUtc="2022-05-12T07:42:00Z"/>
  <w16cex:commentExtensible w16cex:durableId="2637634D" w16cex:dateUtc="2022-05-13T15:25:00Z"/>
  <w16cex:commentExtensible w16cex:durableId="2637634E" w16cex:dateUtc="2022-05-18T14:35:00Z"/>
  <w16cex:commentExtensible w16cex:durableId="2637634F" w16cex:dateUtc="2022-05-09T19:52:00Z"/>
  <w16cex:commentExtensible w16cex:durableId="26376350" w16cex:dateUtc="2022-05-13T15:26:00Z"/>
  <w16cex:commentExtensible w16cex:durableId="26377C7D" w16cex:dateUtc="2022-05-24T13:47:00Z"/>
  <w16cex:commentExtensible w16cex:durableId="26376351" w16cex:dateUtc="2022-05-12T08:30:00Z"/>
  <w16cex:commentExtensible w16cex:durableId="26376352" w16cex:dateUtc="2022-05-13T15:32:00Z"/>
  <w16cex:commentExtensible w16cex:durableId="26376353" w16cex:dateUtc="2022-05-12T09:41:00Z"/>
  <w16cex:commentExtensible w16cex:durableId="26376354" w16cex:dateUtc="2022-05-13T15:37:00Z"/>
  <w16cex:commentExtensible w16cex:durableId="26376355" w16cex:dateUtc="2022-05-12T13:56:00Z"/>
  <w16cex:commentExtensible w16cex:durableId="26376356" w16cex:dateUtc="2022-05-13T15:38:00Z"/>
  <w16cex:commentExtensible w16cex:durableId="26376357" w16cex:dateUtc="2022-05-18T14: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26F7F5" w16cid:durableId="2637633A"/>
  <w16cid:commentId w16cid:paraId="4E3AD008" w16cid:durableId="2637633B"/>
  <w16cid:commentId w16cid:paraId="642EBB09" w16cid:durableId="263766C9"/>
  <w16cid:commentId w16cid:paraId="44037E58" w16cid:durableId="2637633C"/>
  <w16cid:commentId w16cid:paraId="5512D80D" w16cid:durableId="2637633D"/>
  <w16cid:commentId w16cid:paraId="4EF73BA5" w16cid:durableId="2637633E"/>
  <w16cid:commentId w16cid:paraId="7DB8095F" w16cid:durableId="2637633F"/>
  <w16cid:commentId w16cid:paraId="184C78F3" w16cid:durableId="26376340"/>
  <w16cid:commentId w16cid:paraId="62853942" w16cid:durableId="26376341"/>
  <w16cid:commentId w16cid:paraId="3EC5C6F7" w16cid:durableId="26376342"/>
  <w16cid:commentId w16cid:paraId="28AB95E1" w16cid:durableId="26376343"/>
  <w16cid:commentId w16cid:paraId="5AA471A6" w16cid:durableId="26376827"/>
  <w16cid:commentId w16cid:paraId="6AD4C294" w16cid:durableId="26376344"/>
  <w16cid:commentId w16cid:paraId="7F3991B6" w16cid:durableId="26376345"/>
  <w16cid:commentId w16cid:paraId="0042BFDF" w16cid:durableId="26376C37"/>
  <w16cid:commentId w16cid:paraId="05786CE3" w16cid:durableId="26376346"/>
  <w16cid:commentId w16cid:paraId="77F5EADF" w16cid:durableId="26376347"/>
  <w16cid:commentId w16cid:paraId="6760A8A8" w16cid:durableId="26376F7B"/>
  <w16cid:commentId w16cid:paraId="3190F567" w16cid:durableId="26376348"/>
  <w16cid:commentId w16cid:paraId="21233EA5" w16cid:durableId="26376349"/>
  <w16cid:commentId w16cid:paraId="60270BB1" w16cid:durableId="2637634A"/>
  <w16cid:commentId w16cid:paraId="090112CA" w16cid:durableId="2637634B"/>
  <w16cid:commentId w16cid:paraId="54F877A4" w16cid:durableId="2637634C"/>
  <w16cid:commentId w16cid:paraId="5B12AF76" w16cid:durableId="2637634D"/>
  <w16cid:commentId w16cid:paraId="6180AC35" w16cid:durableId="2637634E"/>
  <w16cid:commentId w16cid:paraId="5A81A99B" w16cid:durableId="2637634F"/>
  <w16cid:commentId w16cid:paraId="3B5490D3" w16cid:durableId="26376350"/>
  <w16cid:commentId w16cid:paraId="7BAC71FC" w16cid:durableId="26377C7D"/>
  <w16cid:commentId w16cid:paraId="3644CF9C" w16cid:durableId="26376351"/>
  <w16cid:commentId w16cid:paraId="08DD6F2A" w16cid:durableId="26376352"/>
  <w16cid:commentId w16cid:paraId="31FE496B" w16cid:durableId="26376353"/>
  <w16cid:commentId w16cid:paraId="03535954" w16cid:durableId="26376354"/>
  <w16cid:commentId w16cid:paraId="3FDCEDC5" w16cid:durableId="26376355"/>
  <w16cid:commentId w16cid:paraId="199A623B" w16cid:durableId="26376356"/>
  <w16cid:commentId w16cid:paraId="7568DD18" w16cid:durableId="2637635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6E03BB" w14:textId="77777777" w:rsidR="00F61C13" w:rsidRDefault="00F61C13" w:rsidP="00E71A58">
      <w:r>
        <w:separator/>
      </w:r>
    </w:p>
  </w:endnote>
  <w:endnote w:type="continuationSeparator" w:id="0">
    <w:p w14:paraId="5B580630" w14:textId="77777777" w:rsidR="00F61C13" w:rsidRDefault="00F61C13"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Times New Roman"/>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 Pro">
    <w:charset w:val="00"/>
    <w:family w:val="auto"/>
    <w:pitch w:val="variable"/>
    <w:sig w:usb0="60000287" w:usb1="00000001"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97F19" w14:textId="0FCF32CF" w:rsidR="004930CE" w:rsidRPr="00932443" w:rsidRDefault="004930CE" w:rsidP="00A418BC">
    <w:pPr>
      <w:pStyle w:val="Zpat"/>
      <w:rPr>
        <w:szCs w:val="16"/>
      </w:rPr>
    </w:pPr>
    <w:r>
      <w:rPr>
        <w:szCs w:val="16"/>
        <w:lang w:eastAsia="cs-CZ"/>
      </w:rPr>
      <w:drawing>
        <wp:anchor distT="0" distB="0" distL="114300" distR="114300" simplePos="0" relativeHeight="251658240" behindDoc="0" locked="0" layoutInCell="1" allowOverlap="1" wp14:anchorId="7FE5DEFA" wp14:editId="30A80D24">
          <wp:simplePos x="0" y="0"/>
          <wp:positionH relativeFrom="column">
            <wp:align>right</wp:align>
          </wp:positionH>
          <wp:positionV relativeFrom="paragraph">
            <wp:posOffset>-64770</wp:posOffset>
          </wp:positionV>
          <wp:extent cx="428625" cy="201295"/>
          <wp:effectExtent l="0" t="0" r="3175" b="1905"/>
          <wp:wrapNone/>
          <wp:docPr id="11" name="Picture 11" descr="CSU RGB CZ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 RGB CZ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443">
      <w:rPr>
        <w:szCs w:val="16"/>
      </w:rPr>
      <w:fldChar w:fldCharType="begin"/>
    </w:r>
    <w:r w:rsidRPr="00932443">
      <w:rPr>
        <w:szCs w:val="16"/>
      </w:rPr>
      <w:instrText>PAGE   \* MERGEFORMAT</w:instrText>
    </w:r>
    <w:r w:rsidRPr="00932443">
      <w:rPr>
        <w:szCs w:val="16"/>
      </w:rPr>
      <w:fldChar w:fldCharType="separate"/>
    </w:r>
    <w:r w:rsidR="002F2C0C">
      <w:rPr>
        <w:szCs w:val="16"/>
      </w:rPr>
      <w:t>54</w:t>
    </w:r>
    <w:r w:rsidRPr="00932443">
      <w:rPr>
        <w:szCs w:val="16"/>
      </w:rPr>
      <w:fldChar w:fldCharType="end"/>
    </w:r>
    <w:r w:rsidRPr="00932443">
      <w:rPr>
        <w:szCs w:val="16"/>
      </w:rPr>
      <w:tab/>
    </w:r>
    <w:r>
      <w:rPr>
        <w:szCs w:val="16"/>
      </w:rPr>
      <w:t>2021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F0373" w14:textId="549BD57E" w:rsidR="004930CE" w:rsidRPr="00932443" w:rsidRDefault="004930CE" w:rsidP="00A418BC">
    <w:pPr>
      <w:pStyle w:val="Zpat"/>
      <w:rPr>
        <w:szCs w:val="16"/>
      </w:rPr>
    </w:pPr>
    <w:r>
      <w:rPr>
        <w:szCs w:val="16"/>
        <w:lang w:eastAsia="cs-CZ"/>
      </w:rPr>
      <w:drawing>
        <wp:anchor distT="0" distB="0" distL="114300" distR="114300" simplePos="0" relativeHeight="251657216" behindDoc="0" locked="0" layoutInCell="1" allowOverlap="1" wp14:anchorId="3A0CDC58" wp14:editId="1A6DF3A3">
          <wp:simplePos x="0" y="0"/>
          <wp:positionH relativeFrom="column">
            <wp:align>left</wp:align>
          </wp:positionH>
          <wp:positionV relativeFrom="paragraph">
            <wp:posOffset>-122555</wp:posOffset>
          </wp:positionV>
          <wp:extent cx="510540" cy="272415"/>
          <wp:effectExtent l="0" t="0" r="0" b="6985"/>
          <wp:wrapNone/>
          <wp:docPr id="10" name="Picture 10" descr="CSU RGB CZ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 RGB CZ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443">
      <w:rPr>
        <w:szCs w:val="16"/>
      </w:rPr>
      <w:tab/>
    </w:r>
    <w:r>
      <w:rPr>
        <w:rStyle w:val="ZpatChar"/>
        <w:szCs w:val="16"/>
      </w:rPr>
      <w:t>2021</w:t>
    </w:r>
    <w:r w:rsidRPr="00932443">
      <w:rPr>
        <w:szCs w:val="16"/>
      </w:rPr>
      <w:tab/>
    </w:r>
    <w:r w:rsidRPr="00932443">
      <w:rPr>
        <w:rStyle w:val="ZpatChar"/>
        <w:szCs w:val="16"/>
      </w:rPr>
      <w:fldChar w:fldCharType="begin"/>
    </w:r>
    <w:r w:rsidRPr="00932443">
      <w:rPr>
        <w:rStyle w:val="ZpatChar"/>
        <w:szCs w:val="16"/>
      </w:rPr>
      <w:instrText>PAGE   \* MERGEFORMAT</w:instrText>
    </w:r>
    <w:r w:rsidRPr="00932443">
      <w:rPr>
        <w:rStyle w:val="ZpatChar"/>
        <w:szCs w:val="16"/>
      </w:rPr>
      <w:fldChar w:fldCharType="separate"/>
    </w:r>
    <w:r w:rsidR="002F2C0C">
      <w:rPr>
        <w:rStyle w:val="ZpatChar"/>
        <w:szCs w:val="16"/>
      </w:rPr>
      <w:t>53</w:t>
    </w:r>
    <w:r w:rsidRPr="00932443">
      <w:rPr>
        <w:rStyle w:val="ZpatCha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7A0E5C" w14:textId="77777777" w:rsidR="00F61C13" w:rsidRDefault="00F61C13" w:rsidP="00E71A58">
      <w:r>
        <w:separator/>
      </w:r>
    </w:p>
  </w:footnote>
  <w:footnote w:type="continuationSeparator" w:id="0">
    <w:p w14:paraId="393AEFD9" w14:textId="77777777" w:rsidR="00F61C13" w:rsidRDefault="00F61C13" w:rsidP="00E71A58">
      <w:r>
        <w:continuationSeparator/>
      </w:r>
    </w:p>
  </w:footnote>
  <w:footnote w:id="1">
    <w:p w14:paraId="07287BA0" w14:textId="77777777" w:rsidR="004930CE" w:rsidRPr="00B40FC2" w:rsidRDefault="004930CE" w:rsidP="00A403BA">
      <w:pPr>
        <w:pStyle w:val="Textpoznpodarou"/>
        <w:spacing w:line="240" w:lineRule="auto"/>
        <w:jc w:val="both"/>
        <w:rPr>
          <w:sz w:val="16"/>
          <w:szCs w:val="16"/>
        </w:rPr>
      </w:pPr>
      <w:r w:rsidRPr="00FB50FB">
        <w:rPr>
          <w:rStyle w:val="Znakapoznpodarou"/>
          <w:sz w:val="16"/>
        </w:rPr>
        <w:footnoteRef/>
      </w:r>
      <w:r w:rsidRPr="00FB50FB">
        <w:rPr>
          <w:sz w:val="16"/>
        </w:rPr>
        <w:t xml:space="preserve"> </w:t>
      </w:r>
      <w:r w:rsidRPr="00A2673E">
        <w:rPr>
          <w:sz w:val="16"/>
          <w:szCs w:val="16"/>
        </w:rPr>
        <w:t xml:space="preserve">Publikaci s daty za </w:t>
      </w:r>
      <w:r>
        <w:rPr>
          <w:sz w:val="16"/>
          <w:szCs w:val="16"/>
        </w:rPr>
        <w:t>1. pololetí roku</w:t>
      </w:r>
      <w:r w:rsidRPr="00A2673E">
        <w:rPr>
          <w:sz w:val="16"/>
          <w:szCs w:val="16"/>
        </w:rPr>
        <w:t xml:space="preserve"> 20</w:t>
      </w:r>
      <w:r>
        <w:rPr>
          <w:sz w:val="16"/>
          <w:szCs w:val="16"/>
        </w:rPr>
        <w:t>21</w:t>
      </w:r>
      <w:r w:rsidRPr="00A2673E">
        <w:rPr>
          <w:sz w:val="16"/>
          <w:szCs w:val="16"/>
        </w:rPr>
        <w:t xml:space="preserve"> lze nalézt na</w:t>
      </w:r>
      <w:r>
        <w:rPr>
          <w:sz w:val="16"/>
          <w:szCs w:val="16"/>
        </w:rPr>
        <w:t>:</w:t>
      </w:r>
      <w:r w:rsidRPr="00A2673E">
        <w:rPr>
          <w:sz w:val="16"/>
          <w:szCs w:val="16"/>
        </w:rPr>
        <w:t xml:space="preserve"> </w:t>
      </w:r>
      <w:hyperlink r:id="rId1" w:history="1">
        <w:r w:rsidRPr="00A403BA">
          <w:rPr>
            <w:rStyle w:val="Hypertextovodkaz"/>
            <w:sz w:val="16"/>
          </w:rPr>
          <w:t>https://www.czso.cz/csu/czso/pracovni-neschopnost-pro-nemoc-a-uraz-v-ceske-republice-1-pololeti-2021</w:t>
        </w:r>
      </w:hyperlink>
    </w:p>
  </w:footnote>
  <w:footnote w:id="2">
    <w:p w14:paraId="371B6093" w14:textId="77777777" w:rsidR="004930CE" w:rsidRDefault="004930CE" w:rsidP="007A319D">
      <w:pPr>
        <w:pStyle w:val="Textpoznpodarou"/>
        <w:jc w:val="both"/>
      </w:pPr>
      <w:r w:rsidRPr="00FB50FB">
        <w:rPr>
          <w:rStyle w:val="Znakapoznpodarou"/>
          <w:sz w:val="16"/>
        </w:rPr>
        <w:footnoteRef/>
      </w:r>
      <w:r w:rsidRPr="0002739E">
        <w:rPr>
          <w:sz w:val="16"/>
        </w:rPr>
        <w:t xml:space="preserve"> eNeschopenka byla přijata zákony č. 259/2017 Sb. a č. 164/2019 Sb. Více o vystavování elektronických neschopenek na </w:t>
      </w:r>
      <w:hyperlink r:id="rId2" w:history="1">
        <w:r w:rsidRPr="0002739E">
          <w:rPr>
            <w:rStyle w:val="Hypertextovodkaz"/>
            <w:sz w:val="16"/>
          </w:rPr>
          <w:t>https://www.cssz.cz/web/eneschopenka/</w:t>
        </w:r>
      </w:hyperlink>
      <w:r w:rsidRPr="0002739E">
        <w:rPr>
          <w:sz w:val="16"/>
        </w:rPr>
        <w:t>.</w:t>
      </w:r>
    </w:p>
  </w:footnote>
  <w:footnote w:id="3">
    <w:p w14:paraId="3054AAC4" w14:textId="77777777" w:rsidR="004930CE" w:rsidRDefault="004930CE" w:rsidP="00AF2E68">
      <w:pPr>
        <w:pStyle w:val="Textpoznpodarou"/>
        <w:spacing w:after="60"/>
        <w:jc w:val="both"/>
      </w:pPr>
      <w:r w:rsidRPr="002E2281">
        <w:rPr>
          <w:rStyle w:val="Znakapoznpodarou"/>
          <w:sz w:val="16"/>
        </w:rPr>
        <w:footnoteRef/>
      </w:r>
      <w:r w:rsidRPr="002E2281">
        <w:rPr>
          <w:sz w:val="16"/>
        </w:rPr>
        <w:t xml:space="preserve"> </w:t>
      </w:r>
      <w:r w:rsidRPr="007F4035">
        <w:rPr>
          <w:sz w:val="16"/>
        </w:rPr>
        <w:t>Elektronické zpracování přineslo zjednodušení v předávání informací mezi nemocnými (pojištěnci v dočasné pracovní neschopnosti), ČSSZ, lékaři a zaměstnavateli. Zásadně se tak zjednodušil tok informací, protože eNeschopenka propojila povinně elektronicky tři dotčené subjekty</w:t>
      </w:r>
      <w:r>
        <w:rPr>
          <w:sz w:val="16"/>
        </w:rPr>
        <w:t>:</w:t>
      </w:r>
      <w:r w:rsidRPr="007F4035">
        <w:rPr>
          <w:sz w:val="16"/>
        </w:rPr>
        <w:t xml:space="preserve"> lékaře, zaměstnavatele a ČSSZ.</w:t>
      </w:r>
      <w:r w:rsidRPr="002E2281">
        <w:rPr>
          <w:sz w:val="16"/>
        </w:rPr>
        <w:t xml:space="preserve"> Zaměstnavatelé díky systému eNeschopenka obdrží formou notifikací prakticky okamžitě informace o</w:t>
      </w:r>
      <w:r>
        <w:rPr>
          <w:sz w:val="16"/>
        </w:rPr>
        <w:t> </w:t>
      </w:r>
      <w:r w:rsidRPr="002E2281">
        <w:rPr>
          <w:sz w:val="16"/>
        </w:rPr>
        <w:t>pracovní neschopnosti svých zaměstnanců. Kromě notifikací mohou nahlížet i do ePortálu ČSSZ. Zatímco původní tiskopis měl 5 dílů, nová podoba neschopenky má pouze 3 díly. V případě technických problémů lékař použije papírový třídílný formulář, který obdrží na příslušné správě sociálního zabezpečení.</w:t>
      </w:r>
    </w:p>
  </w:footnote>
  <w:footnote w:id="4">
    <w:p w14:paraId="3B27DFFE" w14:textId="77777777" w:rsidR="004930CE" w:rsidRDefault="004930CE" w:rsidP="00AF2E68">
      <w:pPr>
        <w:pStyle w:val="Textpoznpodarou"/>
        <w:jc w:val="both"/>
      </w:pPr>
      <w:r w:rsidRPr="00451C9E">
        <w:rPr>
          <w:rStyle w:val="Znakapoznpodarou"/>
          <w:sz w:val="16"/>
        </w:rPr>
        <w:footnoteRef/>
      </w:r>
      <w:r w:rsidRPr="00451C9E">
        <w:t xml:space="preserve"> </w:t>
      </w:r>
      <w:r w:rsidRPr="00451C9E">
        <w:rPr>
          <w:sz w:val="16"/>
        </w:rPr>
        <w:t>V údajích ČSSZ nejsou zahrnuti příslušníci Policie ČR, Hasičského záchranného sboru ČR, Celní správy ČR, Vězeňské služby ČR, Generální inspekce bezpečnostních sborů, Bezpečnostní informační služby, Úřadu pro zahraniční styky a informace, vojáci z povolání,</w:t>
      </w:r>
      <w:r w:rsidRPr="00451C9E">
        <w:rPr>
          <w:rFonts w:cs="Arial"/>
          <w:sz w:val="16"/>
        </w:rPr>
        <w:t xml:space="preserve"> odsouzení ve výkonu trestu, kteří vykonávají práci ve výkonu trestu, a osoby obviněné vykonávající práci ve vazbě (§ 5 písm. a) body 2 a 14 zákona č.187/2006 Sb.). Správcem registrů těchto příslušníků a odsouzených osob je služební orgán v oborech své působnosti. Služebními orgány jsou Ministerstvo obrany, Ministerstvo vnitra, Vězeňská služba ČR, Generální ředitelství cel, Generální inspekce bezpečnostních sborů, Bezpečnostní informační služba a Úřad pro zahraniční styky a informace.</w:t>
      </w:r>
    </w:p>
  </w:footnote>
  <w:footnote w:id="5">
    <w:p w14:paraId="03C8F55C" w14:textId="77777777" w:rsidR="004930CE" w:rsidRDefault="004930CE" w:rsidP="00AF2E68">
      <w:pPr>
        <w:pStyle w:val="Textpoznpodarou"/>
      </w:pPr>
      <w:r>
        <w:rPr>
          <w:rStyle w:val="Znakapoznpodarou"/>
        </w:rPr>
        <w:footnoteRef/>
      </w:r>
      <w:r>
        <w:t xml:space="preserve"> </w:t>
      </w:r>
      <w:hyperlink r:id="rId3" w:history="1">
        <w:r w:rsidRPr="003A349C">
          <w:rPr>
            <w:rStyle w:val="Hypertextovodkaz"/>
            <w:rFonts w:cs="Arial"/>
            <w:sz w:val="16"/>
            <w:szCs w:val="22"/>
          </w:rPr>
          <w:t>https://www.czso.cz/csu/czso/klasifikace-institucionalnich-sektoru-a-subsektoru-cz-ciss</w:t>
        </w:r>
      </w:hyperlink>
    </w:p>
  </w:footnote>
  <w:footnote w:id="6">
    <w:p w14:paraId="4F7974FB" w14:textId="77777777" w:rsidR="004930CE" w:rsidRDefault="004930CE" w:rsidP="00C61BBC">
      <w:pPr>
        <w:pStyle w:val="Textpoznpodarou"/>
        <w:jc w:val="both"/>
      </w:pPr>
      <w:r w:rsidRPr="000547B7">
        <w:rPr>
          <w:rStyle w:val="Znakapoznpodarou"/>
          <w:sz w:val="16"/>
        </w:rPr>
        <w:footnoteRef/>
      </w:r>
      <w:r w:rsidRPr="000547B7">
        <w:rPr>
          <w:sz w:val="16"/>
        </w:rPr>
        <w:t xml:space="preserve"> Uvedený podíl nezahrnuje vojáky z povolání, příslušníky Policie ČR, Hasičského záchranného sboru ČR, Celní správy ČR, Vězeňské služby ČR, Generální inspekce bezpečnostních sborů, Bezpečnostní informační služby a Úřadu pro zahraniční styky a informace.</w:t>
      </w:r>
      <w:r>
        <w:rPr>
          <w:sz w:val="16"/>
        </w:rPr>
        <w:t xml:space="preserve"> </w:t>
      </w:r>
      <w:r>
        <w:rPr>
          <w:rFonts w:cs="Arial"/>
          <w:sz w:val="16"/>
        </w:rPr>
        <w:t>Správcem registrů těchto příslušníků je služební orgán v oborech své působnosti.</w:t>
      </w:r>
    </w:p>
  </w:footnote>
  <w:footnote w:id="7">
    <w:p w14:paraId="0189A19F" w14:textId="77777777" w:rsidR="004930CE" w:rsidRDefault="004930CE" w:rsidP="005E3B8E">
      <w:pPr>
        <w:pStyle w:val="Textpoznpodarou"/>
      </w:pPr>
      <w:r w:rsidRPr="009F305A">
        <w:rPr>
          <w:rStyle w:val="Znakapoznpodarou"/>
          <w:sz w:val="16"/>
        </w:rPr>
        <w:footnoteRef/>
      </w:r>
      <w:r w:rsidRPr="009F305A">
        <w:rPr>
          <w:sz w:val="16"/>
        </w:rPr>
        <w:t xml:space="preserve"> </w:t>
      </w:r>
      <w:r>
        <w:rPr>
          <w:sz w:val="16"/>
        </w:rPr>
        <w:t>Kromě karantén do počtu neschopností patří také</w:t>
      </w:r>
      <w:r w:rsidRPr="009F305A">
        <w:rPr>
          <w:sz w:val="16"/>
        </w:rPr>
        <w:t xml:space="preserve"> izolace.</w:t>
      </w:r>
      <w:r>
        <w:rPr>
          <w:sz w:val="16"/>
        </w:rPr>
        <w:t xml:space="preserve"> Více informací viz kap. 4.4.1.</w:t>
      </w:r>
    </w:p>
  </w:footnote>
  <w:footnote w:id="8">
    <w:p w14:paraId="1809FB79" w14:textId="77777777" w:rsidR="004930CE" w:rsidRDefault="004930CE" w:rsidP="008A3A13">
      <w:pPr>
        <w:pStyle w:val="Textpoznpodarou"/>
        <w:jc w:val="both"/>
      </w:pPr>
      <w:r w:rsidRPr="003E42A9">
        <w:rPr>
          <w:rStyle w:val="Znakapoznpodarou"/>
          <w:sz w:val="16"/>
        </w:rPr>
        <w:footnoteRef/>
      </w:r>
      <w:r w:rsidRPr="003E42A9">
        <w:rPr>
          <w:sz w:val="16"/>
        </w:rPr>
        <w:t xml:space="preserve"> V Jeseníku se nachází referát účtárny pěstounské péče pro profesionální pěstouny v ČR. Profesionální pěstouni zpravidla na neschopenku nechodí, protože i po dobu pracovní neschopnosti musí pečovat o svěřené dítě. Jsou však zahrnuti do jmenovatele </w:t>
      </w:r>
      <w:r>
        <w:rPr>
          <w:sz w:val="16"/>
        </w:rPr>
        <w:t xml:space="preserve">v rámci </w:t>
      </w:r>
      <w:r w:rsidRPr="003E42A9">
        <w:rPr>
          <w:sz w:val="16"/>
        </w:rPr>
        <w:t>počt</w:t>
      </w:r>
      <w:r>
        <w:rPr>
          <w:sz w:val="16"/>
        </w:rPr>
        <w:t>u</w:t>
      </w:r>
      <w:r w:rsidRPr="003E42A9">
        <w:rPr>
          <w:sz w:val="16"/>
        </w:rPr>
        <w:t xml:space="preserve"> pojištěnců v okrese.</w:t>
      </w:r>
    </w:p>
  </w:footnote>
  <w:footnote w:id="9">
    <w:p w14:paraId="520118F7" w14:textId="77777777" w:rsidR="004930CE" w:rsidRPr="00DC6AB9" w:rsidRDefault="004930CE" w:rsidP="00C55296">
      <w:pPr>
        <w:pStyle w:val="Textpoznpodarou"/>
        <w:jc w:val="both"/>
        <w:rPr>
          <w:sz w:val="18"/>
        </w:rPr>
      </w:pPr>
      <w:r w:rsidRPr="00DC6AB9">
        <w:rPr>
          <w:rStyle w:val="Znakapoznpodarou"/>
          <w:sz w:val="16"/>
        </w:rPr>
        <w:footnoteRef/>
      </w:r>
      <w:r w:rsidRPr="00DC6AB9">
        <w:rPr>
          <w:sz w:val="16"/>
        </w:rPr>
        <w:t xml:space="preserve"> Platí pro ni stejné podmínky jako pro běžnou pracovní neschopnost z důvodu nemoci či úrazu.</w:t>
      </w:r>
      <w:r>
        <w:rPr>
          <w:sz w:val="16"/>
        </w:rPr>
        <w:t xml:space="preserve"> </w:t>
      </w:r>
      <w:r w:rsidRPr="00B15EBE">
        <w:rPr>
          <w:sz w:val="16"/>
        </w:rPr>
        <w:t>Tato publikace nezahrnuje mimořádný karanténní příspěvek (tzv. izolačku) zaveden</w:t>
      </w:r>
      <w:r>
        <w:rPr>
          <w:sz w:val="16"/>
        </w:rPr>
        <w:t>ý</w:t>
      </w:r>
      <w:r w:rsidRPr="00B15EBE">
        <w:rPr>
          <w:sz w:val="16"/>
        </w:rPr>
        <w:t xml:space="preserve"> v roce 2021.</w:t>
      </w:r>
      <w:r>
        <w:rPr>
          <w:sz w:val="16"/>
        </w:rPr>
        <w:t xml:space="preserve"> Je</w:t>
      </w:r>
      <w:r w:rsidRPr="00B15EBE">
        <w:rPr>
          <w:sz w:val="16"/>
        </w:rPr>
        <w:t xml:space="preserve"> vyplácen zaměstnava</w:t>
      </w:r>
      <w:r>
        <w:rPr>
          <w:sz w:val="16"/>
        </w:rPr>
        <w:t>telům a jimi pak zpětně odečítán</w:t>
      </w:r>
      <w:r w:rsidRPr="00B15EBE">
        <w:rPr>
          <w:sz w:val="16"/>
        </w:rPr>
        <w:t xml:space="preserve"> z celkového pojistného, které na ČSSZ odvádějí.</w:t>
      </w:r>
    </w:p>
  </w:footnote>
  <w:footnote w:id="10">
    <w:p w14:paraId="0F279011" w14:textId="77777777" w:rsidR="004930CE" w:rsidRPr="00F969DD" w:rsidRDefault="004930CE" w:rsidP="00C55296">
      <w:pPr>
        <w:pStyle w:val="Textpoznpodarou"/>
        <w:spacing w:after="60" w:line="240" w:lineRule="auto"/>
        <w:jc w:val="both"/>
        <w:rPr>
          <w:sz w:val="16"/>
        </w:rPr>
      </w:pPr>
      <w:r w:rsidRPr="00B15EBE">
        <w:rPr>
          <w:rStyle w:val="Znakapoznpodarou"/>
          <w:sz w:val="16"/>
        </w:rPr>
        <w:footnoteRef/>
      </w:r>
      <w:r>
        <w:t xml:space="preserve"> </w:t>
      </w:r>
      <w:r w:rsidRPr="00F969DD">
        <w:rPr>
          <w:b/>
          <w:sz w:val="16"/>
        </w:rPr>
        <w:t>Karanténou</w:t>
      </w:r>
      <w:r w:rsidRPr="00F969DD">
        <w:rPr>
          <w:sz w:val="16"/>
        </w:rPr>
        <w:t xml:space="preserve"> se rozumí oddělení osoby, která sice nevykazuje příznaky onemocnění, ale byla během inkubační doby ve styku s</w:t>
      </w:r>
      <w:r>
        <w:rPr>
          <w:sz w:val="16"/>
        </w:rPr>
        <w:t> </w:t>
      </w:r>
      <w:r w:rsidRPr="00F969DD">
        <w:rPr>
          <w:sz w:val="16"/>
        </w:rPr>
        <w:t>infekčním onemocněním nebo pobývala v ohnisku nákazy, od ostatních fyzických osob, aby se nákaza dále nešířila.</w:t>
      </w:r>
    </w:p>
    <w:p w14:paraId="7BCE8D2D" w14:textId="77777777" w:rsidR="004930CE" w:rsidRDefault="004930CE" w:rsidP="00C55296">
      <w:pPr>
        <w:pStyle w:val="Textpoznpodarou"/>
        <w:spacing w:after="60"/>
        <w:jc w:val="both"/>
      </w:pPr>
      <w:r w:rsidRPr="00F969DD">
        <w:rPr>
          <w:b/>
          <w:sz w:val="16"/>
        </w:rPr>
        <w:t>Izolací</w:t>
      </w:r>
      <w:r w:rsidRPr="00F969DD">
        <w:rPr>
          <w:sz w:val="16"/>
        </w:rPr>
        <w:t xml:space="preserve"> se rozumí oddělení osoby, která onemocněla infekční nemocí nebo jeví příznaky tohoto onemocnění, od ostatn</w:t>
      </w:r>
      <w:r>
        <w:rPr>
          <w:sz w:val="16"/>
        </w:rPr>
        <w:t>ích fyzických osob</w:t>
      </w:r>
      <w:r w:rsidRPr="00F969DD">
        <w:rPr>
          <w:sz w:val="16"/>
        </w:rPr>
        <w:t>, aby se infekční onemocnění dále nešířilo.</w:t>
      </w:r>
    </w:p>
  </w:footnote>
  <w:footnote w:id="11">
    <w:p w14:paraId="3E0AEF9C" w14:textId="77777777" w:rsidR="004930CE" w:rsidRPr="00B15EBE" w:rsidRDefault="004930CE" w:rsidP="00C55296">
      <w:pPr>
        <w:pStyle w:val="Textpoznpodarou"/>
        <w:jc w:val="both"/>
        <w:rPr>
          <w:sz w:val="16"/>
        </w:rPr>
      </w:pPr>
      <w:r w:rsidRPr="00B15EBE">
        <w:rPr>
          <w:rStyle w:val="Znakapoznpodarou"/>
          <w:sz w:val="16"/>
        </w:rPr>
        <w:footnoteRef/>
      </w:r>
      <w:r w:rsidRPr="00B15EBE">
        <w:rPr>
          <w:sz w:val="16"/>
        </w:rPr>
        <w:t xml:space="preserve"> </w:t>
      </w:r>
      <w:r w:rsidRPr="00B15EBE">
        <w:rPr>
          <w:sz w:val="16"/>
          <w:szCs w:val="16"/>
        </w:rPr>
        <w:t>Tento počet vydaných neschopenek je dán součtem denních přírůstků počtu nových neschopenek za příslušný měsíc (bez jakéhokoliv rozlišování zaměstnavatele a typu zúčtovatele). Liší se od počtu nově hlášených případů pracovní neschopnosti uvedeného v kap. 4.2, kdy se jedná o celkové počty za dané období z pohledu příslušných zaměstnavatelů a dle typů zúčtovatele.</w:t>
      </w:r>
    </w:p>
  </w:footnote>
  <w:footnote w:id="12">
    <w:p w14:paraId="0C83365B" w14:textId="77777777" w:rsidR="004930CE" w:rsidRDefault="004930CE" w:rsidP="005C663E">
      <w:pPr>
        <w:pStyle w:val="Textpoznpodarou"/>
        <w:spacing w:after="60"/>
      </w:pPr>
      <w:r w:rsidRPr="006054AC">
        <w:rPr>
          <w:rStyle w:val="Znakapoznpodarou"/>
          <w:sz w:val="16"/>
        </w:rPr>
        <w:footnoteRef/>
      </w:r>
      <w:r w:rsidRPr="006054AC">
        <w:rPr>
          <w:sz w:val="16"/>
        </w:rPr>
        <w:t xml:space="preserve"> Platilo do 30. 6. 2021</w:t>
      </w:r>
      <w:r>
        <w:rPr>
          <w:sz w:val="16"/>
        </w:rPr>
        <w:t>.</w:t>
      </w:r>
    </w:p>
  </w:footnote>
  <w:footnote w:id="13">
    <w:p w14:paraId="20C90672" w14:textId="77777777" w:rsidR="004930CE" w:rsidRDefault="004930CE" w:rsidP="005C663E">
      <w:pPr>
        <w:pStyle w:val="Textpoznpodarou"/>
      </w:pPr>
      <w:r w:rsidRPr="00B67A38">
        <w:rPr>
          <w:rStyle w:val="Znakapoznpodarou"/>
          <w:sz w:val="16"/>
        </w:rPr>
        <w:footnoteRef/>
      </w:r>
      <w:r>
        <w:t xml:space="preserve"> </w:t>
      </w:r>
      <w:r w:rsidRPr="00B67A38">
        <w:rPr>
          <w:sz w:val="16"/>
        </w:rPr>
        <w:t>Na jaře 2021 se</w:t>
      </w:r>
      <w:r>
        <w:rPr>
          <w:sz w:val="16"/>
        </w:rPr>
        <w:t xml:space="preserve"> podíl</w:t>
      </w:r>
      <w:r w:rsidRPr="00B67A38">
        <w:rPr>
          <w:sz w:val="16"/>
        </w:rPr>
        <w:t xml:space="preserve"> zvýšil na 80 %.</w:t>
      </w:r>
    </w:p>
  </w:footnote>
  <w:footnote w:id="14">
    <w:p w14:paraId="53AE6DC0" w14:textId="099656E1" w:rsidR="004930CE" w:rsidRPr="008A15C0" w:rsidRDefault="004930CE" w:rsidP="00C13658">
      <w:pPr>
        <w:pStyle w:val="Textpoznpodarou"/>
        <w:jc w:val="both"/>
        <w:rPr>
          <w:sz w:val="18"/>
          <w:szCs w:val="18"/>
        </w:rPr>
      </w:pPr>
      <w:r w:rsidRPr="008A15C0">
        <w:rPr>
          <w:rStyle w:val="Znakapoznpodarou"/>
          <w:sz w:val="18"/>
          <w:szCs w:val="18"/>
        </w:rPr>
        <w:footnoteRef/>
      </w:r>
      <w:r w:rsidRPr="008A15C0">
        <w:rPr>
          <w:sz w:val="18"/>
          <w:szCs w:val="18"/>
        </w:rPr>
        <w:t xml:space="preserve"> </w:t>
      </w:r>
      <w:r w:rsidRPr="00EA2DCF">
        <w:rPr>
          <w:sz w:val="16"/>
          <w:szCs w:val="16"/>
        </w:rPr>
        <w:t>Poslední dostupná data s mezinárodním srovnáním za členské státy EU2</w:t>
      </w:r>
      <w:r w:rsidR="00E50F69">
        <w:rPr>
          <w:sz w:val="16"/>
          <w:szCs w:val="16"/>
        </w:rPr>
        <w:t>7</w:t>
      </w:r>
      <w:r w:rsidRPr="00EA2DCF">
        <w:rPr>
          <w:sz w:val="16"/>
          <w:szCs w:val="16"/>
        </w:rPr>
        <w:t xml:space="preserve"> byla v době zpracování této publikace </w:t>
      </w:r>
      <w:r w:rsidRPr="00EA2DCF">
        <w:rPr>
          <w:spacing w:val="-3"/>
          <w:sz w:val="16"/>
          <w:szCs w:val="16"/>
        </w:rPr>
        <w:t>za rok 201</w:t>
      </w:r>
      <w:r>
        <w:rPr>
          <w:spacing w:val="-3"/>
          <w:sz w:val="16"/>
          <w:szCs w:val="16"/>
        </w:rPr>
        <w:t>9</w:t>
      </w:r>
      <w:r w:rsidRPr="00EA2DCF">
        <w:rPr>
          <w:spacing w:val="-3"/>
          <w:sz w:val="16"/>
          <w:szCs w:val="16"/>
        </w:rPr>
        <w:t xml:space="preserve">. Jejich zdrojem je databáze Eurostatu: </w:t>
      </w:r>
      <w:hyperlink r:id="rId4" w:history="1">
        <w:r w:rsidRPr="00EA2DCF">
          <w:rPr>
            <w:rStyle w:val="Hypertextovodkaz"/>
            <w:sz w:val="16"/>
            <w:szCs w:val="16"/>
          </w:rPr>
          <w:t>https://ec.europa.eu/eurostat/web/health/data/database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A7BAC" w14:textId="77777777" w:rsidR="004930CE" w:rsidRPr="009D7913" w:rsidRDefault="004930CE" w:rsidP="009D7913">
    <w:pPr>
      <w:pStyle w:val="Zhlav"/>
    </w:pPr>
    <w:r>
      <w:t>Pracovní neschopnost pro nemoc a úraz za rok 2021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92285" w14:textId="77777777" w:rsidR="004930CE" w:rsidRPr="006F5416" w:rsidRDefault="004930CE" w:rsidP="00937AE2">
    <w:pPr>
      <w:pStyle w:val="Zhlav"/>
    </w:pPr>
    <w:r>
      <w:t>Pracovní neschopnost pro nemoc a úraz za rok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E04FF8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FAAF"/>
      </v:shape>
    </w:pict>
  </w:numPicBullet>
  <w:abstractNum w:abstractNumId="0" w15:restartNumberingAfterBreak="0">
    <w:nsid w:val="FFFFFF7C"/>
    <w:multiLevelType w:val="singleLevel"/>
    <w:tmpl w:val="49CEEC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C69A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7A1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623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965B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DE27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7AE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8C5B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C8EE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8AD8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E1470"/>
    <w:multiLevelType w:val="hybridMultilevel"/>
    <w:tmpl w:val="5C9656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84E4415"/>
    <w:multiLevelType w:val="hybridMultilevel"/>
    <w:tmpl w:val="189A16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D394626"/>
    <w:multiLevelType w:val="hybridMultilevel"/>
    <w:tmpl w:val="C29C83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02556A7"/>
    <w:multiLevelType w:val="hybridMultilevel"/>
    <w:tmpl w:val="3F36775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4" w15:restartNumberingAfterBreak="0">
    <w:nsid w:val="23C9092A"/>
    <w:multiLevelType w:val="hybridMultilevel"/>
    <w:tmpl w:val="6106A1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58473A1"/>
    <w:multiLevelType w:val="hybridMultilevel"/>
    <w:tmpl w:val="7984410C"/>
    <w:lvl w:ilvl="0" w:tplc="371200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7900C75"/>
    <w:multiLevelType w:val="multilevel"/>
    <w:tmpl w:val="17DE23C4"/>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8AA48F6"/>
    <w:multiLevelType w:val="hybridMultilevel"/>
    <w:tmpl w:val="89FE51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B8016D3"/>
    <w:multiLevelType w:val="hybridMultilevel"/>
    <w:tmpl w:val="C9B243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ECC156E"/>
    <w:multiLevelType w:val="hybridMultilevel"/>
    <w:tmpl w:val="7EECAB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3AF4090"/>
    <w:multiLevelType w:val="hybridMultilevel"/>
    <w:tmpl w:val="70D4EC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704391F"/>
    <w:multiLevelType w:val="hybridMultilevel"/>
    <w:tmpl w:val="217E5D9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C581760"/>
    <w:multiLevelType w:val="hybridMultilevel"/>
    <w:tmpl w:val="CFEE9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5363618"/>
    <w:multiLevelType w:val="hybridMultilevel"/>
    <w:tmpl w:val="E3E8EB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90017F3"/>
    <w:multiLevelType w:val="hybridMultilevel"/>
    <w:tmpl w:val="D4C400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DD50F1A"/>
    <w:multiLevelType w:val="hybridMultilevel"/>
    <w:tmpl w:val="1410E9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6AA503E"/>
    <w:multiLevelType w:val="multilevel"/>
    <w:tmpl w:val="2688BBDA"/>
    <w:lvl w:ilvl="0">
      <w:start w:val="1"/>
      <w:numFmt w:val="decimal"/>
      <w:lvlText w:val="%1."/>
      <w:lvlJc w:val="left"/>
      <w:pPr>
        <w:ind w:left="720" w:hanging="360"/>
      </w:pPr>
      <w:rPr>
        <w:rFonts w:hint="default"/>
      </w:rPr>
    </w:lvl>
    <w:lvl w:ilvl="1">
      <w:start w:val="3"/>
      <w:numFmt w:val="decimal"/>
      <w:isLgl/>
      <w:suff w:val="space"/>
      <w:lvlText w:val="4.%2"/>
      <w:lvlJc w:val="left"/>
      <w:pPr>
        <w:ind w:left="720" w:hanging="360"/>
      </w:pPr>
      <w:rPr>
        <w:rFonts w:hint="default"/>
      </w:rPr>
    </w:lvl>
    <w:lvl w:ilvl="2">
      <w:start w:val="1"/>
      <w:numFmt w:val="decimal"/>
      <w:isLgl/>
      <w:suff w:val="space"/>
      <w:lvlText w:val="4.%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86C4312"/>
    <w:multiLevelType w:val="multilevel"/>
    <w:tmpl w:val="A544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E71B0D"/>
    <w:multiLevelType w:val="multilevel"/>
    <w:tmpl w:val="5EE4B558"/>
    <w:lvl w:ilvl="0">
      <w:start w:val="1"/>
      <w:numFmt w:val="decimal"/>
      <w:lvlText w:val="%1."/>
      <w:lvlJc w:val="left"/>
      <w:pPr>
        <w:ind w:left="720" w:hanging="360"/>
      </w:pPr>
      <w:rPr>
        <w:rFonts w:hint="default"/>
      </w:rPr>
    </w:lvl>
    <w:lvl w:ilvl="1">
      <w:start w:val="3"/>
      <w:numFmt w:val="decimal"/>
      <w:isLgl/>
      <w:suff w:val="space"/>
      <w:lvlText w:val="4.%2"/>
      <w:lvlJc w:val="left"/>
      <w:pPr>
        <w:ind w:left="720" w:hanging="360"/>
      </w:pPr>
      <w:rPr>
        <w:rFonts w:hint="default"/>
      </w:rPr>
    </w:lvl>
    <w:lvl w:ilvl="2">
      <w:start w:val="1"/>
      <w:numFmt w:val="none"/>
      <w:isLgl/>
      <w:suff w:val="space"/>
      <w:lvlText w:val="4.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1FB04D0"/>
    <w:multiLevelType w:val="hybridMultilevel"/>
    <w:tmpl w:val="A5FC21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FEF4B85"/>
    <w:multiLevelType w:val="hybridMultilevel"/>
    <w:tmpl w:val="E4FC5E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5"/>
  </w:num>
  <w:num w:numId="13">
    <w:abstractNumId w:val="23"/>
  </w:num>
  <w:num w:numId="14">
    <w:abstractNumId w:val="14"/>
  </w:num>
  <w:num w:numId="15">
    <w:abstractNumId w:val="17"/>
  </w:num>
  <w:num w:numId="16">
    <w:abstractNumId w:val="26"/>
  </w:num>
  <w:num w:numId="17">
    <w:abstractNumId w:val="31"/>
  </w:num>
  <w:num w:numId="18">
    <w:abstractNumId w:val="30"/>
  </w:num>
  <w:num w:numId="19">
    <w:abstractNumId w:val="11"/>
  </w:num>
  <w:num w:numId="20">
    <w:abstractNumId w:val="18"/>
  </w:num>
  <w:num w:numId="21">
    <w:abstractNumId w:val="25"/>
  </w:num>
  <w:num w:numId="22">
    <w:abstractNumId w:val="12"/>
  </w:num>
  <w:num w:numId="23">
    <w:abstractNumId w:val="28"/>
  </w:num>
  <w:num w:numId="24">
    <w:abstractNumId w:val="19"/>
  </w:num>
  <w:num w:numId="25">
    <w:abstractNumId w:val="13"/>
  </w:num>
  <w:num w:numId="26">
    <w:abstractNumId w:val="24"/>
  </w:num>
  <w:num w:numId="27">
    <w:abstractNumId w:val="29"/>
  </w:num>
  <w:num w:numId="28">
    <w:abstractNumId w:val="10"/>
  </w:num>
  <w:num w:numId="29">
    <w:abstractNumId w:val="27"/>
  </w:num>
  <w:num w:numId="30">
    <w:abstractNumId w:val="16"/>
  </w:num>
  <w:num w:numId="31">
    <w:abstractNumId w:val="20"/>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913"/>
    <w:rsid w:val="00000210"/>
    <w:rsid w:val="0000209D"/>
    <w:rsid w:val="00004D5A"/>
    <w:rsid w:val="000056D5"/>
    <w:rsid w:val="0000767A"/>
    <w:rsid w:val="00010702"/>
    <w:rsid w:val="00016992"/>
    <w:rsid w:val="00021A3B"/>
    <w:rsid w:val="000234D6"/>
    <w:rsid w:val="00023D29"/>
    <w:rsid w:val="00026389"/>
    <w:rsid w:val="00031AE0"/>
    <w:rsid w:val="000322EF"/>
    <w:rsid w:val="00033FCD"/>
    <w:rsid w:val="00034547"/>
    <w:rsid w:val="00041CEC"/>
    <w:rsid w:val="000423A6"/>
    <w:rsid w:val="0004694F"/>
    <w:rsid w:val="0004776E"/>
    <w:rsid w:val="000477A6"/>
    <w:rsid w:val="000522E4"/>
    <w:rsid w:val="000610E1"/>
    <w:rsid w:val="00061AAA"/>
    <w:rsid w:val="00062EC5"/>
    <w:rsid w:val="00062F22"/>
    <w:rsid w:val="00070858"/>
    <w:rsid w:val="000712B3"/>
    <w:rsid w:val="00071637"/>
    <w:rsid w:val="000731F7"/>
    <w:rsid w:val="00074565"/>
    <w:rsid w:val="0008263E"/>
    <w:rsid w:val="00082C19"/>
    <w:rsid w:val="00085395"/>
    <w:rsid w:val="00087634"/>
    <w:rsid w:val="00087F2B"/>
    <w:rsid w:val="000974D1"/>
    <w:rsid w:val="0009799E"/>
    <w:rsid w:val="000A1183"/>
    <w:rsid w:val="000A256D"/>
    <w:rsid w:val="000A3A2C"/>
    <w:rsid w:val="000B30FA"/>
    <w:rsid w:val="000C1953"/>
    <w:rsid w:val="000C3408"/>
    <w:rsid w:val="000C6AFD"/>
    <w:rsid w:val="000D1D1E"/>
    <w:rsid w:val="000D255B"/>
    <w:rsid w:val="000D39C9"/>
    <w:rsid w:val="000D4AC4"/>
    <w:rsid w:val="000D5637"/>
    <w:rsid w:val="000E6FBD"/>
    <w:rsid w:val="000F5459"/>
    <w:rsid w:val="00100F5C"/>
    <w:rsid w:val="00102EAE"/>
    <w:rsid w:val="0010437D"/>
    <w:rsid w:val="00104C4C"/>
    <w:rsid w:val="0011766E"/>
    <w:rsid w:val="0012192F"/>
    <w:rsid w:val="00125D69"/>
    <w:rsid w:val="001405FA"/>
    <w:rsid w:val="001425C3"/>
    <w:rsid w:val="001438A5"/>
    <w:rsid w:val="00160306"/>
    <w:rsid w:val="0016256B"/>
    <w:rsid w:val="00163393"/>
    <w:rsid w:val="00163793"/>
    <w:rsid w:val="00167288"/>
    <w:rsid w:val="001706D6"/>
    <w:rsid w:val="001714F2"/>
    <w:rsid w:val="001819ED"/>
    <w:rsid w:val="00184B08"/>
    <w:rsid w:val="00185010"/>
    <w:rsid w:val="001A552F"/>
    <w:rsid w:val="001B2CA9"/>
    <w:rsid w:val="001B3110"/>
    <w:rsid w:val="001B4707"/>
    <w:rsid w:val="001B4729"/>
    <w:rsid w:val="001B6C09"/>
    <w:rsid w:val="001C05CD"/>
    <w:rsid w:val="001D17A2"/>
    <w:rsid w:val="001D68B2"/>
    <w:rsid w:val="001E0F29"/>
    <w:rsid w:val="001E4182"/>
    <w:rsid w:val="001F4597"/>
    <w:rsid w:val="0021135F"/>
    <w:rsid w:val="002118B9"/>
    <w:rsid w:val="00217C5B"/>
    <w:rsid w:val="0022139E"/>
    <w:rsid w:val="00224FFD"/>
    <w:rsid w:val="002252E0"/>
    <w:rsid w:val="002255F6"/>
    <w:rsid w:val="00226E40"/>
    <w:rsid w:val="00227850"/>
    <w:rsid w:val="00227A53"/>
    <w:rsid w:val="00230C6E"/>
    <w:rsid w:val="00235B67"/>
    <w:rsid w:val="00236443"/>
    <w:rsid w:val="002436BA"/>
    <w:rsid w:val="00244A15"/>
    <w:rsid w:val="00245742"/>
    <w:rsid w:val="00247319"/>
    <w:rsid w:val="0024799E"/>
    <w:rsid w:val="00253C0F"/>
    <w:rsid w:val="00255CA6"/>
    <w:rsid w:val="00256A43"/>
    <w:rsid w:val="00262176"/>
    <w:rsid w:val="00271465"/>
    <w:rsid w:val="00283F76"/>
    <w:rsid w:val="00285412"/>
    <w:rsid w:val="00286733"/>
    <w:rsid w:val="00287133"/>
    <w:rsid w:val="002A00BE"/>
    <w:rsid w:val="002A16D4"/>
    <w:rsid w:val="002A230C"/>
    <w:rsid w:val="002A3DEB"/>
    <w:rsid w:val="002B00CB"/>
    <w:rsid w:val="002B6E8D"/>
    <w:rsid w:val="002B7CCE"/>
    <w:rsid w:val="002C2CF4"/>
    <w:rsid w:val="002C43BD"/>
    <w:rsid w:val="002D0E59"/>
    <w:rsid w:val="002E02A1"/>
    <w:rsid w:val="002E3A4E"/>
    <w:rsid w:val="002E4E4C"/>
    <w:rsid w:val="002F2C0C"/>
    <w:rsid w:val="002F343C"/>
    <w:rsid w:val="00302757"/>
    <w:rsid w:val="00304771"/>
    <w:rsid w:val="003052D4"/>
    <w:rsid w:val="00306A39"/>
    <w:rsid w:val="00306C5B"/>
    <w:rsid w:val="0030714A"/>
    <w:rsid w:val="0031159B"/>
    <w:rsid w:val="003140EB"/>
    <w:rsid w:val="003209D6"/>
    <w:rsid w:val="00321924"/>
    <w:rsid w:val="0032656E"/>
    <w:rsid w:val="00332190"/>
    <w:rsid w:val="00335180"/>
    <w:rsid w:val="00344668"/>
    <w:rsid w:val="003462D9"/>
    <w:rsid w:val="00346833"/>
    <w:rsid w:val="003522A6"/>
    <w:rsid w:val="00360C86"/>
    <w:rsid w:val="00361897"/>
    <w:rsid w:val="003657F3"/>
    <w:rsid w:val="00366388"/>
    <w:rsid w:val="003818DC"/>
    <w:rsid w:val="00384327"/>
    <w:rsid w:val="00385D98"/>
    <w:rsid w:val="00392BCD"/>
    <w:rsid w:val="003A2B4D"/>
    <w:rsid w:val="003A478C"/>
    <w:rsid w:val="003A5525"/>
    <w:rsid w:val="003A6B38"/>
    <w:rsid w:val="003A6EFD"/>
    <w:rsid w:val="003B5A32"/>
    <w:rsid w:val="003C3490"/>
    <w:rsid w:val="003D1060"/>
    <w:rsid w:val="003D2972"/>
    <w:rsid w:val="003D6920"/>
    <w:rsid w:val="003E4C91"/>
    <w:rsid w:val="003E7652"/>
    <w:rsid w:val="003F283B"/>
    <w:rsid w:val="003F313C"/>
    <w:rsid w:val="003F4B2C"/>
    <w:rsid w:val="003F551C"/>
    <w:rsid w:val="003F7D23"/>
    <w:rsid w:val="00407C13"/>
    <w:rsid w:val="00410638"/>
    <w:rsid w:val="004151F8"/>
    <w:rsid w:val="004229D4"/>
    <w:rsid w:val="00432A58"/>
    <w:rsid w:val="00434617"/>
    <w:rsid w:val="00440900"/>
    <w:rsid w:val="00440BF9"/>
    <w:rsid w:val="00442137"/>
    <w:rsid w:val="004441A0"/>
    <w:rsid w:val="00447822"/>
    <w:rsid w:val="00451C9E"/>
    <w:rsid w:val="00460FB3"/>
    <w:rsid w:val="00476240"/>
    <w:rsid w:val="00476439"/>
    <w:rsid w:val="0047735C"/>
    <w:rsid w:val="004776BC"/>
    <w:rsid w:val="00477DA3"/>
    <w:rsid w:val="0048139F"/>
    <w:rsid w:val="00481E40"/>
    <w:rsid w:val="00481E90"/>
    <w:rsid w:val="004828D8"/>
    <w:rsid w:val="00484ECE"/>
    <w:rsid w:val="00487B38"/>
    <w:rsid w:val="004900FF"/>
    <w:rsid w:val="004915CB"/>
    <w:rsid w:val="004924DC"/>
    <w:rsid w:val="004930CE"/>
    <w:rsid w:val="00495305"/>
    <w:rsid w:val="004A14E4"/>
    <w:rsid w:val="004A1613"/>
    <w:rsid w:val="004A3212"/>
    <w:rsid w:val="004A61C5"/>
    <w:rsid w:val="004A6E11"/>
    <w:rsid w:val="004A77DF"/>
    <w:rsid w:val="004B1417"/>
    <w:rsid w:val="004B4ABA"/>
    <w:rsid w:val="004B55B7"/>
    <w:rsid w:val="004B5EE7"/>
    <w:rsid w:val="004B5F96"/>
    <w:rsid w:val="004B6468"/>
    <w:rsid w:val="004C01F9"/>
    <w:rsid w:val="004C384C"/>
    <w:rsid w:val="004C3867"/>
    <w:rsid w:val="004C3917"/>
    <w:rsid w:val="004C4CD0"/>
    <w:rsid w:val="004C70DC"/>
    <w:rsid w:val="004D0211"/>
    <w:rsid w:val="004D0794"/>
    <w:rsid w:val="004D3126"/>
    <w:rsid w:val="004D6F3D"/>
    <w:rsid w:val="004E51A9"/>
    <w:rsid w:val="004F06F5"/>
    <w:rsid w:val="004F33A0"/>
    <w:rsid w:val="00500A8A"/>
    <w:rsid w:val="005064ED"/>
    <w:rsid w:val="0050690D"/>
    <w:rsid w:val="005108C0"/>
    <w:rsid w:val="00511873"/>
    <w:rsid w:val="00512A2F"/>
    <w:rsid w:val="00513B7E"/>
    <w:rsid w:val="00515C74"/>
    <w:rsid w:val="0052007E"/>
    <w:rsid w:val="0052337A"/>
    <w:rsid w:val="005239BA"/>
    <w:rsid w:val="00523A05"/>
    <w:rsid w:val="00525137"/>
    <w:rsid w:val="005251DD"/>
    <w:rsid w:val="00532CE7"/>
    <w:rsid w:val="0053324C"/>
    <w:rsid w:val="00534A28"/>
    <w:rsid w:val="005402D7"/>
    <w:rsid w:val="00541508"/>
    <w:rsid w:val="005442EE"/>
    <w:rsid w:val="0055599F"/>
    <w:rsid w:val="00556D68"/>
    <w:rsid w:val="00563F68"/>
    <w:rsid w:val="005647BF"/>
    <w:rsid w:val="0057364B"/>
    <w:rsid w:val="00573AFF"/>
    <w:rsid w:val="00574773"/>
    <w:rsid w:val="00577453"/>
    <w:rsid w:val="00580463"/>
    <w:rsid w:val="00581065"/>
    <w:rsid w:val="00583FFD"/>
    <w:rsid w:val="005911BE"/>
    <w:rsid w:val="00593152"/>
    <w:rsid w:val="00595DA6"/>
    <w:rsid w:val="005A10F2"/>
    <w:rsid w:val="005A1583"/>
    <w:rsid w:val="005A21E0"/>
    <w:rsid w:val="005A28FF"/>
    <w:rsid w:val="005A3DF8"/>
    <w:rsid w:val="005A480F"/>
    <w:rsid w:val="005A5549"/>
    <w:rsid w:val="005A7949"/>
    <w:rsid w:val="005B121D"/>
    <w:rsid w:val="005B348D"/>
    <w:rsid w:val="005C06ED"/>
    <w:rsid w:val="005C2617"/>
    <w:rsid w:val="005C2B7D"/>
    <w:rsid w:val="005C663E"/>
    <w:rsid w:val="005D15AE"/>
    <w:rsid w:val="005D5802"/>
    <w:rsid w:val="005D666C"/>
    <w:rsid w:val="005D7890"/>
    <w:rsid w:val="005E3B8E"/>
    <w:rsid w:val="005E754B"/>
    <w:rsid w:val="005E7BD6"/>
    <w:rsid w:val="005E7C78"/>
    <w:rsid w:val="005F3EB1"/>
    <w:rsid w:val="005F5469"/>
    <w:rsid w:val="00604307"/>
    <w:rsid w:val="0060487F"/>
    <w:rsid w:val="00604EAD"/>
    <w:rsid w:val="00605C5E"/>
    <w:rsid w:val="006104FB"/>
    <w:rsid w:val="00611B42"/>
    <w:rsid w:val="00612A2F"/>
    <w:rsid w:val="00613B5C"/>
    <w:rsid w:val="00616E05"/>
    <w:rsid w:val="00623D50"/>
    <w:rsid w:val="00624093"/>
    <w:rsid w:val="006404A7"/>
    <w:rsid w:val="00641C03"/>
    <w:rsid w:val="006451E4"/>
    <w:rsid w:val="00645B33"/>
    <w:rsid w:val="006516CB"/>
    <w:rsid w:val="00657E87"/>
    <w:rsid w:val="00661E9C"/>
    <w:rsid w:val="00664803"/>
    <w:rsid w:val="00665BA4"/>
    <w:rsid w:val="00666214"/>
    <w:rsid w:val="00667AF2"/>
    <w:rsid w:val="006710C9"/>
    <w:rsid w:val="00674D89"/>
    <w:rsid w:val="00675E37"/>
    <w:rsid w:val="006760C1"/>
    <w:rsid w:val="0068174E"/>
    <w:rsid w:val="00681DCE"/>
    <w:rsid w:val="0068260E"/>
    <w:rsid w:val="0068631B"/>
    <w:rsid w:val="006919C8"/>
    <w:rsid w:val="00692DCA"/>
    <w:rsid w:val="00695BEF"/>
    <w:rsid w:val="006963D2"/>
    <w:rsid w:val="006977F6"/>
    <w:rsid w:val="00697A13"/>
    <w:rsid w:val="006A109C"/>
    <w:rsid w:val="006B344A"/>
    <w:rsid w:val="006B78D8"/>
    <w:rsid w:val="006C0527"/>
    <w:rsid w:val="006C113F"/>
    <w:rsid w:val="006C123E"/>
    <w:rsid w:val="006C1F1E"/>
    <w:rsid w:val="006C43D0"/>
    <w:rsid w:val="006C56D4"/>
    <w:rsid w:val="006C6924"/>
    <w:rsid w:val="006C7BA3"/>
    <w:rsid w:val="006C7CA6"/>
    <w:rsid w:val="006D3E8A"/>
    <w:rsid w:val="006D61F6"/>
    <w:rsid w:val="006E279A"/>
    <w:rsid w:val="006E313B"/>
    <w:rsid w:val="006E58D2"/>
    <w:rsid w:val="006F47FA"/>
    <w:rsid w:val="006F5416"/>
    <w:rsid w:val="006F7137"/>
    <w:rsid w:val="006F731D"/>
    <w:rsid w:val="00705387"/>
    <w:rsid w:val="00706AD4"/>
    <w:rsid w:val="00706C34"/>
    <w:rsid w:val="007140BE"/>
    <w:rsid w:val="007211F5"/>
    <w:rsid w:val="00725BB5"/>
    <w:rsid w:val="00730AE8"/>
    <w:rsid w:val="007363E1"/>
    <w:rsid w:val="00741493"/>
    <w:rsid w:val="00741633"/>
    <w:rsid w:val="007459BF"/>
    <w:rsid w:val="00752180"/>
    <w:rsid w:val="00755202"/>
    <w:rsid w:val="00755D3A"/>
    <w:rsid w:val="00756424"/>
    <w:rsid w:val="007578D3"/>
    <w:rsid w:val="00760863"/>
    <w:rsid w:val="007609C6"/>
    <w:rsid w:val="0076175D"/>
    <w:rsid w:val="0076266B"/>
    <w:rsid w:val="0076521E"/>
    <w:rsid w:val="007661E9"/>
    <w:rsid w:val="00776169"/>
    <w:rsid w:val="00776527"/>
    <w:rsid w:val="00780EF1"/>
    <w:rsid w:val="00790764"/>
    <w:rsid w:val="0079453C"/>
    <w:rsid w:val="00794677"/>
    <w:rsid w:val="007A1E96"/>
    <w:rsid w:val="007A319D"/>
    <w:rsid w:val="007B6689"/>
    <w:rsid w:val="007C6435"/>
    <w:rsid w:val="007C679E"/>
    <w:rsid w:val="007D40DF"/>
    <w:rsid w:val="007E0FFD"/>
    <w:rsid w:val="007E7E61"/>
    <w:rsid w:val="007F0845"/>
    <w:rsid w:val="007F53C1"/>
    <w:rsid w:val="007F666B"/>
    <w:rsid w:val="008011B2"/>
    <w:rsid w:val="00807C82"/>
    <w:rsid w:val="00811406"/>
    <w:rsid w:val="00814CE1"/>
    <w:rsid w:val="00816905"/>
    <w:rsid w:val="00821A58"/>
    <w:rsid w:val="00821FF6"/>
    <w:rsid w:val="00825C4D"/>
    <w:rsid w:val="0083143E"/>
    <w:rsid w:val="00831CDE"/>
    <w:rsid w:val="0083282F"/>
    <w:rsid w:val="0083363A"/>
    <w:rsid w:val="00834304"/>
    <w:rsid w:val="00834FAA"/>
    <w:rsid w:val="00836086"/>
    <w:rsid w:val="00841DC4"/>
    <w:rsid w:val="0084708F"/>
    <w:rsid w:val="008477C8"/>
    <w:rsid w:val="00850E21"/>
    <w:rsid w:val="0085114D"/>
    <w:rsid w:val="00852217"/>
    <w:rsid w:val="00855408"/>
    <w:rsid w:val="00856D65"/>
    <w:rsid w:val="00857610"/>
    <w:rsid w:val="00861B41"/>
    <w:rsid w:val="0086258D"/>
    <w:rsid w:val="00862DAC"/>
    <w:rsid w:val="00863434"/>
    <w:rsid w:val="00865E4C"/>
    <w:rsid w:val="008701E4"/>
    <w:rsid w:val="00873671"/>
    <w:rsid w:val="00875A32"/>
    <w:rsid w:val="00876086"/>
    <w:rsid w:val="008873D4"/>
    <w:rsid w:val="00890181"/>
    <w:rsid w:val="00891692"/>
    <w:rsid w:val="008924EC"/>
    <w:rsid w:val="008929E5"/>
    <w:rsid w:val="00893E85"/>
    <w:rsid w:val="00893FDC"/>
    <w:rsid w:val="00894031"/>
    <w:rsid w:val="00895A72"/>
    <w:rsid w:val="00896E98"/>
    <w:rsid w:val="008A08D2"/>
    <w:rsid w:val="008A3A13"/>
    <w:rsid w:val="008B2C0B"/>
    <w:rsid w:val="008B61F4"/>
    <w:rsid w:val="008B7C02"/>
    <w:rsid w:val="008B7D2B"/>
    <w:rsid w:val="008C0049"/>
    <w:rsid w:val="008C0E88"/>
    <w:rsid w:val="008D03F8"/>
    <w:rsid w:val="008D1E6A"/>
    <w:rsid w:val="008D2A16"/>
    <w:rsid w:val="008D4DE1"/>
    <w:rsid w:val="008E2C57"/>
    <w:rsid w:val="008E31FF"/>
    <w:rsid w:val="008E6F06"/>
    <w:rsid w:val="008F029B"/>
    <w:rsid w:val="008F3FC9"/>
    <w:rsid w:val="008F585B"/>
    <w:rsid w:val="008F77F4"/>
    <w:rsid w:val="009003A8"/>
    <w:rsid w:val="00902500"/>
    <w:rsid w:val="00902EFF"/>
    <w:rsid w:val="009043BF"/>
    <w:rsid w:val="00906401"/>
    <w:rsid w:val="0091155E"/>
    <w:rsid w:val="00912A92"/>
    <w:rsid w:val="0091728D"/>
    <w:rsid w:val="0092180B"/>
    <w:rsid w:val="00921F14"/>
    <w:rsid w:val="009233ED"/>
    <w:rsid w:val="00924AC8"/>
    <w:rsid w:val="0092597A"/>
    <w:rsid w:val="00927AB2"/>
    <w:rsid w:val="009306BF"/>
    <w:rsid w:val="00932443"/>
    <w:rsid w:val="00937AE2"/>
    <w:rsid w:val="0094427A"/>
    <w:rsid w:val="00946087"/>
    <w:rsid w:val="0095252B"/>
    <w:rsid w:val="00957509"/>
    <w:rsid w:val="009642F6"/>
    <w:rsid w:val="00966E11"/>
    <w:rsid w:val="00974923"/>
    <w:rsid w:val="00977173"/>
    <w:rsid w:val="00980D3D"/>
    <w:rsid w:val="00987A30"/>
    <w:rsid w:val="009921C1"/>
    <w:rsid w:val="00992CF3"/>
    <w:rsid w:val="009968D6"/>
    <w:rsid w:val="00996B04"/>
    <w:rsid w:val="009A1CAB"/>
    <w:rsid w:val="009A44EA"/>
    <w:rsid w:val="009A60D1"/>
    <w:rsid w:val="009B2EAF"/>
    <w:rsid w:val="009B6FD3"/>
    <w:rsid w:val="009C1750"/>
    <w:rsid w:val="009C2E29"/>
    <w:rsid w:val="009C554B"/>
    <w:rsid w:val="009C719E"/>
    <w:rsid w:val="009D3ACD"/>
    <w:rsid w:val="009D7913"/>
    <w:rsid w:val="009E00DD"/>
    <w:rsid w:val="009E5273"/>
    <w:rsid w:val="009E5DDB"/>
    <w:rsid w:val="009F4CA7"/>
    <w:rsid w:val="009F53E6"/>
    <w:rsid w:val="00A10D66"/>
    <w:rsid w:val="00A14114"/>
    <w:rsid w:val="00A14B0F"/>
    <w:rsid w:val="00A16413"/>
    <w:rsid w:val="00A23E43"/>
    <w:rsid w:val="00A2701C"/>
    <w:rsid w:val="00A3009B"/>
    <w:rsid w:val="00A30F65"/>
    <w:rsid w:val="00A403BA"/>
    <w:rsid w:val="00A418BC"/>
    <w:rsid w:val="00A420DA"/>
    <w:rsid w:val="00A436D7"/>
    <w:rsid w:val="00A46DE0"/>
    <w:rsid w:val="00A50D73"/>
    <w:rsid w:val="00A52CAD"/>
    <w:rsid w:val="00A53A74"/>
    <w:rsid w:val="00A53FC7"/>
    <w:rsid w:val="00A62CE1"/>
    <w:rsid w:val="00A6741E"/>
    <w:rsid w:val="00A75E40"/>
    <w:rsid w:val="00A77D1D"/>
    <w:rsid w:val="00A857C0"/>
    <w:rsid w:val="00A91840"/>
    <w:rsid w:val="00AA06B4"/>
    <w:rsid w:val="00AA2996"/>
    <w:rsid w:val="00AA52BF"/>
    <w:rsid w:val="00AA559A"/>
    <w:rsid w:val="00AB065C"/>
    <w:rsid w:val="00AB13BB"/>
    <w:rsid w:val="00AB2AF1"/>
    <w:rsid w:val="00AC647B"/>
    <w:rsid w:val="00AC6909"/>
    <w:rsid w:val="00AD306C"/>
    <w:rsid w:val="00AD564C"/>
    <w:rsid w:val="00AE08D9"/>
    <w:rsid w:val="00AE09B3"/>
    <w:rsid w:val="00AE1A83"/>
    <w:rsid w:val="00AE767B"/>
    <w:rsid w:val="00AF0780"/>
    <w:rsid w:val="00AF0FB3"/>
    <w:rsid w:val="00AF2E68"/>
    <w:rsid w:val="00B00913"/>
    <w:rsid w:val="00B01593"/>
    <w:rsid w:val="00B10A4D"/>
    <w:rsid w:val="00B11617"/>
    <w:rsid w:val="00B12052"/>
    <w:rsid w:val="00B1354B"/>
    <w:rsid w:val="00B17E71"/>
    <w:rsid w:val="00B17FDE"/>
    <w:rsid w:val="00B2379C"/>
    <w:rsid w:val="00B25EC1"/>
    <w:rsid w:val="00B2687D"/>
    <w:rsid w:val="00B32DDB"/>
    <w:rsid w:val="00B34528"/>
    <w:rsid w:val="00B3743E"/>
    <w:rsid w:val="00B402FC"/>
    <w:rsid w:val="00B415F6"/>
    <w:rsid w:val="00B46604"/>
    <w:rsid w:val="00B47414"/>
    <w:rsid w:val="00B530CD"/>
    <w:rsid w:val="00B55F5E"/>
    <w:rsid w:val="00B5752E"/>
    <w:rsid w:val="00B63A11"/>
    <w:rsid w:val="00B64C24"/>
    <w:rsid w:val="00B6608F"/>
    <w:rsid w:val="00B679FB"/>
    <w:rsid w:val="00B71800"/>
    <w:rsid w:val="00B76CC6"/>
    <w:rsid w:val="00B76D1E"/>
    <w:rsid w:val="00B80EC6"/>
    <w:rsid w:val="00B834F7"/>
    <w:rsid w:val="00B92D1D"/>
    <w:rsid w:val="00B935D4"/>
    <w:rsid w:val="00B938C5"/>
    <w:rsid w:val="00B95940"/>
    <w:rsid w:val="00B95D61"/>
    <w:rsid w:val="00BB1EF6"/>
    <w:rsid w:val="00BB46F3"/>
    <w:rsid w:val="00BB4CB1"/>
    <w:rsid w:val="00BB4F98"/>
    <w:rsid w:val="00BB7752"/>
    <w:rsid w:val="00BC2532"/>
    <w:rsid w:val="00BC6026"/>
    <w:rsid w:val="00BC7154"/>
    <w:rsid w:val="00BD19BD"/>
    <w:rsid w:val="00BD25A9"/>
    <w:rsid w:val="00BD366B"/>
    <w:rsid w:val="00BD6D50"/>
    <w:rsid w:val="00BE18B9"/>
    <w:rsid w:val="00BE2495"/>
    <w:rsid w:val="00BE556D"/>
    <w:rsid w:val="00BF0C71"/>
    <w:rsid w:val="00BF1578"/>
    <w:rsid w:val="00C13658"/>
    <w:rsid w:val="00C1447E"/>
    <w:rsid w:val="00C1501F"/>
    <w:rsid w:val="00C16F34"/>
    <w:rsid w:val="00C21F94"/>
    <w:rsid w:val="00C27913"/>
    <w:rsid w:val="00C27ECC"/>
    <w:rsid w:val="00C319F1"/>
    <w:rsid w:val="00C33B68"/>
    <w:rsid w:val="00C36A79"/>
    <w:rsid w:val="00C405D4"/>
    <w:rsid w:val="00C42829"/>
    <w:rsid w:val="00C4513B"/>
    <w:rsid w:val="00C4723F"/>
    <w:rsid w:val="00C54159"/>
    <w:rsid w:val="00C54697"/>
    <w:rsid w:val="00C55296"/>
    <w:rsid w:val="00C60872"/>
    <w:rsid w:val="00C61BBC"/>
    <w:rsid w:val="00C6209B"/>
    <w:rsid w:val="00C6294B"/>
    <w:rsid w:val="00C64D86"/>
    <w:rsid w:val="00C73885"/>
    <w:rsid w:val="00C747B1"/>
    <w:rsid w:val="00C74E13"/>
    <w:rsid w:val="00C82191"/>
    <w:rsid w:val="00C85265"/>
    <w:rsid w:val="00C90BA1"/>
    <w:rsid w:val="00C90CF4"/>
    <w:rsid w:val="00C92591"/>
    <w:rsid w:val="00C92EB6"/>
    <w:rsid w:val="00C93389"/>
    <w:rsid w:val="00C9574C"/>
    <w:rsid w:val="00CA509C"/>
    <w:rsid w:val="00CB4930"/>
    <w:rsid w:val="00CB66C6"/>
    <w:rsid w:val="00CB68DD"/>
    <w:rsid w:val="00CC2E7D"/>
    <w:rsid w:val="00CC38CC"/>
    <w:rsid w:val="00CD10A5"/>
    <w:rsid w:val="00CD114C"/>
    <w:rsid w:val="00CD2076"/>
    <w:rsid w:val="00CD215C"/>
    <w:rsid w:val="00CD67E4"/>
    <w:rsid w:val="00CE14C9"/>
    <w:rsid w:val="00CE670B"/>
    <w:rsid w:val="00CF4293"/>
    <w:rsid w:val="00CF51EC"/>
    <w:rsid w:val="00CF73AE"/>
    <w:rsid w:val="00D040DD"/>
    <w:rsid w:val="00D13986"/>
    <w:rsid w:val="00D1429A"/>
    <w:rsid w:val="00D17D0B"/>
    <w:rsid w:val="00D235B7"/>
    <w:rsid w:val="00D241F4"/>
    <w:rsid w:val="00D25F28"/>
    <w:rsid w:val="00D27973"/>
    <w:rsid w:val="00D31FC0"/>
    <w:rsid w:val="00D50EF1"/>
    <w:rsid w:val="00D50F46"/>
    <w:rsid w:val="00D66223"/>
    <w:rsid w:val="00D70593"/>
    <w:rsid w:val="00D7583A"/>
    <w:rsid w:val="00D8084C"/>
    <w:rsid w:val="00D81FD5"/>
    <w:rsid w:val="00D84671"/>
    <w:rsid w:val="00D9160E"/>
    <w:rsid w:val="00DA4D31"/>
    <w:rsid w:val="00DA7C0C"/>
    <w:rsid w:val="00DB10B3"/>
    <w:rsid w:val="00DB2EC8"/>
    <w:rsid w:val="00DB4586"/>
    <w:rsid w:val="00DB5481"/>
    <w:rsid w:val="00DC2A86"/>
    <w:rsid w:val="00DC4EAB"/>
    <w:rsid w:val="00DC5B3B"/>
    <w:rsid w:val="00DC728F"/>
    <w:rsid w:val="00DD129F"/>
    <w:rsid w:val="00DF424D"/>
    <w:rsid w:val="00DF42FF"/>
    <w:rsid w:val="00E0156A"/>
    <w:rsid w:val="00E01C0E"/>
    <w:rsid w:val="00E03600"/>
    <w:rsid w:val="00E03F9A"/>
    <w:rsid w:val="00E04694"/>
    <w:rsid w:val="00E07811"/>
    <w:rsid w:val="00E07E2C"/>
    <w:rsid w:val="00E12B1E"/>
    <w:rsid w:val="00E17262"/>
    <w:rsid w:val="00E2013A"/>
    <w:rsid w:val="00E253A2"/>
    <w:rsid w:val="00E267D1"/>
    <w:rsid w:val="00E3309D"/>
    <w:rsid w:val="00E369BA"/>
    <w:rsid w:val="00E37501"/>
    <w:rsid w:val="00E46563"/>
    <w:rsid w:val="00E50156"/>
    <w:rsid w:val="00E50F69"/>
    <w:rsid w:val="00E53470"/>
    <w:rsid w:val="00E539F6"/>
    <w:rsid w:val="00E6519D"/>
    <w:rsid w:val="00E67696"/>
    <w:rsid w:val="00E71A58"/>
    <w:rsid w:val="00E71A8F"/>
    <w:rsid w:val="00E72A7A"/>
    <w:rsid w:val="00E75C94"/>
    <w:rsid w:val="00E93820"/>
    <w:rsid w:val="00EA0C68"/>
    <w:rsid w:val="00EA0D39"/>
    <w:rsid w:val="00EA32BC"/>
    <w:rsid w:val="00EA56EA"/>
    <w:rsid w:val="00EB1DED"/>
    <w:rsid w:val="00EB4511"/>
    <w:rsid w:val="00EB51F0"/>
    <w:rsid w:val="00EC03D7"/>
    <w:rsid w:val="00ED62C6"/>
    <w:rsid w:val="00ED64C1"/>
    <w:rsid w:val="00ED6587"/>
    <w:rsid w:val="00EE0596"/>
    <w:rsid w:val="00EE0976"/>
    <w:rsid w:val="00EE1E70"/>
    <w:rsid w:val="00EE3446"/>
    <w:rsid w:val="00EE3E78"/>
    <w:rsid w:val="00EE4B1B"/>
    <w:rsid w:val="00EE4CC2"/>
    <w:rsid w:val="00EF150D"/>
    <w:rsid w:val="00EF1F5A"/>
    <w:rsid w:val="00EF404E"/>
    <w:rsid w:val="00EF47BF"/>
    <w:rsid w:val="00EF6B5B"/>
    <w:rsid w:val="00EF7DBD"/>
    <w:rsid w:val="00F04811"/>
    <w:rsid w:val="00F0488C"/>
    <w:rsid w:val="00F05F5E"/>
    <w:rsid w:val="00F10F11"/>
    <w:rsid w:val="00F130FF"/>
    <w:rsid w:val="00F15AAA"/>
    <w:rsid w:val="00F15BEF"/>
    <w:rsid w:val="00F24407"/>
    <w:rsid w:val="00F24FAA"/>
    <w:rsid w:val="00F26FFD"/>
    <w:rsid w:val="00F3364D"/>
    <w:rsid w:val="00F40B8C"/>
    <w:rsid w:val="00F41F3F"/>
    <w:rsid w:val="00F437CC"/>
    <w:rsid w:val="00F47067"/>
    <w:rsid w:val="00F51D73"/>
    <w:rsid w:val="00F525EB"/>
    <w:rsid w:val="00F54BDE"/>
    <w:rsid w:val="00F57AD7"/>
    <w:rsid w:val="00F6047F"/>
    <w:rsid w:val="00F61C13"/>
    <w:rsid w:val="00F63DDE"/>
    <w:rsid w:val="00F63FB7"/>
    <w:rsid w:val="00F649D2"/>
    <w:rsid w:val="00F6602B"/>
    <w:rsid w:val="00F668BE"/>
    <w:rsid w:val="00F71F74"/>
    <w:rsid w:val="00F7260E"/>
    <w:rsid w:val="00F73A0C"/>
    <w:rsid w:val="00F756DB"/>
    <w:rsid w:val="00F77360"/>
    <w:rsid w:val="00F85066"/>
    <w:rsid w:val="00F87593"/>
    <w:rsid w:val="00FA5D4D"/>
    <w:rsid w:val="00FB0EE2"/>
    <w:rsid w:val="00FB542E"/>
    <w:rsid w:val="00FB6F0C"/>
    <w:rsid w:val="00FC0E5F"/>
    <w:rsid w:val="00FC1A95"/>
    <w:rsid w:val="00FC3985"/>
    <w:rsid w:val="00FC56DE"/>
    <w:rsid w:val="00FC684B"/>
    <w:rsid w:val="00FD1578"/>
    <w:rsid w:val="00FD2D60"/>
    <w:rsid w:val="00FD3265"/>
    <w:rsid w:val="00FE1BE1"/>
    <w:rsid w:val="00FE2F78"/>
    <w:rsid w:val="00FF0706"/>
    <w:rsid w:val="00FF7B9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14:docId w14:val="443EDE68"/>
  <w15:docId w15:val="{B74A037F-EBFB-4263-8D57-370407874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F42FF"/>
    <w:pPr>
      <w:spacing w:after="240" w:line="288" w:lineRule="auto"/>
    </w:pPr>
    <w:rPr>
      <w:rFonts w:ascii="Arial" w:eastAsia="Times New Roman" w:hAnsi="Arial"/>
      <w:szCs w:val="24"/>
      <w:lang w:eastAsia="cs-CZ"/>
    </w:rPr>
  </w:style>
  <w:style w:type="paragraph" w:styleId="Nadpis1">
    <w:name w:val="heading 1"/>
    <w:next w:val="Normln"/>
    <w:link w:val="Nadpis1Char"/>
    <w:uiPriority w:val="9"/>
    <w:qFormat/>
    <w:rsid w:val="004900FF"/>
    <w:pPr>
      <w:keepNext/>
      <w:keepLines/>
      <w:spacing w:after="100" w:line="288" w:lineRule="auto"/>
      <w:contextualSpacing/>
      <w:outlineLvl w:val="0"/>
    </w:pPr>
    <w:rPr>
      <w:rFonts w:ascii="Arial" w:eastAsia="MS Gothic" w:hAnsi="Arial"/>
      <w:b/>
      <w:bCs/>
      <w:color w:val="C00000"/>
      <w:sz w:val="32"/>
      <w:szCs w:val="28"/>
      <w:lang w:eastAsia="cs-CZ"/>
    </w:rPr>
  </w:style>
  <w:style w:type="paragraph" w:styleId="Nadpis2">
    <w:name w:val="heading 2"/>
    <w:next w:val="Normln"/>
    <w:link w:val="Nadpis2Char"/>
    <w:uiPriority w:val="9"/>
    <w:qFormat/>
    <w:rsid w:val="004900FF"/>
    <w:pPr>
      <w:keepNext/>
      <w:keepLines/>
      <w:spacing w:line="288" w:lineRule="auto"/>
      <w:outlineLvl w:val="1"/>
    </w:pPr>
    <w:rPr>
      <w:rFonts w:ascii="Arial" w:eastAsia="MS Gothic" w:hAnsi="Arial"/>
      <w:b/>
      <w:bCs/>
      <w:color w:val="BC091B"/>
      <w:sz w:val="28"/>
      <w:szCs w:val="26"/>
      <w:lang w:eastAsia="cs-CZ"/>
    </w:rPr>
  </w:style>
  <w:style w:type="paragraph" w:styleId="Nadpis3">
    <w:name w:val="heading 3"/>
    <w:next w:val="Normln"/>
    <w:link w:val="Nadpis3Char"/>
    <w:uiPriority w:val="9"/>
    <w:qFormat/>
    <w:rsid w:val="004900FF"/>
    <w:pPr>
      <w:keepNext/>
      <w:keepLines/>
      <w:spacing w:line="288" w:lineRule="auto"/>
      <w:outlineLvl w:val="2"/>
    </w:pPr>
    <w:rPr>
      <w:rFonts w:ascii="Arial" w:eastAsia="MS Gothic" w:hAnsi="Arial"/>
      <w:b/>
      <w:bCs/>
      <w:color w:val="BC091B"/>
      <w:sz w:val="24"/>
      <w:szCs w:val="24"/>
      <w:lang w:eastAsia="cs-CZ"/>
    </w:rPr>
  </w:style>
  <w:style w:type="paragraph" w:styleId="Nadpis4">
    <w:name w:val="heading 4"/>
    <w:next w:val="Normln"/>
    <w:link w:val="Nadpis4Char"/>
    <w:uiPriority w:val="9"/>
    <w:qFormat/>
    <w:rsid w:val="004900FF"/>
    <w:pPr>
      <w:keepNext/>
      <w:keepLines/>
      <w:spacing w:line="288" w:lineRule="auto"/>
      <w:outlineLvl w:val="3"/>
    </w:pPr>
    <w:rPr>
      <w:rFonts w:ascii="Arial" w:eastAsia="MS Gothic" w:hAnsi="Arial"/>
      <w:b/>
      <w:bCs/>
      <w:iCs/>
      <w:color w:val="BC091B"/>
      <w:szCs w:val="24"/>
      <w:lang w:eastAsia="cs-CZ"/>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4900FF"/>
    <w:rPr>
      <w:rFonts w:ascii="Arial" w:eastAsia="MS Gothic" w:hAnsi="Arial"/>
      <w:b/>
      <w:bCs/>
      <w:color w:val="C00000"/>
      <w:sz w:val="32"/>
      <w:szCs w:val="28"/>
    </w:rPr>
  </w:style>
  <w:style w:type="character" w:customStyle="1" w:styleId="Nadpis2Char">
    <w:name w:val="Nadpis 2 Char"/>
    <w:link w:val="Nadpis2"/>
    <w:uiPriority w:val="9"/>
    <w:rsid w:val="004900FF"/>
    <w:rPr>
      <w:rFonts w:ascii="Arial" w:eastAsia="MS Gothic" w:hAnsi="Arial"/>
      <w:b/>
      <w:bCs/>
      <w:color w:val="BC091B"/>
      <w:sz w:val="28"/>
      <w:szCs w:val="26"/>
    </w:rPr>
  </w:style>
  <w:style w:type="character" w:customStyle="1" w:styleId="Nadpis3Char">
    <w:name w:val="Nadpis 3 Char"/>
    <w:link w:val="Nadpis3"/>
    <w:uiPriority w:val="9"/>
    <w:rsid w:val="004900FF"/>
    <w:rPr>
      <w:rFonts w:ascii="Arial" w:eastAsia="MS Gothic" w:hAnsi="Arial"/>
      <w:b/>
      <w:bCs/>
      <w:color w:val="BC091B"/>
      <w:sz w:val="24"/>
      <w:szCs w:val="24"/>
    </w:rPr>
  </w:style>
  <w:style w:type="character" w:customStyle="1" w:styleId="Nadpis4Char">
    <w:name w:val="Nadpis 4 Char"/>
    <w:link w:val="Nadpis4"/>
    <w:uiPriority w:val="9"/>
    <w:rsid w:val="004900FF"/>
    <w:rPr>
      <w:rFonts w:ascii="Arial" w:eastAsia="MS Gothic" w:hAnsi="Arial"/>
      <w:b/>
      <w:bCs/>
      <w:iCs/>
      <w:color w:val="BC091B"/>
      <w:szCs w:val="24"/>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lang w:val="x-none" w:eastAsia="x-none"/>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FC1A95"/>
  </w:style>
  <w:style w:type="paragraph" w:customStyle="1" w:styleId="TLIdentifikace-sted">
    <w:name w:val="TL Identifikace - střed"/>
    <w:qFormat/>
    <w:rsid w:val="009A60D1"/>
    <w:pPr>
      <w:spacing w:after="200" w:line="288" w:lineRule="auto"/>
    </w:pPr>
    <w:rPr>
      <w:rFonts w:ascii="Arial" w:eastAsia="Times New Roman" w:hAnsi="Arial"/>
      <w:sz w:val="24"/>
      <w:szCs w:val="24"/>
      <w:lang w:eastAsia="cs-CZ"/>
    </w:rPr>
  </w:style>
  <w:style w:type="paragraph" w:customStyle="1" w:styleId="Obsah">
    <w:name w:val="Obsah"/>
    <w:next w:val="Normln"/>
    <w:qFormat/>
    <w:rsid w:val="004900FF"/>
    <w:pPr>
      <w:spacing w:after="80" w:line="288" w:lineRule="auto"/>
    </w:pPr>
    <w:rPr>
      <w:rFonts w:ascii="Arial" w:eastAsia="Times New Roman" w:hAnsi="Arial"/>
      <w:b/>
      <w:color w:val="BC091B"/>
      <w:sz w:val="32"/>
      <w:szCs w:val="24"/>
      <w:lang w:eastAsia="cs-CZ"/>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lang w:eastAsia="cs-CZ"/>
    </w:rPr>
  </w:style>
  <w:style w:type="paragraph" w:customStyle="1" w:styleId="Box1">
    <w:name w:val="Box 1"/>
    <w:next w:val="Normln"/>
    <w:qFormat/>
    <w:rsid w:val="004900FF"/>
    <w:pPr>
      <w:shd w:val="clear" w:color="auto" w:fill="F5DADD"/>
      <w:spacing w:before="240" w:after="240" w:line="288" w:lineRule="auto"/>
      <w:ind w:left="709"/>
      <w:contextualSpacing/>
    </w:pPr>
    <w:rPr>
      <w:rFonts w:ascii="Arial" w:hAnsi="Arial" w:cs="Arial"/>
      <w:lang w:eastAsia="cs-CZ"/>
    </w:rPr>
  </w:style>
  <w:style w:type="paragraph" w:customStyle="1" w:styleId="Box2">
    <w:name w:val="Box 2"/>
    <w:qFormat/>
    <w:rsid w:val="004900FF"/>
    <w:pPr>
      <w:spacing w:before="240" w:after="240" w:line="288" w:lineRule="auto"/>
      <w:ind w:left="709"/>
      <w:contextualSpacing/>
    </w:pPr>
    <w:rPr>
      <w:rFonts w:ascii="Arial" w:hAnsi="Arial" w:cs="Arial"/>
      <w:color w:val="BC091B"/>
      <w:lang w:eastAsia="cs-CZ"/>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lang w:eastAsia="cs-CZ"/>
    </w:rPr>
  </w:style>
  <w:style w:type="paragraph" w:styleId="Nzev">
    <w:name w:val="Title"/>
    <w:link w:val="NzevChar"/>
    <w:uiPriority w:val="10"/>
    <w:qFormat/>
    <w:rsid w:val="004900FF"/>
    <w:pPr>
      <w:spacing w:line="288" w:lineRule="auto"/>
    </w:pPr>
    <w:rPr>
      <w:rFonts w:ascii="Arial" w:eastAsia="Times New Roman" w:hAnsi="Arial"/>
      <w:b/>
      <w:bCs/>
      <w:caps/>
      <w:color w:val="BC091B"/>
      <w:kern w:val="28"/>
      <w:sz w:val="56"/>
      <w:szCs w:val="32"/>
      <w:lang w:eastAsia="cs-CZ"/>
    </w:rPr>
  </w:style>
  <w:style w:type="character" w:customStyle="1" w:styleId="NzevChar">
    <w:name w:val="Název Char"/>
    <w:link w:val="Nzev"/>
    <w:uiPriority w:val="10"/>
    <w:rsid w:val="004900FF"/>
    <w:rPr>
      <w:rFonts w:ascii="Arial" w:eastAsia="Times New Roman" w:hAnsi="Arial"/>
      <w:b/>
      <w:bCs/>
      <w:caps/>
      <w:color w:val="BC091B"/>
      <w:kern w:val="28"/>
      <w:sz w:val="56"/>
      <w:szCs w:val="32"/>
    </w:rPr>
  </w:style>
  <w:style w:type="paragraph" w:styleId="Podnadpis">
    <w:name w:val="Subtitle"/>
    <w:link w:val="PodnadpisChar"/>
    <w:uiPriority w:val="11"/>
    <w:qFormat/>
    <w:rsid w:val="004900FF"/>
    <w:pPr>
      <w:spacing w:line="288" w:lineRule="auto"/>
    </w:pPr>
    <w:rPr>
      <w:rFonts w:ascii="Arial" w:eastAsia="Times New Roman" w:hAnsi="Arial" w:cs="Arial"/>
      <w:b/>
      <w:color w:val="BC091B"/>
      <w:sz w:val="28"/>
      <w:szCs w:val="24"/>
      <w:lang w:eastAsia="cs-CZ"/>
    </w:rPr>
  </w:style>
  <w:style w:type="character" w:customStyle="1" w:styleId="PodnadpisChar">
    <w:name w:val="Podnadpis Char"/>
    <w:link w:val="Podnadpis"/>
    <w:uiPriority w:val="11"/>
    <w:rsid w:val="004900FF"/>
    <w:rPr>
      <w:rFonts w:ascii="Arial" w:eastAsia="Times New Roman" w:hAnsi="Arial" w:cs="Arial"/>
      <w:b/>
      <w:color w:val="BC091B"/>
      <w:sz w:val="28"/>
      <w:szCs w:val="24"/>
    </w:rPr>
  </w:style>
  <w:style w:type="paragraph" w:styleId="Obsah2">
    <w:name w:val="toc 2"/>
    <w:basedOn w:val="Obsahpoloky"/>
    <w:next w:val="Obsahpoloky"/>
    <w:autoRedefine/>
    <w:uiPriority w:val="39"/>
    <w:unhideWhenUsed/>
    <w:rsid w:val="00FC1A95"/>
    <w:pPr>
      <w:ind w:left="200"/>
    </w:pPr>
  </w:style>
  <w:style w:type="paragraph" w:styleId="Obsah3">
    <w:name w:val="toc 3"/>
    <w:basedOn w:val="Obsahpoloky"/>
    <w:next w:val="Obsahpoloky"/>
    <w:autoRedefine/>
    <w:uiPriority w:val="39"/>
    <w:unhideWhenUsed/>
    <w:rsid w:val="00FC1A95"/>
    <w:pPr>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character" w:customStyle="1" w:styleId="content">
    <w:name w:val="content"/>
    <w:basedOn w:val="Standardnpsmoodstavce"/>
    <w:rsid w:val="009D7913"/>
  </w:style>
  <w:style w:type="character" w:styleId="Znakapoznpodarou">
    <w:name w:val="footnote reference"/>
    <w:rsid w:val="00A403BA"/>
    <w:rPr>
      <w:vertAlign w:val="superscript"/>
    </w:rPr>
  </w:style>
  <w:style w:type="paragraph" w:styleId="Textpoznpodarou">
    <w:name w:val="footnote text"/>
    <w:basedOn w:val="Normln"/>
    <w:link w:val="TextpoznpodarouChar"/>
    <w:uiPriority w:val="99"/>
    <w:semiHidden/>
    <w:rsid w:val="00A403BA"/>
    <w:pPr>
      <w:spacing w:after="0"/>
    </w:pPr>
    <w:rPr>
      <w:szCs w:val="20"/>
    </w:rPr>
  </w:style>
  <w:style w:type="character" w:customStyle="1" w:styleId="TextpoznpodarouChar">
    <w:name w:val="Text pozn. pod čarou Char"/>
    <w:basedOn w:val="Standardnpsmoodstavce"/>
    <w:link w:val="Textpoznpodarou"/>
    <w:uiPriority w:val="99"/>
    <w:semiHidden/>
    <w:rsid w:val="00A403BA"/>
    <w:rPr>
      <w:rFonts w:ascii="Arial" w:eastAsia="Times New Roman" w:hAnsi="Arial"/>
      <w:lang w:eastAsia="cs-CZ"/>
    </w:rPr>
  </w:style>
  <w:style w:type="paragraph" w:styleId="Odstavecseseznamem">
    <w:name w:val="List Paragraph"/>
    <w:basedOn w:val="Normln"/>
    <w:uiPriority w:val="99"/>
    <w:qFormat/>
    <w:rsid w:val="00A403BA"/>
    <w:pPr>
      <w:ind w:left="720"/>
      <w:contextualSpacing/>
    </w:pPr>
  </w:style>
  <w:style w:type="character" w:styleId="Sledovanodkaz">
    <w:name w:val="FollowedHyperlink"/>
    <w:basedOn w:val="Standardnpsmoodstavce"/>
    <w:uiPriority w:val="99"/>
    <w:semiHidden/>
    <w:unhideWhenUsed/>
    <w:rsid w:val="00A403BA"/>
    <w:rPr>
      <w:color w:val="800080" w:themeColor="followedHyperlink"/>
      <w:u w:val="single"/>
    </w:rPr>
  </w:style>
  <w:style w:type="paragraph" w:styleId="Normlnweb">
    <w:name w:val="Normal (Web)"/>
    <w:basedOn w:val="Normln"/>
    <w:uiPriority w:val="99"/>
    <w:unhideWhenUsed/>
    <w:rsid w:val="00F71F74"/>
    <w:pPr>
      <w:spacing w:before="100" w:beforeAutospacing="1" w:after="100" w:afterAutospacing="1" w:line="240" w:lineRule="auto"/>
    </w:pPr>
    <w:rPr>
      <w:rFonts w:ascii="Times New Roman" w:hAnsi="Times New Roman"/>
      <w:sz w:val="24"/>
    </w:rPr>
  </w:style>
  <w:style w:type="character" w:styleId="Odkaznakoment">
    <w:name w:val="annotation reference"/>
    <w:basedOn w:val="Standardnpsmoodstavce"/>
    <w:uiPriority w:val="99"/>
    <w:semiHidden/>
    <w:unhideWhenUsed/>
    <w:rsid w:val="00AF2E68"/>
    <w:rPr>
      <w:sz w:val="16"/>
      <w:szCs w:val="16"/>
    </w:rPr>
  </w:style>
  <w:style w:type="paragraph" w:styleId="Textkomente">
    <w:name w:val="annotation text"/>
    <w:basedOn w:val="Normln"/>
    <w:link w:val="TextkomenteChar"/>
    <w:uiPriority w:val="99"/>
    <w:unhideWhenUsed/>
    <w:rsid w:val="00AF2E68"/>
    <w:pPr>
      <w:spacing w:line="240" w:lineRule="auto"/>
    </w:pPr>
    <w:rPr>
      <w:szCs w:val="20"/>
    </w:rPr>
  </w:style>
  <w:style w:type="character" w:customStyle="1" w:styleId="TextkomenteChar">
    <w:name w:val="Text komentáře Char"/>
    <w:basedOn w:val="Standardnpsmoodstavce"/>
    <w:link w:val="Textkomente"/>
    <w:uiPriority w:val="99"/>
    <w:rsid w:val="00AF2E68"/>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AF2E68"/>
    <w:rPr>
      <w:b/>
      <w:bCs/>
    </w:rPr>
  </w:style>
  <w:style w:type="character" w:customStyle="1" w:styleId="PedmtkomenteChar">
    <w:name w:val="Předmět komentáře Char"/>
    <w:basedOn w:val="TextkomenteChar"/>
    <w:link w:val="Pedmtkomente"/>
    <w:uiPriority w:val="99"/>
    <w:semiHidden/>
    <w:rsid w:val="00AF2E68"/>
    <w:rPr>
      <w:rFonts w:ascii="Arial" w:eastAsia="Times New Roman" w:hAnsi="Arial"/>
      <w:b/>
      <w:bCs/>
      <w:lang w:eastAsia="cs-CZ"/>
    </w:rPr>
  </w:style>
  <w:style w:type="character" w:customStyle="1" w:styleId="markedcontent">
    <w:name w:val="markedcontent"/>
    <w:basedOn w:val="Standardnpsmoodstavce"/>
    <w:rsid w:val="00D70593"/>
  </w:style>
  <w:style w:type="paragraph" w:customStyle="1" w:styleId="Default">
    <w:name w:val="Default"/>
    <w:rsid w:val="00F40B8C"/>
    <w:pPr>
      <w:autoSpaceDE w:val="0"/>
      <w:autoSpaceDN w:val="0"/>
      <w:adjustRightInd w:val="0"/>
    </w:pPr>
    <w:rPr>
      <w:rFonts w:ascii="Arial" w:hAnsi="Arial" w:cs="Arial"/>
      <w:color w:val="000000"/>
      <w:sz w:val="24"/>
      <w:szCs w:val="24"/>
    </w:rPr>
  </w:style>
  <w:style w:type="paragraph" w:styleId="Zkladntextodsazen">
    <w:name w:val="Body Text Indent"/>
    <w:basedOn w:val="Normln"/>
    <w:link w:val="ZkladntextodsazenChar"/>
    <w:uiPriority w:val="99"/>
    <w:rsid w:val="007459BF"/>
    <w:pPr>
      <w:spacing w:after="0" w:line="240" w:lineRule="auto"/>
      <w:ind w:left="360"/>
    </w:pPr>
    <w:rPr>
      <w:szCs w:val="20"/>
    </w:rPr>
  </w:style>
  <w:style w:type="character" w:customStyle="1" w:styleId="ZkladntextodsazenChar">
    <w:name w:val="Základní text odsazený Char"/>
    <w:basedOn w:val="Standardnpsmoodstavce"/>
    <w:link w:val="Zkladntextodsazen"/>
    <w:uiPriority w:val="99"/>
    <w:rsid w:val="007459BF"/>
    <w:rPr>
      <w:rFonts w:ascii="Arial" w:eastAsia="Times New Roman" w:hAnsi="Arial"/>
      <w:lang w:eastAsia="cs-CZ"/>
    </w:rPr>
  </w:style>
  <w:style w:type="paragraph" w:styleId="Revize">
    <w:name w:val="Revision"/>
    <w:hidden/>
    <w:uiPriority w:val="99"/>
    <w:semiHidden/>
    <w:rsid w:val="00EF7DBD"/>
    <w:rPr>
      <w:rFonts w:ascii="Arial" w:eastAsia="Times New Roman" w:hAnsi="Arial"/>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42367213">
      <w:bodyDiv w:val="1"/>
      <w:marLeft w:val="0"/>
      <w:marRight w:val="0"/>
      <w:marTop w:val="0"/>
      <w:marBottom w:val="0"/>
      <w:divBdr>
        <w:top w:val="none" w:sz="0" w:space="0" w:color="auto"/>
        <w:left w:val="none" w:sz="0" w:space="0" w:color="auto"/>
        <w:bottom w:val="none" w:sz="0" w:space="0" w:color="auto"/>
        <w:right w:val="none" w:sz="0" w:space="0" w:color="auto"/>
      </w:divBdr>
    </w:div>
    <w:div w:id="55051616">
      <w:bodyDiv w:val="1"/>
      <w:marLeft w:val="0"/>
      <w:marRight w:val="0"/>
      <w:marTop w:val="0"/>
      <w:marBottom w:val="0"/>
      <w:divBdr>
        <w:top w:val="none" w:sz="0" w:space="0" w:color="auto"/>
        <w:left w:val="none" w:sz="0" w:space="0" w:color="auto"/>
        <w:bottom w:val="none" w:sz="0" w:space="0" w:color="auto"/>
        <w:right w:val="none" w:sz="0" w:space="0" w:color="auto"/>
      </w:divBdr>
    </w:div>
    <w:div w:id="62262328">
      <w:bodyDiv w:val="1"/>
      <w:marLeft w:val="0"/>
      <w:marRight w:val="0"/>
      <w:marTop w:val="0"/>
      <w:marBottom w:val="0"/>
      <w:divBdr>
        <w:top w:val="none" w:sz="0" w:space="0" w:color="auto"/>
        <w:left w:val="none" w:sz="0" w:space="0" w:color="auto"/>
        <w:bottom w:val="none" w:sz="0" w:space="0" w:color="auto"/>
        <w:right w:val="none" w:sz="0" w:space="0" w:color="auto"/>
      </w:divBdr>
    </w:div>
    <w:div w:id="63842887">
      <w:bodyDiv w:val="1"/>
      <w:marLeft w:val="0"/>
      <w:marRight w:val="0"/>
      <w:marTop w:val="0"/>
      <w:marBottom w:val="0"/>
      <w:divBdr>
        <w:top w:val="none" w:sz="0" w:space="0" w:color="auto"/>
        <w:left w:val="none" w:sz="0" w:space="0" w:color="auto"/>
        <w:bottom w:val="none" w:sz="0" w:space="0" w:color="auto"/>
        <w:right w:val="none" w:sz="0" w:space="0" w:color="auto"/>
      </w:divBdr>
    </w:div>
    <w:div w:id="77529287">
      <w:bodyDiv w:val="1"/>
      <w:marLeft w:val="0"/>
      <w:marRight w:val="0"/>
      <w:marTop w:val="0"/>
      <w:marBottom w:val="0"/>
      <w:divBdr>
        <w:top w:val="none" w:sz="0" w:space="0" w:color="auto"/>
        <w:left w:val="none" w:sz="0" w:space="0" w:color="auto"/>
        <w:bottom w:val="none" w:sz="0" w:space="0" w:color="auto"/>
        <w:right w:val="none" w:sz="0" w:space="0" w:color="auto"/>
      </w:divBdr>
    </w:div>
    <w:div w:id="113259090">
      <w:bodyDiv w:val="1"/>
      <w:marLeft w:val="0"/>
      <w:marRight w:val="0"/>
      <w:marTop w:val="0"/>
      <w:marBottom w:val="0"/>
      <w:divBdr>
        <w:top w:val="none" w:sz="0" w:space="0" w:color="auto"/>
        <w:left w:val="none" w:sz="0" w:space="0" w:color="auto"/>
        <w:bottom w:val="none" w:sz="0" w:space="0" w:color="auto"/>
        <w:right w:val="none" w:sz="0" w:space="0" w:color="auto"/>
      </w:divBdr>
    </w:div>
    <w:div w:id="159931378">
      <w:bodyDiv w:val="1"/>
      <w:marLeft w:val="0"/>
      <w:marRight w:val="0"/>
      <w:marTop w:val="0"/>
      <w:marBottom w:val="0"/>
      <w:divBdr>
        <w:top w:val="none" w:sz="0" w:space="0" w:color="auto"/>
        <w:left w:val="none" w:sz="0" w:space="0" w:color="auto"/>
        <w:bottom w:val="none" w:sz="0" w:space="0" w:color="auto"/>
        <w:right w:val="none" w:sz="0" w:space="0" w:color="auto"/>
      </w:divBdr>
    </w:div>
    <w:div w:id="237055631">
      <w:bodyDiv w:val="1"/>
      <w:marLeft w:val="0"/>
      <w:marRight w:val="0"/>
      <w:marTop w:val="0"/>
      <w:marBottom w:val="0"/>
      <w:divBdr>
        <w:top w:val="none" w:sz="0" w:space="0" w:color="auto"/>
        <w:left w:val="none" w:sz="0" w:space="0" w:color="auto"/>
        <w:bottom w:val="none" w:sz="0" w:space="0" w:color="auto"/>
        <w:right w:val="none" w:sz="0" w:space="0" w:color="auto"/>
      </w:divBdr>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272517920">
      <w:bodyDiv w:val="1"/>
      <w:marLeft w:val="0"/>
      <w:marRight w:val="0"/>
      <w:marTop w:val="0"/>
      <w:marBottom w:val="0"/>
      <w:divBdr>
        <w:top w:val="none" w:sz="0" w:space="0" w:color="auto"/>
        <w:left w:val="none" w:sz="0" w:space="0" w:color="auto"/>
        <w:bottom w:val="none" w:sz="0" w:space="0" w:color="auto"/>
        <w:right w:val="none" w:sz="0" w:space="0" w:color="auto"/>
      </w:divBdr>
    </w:div>
    <w:div w:id="322052955">
      <w:bodyDiv w:val="1"/>
      <w:marLeft w:val="0"/>
      <w:marRight w:val="0"/>
      <w:marTop w:val="0"/>
      <w:marBottom w:val="0"/>
      <w:divBdr>
        <w:top w:val="none" w:sz="0" w:space="0" w:color="auto"/>
        <w:left w:val="none" w:sz="0" w:space="0" w:color="auto"/>
        <w:bottom w:val="none" w:sz="0" w:space="0" w:color="auto"/>
        <w:right w:val="none" w:sz="0" w:space="0" w:color="auto"/>
      </w:divBdr>
    </w:div>
    <w:div w:id="397170835">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22476911">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557782959">
      <w:bodyDiv w:val="1"/>
      <w:marLeft w:val="0"/>
      <w:marRight w:val="0"/>
      <w:marTop w:val="0"/>
      <w:marBottom w:val="0"/>
      <w:divBdr>
        <w:top w:val="none" w:sz="0" w:space="0" w:color="auto"/>
        <w:left w:val="none" w:sz="0" w:space="0" w:color="auto"/>
        <w:bottom w:val="none" w:sz="0" w:space="0" w:color="auto"/>
        <w:right w:val="none" w:sz="0" w:space="0" w:color="auto"/>
      </w:divBdr>
    </w:div>
    <w:div w:id="567619822">
      <w:bodyDiv w:val="1"/>
      <w:marLeft w:val="0"/>
      <w:marRight w:val="0"/>
      <w:marTop w:val="0"/>
      <w:marBottom w:val="0"/>
      <w:divBdr>
        <w:top w:val="none" w:sz="0" w:space="0" w:color="auto"/>
        <w:left w:val="none" w:sz="0" w:space="0" w:color="auto"/>
        <w:bottom w:val="none" w:sz="0" w:space="0" w:color="auto"/>
        <w:right w:val="none" w:sz="0" w:space="0" w:color="auto"/>
      </w:divBdr>
    </w:div>
    <w:div w:id="621038230">
      <w:bodyDiv w:val="1"/>
      <w:marLeft w:val="0"/>
      <w:marRight w:val="0"/>
      <w:marTop w:val="0"/>
      <w:marBottom w:val="0"/>
      <w:divBdr>
        <w:top w:val="none" w:sz="0" w:space="0" w:color="auto"/>
        <w:left w:val="none" w:sz="0" w:space="0" w:color="auto"/>
        <w:bottom w:val="none" w:sz="0" w:space="0" w:color="auto"/>
        <w:right w:val="none" w:sz="0" w:space="0" w:color="auto"/>
      </w:divBdr>
    </w:div>
    <w:div w:id="656878253">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736174811">
      <w:bodyDiv w:val="1"/>
      <w:marLeft w:val="0"/>
      <w:marRight w:val="0"/>
      <w:marTop w:val="0"/>
      <w:marBottom w:val="0"/>
      <w:divBdr>
        <w:top w:val="none" w:sz="0" w:space="0" w:color="auto"/>
        <w:left w:val="none" w:sz="0" w:space="0" w:color="auto"/>
        <w:bottom w:val="none" w:sz="0" w:space="0" w:color="auto"/>
        <w:right w:val="none" w:sz="0" w:space="0" w:color="auto"/>
      </w:divBdr>
    </w:div>
    <w:div w:id="764888444">
      <w:bodyDiv w:val="1"/>
      <w:marLeft w:val="0"/>
      <w:marRight w:val="0"/>
      <w:marTop w:val="0"/>
      <w:marBottom w:val="0"/>
      <w:divBdr>
        <w:top w:val="none" w:sz="0" w:space="0" w:color="auto"/>
        <w:left w:val="none" w:sz="0" w:space="0" w:color="auto"/>
        <w:bottom w:val="none" w:sz="0" w:space="0" w:color="auto"/>
        <w:right w:val="none" w:sz="0" w:space="0" w:color="auto"/>
      </w:divBdr>
    </w:div>
    <w:div w:id="920678968">
      <w:bodyDiv w:val="1"/>
      <w:marLeft w:val="0"/>
      <w:marRight w:val="0"/>
      <w:marTop w:val="0"/>
      <w:marBottom w:val="0"/>
      <w:divBdr>
        <w:top w:val="none" w:sz="0" w:space="0" w:color="auto"/>
        <w:left w:val="none" w:sz="0" w:space="0" w:color="auto"/>
        <w:bottom w:val="none" w:sz="0" w:space="0" w:color="auto"/>
        <w:right w:val="none" w:sz="0" w:space="0" w:color="auto"/>
      </w:divBdr>
    </w:div>
    <w:div w:id="949896040">
      <w:bodyDiv w:val="1"/>
      <w:marLeft w:val="0"/>
      <w:marRight w:val="0"/>
      <w:marTop w:val="0"/>
      <w:marBottom w:val="0"/>
      <w:divBdr>
        <w:top w:val="none" w:sz="0" w:space="0" w:color="auto"/>
        <w:left w:val="none" w:sz="0" w:space="0" w:color="auto"/>
        <w:bottom w:val="none" w:sz="0" w:space="0" w:color="auto"/>
        <w:right w:val="none" w:sz="0" w:space="0" w:color="auto"/>
      </w:divBdr>
    </w:div>
    <w:div w:id="954602222">
      <w:bodyDiv w:val="1"/>
      <w:marLeft w:val="0"/>
      <w:marRight w:val="0"/>
      <w:marTop w:val="0"/>
      <w:marBottom w:val="0"/>
      <w:divBdr>
        <w:top w:val="none" w:sz="0" w:space="0" w:color="auto"/>
        <w:left w:val="none" w:sz="0" w:space="0" w:color="auto"/>
        <w:bottom w:val="none" w:sz="0" w:space="0" w:color="auto"/>
        <w:right w:val="none" w:sz="0" w:space="0" w:color="auto"/>
      </w:divBdr>
    </w:div>
    <w:div w:id="962154135">
      <w:bodyDiv w:val="1"/>
      <w:marLeft w:val="0"/>
      <w:marRight w:val="0"/>
      <w:marTop w:val="0"/>
      <w:marBottom w:val="0"/>
      <w:divBdr>
        <w:top w:val="none" w:sz="0" w:space="0" w:color="auto"/>
        <w:left w:val="none" w:sz="0" w:space="0" w:color="auto"/>
        <w:bottom w:val="none" w:sz="0" w:space="0" w:color="auto"/>
        <w:right w:val="none" w:sz="0" w:space="0" w:color="auto"/>
      </w:divBdr>
    </w:div>
    <w:div w:id="1173177665">
      <w:bodyDiv w:val="1"/>
      <w:marLeft w:val="0"/>
      <w:marRight w:val="0"/>
      <w:marTop w:val="0"/>
      <w:marBottom w:val="0"/>
      <w:divBdr>
        <w:top w:val="none" w:sz="0" w:space="0" w:color="auto"/>
        <w:left w:val="none" w:sz="0" w:space="0" w:color="auto"/>
        <w:bottom w:val="none" w:sz="0" w:space="0" w:color="auto"/>
        <w:right w:val="none" w:sz="0" w:space="0" w:color="auto"/>
      </w:divBdr>
    </w:div>
    <w:div w:id="1198154699">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233783385">
      <w:bodyDiv w:val="1"/>
      <w:marLeft w:val="0"/>
      <w:marRight w:val="0"/>
      <w:marTop w:val="0"/>
      <w:marBottom w:val="0"/>
      <w:divBdr>
        <w:top w:val="none" w:sz="0" w:space="0" w:color="auto"/>
        <w:left w:val="none" w:sz="0" w:space="0" w:color="auto"/>
        <w:bottom w:val="none" w:sz="0" w:space="0" w:color="auto"/>
        <w:right w:val="none" w:sz="0" w:space="0" w:color="auto"/>
      </w:divBdr>
    </w:div>
    <w:div w:id="1254434394">
      <w:bodyDiv w:val="1"/>
      <w:marLeft w:val="0"/>
      <w:marRight w:val="0"/>
      <w:marTop w:val="0"/>
      <w:marBottom w:val="0"/>
      <w:divBdr>
        <w:top w:val="none" w:sz="0" w:space="0" w:color="auto"/>
        <w:left w:val="none" w:sz="0" w:space="0" w:color="auto"/>
        <w:bottom w:val="none" w:sz="0" w:space="0" w:color="auto"/>
        <w:right w:val="none" w:sz="0" w:space="0" w:color="auto"/>
      </w:divBdr>
    </w:div>
    <w:div w:id="1370031492">
      <w:bodyDiv w:val="1"/>
      <w:marLeft w:val="0"/>
      <w:marRight w:val="0"/>
      <w:marTop w:val="0"/>
      <w:marBottom w:val="0"/>
      <w:divBdr>
        <w:top w:val="none" w:sz="0" w:space="0" w:color="auto"/>
        <w:left w:val="none" w:sz="0" w:space="0" w:color="auto"/>
        <w:bottom w:val="none" w:sz="0" w:space="0" w:color="auto"/>
        <w:right w:val="none" w:sz="0" w:space="0" w:color="auto"/>
      </w:divBdr>
    </w:div>
    <w:div w:id="1391031387">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57674594">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503158286">
      <w:bodyDiv w:val="1"/>
      <w:marLeft w:val="0"/>
      <w:marRight w:val="0"/>
      <w:marTop w:val="0"/>
      <w:marBottom w:val="0"/>
      <w:divBdr>
        <w:top w:val="none" w:sz="0" w:space="0" w:color="auto"/>
        <w:left w:val="none" w:sz="0" w:space="0" w:color="auto"/>
        <w:bottom w:val="none" w:sz="0" w:space="0" w:color="auto"/>
        <w:right w:val="none" w:sz="0" w:space="0" w:color="auto"/>
      </w:divBdr>
    </w:div>
    <w:div w:id="1573197857">
      <w:bodyDiv w:val="1"/>
      <w:marLeft w:val="0"/>
      <w:marRight w:val="0"/>
      <w:marTop w:val="0"/>
      <w:marBottom w:val="0"/>
      <w:divBdr>
        <w:top w:val="none" w:sz="0" w:space="0" w:color="auto"/>
        <w:left w:val="none" w:sz="0" w:space="0" w:color="auto"/>
        <w:bottom w:val="none" w:sz="0" w:space="0" w:color="auto"/>
        <w:right w:val="none" w:sz="0" w:space="0" w:color="auto"/>
      </w:divBdr>
    </w:div>
    <w:div w:id="1661419150">
      <w:bodyDiv w:val="1"/>
      <w:marLeft w:val="0"/>
      <w:marRight w:val="0"/>
      <w:marTop w:val="0"/>
      <w:marBottom w:val="0"/>
      <w:divBdr>
        <w:top w:val="none" w:sz="0" w:space="0" w:color="auto"/>
        <w:left w:val="none" w:sz="0" w:space="0" w:color="auto"/>
        <w:bottom w:val="none" w:sz="0" w:space="0" w:color="auto"/>
        <w:right w:val="none" w:sz="0" w:space="0" w:color="auto"/>
      </w:divBdr>
    </w:div>
    <w:div w:id="1694526361">
      <w:bodyDiv w:val="1"/>
      <w:marLeft w:val="0"/>
      <w:marRight w:val="0"/>
      <w:marTop w:val="0"/>
      <w:marBottom w:val="0"/>
      <w:divBdr>
        <w:top w:val="none" w:sz="0" w:space="0" w:color="auto"/>
        <w:left w:val="none" w:sz="0" w:space="0" w:color="auto"/>
        <w:bottom w:val="none" w:sz="0" w:space="0" w:color="auto"/>
        <w:right w:val="none" w:sz="0" w:space="0" w:color="auto"/>
      </w:divBdr>
    </w:div>
    <w:div w:id="1706906732">
      <w:bodyDiv w:val="1"/>
      <w:marLeft w:val="0"/>
      <w:marRight w:val="0"/>
      <w:marTop w:val="0"/>
      <w:marBottom w:val="0"/>
      <w:divBdr>
        <w:top w:val="none" w:sz="0" w:space="0" w:color="auto"/>
        <w:left w:val="none" w:sz="0" w:space="0" w:color="auto"/>
        <w:bottom w:val="none" w:sz="0" w:space="0" w:color="auto"/>
        <w:right w:val="none" w:sz="0" w:space="0" w:color="auto"/>
      </w:divBdr>
    </w:div>
    <w:div w:id="1742750749">
      <w:bodyDiv w:val="1"/>
      <w:marLeft w:val="0"/>
      <w:marRight w:val="0"/>
      <w:marTop w:val="0"/>
      <w:marBottom w:val="0"/>
      <w:divBdr>
        <w:top w:val="none" w:sz="0" w:space="0" w:color="auto"/>
        <w:left w:val="none" w:sz="0" w:space="0" w:color="auto"/>
        <w:bottom w:val="none" w:sz="0" w:space="0" w:color="auto"/>
        <w:right w:val="none" w:sz="0" w:space="0" w:color="auto"/>
      </w:divBdr>
    </w:div>
    <w:div w:id="1747263525">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1918008384">
      <w:bodyDiv w:val="1"/>
      <w:marLeft w:val="0"/>
      <w:marRight w:val="0"/>
      <w:marTop w:val="0"/>
      <w:marBottom w:val="0"/>
      <w:divBdr>
        <w:top w:val="none" w:sz="0" w:space="0" w:color="auto"/>
        <w:left w:val="none" w:sz="0" w:space="0" w:color="auto"/>
        <w:bottom w:val="none" w:sz="0" w:space="0" w:color="auto"/>
        <w:right w:val="none" w:sz="0" w:space="0" w:color="auto"/>
      </w:divBdr>
    </w:div>
    <w:div w:id="1940137800">
      <w:bodyDiv w:val="1"/>
      <w:marLeft w:val="0"/>
      <w:marRight w:val="0"/>
      <w:marTop w:val="0"/>
      <w:marBottom w:val="0"/>
      <w:divBdr>
        <w:top w:val="none" w:sz="0" w:space="0" w:color="auto"/>
        <w:left w:val="none" w:sz="0" w:space="0" w:color="auto"/>
        <w:bottom w:val="none" w:sz="0" w:space="0" w:color="auto"/>
        <w:right w:val="none" w:sz="0" w:space="0" w:color="auto"/>
      </w:divBdr>
    </w:div>
    <w:div w:id="1953635220">
      <w:bodyDiv w:val="1"/>
      <w:marLeft w:val="0"/>
      <w:marRight w:val="0"/>
      <w:marTop w:val="0"/>
      <w:marBottom w:val="0"/>
      <w:divBdr>
        <w:top w:val="none" w:sz="0" w:space="0" w:color="auto"/>
        <w:left w:val="none" w:sz="0" w:space="0" w:color="auto"/>
        <w:bottom w:val="none" w:sz="0" w:space="0" w:color="auto"/>
        <w:right w:val="none" w:sz="0" w:space="0" w:color="auto"/>
      </w:divBdr>
    </w:div>
    <w:div w:id="2074814360">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 w:id="2111461127">
      <w:bodyDiv w:val="1"/>
      <w:marLeft w:val="0"/>
      <w:marRight w:val="0"/>
      <w:marTop w:val="0"/>
      <w:marBottom w:val="0"/>
      <w:divBdr>
        <w:top w:val="none" w:sz="0" w:space="0" w:color="auto"/>
        <w:left w:val="none" w:sz="0" w:space="0" w:color="auto"/>
        <w:bottom w:val="none" w:sz="0" w:space="0" w:color="auto"/>
        <w:right w:val="none" w:sz="0" w:space="0" w:color="auto"/>
      </w:divBdr>
    </w:div>
    <w:div w:id="21463098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ssz.cz/web/cz/nemocenska-statistika" TargetMode="Externa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3.xml"/><Relationship Id="rId21" Type="http://schemas.openxmlformats.org/officeDocument/2006/relationships/chart" Target="charts/chart8.xml"/><Relationship Id="rId34" Type="http://schemas.openxmlformats.org/officeDocument/2006/relationships/chart" Target="charts/chart19.xml"/><Relationship Id="rId42" Type="http://schemas.openxmlformats.org/officeDocument/2006/relationships/chart" Target="charts/chart26.xml"/><Relationship Id="rId47" Type="http://schemas.openxmlformats.org/officeDocument/2006/relationships/footer" Target="footer2.xml"/><Relationship Id="rId50"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2.png"/><Relationship Id="rId11" Type="http://schemas.openxmlformats.org/officeDocument/2006/relationships/hyperlink" Target="https://www.mpsv.cz/web/cz/nemocenske-pojisteni-v-roce-2021" TargetMode="External"/><Relationship Id="rId24" Type="http://schemas.openxmlformats.org/officeDocument/2006/relationships/chart" Target="charts/chart11.xml"/><Relationship Id="rId32" Type="http://schemas.openxmlformats.org/officeDocument/2006/relationships/chart" Target="charts/chart18.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0.xml"/><Relationship Id="rId49" Type="http://schemas.openxmlformats.org/officeDocument/2006/relationships/theme" Target="theme/theme1.xml"/><Relationship Id="rId10" Type="http://schemas.openxmlformats.org/officeDocument/2006/relationships/hyperlink" Target="https://www.mpsv.cz/web/cz/kalkulacka-pro-vypocet-davek-v-roce-2021" TargetMode="External"/><Relationship Id="rId19" Type="http://schemas.openxmlformats.org/officeDocument/2006/relationships/chart" Target="charts/chart6.xml"/><Relationship Id="rId31" Type="http://schemas.openxmlformats.org/officeDocument/2006/relationships/chart" Target="charts/chart17.xm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ssz.cz/web/cz/osvc-nemocenske-pojisteni-ucast-na-pojisteni" TargetMode="Externa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6.xml"/><Relationship Id="rId35" Type="http://schemas.openxmlformats.org/officeDocument/2006/relationships/hyperlink" Target="https://www.mpsv.cz/web/cz/rok-20211" TargetMode="External"/><Relationship Id="rId43" Type="http://schemas.openxmlformats.org/officeDocument/2006/relationships/chart" Target="charts/chart27.xml"/><Relationship Id="rId48" Type="http://schemas.openxmlformats.org/officeDocument/2006/relationships/fontTable" Target="fontTable.xml"/><Relationship Id="rId8" Type="http://schemas.openxmlformats.org/officeDocument/2006/relationships/hyperlink" Target="http://www.cssz.cz/cz/nemocenske-pojisteni/ucast-na-pojisteni/" TargetMode="External"/><Relationship Id="rId51"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hyperlink" Target="https://www.cssz.cz/web/cz/nemocenske" TargetMode="Externa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3.png"/><Relationship Id="rId38" Type="http://schemas.openxmlformats.org/officeDocument/2006/relationships/chart" Target="charts/chart22.xml"/><Relationship Id="rId46" Type="http://schemas.openxmlformats.org/officeDocument/2006/relationships/footer" Target="footer1.xml"/><Relationship Id="rId20" Type="http://schemas.openxmlformats.org/officeDocument/2006/relationships/chart" Target="charts/chart7.xml"/><Relationship Id="rId41" Type="http://schemas.openxmlformats.org/officeDocument/2006/relationships/chart" Target="charts/chart25.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czso.cz/csu/czso/klasifikace-institucionalnich-sektoru-a-subsektoru-cz-ciss" TargetMode="External"/><Relationship Id="rId2" Type="http://schemas.openxmlformats.org/officeDocument/2006/relationships/hyperlink" Target="https://www.cssz.cz/web/eneschopenka/" TargetMode="External"/><Relationship Id="rId1" Type="http://schemas.openxmlformats.org/officeDocument/2006/relationships/hyperlink" Target="https://www.czso.cz/csu/czso/pracovni-neschopnost-pro-nemoc-a-uraz-v-ceske-republice-1-pololeti-2021" TargetMode="External"/><Relationship Id="rId4" Type="http://schemas.openxmlformats.org/officeDocument/2006/relationships/hyperlink" Target="https://ec.europa.eu/eurostat/web/health/data/databas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ykysova23070\AppData\Local\Temp\Publikace%20bar%20CZ_lide%20a%20spolecnost_2017-08-14.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1" Type="http://schemas.openxmlformats.org/officeDocument/2006/relationships/oleObject" Target="file:///D:\hykysova23070\Documents\PN\2021\2.%20pol\publ\podklady\Tab%20a%20grafy%20do%20textu_2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6.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'G1.1'!$F$30</c:f>
              <c:strCache>
                <c:ptCount val="1"/>
                <c:pt idx="0">
                  <c:v> 500 a více zaměstnanců</c:v>
                </c:pt>
              </c:strCache>
            </c:strRef>
          </c:tx>
          <c:spPr>
            <a:solidFill>
              <a:srgbClr val="E8C1BE"/>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'G1.1'!$G$29:$I$29</c:f>
              <c:numCache>
                <c:formatCode>General</c:formatCode>
                <c:ptCount val="3"/>
                <c:pt idx="0">
                  <c:v>2011</c:v>
                </c:pt>
                <c:pt idx="1">
                  <c:v>2016</c:v>
                </c:pt>
                <c:pt idx="2">
                  <c:v>2021</c:v>
                </c:pt>
              </c:numCache>
            </c:numRef>
          </c:cat>
          <c:val>
            <c:numRef>
              <c:f>'G1.1'!$G$30:$I$30</c:f>
              <c:numCache>
                <c:formatCode>General</c:formatCode>
                <c:ptCount val="3"/>
                <c:pt idx="0">
                  <c:v>0.30005492041051879</c:v>
                </c:pt>
                <c:pt idx="1">
                  <c:v>0.33435360308127926</c:v>
                </c:pt>
                <c:pt idx="2">
                  <c:v>0.3275139466909805</c:v>
                </c:pt>
              </c:numCache>
            </c:numRef>
          </c:val>
          <c:extLst>
            <c:ext xmlns:c16="http://schemas.microsoft.com/office/drawing/2014/chart" uri="{C3380CC4-5D6E-409C-BE32-E72D297353CC}">
              <c16:uniqueId val="{00000000-B77F-4376-BDC9-D8D4C7C0A5E0}"/>
            </c:ext>
          </c:extLst>
        </c:ser>
        <c:ser>
          <c:idx val="1"/>
          <c:order val="1"/>
          <c:tx>
            <c:strRef>
              <c:f>'G1.1'!$F$31</c:f>
              <c:strCache>
                <c:ptCount val="1"/>
                <c:pt idx="0">
                  <c:v> 250–499 zaměstnanců</c:v>
                </c:pt>
              </c:strCache>
            </c:strRef>
          </c:tx>
          <c:spPr>
            <a:solidFill>
              <a:srgbClr val="F07373"/>
            </a:solidFill>
            <a:ln>
              <a:noFill/>
            </a:ln>
            <a:effectLst/>
          </c:spPr>
          <c:invertIfNegative val="0"/>
          <c:dLbls>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'G1.1'!$G$29:$I$29</c:f>
              <c:numCache>
                <c:formatCode>General</c:formatCode>
                <c:ptCount val="3"/>
                <c:pt idx="0">
                  <c:v>2011</c:v>
                </c:pt>
                <c:pt idx="1">
                  <c:v>2016</c:v>
                </c:pt>
                <c:pt idx="2">
                  <c:v>2021</c:v>
                </c:pt>
              </c:numCache>
            </c:numRef>
          </c:cat>
          <c:val>
            <c:numRef>
              <c:f>'G1.1'!$G$31:$I$31</c:f>
              <c:numCache>
                <c:formatCode>General</c:formatCode>
                <c:ptCount val="3"/>
                <c:pt idx="0">
                  <c:v>9.2059239961353886E-2</c:v>
                </c:pt>
                <c:pt idx="1">
                  <c:v>9.3983888818791772E-2</c:v>
                </c:pt>
                <c:pt idx="2">
                  <c:v>9.5211905706351629E-2</c:v>
                </c:pt>
              </c:numCache>
            </c:numRef>
          </c:val>
          <c:extLst>
            <c:ext xmlns:c16="http://schemas.microsoft.com/office/drawing/2014/chart" uri="{C3380CC4-5D6E-409C-BE32-E72D297353CC}">
              <c16:uniqueId val="{00000001-B77F-4376-BDC9-D8D4C7C0A5E0}"/>
            </c:ext>
          </c:extLst>
        </c:ser>
        <c:ser>
          <c:idx val="2"/>
          <c:order val="2"/>
          <c:tx>
            <c:strRef>
              <c:f>'G1.1'!$F$32</c:f>
              <c:strCache>
                <c:ptCount val="1"/>
                <c:pt idx="0">
                  <c:v> 50–249 zaměstnanců</c:v>
                </c:pt>
              </c:strCache>
            </c:strRef>
          </c:tx>
          <c:spPr>
            <a:solidFill>
              <a:srgbClr val="C36969"/>
            </a:solidFill>
            <a:ln>
              <a:noFill/>
            </a:ln>
            <a:effectLst/>
          </c:spPr>
          <c:invertIfNegative val="0"/>
          <c:dLbls>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'G1.1'!$G$29:$I$29</c:f>
              <c:numCache>
                <c:formatCode>General</c:formatCode>
                <c:ptCount val="3"/>
                <c:pt idx="0">
                  <c:v>2011</c:v>
                </c:pt>
                <c:pt idx="1">
                  <c:v>2016</c:v>
                </c:pt>
                <c:pt idx="2">
                  <c:v>2021</c:v>
                </c:pt>
              </c:numCache>
            </c:numRef>
          </c:cat>
          <c:val>
            <c:numRef>
              <c:f>'G1.1'!$G$32:$I$32</c:f>
              <c:numCache>
                <c:formatCode>General</c:formatCode>
                <c:ptCount val="3"/>
                <c:pt idx="0">
                  <c:v>0.22303504007670336</c:v>
                </c:pt>
                <c:pt idx="1">
                  <c:v>0.23252550311244144</c:v>
                </c:pt>
                <c:pt idx="2">
                  <c:v>0.2393240229213793</c:v>
                </c:pt>
              </c:numCache>
            </c:numRef>
          </c:val>
          <c:extLst>
            <c:ext xmlns:c16="http://schemas.microsoft.com/office/drawing/2014/chart" uri="{C3380CC4-5D6E-409C-BE32-E72D297353CC}">
              <c16:uniqueId val="{00000002-B77F-4376-BDC9-D8D4C7C0A5E0}"/>
            </c:ext>
          </c:extLst>
        </c:ser>
        <c:ser>
          <c:idx val="3"/>
          <c:order val="3"/>
          <c:tx>
            <c:strRef>
              <c:f>'G1.1'!$F$33</c:f>
              <c:strCache>
                <c:ptCount val="1"/>
                <c:pt idx="0">
                  <c:v> 1–49 zaměstnanců</c:v>
                </c:pt>
              </c:strCache>
            </c:strRef>
          </c:tx>
          <c:spPr>
            <a:solidFill>
              <a:srgbClr val="9A403C"/>
            </a:solidFill>
            <a:ln>
              <a:noFill/>
            </a:ln>
            <a:effectLst/>
          </c:spPr>
          <c:invertIfNegative val="0"/>
          <c:dLbls>
            <c:numFmt formatCode="0.0\ %"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'G1.1'!$G$29:$I$29</c:f>
              <c:numCache>
                <c:formatCode>General</c:formatCode>
                <c:ptCount val="3"/>
                <c:pt idx="0">
                  <c:v>2011</c:v>
                </c:pt>
                <c:pt idx="1">
                  <c:v>2016</c:v>
                </c:pt>
                <c:pt idx="2">
                  <c:v>2021</c:v>
                </c:pt>
              </c:numCache>
            </c:numRef>
          </c:cat>
          <c:val>
            <c:numRef>
              <c:f>'G1.1'!$G$33:$I$33</c:f>
              <c:numCache>
                <c:formatCode>General</c:formatCode>
                <c:ptCount val="3"/>
                <c:pt idx="0">
                  <c:v>0.34929737253442855</c:v>
                </c:pt>
                <c:pt idx="1">
                  <c:v>0.31955995475360499</c:v>
                </c:pt>
                <c:pt idx="2">
                  <c:v>0.31702046745531842</c:v>
                </c:pt>
              </c:numCache>
            </c:numRef>
          </c:val>
          <c:extLst>
            <c:ext xmlns:c16="http://schemas.microsoft.com/office/drawing/2014/chart" uri="{C3380CC4-5D6E-409C-BE32-E72D297353CC}">
              <c16:uniqueId val="{00000003-B77F-4376-BDC9-D8D4C7C0A5E0}"/>
            </c:ext>
          </c:extLst>
        </c:ser>
        <c:ser>
          <c:idx val="4"/>
          <c:order val="4"/>
          <c:tx>
            <c:strRef>
              <c:f>'G1.1'!$F$34</c:f>
              <c:strCache>
                <c:ptCount val="1"/>
                <c:pt idx="0">
                  <c:v> OSVČ</c:v>
                </c:pt>
              </c:strCache>
            </c:strRef>
          </c:tx>
          <c:spPr>
            <a:solidFill>
              <a:srgbClr val="4E201E"/>
            </a:solidFill>
            <a:ln>
              <a:noFill/>
            </a:ln>
            <a:effectLst/>
          </c:spPr>
          <c:invertIfNegative val="0"/>
          <c:dLbls>
            <c:dLbl>
              <c:idx val="0"/>
              <c:layout>
                <c:manualLayout>
                  <c:x val="0"/>
                  <c:y val="-3.34962817147856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7F-4376-BDC9-D8D4C7C0A5E0}"/>
                </c:ext>
              </c:extLst>
            </c:dLbl>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'G1.1'!$G$29:$I$29</c:f>
              <c:numCache>
                <c:formatCode>General</c:formatCode>
                <c:ptCount val="3"/>
                <c:pt idx="0">
                  <c:v>2011</c:v>
                </c:pt>
                <c:pt idx="1">
                  <c:v>2016</c:v>
                </c:pt>
                <c:pt idx="2">
                  <c:v>2021</c:v>
                </c:pt>
              </c:numCache>
            </c:numRef>
          </c:cat>
          <c:val>
            <c:numRef>
              <c:f>'G1.1'!$G$34:$I$34</c:f>
              <c:numCache>
                <c:formatCode>General</c:formatCode>
                <c:ptCount val="3"/>
                <c:pt idx="0">
                  <c:v>3.5553427016995411E-2</c:v>
                </c:pt>
                <c:pt idx="1">
                  <c:v>1.9577050233882589E-2</c:v>
                </c:pt>
                <c:pt idx="2">
                  <c:v>2.0929657225970059E-2</c:v>
                </c:pt>
              </c:numCache>
            </c:numRef>
          </c:val>
          <c:extLst>
            <c:ext xmlns:c16="http://schemas.microsoft.com/office/drawing/2014/chart" uri="{C3380CC4-5D6E-409C-BE32-E72D297353CC}">
              <c16:uniqueId val="{00000005-B77F-4376-BDC9-D8D4C7C0A5E0}"/>
            </c:ext>
          </c:extLst>
        </c:ser>
        <c:dLbls>
          <c:showLegendKey val="0"/>
          <c:showVal val="0"/>
          <c:showCatName val="0"/>
          <c:showSerName val="0"/>
          <c:showPercent val="0"/>
          <c:showBubbleSize val="0"/>
        </c:dLbls>
        <c:gapWidth val="75"/>
        <c:overlap val="100"/>
        <c:axId val="972192847"/>
        <c:axId val="972193263"/>
      </c:barChart>
      <c:catAx>
        <c:axId val="972192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72193263"/>
        <c:crosses val="autoZero"/>
        <c:auto val="1"/>
        <c:lblAlgn val="ctr"/>
        <c:lblOffset val="100"/>
        <c:noMultiLvlLbl val="0"/>
      </c:catAx>
      <c:valAx>
        <c:axId val="972193263"/>
        <c:scaling>
          <c:orientation val="minMax"/>
        </c:scaling>
        <c:delete val="0"/>
        <c:axPos val="l"/>
        <c:majorGridlines>
          <c:spPr>
            <a:ln w="9525" cap="flat" cmpd="sng" algn="ctr">
              <a:solidFill>
                <a:schemeClr val="tx1">
                  <a:lumMod val="15000"/>
                  <a:lumOff val="85000"/>
                </a:schemeClr>
              </a:solidFill>
              <a:round/>
            </a:ln>
            <a:effectLst/>
          </c:spPr>
        </c:majorGridlines>
        <c:numFmt formatCode="0\ %"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72192847"/>
        <c:crosses val="autoZero"/>
        <c:crossBetween val="between"/>
        <c:majorUnit val="0.25"/>
      </c:valAx>
      <c:spPr>
        <a:noFill/>
        <a:ln>
          <a:noFill/>
        </a:ln>
        <a:effectLst/>
      </c:spPr>
    </c:plotArea>
    <c:legend>
      <c:legendPos val="l"/>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571741032370969E-2"/>
          <c:y val="5.0925925925925923E-2"/>
          <c:w val="0.87665048118985123"/>
          <c:h val="0.80878572470107901"/>
        </c:manualLayout>
      </c:layout>
      <c:barChart>
        <c:barDir val="col"/>
        <c:grouping val="clustered"/>
        <c:varyColors val="0"/>
        <c:ser>
          <c:idx val="0"/>
          <c:order val="0"/>
          <c:tx>
            <c:strRef>
              <c:f>'G2.6'!$N$23</c:f>
              <c:strCache>
                <c:ptCount val="1"/>
                <c:pt idx="0">
                  <c:v> 2021</c:v>
                </c:pt>
              </c:strCache>
            </c:strRef>
          </c:tx>
          <c:spPr>
            <a:solidFill>
              <a:srgbClr val="632827"/>
            </a:solidFill>
            <a:ln>
              <a:noFill/>
            </a:ln>
            <a:effectLst/>
          </c:spPr>
          <c:invertIfNegative val="0"/>
          <c:dPt>
            <c:idx val="12"/>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1-4BDF-49F0-AD11-37B2A030EC37}"/>
              </c:ext>
            </c:extLst>
          </c:dPt>
          <c:cat>
            <c:strRef>
              <c:f>'G2.6'!$M$24:$M$38</c:f>
              <c:strCache>
                <c:ptCount val="15"/>
                <c:pt idx="0">
                  <c:v>LBK</c:v>
                </c:pt>
                <c:pt idx="1">
                  <c:v>PLK</c:v>
                </c:pt>
                <c:pt idx="2">
                  <c:v>HKK</c:v>
                </c:pt>
                <c:pt idx="3">
                  <c:v>ULK</c:v>
                </c:pt>
                <c:pt idx="4">
                  <c:v>PAK</c:v>
                </c:pt>
                <c:pt idx="5">
                  <c:v>MSK</c:v>
                </c:pt>
                <c:pt idx="6">
                  <c:v>JHC</c:v>
                </c:pt>
                <c:pt idx="7">
                  <c:v>KVK</c:v>
                </c:pt>
                <c:pt idx="8">
                  <c:v>STC</c:v>
                </c:pt>
                <c:pt idx="9">
                  <c:v>ZLK</c:v>
                </c:pt>
                <c:pt idx="10">
                  <c:v>OLK</c:v>
                </c:pt>
                <c:pt idx="11">
                  <c:v>VYS</c:v>
                </c:pt>
                <c:pt idx="12">
                  <c:v>ČR</c:v>
                </c:pt>
                <c:pt idx="13">
                  <c:v>JHM</c:v>
                </c:pt>
                <c:pt idx="14">
                  <c:v>PHA</c:v>
                </c:pt>
              </c:strCache>
            </c:strRef>
          </c:cat>
          <c:val>
            <c:numRef>
              <c:f>'G2.6'!$N$24:$N$38</c:f>
              <c:numCache>
                <c:formatCode>0.00</c:formatCode>
                <c:ptCount val="15"/>
                <c:pt idx="0">
                  <c:v>72.862679521999993</c:v>
                </c:pt>
                <c:pt idx="1">
                  <c:v>68.783383037899995</c:v>
                </c:pt>
                <c:pt idx="2">
                  <c:v>67.765392697099998</c:v>
                </c:pt>
                <c:pt idx="3">
                  <c:v>66.629741415599995</c:v>
                </c:pt>
                <c:pt idx="4">
                  <c:v>65.790499393700003</c:v>
                </c:pt>
                <c:pt idx="5">
                  <c:v>65.581543019600005</c:v>
                </c:pt>
                <c:pt idx="6">
                  <c:v>65.012593403799997</c:v>
                </c:pt>
                <c:pt idx="7">
                  <c:v>64.342928510700006</c:v>
                </c:pt>
                <c:pt idx="8">
                  <c:v>63.686801894299997</c:v>
                </c:pt>
                <c:pt idx="9">
                  <c:v>62.387764220100003</c:v>
                </c:pt>
                <c:pt idx="10">
                  <c:v>61.794074102300002</c:v>
                </c:pt>
                <c:pt idx="11">
                  <c:v>61.599429112000003</c:v>
                </c:pt>
                <c:pt idx="12">
                  <c:v>58.510548846200003</c:v>
                </c:pt>
                <c:pt idx="13">
                  <c:v>56.154311373900001</c:v>
                </c:pt>
                <c:pt idx="14">
                  <c:v>43.623841503400001</c:v>
                </c:pt>
              </c:numCache>
            </c:numRef>
          </c:val>
          <c:extLst>
            <c:ext xmlns:c16="http://schemas.microsoft.com/office/drawing/2014/chart" uri="{C3380CC4-5D6E-409C-BE32-E72D297353CC}">
              <c16:uniqueId val="{00000002-4BDF-49F0-AD11-37B2A030EC37}"/>
            </c:ext>
          </c:extLst>
        </c:ser>
        <c:ser>
          <c:idx val="1"/>
          <c:order val="1"/>
          <c:tx>
            <c:strRef>
              <c:f>'G2.6'!$O$23</c:f>
              <c:strCache>
                <c:ptCount val="1"/>
                <c:pt idx="0">
                  <c:v> 2019</c:v>
                </c:pt>
              </c:strCache>
            </c:strRef>
          </c:tx>
          <c:spPr>
            <a:solidFill>
              <a:srgbClr val="B44946"/>
            </a:solidFill>
            <a:ln>
              <a:noFill/>
            </a:ln>
            <a:effectLst/>
          </c:spPr>
          <c:invertIfNegative val="0"/>
          <c:dPt>
            <c:idx val="12"/>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4-4BDF-49F0-AD11-37B2A030EC37}"/>
              </c:ext>
            </c:extLst>
          </c:dPt>
          <c:cat>
            <c:strRef>
              <c:f>'G2.6'!$M$24:$M$38</c:f>
              <c:strCache>
                <c:ptCount val="15"/>
                <c:pt idx="0">
                  <c:v>LBK</c:v>
                </c:pt>
                <c:pt idx="1">
                  <c:v>PLK</c:v>
                </c:pt>
                <c:pt idx="2">
                  <c:v>HKK</c:v>
                </c:pt>
                <c:pt idx="3">
                  <c:v>ULK</c:v>
                </c:pt>
                <c:pt idx="4">
                  <c:v>PAK</c:v>
                </c:pt>
                <c:pt idx="5">
                  <c:v>MSK</c:v>
                </c:pt>
                <c:pt idx="6">
                  <c:v>JHC</c:v>
                </c:pt>
                <c:pt idx="7">
                  <c:v>KVK</c:v>
                </c:pt>
                <c:pt idx="8">
                  <c:v>STC</c:v>
                </c:pt>
                <c:pt idx="9">
                  <c:v>ZLK</c:v>
                </c:pt>
                <c:pt idx="10">
                  <c:v>OLK</c:v>
                </c:pt>
                <c:pt idx="11">
                  <c:v>VYS</c:v>
                </c:pt>
                <c:pt idx="12">
                  <c:v>ČR</c:v>
                </c:pt>
                <c:pt idx="13">
                  <c:v>JHM</c:v>
                </c:pt>
                <c:pt idx="14">
                  <c:v>PHA</c:v>
                </c:pt>
              </c:strCache>
            </c:strRef>
          </c:cat>
          <c:val>
            <c:numRef>
              <c:f>'G2.6'!$O$24:$O$38</c:f>
              <c:numCache>
                <c:formatCode>0.0</c:formatCode>
                <c:ptCount val="15"/>
                <c:pt idx="0">
                  <c:v>49.79</c:v>
                </c:pt>
                <c:pt idx="1">
                  <c:v>46.44</c:v>
                </c:pt>
                <c:pt idx="2">
                  <c:v>45.69</c:v>
                </c:pt>
                <c:pt idx="3">
                  <c:v>44.26</c:v>
                </c:pt>
                <c:pt idx="4">
                  <c:v>42.87</c:v>
                </c:pt>
                <c:pt idx="5">
                  <c:v>43.08</c:v>
                </c:pt>
                <c:pt idx="6">
                  <c:v>43.97</c:v>
                </c:pt>
                <c:pt idx="7">
                  <c:v>45.58</c:v>
                </c:pt>
                <c:pt idx="8">
                  <c:v>43.35</c:v>
                </c:pt>
                <c:pt idx="9">
                  <c:v>41.26</c:v>
                </c:pt>
                <c:pt idx="10">
                  <c:v>39.53</c:v>
                </c:pt>
                <c:pt idx="11">
                  <c:v>42.84</c:v>
                </c:pt>
                <c:pt idx="12">
                  <c:v>40.46</c:v>
                </c:pt>
                <c:pt idx="13">
                  <c:v>38.869999999999997</c:v>
                </c:pt>
                <c:pt idx="14">
                  <c:v>33.46</c:v>
                </c:pt>
              </c:numCache>
            </c:numRef>
          </c:val>
          <c:extLst>
            <c:ext xmlns:c16="http://schemas.microsoft.com/office/drawing/2014/chart" uri="{C3380CC4-5D6E-409C-BE32-E72D297353CC}">
              <c16:uniqueId val="{00000005-4BDF-49F0-AD11-37B2A030EC37}"/>
            </c:ext>
          </c:extLst>
        </c:ser>
        <c:dLbls>
          <c:showLegendKey val="0"/>
          <c:showVal val="0"/>
          <c:showCatName val="0"/>
          <c:showSerName val="0"/>
          <c:showPercent val="0"/>
          <c:showBubbleSize val="0"/>
        </c:dLbls>
        <c:gapWidth val="219"/>
        <c:axId val="40003599"/>
        <c:axId val="39996943"/>
      </c:barChart>
      <c:catAx>
        <c:axId val="40003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39996943"/>
        <c:crosses val="autoZero"/>
        <c:auto val="1"/>
        <c:lblAlgn val="ctr"/>
        <c:lblOffset val="100"/>
        <c:noMultiLvlLbl val="0"/>
      </c:catAx>
      <c:valAx>
        <c:axId val="39996943"/>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layout>
            <c:manualLayout>
              <c:xMode val="edge"/>
              <c:yMode val="edge"/>
              <c:x val="2.6047701981177587E-2"/>
              <c:y val="0.335273090863642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40003599"/>
        <c:crosses val="autoZero"/>
        <c:crossBetween val="between"/>
        <c:majorUnit val="10"/>
      </c:valAx>
      <c:spPr>
        <a:noFill/>
        <a:ln>
          <a:noFill/>
        </a:ln>
        <a:effectLst/>
      </c:spPr>
    </c:plotArea>
    <c:legend>
      <c:legendPos val="b"/>
      <c:layout>
        <c:manualLayout>
          <c:xMode val="edge"/>
          <c:yMode val="edge"/>
          <c:x val="0.8499728783902013"/>
          <c:y val="7.4788932633420818E-2"/>
          <c:w val="9.1720909886264232E-2"/>
          <c:h val="0.15206291921843104"/>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'G2.7'!$A$3</c:f>
              <c:strCache>
                <c:ptCount val="1"/>
                <c:pt idx="0">
                  <c:v> 1. pololetí</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'G2.7'!$B$2:$H$2</c:f>
              <c:numCache>
                <c:formatCode>General</c:formatCode>
                <c:ptCount val="7"/>
                <c:pt idx="0">
                  <c:v>2015</c:v>
                </c:pt>
                <c:pt idx="1">
                  <c:v>2016</c:v>
                </c:pt>
                <c:pt idx="2">
                  <c:v>2017</c:v>
                </c:pt>
                <c:pt idx="3">
                  <c:v>2018</c:v>
                </c:pt>
                <c:pt idx="4">
                  <c:v>2019</c:v>
                </c:pt>
                <c:pt idx="5">
                  <c:v>2020</c:v>
                </c:pt>
                <c:pt idx="6">
                  <c:v>2021</c:v>
                </c:pt>
              </c:numCache>
            </c:numRef>
          </c:cat>
          <c:val>
            <c:numRef>
              <c:f>'G2.7'!$B$3:$H$3</c:f>
              <c:numCache>
                <c:formatCode>General</c:formatCode>
                <c:ptCount val="7"/>
                <c:pt idx="0">
                  <c:v>30184364</c:v>
                </c:pt>
                <c:pt idx="1">
                  <c:v>31661916</c:v>
                </c:pt>
                <c:pt idx="2">
                  <c:v>33258915</c:v>
                </c:pt>
                <c:pt idx="3">
                  <c:v>35167407</c:v>
                </c:pt>
                <c:pt idx="4">
                  <c:v>35860458</c:v>
                </c:pt>
                <c:pt idx="5">
                  <c:v>41551126</c:v>
                </c:pt>
                <c:pt idx="6" formatCode="#,##0">
                  <c:v>45205015</c:v>
                </c:pt>
              </c:numCache>
            </c:numRef>
          </c:val>
          <c:extLst>
            <c:ext xmlns:c16="http://schemas.microsoft.com/office/drawing/2014/chart" uri="{C3380CC4-5D6E-409C-BE32-E72D297353CC}">
              <c16:uniqueId val="{00000000-BE9E-4536-B17A-66CEA7B5B828}"/>
            </c:ext>
          </c:extLst>
        </c:ser>
        <c:ser>
          <c:idx val="1"/>
          <c:order val="1"/>
          <c:tx>
            <c:strRef>
              <c:f>'G2.7'!$A$4</c:f>
              <c:strCache>
                <c:ptCount val="1"/>
                <c:pt idx="0">
                  <c:v> 2. pololetí</c:v>
                </c:pt>
              </c:strCache>
            </c:strRef>
          </c:tx>
          <c:spPr>
            <a:solidFill>
              <a:srgbClr val="B44946"/>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'G2.7'!$B$2:$H$2</c:f>
              <c:numCache>
                <c:formatCode>General</c:formatCode>
                <c:ptCount val="7"/>
                <c:pt idx="0">
                  <c:v>2015</c:v>
                </c:pt>
                <c:pt idx="1">
                  <c:v>2016</c:v>
                </c:pt>
                <c:pt idx="2">
                  <c:v>2017</c:v>
                </c:pt>
                <c:pt idx="3">
                  <c:v>2018</c:v>
                </c:pt>
                <c:pt idx="4">
                  <c:v>2019</c:v>
                </c:pt>
                <c:pt idx="5">
                  <c:v>2020</c:v>
                </c:pt>
                <c:pt idx="6">
                  <c:v>2021</c:v>
                </c:pt>
              </c:numCache>
            </c:numRef>
          </c:cat>
          <c:val>
            <c:numRef>
              <c:f>'G2.7'!$B$4:$H$4</c:f>
              <c:numCache>
                <c:formatCode>General</c:formatCode>
                <c:ptCount val="7"/>
                <c:pt idx="0">
                  <c:v>26828755</c:v>
                </c:pt>
                <c:pt idx="1">
                  <c:v>28431614</c:v>
                </c:pt>
                <c:pt idx="2">
                  <c:v>28853901</c:v>
                </c:pt>
                <c:pt idx="3">
                  <c:v>31055960</c:v>
                </c:pt>
                <c:pt idx="4">
                  <c:v>34042075</c:v>
                </c:pt>
                <c:pt idx="5">
                  <c:v>40736349</c:v>
                </c:pt>
                <c:pt idx="6" formatCode="#,##0">
                  <c:v>38157901</c:v>
                </c:pt>
              </c:numCache>
            </c:numRef>
          </c:val>
          <c:extLst>
            <c:ext xmlns:c16="http://schemas.microsoft.com/office/drawing/2014/chart" uri="{C3380CC4-5D6E-409C-BE32-E72D297353CC}">
              <c16:uniqueId val="{00000001-BE9E-4536-B17A-66CEA7B5B828}"/>
            </c:ext>
          </c:extLst>
        </c:ser>
        <c:dLbls>
          <c:showLegendKey val="0"/>
          <c:showVal val="0"/>
          <c:showCatName val="0"/>
          <c:showSerName val="0"/>
          <c:showPercent val="0"/>
          <c:showBubbleSize val="0"/>
        </c:dLbls>
        <c:gapWidth val="70"/>
        <c:overlap val="-10"/>
        <c:axId val="1315651423"/>
        <c:axId val="1315652255"/>
      </c:barChart>
      <c:catAx>
        <c:axId val="1315651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52255"/>
        <c:crosses val="autoZero"/>
        <c:auto val="1"/>
        <c:lblAlgn val="ctr"/>
        <c:lblOffset val="100"/>
        <c:noMultiLvlLbl val="0"/>
      </c:catAx>
      <c:valAx>
        <c:axId val="1315652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51423"/>
        <c:crosses val="autoZero"/>
        <c:crossBetween val="between"/>
        <c:dispUnits>
          <c:builtInUnit val="millions"/>
          <c:dispUnitsLbl>
            <c:layout>
              <c:manualLayout>
                <c:xMode val="edge"/>
                <c:yMode val="edge"/>
                <c:x val="1.7393643551565401E-2"/>
                <c:y val="0.35162253233197338"/>
              </c:manualLayout>
            </c:layout>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solidFill>
                        <a:sysClr val="windowText" lastClr="000000"/>
                      </a:solidFill>
                    </a:rPr>
                    <a:t>miliony</a:t>
                  </a:r>
                </a:p>
              </c:rich>
            </c:tx>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'G2.8'!$A$4</c:f>
              <c:strCache>
                <c:ptCount val="1"/>
                <c:pt idx="0">
                  <c:v> 1. pololetí</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'G2.8'!$B$3:$H$3</c:f>
              <c:numCache>
                <c:formatCode>General</c:formatCode>
                <c:ptCount val="7"/>
                <c:pt idx="0">
                  <c:v>2015</c:v>
                </c:pt>
                <c:pt idx="1">
                  <c:v>2016</c:v>
                </c:pt>
                <c:pt idx="2">
                  <c:v>2017</c:v>
                </c:pt>
                <c:pt idx="3">
                  <c:v>2018</c:v>
                </c:pt>
                <c:pt idx="4">
                  <c:v>2019</c:v>
                </c:pt>
                <c:pt idx="5">
                  <c:v>2020</c:v>
                </c:pt>
                <c:pt idx="6">
                  <c:v>2021</c:v>
                </c:pt>
              </c:numCache>
            </c:numRef>
          </c:cat>
          <c:val>
            <c:numRef>
              <c:f>'G2.8'!$B$4:$H$4</c:f>
              <c:numCache>
                <c:formatCode>General</c:formatCode>
                <c:ptCount val="7"/>
                <c:pt idx="0">
                  <c:v>38.509944412336203</c:v>
                </c:pt>
                <c:pt idx="1">
                  <c:v>40.744102371405191</c:v>
                </c:pt>
                <c:pt idx="2">
                  <c:v>39.518719722813358</c:v>
                </c:pt>
                <c:pt idx="3">
                  <c:v>37.50186030193516</c:v>
                </c:pt>
                <c:pt idx="4">
                  <c:v>41.090733046565084</c:v>
                </c:pt>
                <c:pt idx="5">
                  <c:v>42.533609854017961</c:v>
                </c:pt>
                <c:pt idx="6">
                  <c:v>34.767365218340984</c:v>
                </c:pt>
              </c:numCache>
            </c:numRef>
          </c:val>
          <c:extLst>
            <c:ext xmlns:c16="http://schemas.microsoft.com/office/drawing/2014/chart" uri="{C3380CC4-5D6E-409C-BE32-E72D297353CC}">
              <c16:uniqueId val="{00000000-35CE-4369-87A7-49C89643B711}"/>
            </c:ext>
          </c:extLst>
        </c:ser>
        <c:ser>
          <c:idx val="1"/>
          <c:order val="1"/>
          <c:tx>
            <c:strRef>
              <c:f>'G2.8'!$A$5</c:f>
              <c:strCache>
                <c:ptCount val="1"/>
                <c:pt idx="0">
                  <c:v> 2. pololetí</c:v>
                </c:pt>
              </c:strCache>
            </c:strRef>
          </c:tx>
          <c:spPr>
            <a:solidFill>
              <a:srgbClr val="B44946"/>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'G2.8'!$B$3:$H$3</c:f>
              <c:numCache>
                <c:formatCode>General</c:formatCode>
                <c:ptCount val="7"/>
                <c:pt idx="0">
                  <c:v>2015</c:v>
                </c:pt>
                <c:pt idx="1">
                  <c:v>2016</c:v>
                </c:pt>
                <c:pt idx="2">
                  <c:v>2017</c:v>
                </c:pt>
                <c:pt idx="3">
                  <c:v>2018</c:v>
                </c:pt>
                <c:pt idx="4">
                  <c:v>2019</c:v>
                </c:pt>
                <c:pt idx="5">
                  <c:v>2020</c:v>
                </c:pt>
                <c:pt idx="6">
                  <c:v>2021</c:v>
                </c:pt>
              </c:numCache>
            </c:numRef>
          </c:cat>
          <c:val>
            <c:numRef>
              <c:f>'G2.8'!$B$5:$H$5</c:f>
              <c:numCache>
                <c:formatCode>General</c:formatCode>
                <c:ptCount val="7"/>
                <c:pt idx="0">
                  <c:v>44.711014785483826</c:v>
                </c:pt>
                <c:pt idx="1">
                  <c:v>42.828757961207756</c:v>
                </c:pt>
                <c:pt idx="2">
                  <c:v>43.111981867026856</c:v>
                </c:pt>
                <c:pt idx="3">
                  <c:v>43.586211155367302</c:v>
                </c:pt>
                <c:pt idx="4">
                  <c:v>40.597567156614296</c:v>
                </c:pt>
                <c:pt idx="5">
                  <c:v>33.232215622499098</c:v>
                </c:pt>
                <c:pt idx="6">
                  <c:v>30.537680817264022</c:v>
                </c:pt>
              </c:numCache>
            </c:numRef>
          </c:val>
          <c:extLst>
            <c:ext xmlns:c16="http://schemas.microsoft.com/office/drawing/2014/chart" uri="{C3380CC4-5D6E-409C-BE32-E72D297353CC}">
              <c16:uniqueId val="{00000001-35CE-4369-87A7-49C89643B711}"/>
            </c:ext>
          </c:extLst>
        </c:ser>
        <c:dLbls>
          <c:showLegendKey val="0"/>
          <c:showVal val="0"/>
          <c:showCatName val="0"/>
          <c:showSerName val="0"/>
          <c:showPercent val="0"/>
          <c:showBubbleSize val="0"/>
        </c:dLbls>
        <c:gapWidth val="94"/>
        <c:overlap val="-10"/>
        <c:axId val="1237737583"/>
        <c:axId val="1237740911"/>
      </c:barChart>
      <c:catAx>
        <c:axId val="1237737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237740911"/>
        <c:crosses val="autoZero"/>
        <c:auto val="1"/>
        <c:lblAlgn val="ctr"/>
        <c:lblOffset val="100"/>
        <c:noMultiLvlLbl val="0"/>
      </c:catAx>
      <c:valAx>
        <c:axId val="12377409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237737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'G2.9'!$A$3</c:f>
              <c:strCache>
                <c:ptCount val="1"/>
                <c:pt idx="0">
                  <c:v> muži</c:v>
                </c:pt>
              </c:strCache>
            </c:strRef>
          </c:tx>
          <c:spPr>
            <a:solidFill>
              <a:srgbClr val="632827"/>
            </a:solidFill>
            <a:ln>
              <a:noFill/>
            </a:ln>
            <a:effectLst/>
          </c:spPr>
          <c:invertIfNegative val="0"/>
          <c:cat>
            <c:numRef>
              <c:f>'G2.9'!$B$2:$L$2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'G2.9'!$B$3:$L$3</c:f>
              <c:numCache>
                <c:formatCode>General</c:formatCode>
                <c:ptCount val="11"/>
                <c:pt idx="0">
                  <c:v>42.961493967939184</c:v>
                </c:pt>
                <c:pt idx="1">
                  <c:v>44.112795809401895</c:v>
                </c:pt>
                <c:pt idx="2">
                  <c:v>42.346100568813952</c:v>
                </c:pt>
                <c:pt idx="3">
                  <c:v>43.421782761290075</c:v>
                </c:pt>
                <c:pt idx="4">
                  <c:v>40.535215932702108</c:v>
                </c:pt>
                <c:pt idx="5">
                  <c:v>40.654897349033696</c:v>
                </c:pt>
                <c:pt idx="6">
                  <c:v>40.626409339981365</c:v>
                </c:pt>
                <c:pt idx="7">
                  <c:v>40.289645469571234</c:v>
                </c:pt>
                <c:pt idx="8">
                  <c:v>41.053973179652004</c:v>
                </c:pt>
                <c:pt idx="9">
                  <c:v>37.845603387500056</c:v>
                </c:pt>
                <c:pt idx="10" formatCode="0.0">
                  <c:v>32.954890437460811</c:v>
                </c:pt>
              </c:numCache>
            </c:numRef>
          </c:val>
          <c:extLst>
            <c:ext xmlns:c16="http://schemas.microsoft.com/office/drawing/2014/chart" uri="{C3380CC4-5D6E-409C-BE32-E72D297353CC}">
              <c16:uniqueId val="{00000000-5976-49CD-809F-B90CCAFD6BC2}"/>
            </c:ext>
          </c:extLst>
        </c:ser>
        <c:ser>
          <c:idx val="1"/>
          <c:order val="1"/>
          <c:tx>
            <c:strRef>
              <c:f>'G2.9'!$A$4</c:f>
              <c:strCache>
                <c:ptCount val="1"/>
                <c:pt idx="0">
                  <c:v> ženy</c:v>
                </c:pt>
              </c:strCache>
            </c:strRef>
          </c:tx>
          <c:spPr>
            <a:solidFill>
              <a:srgbClr val="B44946"/>
            </a:solidFill>
            <a:ln>
              <a:noFill/>
            </a:ln>
            <a:effectLst/>
          </c:spPr>
          <c:invertIfNegative val="0"/>
          <c:cat>
            <c:numRef>
              <c:f>'G2.9'!$B$2:$L$2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'G2.9'!$B$4:$L$4</c:f>
              <c:numCache>
                <c:formatCode>General</c:formatCode>
                <c:ptCount val="11"/>
                <c:pt idx="0">
                  <c:v>45.092662347446129</c:v>
                </c:pt>
                <c:pt idx="1">
                  <c:v>47.86</c:v>
                </c:pt>
                <c:pt idx="2">
                  <c:v>45.52</c:v>
                </c:pt>
                <c:pt idx="3">
                  <c:v>48.02</c:v>
                </c:pt>
                <c:pt idx="4">
                  <c:v>44.776083656899999</c:v>
                </c:pt>
                <c:pt idx="5">
                  <c:v>45.185948486599997</c:v>
                </c:pt>
                <c:pt idx="6">
                  <c:v>44.329904953400003</c:v>
                </c:pt>
                <c:pt idx="7">
                  <c:v>43.000647046799997</c:v>
                </c:pt>
                <c:pt idx="8">
                  <c:v>43.616790123456788</c:v>
                </c:pt>
                <c:pt idx="9">
                  <c:v>40.852407441899999</c:v>
                </c:pt>
                <c:pt idx="10" formatCode="0.0">
                  <c:v>35.905781411699998</c:v>
                </c:pt>
              </c:numCache>
            </c:numRef>
          </c:val>
          <c:extLst>
            <c:ext xmlns:c16="http://schemas.microsoft.com/office/drawing/2014/chart" uri="{C3380CC4-5D6E-409C-BE32-E72D297353CC}">
              <c16:uniqueId val="{00000001-5976-49CD-809F-B90CCAFD6BC2}"/>
            </c:ext>
          </c:extLst>
        </c:ser>
        <c:dLbls>
          <c:showLegendKey val="0"/>
          <c:showVal val="0"/>
          <c:showCatName val="0"/>
          <c:showSerName val="0"/>
          <c:showPercent val="0"/>
          <c:showBubbleSize val="0"/>
        </c:dLbls>
        <c:gapWidth val="219"/>
        <c:axId val="1536008143"/>
        <c:axId val="1536029359"/>
      </c:barChart>
      <c:catAx>
        <c:axId val="1536008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6029359"/>
        <c:crosses val="autoZero"/>
        <c:auto val="1"/>
        <c:lblAlgn val="ctr"/>
        <c:lblOffset val="100"/>
        <c:noMultiLvlLbl val="0"/>
      </c:catAx>
      <c:valAx>
        <c:axId val="1536029359"/>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6008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B44946"/>
            </a:solidFill>
            <a:ln>
              <a:noFill/>
            </a:ln>
            <a:effectLst/>
          </c:spPr>
          <c:invertIfNegative val="0"/>
          <c:dPt>
            <c:idx val="8"/>
            <c:invertIfNegative val="0"/>
            <c:bubble3D val="0"/>
            <c:spPr>
              <a:solidFill>
                <a:srgbClr val="632827"/>
              </a:solidFill>
              <a:ln>
                <a:noFill/>
              </a:ln>
              <a:effectLst/>
            </c:spPr>
            <c:extLst>
              <c:ext xmlns:c16="http://schemas.microsoft.com/office/drawing/2014/chart" uri="{C3380CC4-5D6E-409C-BE32-E72D297353CC}">
                <c16:uniqueId val="{00000001-5700-4DC4-83A9-939744ADFED9}"/>
              </c:ext>
            </c:extLst>
          </c:dPt>
          <c:dPt>
            <c:idx val="11"/>
            <c:invertIfNegative val="0"/>
            <c:bubble3D val="0"/>
            <c:extLst>
              <c:ext xmlns:c16="http://schemas.microsoft.com/office/drawing/2014/chart" uri="{C3380CC4-5D6E-409C-BE32-E72D297353CC}">
                <c16:uniqueId val="{00000003-5700-4DC4-83A9-939744ADFED9}"/>
              </c:ext>
            </c:extLst>
          </c:dPt>
          <c:cat>
            <c:strRef>
              <c:f>'G2.10'!$S$2:$S$21</c:f>
              <c:strCache>
                <c:ptCount val="20"/>
                <c:pt idx="0">
                  <c:v>J – Informační a komunikační činnosti</c:v>
                </c:pt>
                <c:pt idx="1">
                  <c:v>P – Vzdělávání</c:v>
                </c:pt>
                <c:pt idx="2">
                  <c:v>O – Veřejná správa a obrana; povinné sociální zabezpečení</c:v>
                </c:pt>
                <c:pt idx="3">
                  <c:v>K – Peněžnictví a pojišťovnictví</c:v>
                </c:pt>
                <c:pt idx="4">
                  <c:v>D – Výroba a rozvod elektřiny, plynu, tepla a klimatiz. vzduchu</c:v>
                </c:pt>
                <c:pt idx="5">
                  <c:v>M – Profesní, vědecké a technické činnosti</c:v>
                </c:pt>
                <c:pt idx="6">
                  <c:v>C – Zpracovatelský průmysl</c:v>
                </c:pt>
                <c:pt idx="7">
                  <c:v>R – Kulturní, zábavní a rekreační činnosti</c:v>
                </c:pt>
                <c:pt idx="8">
                  <c:v>CELKEM</c:v>
                </c:pt>
                <c:pt idx="9">
                  <c:v>E – Zásobování vodou; činnosti související s odpady a sanacemi</c:v>
                </c:pt>
                <c:pt idx="10">
                  <c:v>G – Velkoobchod a maloobchod; opravy a údržba motor. vozidel</c:v>
                </c:pt>
                <c:pt idx="11">
                  <c:v>H – Doprava a skladování</c:v>
                </c:pt>
                <c:pt idx="12">
                  <c:v>Q – Zdravotní a sociální péče</c:v>
                </c:pt>
                <c:pt idx="13">
                  <c:v>N – Administrativní a podpůrné činnosti</c:v>
                </c:pt>
                <c:pt idx="14">
                  <c:v>S – Ostatní činnosti</c:v>
                </c:pt>
                <c:pt idx="15">
                  <c:v>L – Činnosti v oblasti nemovitostí</c:v>
                </c:pt>
                <c:pt idx="16">
                  <c:v>F – Stavebnictví</c:v>
                </c:pt>
                <c:pt idx="17">
                  <c:v>B – Těžba a dobývání</c:v>
                </c:pt>
                <c:pt idx="18">
                  <c:v>A – Zemědělství, lesnictví, rybářství</c:v>
                </c:pt>
                <c:pt idx="19">
                  <c:v>I – Ubytování, stravování a pohostinství</c:v>
                </c:pt>
              </c:strCache>
            </c:strRef>
          </c:cat>
          <c:val>
            <c:numRef>
              <c:f>'G2.10'!$T$2:$T$21</c:f>
              <c:numCache>
                <c:formatCode>#,##0.00</c:formatCode>
                <c:ptCount val="20"/>
                <c:pt idx="0">
                  <c:v>23.3314750989</c:v>
                </c:pt>
                <c:pt idx="1">
                  <c:v>24.040936230100002</c:v>
                </c:pt>
                <c:pt idx="2">
                  <c:v>28.7046347048</c:v>
                </c:pt>
                <c:pt idx="3">
                  <c:v>30.343275261300001</c:v>
                </c:pt>
                <c:pt idx="4">
                  <c:v>31.6051212102</c:v>
                </c:pt>
                <c:pt idx="5">
                  <c:v>32.1273646613</c:v>
                </c:pt>
                <c:pt idx="6">
                  <c:v>33.776308829100003</c:v>
                </c:pt>
                <c:pt idx="7">
                  <c:v>33.925278842799997</c:v>
                </c:pt>
                <c:pt idx="8">
                  <c:v>34.467292586399999</c:v>
                </c:pt>
                <c:pt idx="9">
                  <c:v>36.034121489199997</c:v>
                </c:pt>
                <c:pt idx="10">
                  <c:v>36.499335193900002</c:v>
                </c:pt>
                <c:pt idx="11">
                  <c:v>36.6666648096</c:v>
                </c:pt>
                <c:pt idx="12">
                  <c:v>37.529226162800001</c:v>
                </c:pt>
                <c:pt idx="13">
                  <c:v>38.021732262</c:v>
                </c:pt>
                <c:pt idx="14">
                  <c:v>38.368118910200003</c:v>
                </c:pt>
                <c:pt idx="15">
                  <c:v>39.418252052100001</c:v>
                </c:pt>
                <c:pt idx="16">
                  <c:v>39.661486608600001</c:v>
                </c:pt>
                <c:pt idx="17">
                  <c:v>41.289056217599999</c:v>
                </c:pt>
                <c:pt idx="18">
                  <c:v>43.412792316299999</c:v>
                </c:pt>
                <c:pt idx="19">
                  <c:v>48.094607034600003</c:v>
                </c:pt>
              </c:numCache>
            </c:numRef>
          </c:val>
          <c:extLst>
            <c:ext xmlns:c16="http://schemas.microsoft.com/office/drawing/2014/chart" uri="{C3380CC4-5D6E-409C-BE32-E72D297353CC}">
              <c16:uniqueId val="{00000004-5700-4DC4-83A9-939744ADFED9}"/>
            </c:ext>
          </c:extLst>
        </c:ser>
        <c:dLbls>
          <c:showLegendKey val="0"/>
          <c:showVal val="0"/>
          <c:showCatName val="0"/>
          <c:showSerName val="0"/>
          <c:showPercent val="0"/>
          <c:showBubbleSize val="0"/>
        </c:dLbls>
        <c:gapWidth val="182"/>
        <c:axId val="1315644767"/>
        <c:axId val="1315646431"/>
      </c:barChart>
      <c:catAx>
        <c:axId val="13156447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46431"/>
        <c:crosses val="autoZero"/>
        <c:auto val="1"/>
        <c:lblAlgn val="ctr"/>
        <c:lblOffset val="100"/>
        <c:noMultiLvlLbl val="0"/>
      </c:catAx>
      <c:valAx>
        <c:axId val="1315646431"/>
        <c:scaling>
          <c:orientation val="minMax"/>
          <c:max val="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447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43285214348206"/>
          <c:y val="5.0925925925925923E-2"/>
          <c:w val="0.85701159230096235"/>
          <c:h val="0.85135535141440666"/>
        </c:manualLayout>
      </c:layout>
      <c:barChart>
        <c:barDir val="col"/>
        <c:grouping val="clustered"/>
        <c:varyColors val="0"/>
        <c:ser>
          <c:idx val="1"/>
          <c:order val="0"/>
          <c:tx>
            <c:strRef>
              <c:f>'G2.11'!$O$24</c:f>
              <c:strCache>
                <c:ptCount val="1"/>
                <c:pt idx="0">
                  <c:v> 2021</c:v>
                </c:pt>
              </c:strCache>
            </c:strRef>
          </c:tx>
          <c:spPr>
            <a:solidFill>
              <a:srgbClr val="632827"/>
            </a:solidFill>
            <a:ln>
              <a:noFill/>
            </a:ln>
            <a:effectLst/>
          </c:spPr>
          <c:invertIfNegative val="0"/>
          <c:dPt>
            <c:idx val="7"/>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1-4107-4702-8FB6-F28DB77B3E5C}"/>
              </c:ext>
            </c:extLst>
          </c:dPt>
          <c:cat>
            <c:strRef>
              <c:f>'G2.11'!$M$25:$M$39</c:f>
              <c:strCache>
                <c:ptCount val="15"/>
                <c:pt idx="0">
                  <c:v>ZLK</c:v>
                </c:pt>
                <c:pt idx="1">
                  <c:v>MSK</c:v>
                </c:pt>
                <c:pt idx="2">
                  <c:v>OLK</c:v>
                </c:pt>
                <c:pt idx="3">
                  <c:v>VYS</c:v>
                </c:pt>
                <c:pt idx="4">
                  <c:v>JHM</c:v>
                </c:pt>
                <c:pt idx="5">
                  <c:v>KVK</c:v>
                </c:pt>
                <c:pt idx="6">
                  <c:v>JHC</c:v>
                </c:pt>
                <c:pt idx="7">
                  <c:v>ČR</c:v>
                </c:pt>
                <c:pt idx="8">
                  <c:v>ULK</c:v>
                </c:pt>
                <c:pt idx="9">
                  <c:v>PLK</c:v>
                </c:pt>
                <c:pt idx="10">
                  <c:v>PAK</c:v>
                </c:pt>
                <c:pt idx="11">
                  <c:v>PHA</c:v>
                </c:pt>
                <c:pt idx="12">
                  <c:v>STC</c:v>
                </c:pt>
                <c:pt idx="13">
                  <c:v>LBK</c:v>
                </c:pt>
                <c:pt idx="14">
                  <c:v>HKK</c:v>
                </c:pt>
              </c:strCache>
            </c:strRef>
          </c:cat>
          <c:val>
            <c:numRef>
              <c:f>'G2.11'!$O$25:$O$39</c:f>
              <c:numCache>
                <c:formatCode>0.00</c:formatCode>
                <c:ptCount val="15"/>
                <c:pt idx="0">
                  <c:v>38.965840192899996</c:v>
                </c:pt>
                <c:pt idx="1">
                  <c:v>38.7160719492</c:v>
                </c:pt>
                <c:pt idx="2">
                  <c:v>35.909893022399999</c:v>
                </c:pt>
                <c:pt idx="3">
                  <c:v>35.862411217499996</c:v>
                </c:pt>
                <c:pt idx="4">
                  <c:v>35.511993523199997</c:v>
                </c:pt>
                <c:pt idx="5">
                  <c:v>35.082173483799998</c:v>
                </c:pt>
                <c:pt idx="6">
                  <c:v>34.922469109600002</c:v>
                </c:pt>
                <c:pt idx="7">
                  <c:v>34.467292586399999</c:v>
                </c:pt>
                <c:pt idx="8">
                  <c:v>33.899613542300003</c:v>
                </c:pt>
                <c:pt idx="9">
                  <c:v>32.992019742300002</c:v>
                </c:pt>
                <c:pt idx="10">
                  <c:v>32.869657864899999</c:v>
                </c:pt>
                <c:pt idx="11">
                  <c:v>32.602843163000003</c:v>
                </c:pt>
                <c:pt idx="12">
                  <c:v>32.519450933000002</c:v>
                </c:pt>
                <c:pt idx="13">
                  <c:v>32.327538525900003</c:v>
                </c:pt>
                <c:pt idx="14">
                  <c:v>32.175095731900001</c:v>
                </c:pt>
              </c:numCache>
            </c:numRef>
          </c:val>
          <c:extLst>
            <c:ext xmlns:c16="http://schemas.microsoft.com/office/drawing/2014/chart" uri="{C3380CC4-5D6E-409C-BE32-E72D297353CC}">
              <c16:uniqueId val="{00000002-4107-4702-8FB6-F28DB77B3E5C}"/>
            </c:ext>
          </c:extLst>
        </c:ser>
        <c:ser>
          <c:idx val="0"/>
          <c:order val="1"/>
          <c:tx>
            <c:strRef>
              <c:f>'G2.11'!$N$24</c:f>
              <c:strCache>
                <c:ptCount val="1"/>
                <c:pt idx="0">
                  <c:v> 2019</c:v>
                </c:pt>
              </c:strCache>
            </c:strRef>
          </c:tx>
          <c:spPr>
            <a:solidFill>
              <a:srgbClr val="B44946"/>
            </a:solidFill>
            <a:ln>
              <a:noFill/>
            </a:ln>
            <a:effectLst/>
          </c:spPr>
          <c:invertIfNegative val="0"/>
          <c:dPt>
            <c:idx val="7"/>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4-4107-4702-8FB6-F28DB77B3E5C}"/>
              </c:ext>
            </c:extLst>
          </c:dPt>
          <c:cat>
            <c:strRef>
              <c:f>'G2.11'!$M$25:$M$39</c:f>
              <c:strCache>
                <c:ptCount val="15"/>
                <c:pt idx="0">
                  <c:v>ZLK</c:v>
                </c:pt>
                <c:pt idx="1">
                  <c:v>MSK</c:v>
                </c:pt>
                <c:pt idx="2">
                  <c:v>OLK</c:v>
                </c:pt>
                <c:pt idx="3">
                  <c:v>VYS</c:v>
                </c:pt>
                <c:pt idx="4">
                  <c:v>JHM</c:v>
                </c:pt>
                <c:pt idx="5">
                  <c:v>KVK</c:v>
                </c:pt>
                <c:pt idx="6">
                  <c:v>JHC</c:v>
                </c:pt>
                <c:pt idx="7">
                  <c:v>ČR</c:v>
                </c:pt>
                <c:pt idx="8">
                  <c:v>ULK</c:v>
                </c:pt>
                <c:pt idx="9">
                  <c:v>PLK</c:v>
                </c:pt>
                <c:pt idx="10">
                  <c:v>PAK</c:v>
                </c:pt>
                <c:pt idx="11">
                  <c:v>PHA</c:v>
                </c:pt>
                <c:pt idx="12">
                  <c:v>STC</c:v>
                </c:pt>
                <c:pt idx="13">
                  <c:v>LBK</c:v>
                </c:pt>
                <c:pt idx="14">
                  <c:v>HKK</c:v>
                </c:pt>
              </c:strCache>
            </c:strRef>
          </c:cat>
          <c:val>
            <c:numRef>
              <c:f>'G2.11'!$N$25:$N$39</c:f>
              <c:numCache>
                <c:formatCode>0.0</c:formatCode>
                <c:ptCount val="15"/>
                <c:pt idx="0">
                  <c:v>49.55</c:v>
                </c:pt>
                <c:pt idx="1">
                  <c:v>48.71</c:v>
                </c:pt>
                <c:pt idx="2">
                  <c:v>46.13</c:v>
                </c:pt>
                <c:pt idx="3">
                  <c:v>45.57</c:v>
                </c:pt>
                <c:pt idx="4">
                  <c:v>43.31</c:v>
                </c:pt>
                <c:pt idx="5">
                  <c:v>40.33</c:v>
                </c:pt>
                <c:pt idx="6">
                  <c:v>44.37</c:v>
                </c:pt>
                <c:pt idx="7">
                  <c:v>42.41</c:v>
                </c:pt>
                <c:pt idx="8">
                  <c:v>41.97</c:v>
                </c:pt>
                <c:pt idx="9">
                  <c:v>39.56</c:v>
                </c:pt>
                <c:pt idx="10">
                  <c:v>42.18</c:v>
                </c:pt>
                <c:pt idx="11">
                  <c:v>38.82</c:v>
                </c:pt>
                <c:pt idx="12">
                  <c:v>40.43</c:v>
                </c:pt>
                <c:pt idx="13">
                  <c:v>38.799999999999997</c:v>
                </c:pt>
                <c:pt idx="14">
                  <c:v>39.17</c:v>
                </c:pt>
              </c:numCache>
            </c:numRef>
          </c:val>
          <c:extLst>
            <c:ext xmlns:c16="http://schemas.microsoft.com/office/drawing/2014/chart" uri="{C3380CC4-5D6E-409C-BE32-E72D297353CC}">
              <c16:uniqueId val="{00000005-4107-4702-8FB6-F28DB77B3E5C}"/>
            </c:ext>
          </c:extLst>
        </c:ser>
        <c:dLbls>
          <c:showLegendKey val="0"/>
          <c:showVal val="0"/>
          <c:showCatName val="0"/>
          <c:showSerName val="0"/>
          <c:showPercent val="0"/>
          <c:showBubbleSize val="0"/>
        </c:dLbls>
        <c:gapWidth val="219"/>
        <c:axId val="39956655"/>
        <c:axId val="39965391"/>
      </c:barChart>
      <c:catAx>
        <c:axId val="39956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39965391"/>
        <c:crosses val="autoZero"/>
        <c:auto val="1"/>
        <c:lblAlgn val="ctr"/>
        <c:lblOffset val="100"/>
        <c:noMultiLvlLbl val="0"/>
      </c:catAx>
      <c:valAx>
        <c:axId val="39965391"/>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layout>
            <c:manualLayout>
              <c:xMode val="edge"/>
              <c:yMode val="edge"/>
              <c:x val="1.9444444444444445E-2"/>
              <c:y val="0.3350524934383202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39956655"/>
        <c:crosses val="autoZero"/>
        <c:crossBetween val="between"/>
      </c:valAx>
      <c:spPr>
        <a:noFill/>
        <a:ln>
          <a:noFill/>
        </a:ln>
        <a:effectLst/>
      </c:spPr>
    </c:plotArea>
    <c:legend>
      <c:legendPos val="b"/>
      <c:layout>
        <c:manualLayout>
          <c:xMode val="edge"/>
          <c:yMode val="edge"/>
          <c:x val="0.84255599300087491"/>
          <c:y val="5.1640784485272671E-2"/>
          <c:w val="0.12599912510936134"/>
          <c:h val="0.16132217847769029"/>
        </c:manualLayout>
      </c:layout>
      <c:overlay val="0"/>
      <c:spPr>
        <a:solidFill>
          <a:sysClr val="window" lastClr="FFFFFF"/>
        </a:solidFill>
        <a:ln>
          <a:solidFill>
            <a:schemeClr val="bg1">
              <a:lumMod val="8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726164647375736E-2"/>
          <c:y val="4.3650793650793648E-2"/>
          <c:w val="0.88302885513923746"/>
          <c:h val="0.8203043369578803"/>
        </c:manualLayout>
      </c:layout>
      <c:barChart>
        <c:barDir val="col"/>
        <c:grouping val="clustered"/>
        <c:varyColors val="0"/>
        <c:ser>
          <c:idx val="0"/>
          <c:order val="0"/>
          <c:tx>
            <c:strRef>
              <c:f>'G2.12'!$AB$3</c:f>
              <c:strCache>
                <c:ptCount val="1"/>
                <c:pt idx="0">
                  <c:v> nemoc</c:v>
                </c:pt>
              </c:strCache>
            </c:strRef>
          </c:tx>
          <c:spPr>
            <a:solidFill>
              <a:srgbClr val="632827"/>
            </a:solidFill>
            <a:ln>
              <a:noFill/>
            </a:ln>
            <a:effectLst/>
          </c:spPr>
          <c:invertIfNegative val="0"/>
          <c:cat>
            <c:multiLvlStrRef>
              <c:f>'G2.12'!$Z$4:$AA$10</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'G2.12'!$AB$4:$AB$10</c:f>
              <c:numCache>
                <c:formatCode>0.00</c:formatCode>
                <c:ptCount val="7"/>
                <c:pt idx="0">
                  <c:v>32.694557777999997</c:v>
                </c:pt>
                <c:pt idx="1">
                  <c:v>73.281778552700004</c:v>
                </c:pt>
                <c:pt idx="2">
                  <c:v>35.4372584471</c:v>
                </c:pt>
                <c:pt idx="3">
                  <c:v>30.136619935199999</c:v>
                </c:pt>
                <c:pt idx="4">
                  <c:v>31.942544335899999</c:v>
                </c:pt>
                <c:pt idx="5">
                  <c:v>31.724501570000001</c:v>
                </c:pt>
                <c:pt idx="6">
                  <c:v>31.410361351799999</c:v>
                </c:pt>
              </c:numCache>
            </c:numRef>
          </c:val>
          <c:extLst>
            <c:ext xmlns:c16="http://schemas.microsoft.com/office/drawing/2014/chart" uri="{C3380CC4-5D6E-409C-BE32-E72D297353CC}">
              <c16:uniqueId val="{00000000-6E26-47E3-B783-BB6391F20358}"/>
            </c:ext>
          </c:extLst>
        </c:ser>
        <c:ser>
          <c:idx val="1"/>
          <c:order val="1"/>
          <c:tx>
            <c:strRef>
              <c:f>'G2.12'!$AC$3</c:f>
              <c:strCache>
                <c:ptCount val="1"/>
                <c:pt idx="0">
                  <c:v> pracovní úraz</c:v>
                </c:pt>
              </c:strCache>
            </c:strRef>
          </c:tx>
          <c:spPr>
            <a:solidFill>
              <a:srgbClr val="B44946"/>
            </a:solidFill>
            <a:ln>
              <a:noFill/>
            </a:ln>
            <a:effectLst/>
          </c:spPr>
          <c:invertIfNegative val="0"/>
          <c:cat>
            <c:multiLvlStrRef>
              <c:f>'G2.12'!$Z$4:$AA$10</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'G2.12'!$AC$4:$AC$10</c:f>
              <c:numCache>
                <c:formatCode>0.00</c:formatCode>
                <c:ptCount val="7"/>
                <c:pt idx="0">
                  <c:v>58.026528386700001</c:v>
                </c:pt>
                <c:pt idx="1">
                  <c:v>93.903571428600003</c:v>
                </c:pt>
                <c:pt idx="2">
                  <c:v>61.3926924441</c:v>
                </c:pt>
                <c:pt idx="3">
                  <c:v>53.271558737399999</c:v>
                </c:pt>
                <c:pt idx="4">
                  <c:v>54.496438565299997</c:v>
                </c:pt>
                <c:pt idx="5">
                  <c:v>56.166290018799998</c:v>
                </c:pt>
                <c:pt idx="6">
                  <c:v>59.367522583400003</c:v>
                </c:pt>
              </c:numCache>
            </c:numRef>
          </c:val>
          <c:extLst>
            <c:ext xmlns:c16="http://schemas.microsoft.com/office/drawing/2014/chart" uri="{C3380CC4-5D6E-409C-BE32-E72D297353CC}">
              <c16:uniqueId val="{00000001-6E26-47E3-B783-BB6391F20358}"/>
            </c:ext>
          </c:extLst>
        </c:ser>
        <c:ser>
          <c:idx val="2"/>
          <c:order val="2"/>
          <c:tx>
            <c:strRef>
              <c:f>'G2.12'!$AD$3</c:f>
              <c:strCache>
                <c:ptCount val="1"/>
                <c:pt idx="0">
                  <c:v> ostatní úraz</c:v>
                </c:pt>
              </c:strCache>
            </c:strRef>
          </c:tx>
          <c:spPr>
            <a:solidFill>
              <a:srgbClr val="F07373"/>
            </a:solidFill>
            <a:ln>
              <a:noFill/>
            </a:ln>
            <a:effectLst/>
          </c:spPr>
          <c:invertIfNegative val="0"/>
          <c:cat>
            <c:multiLvlStrRef>
              <c:f>'G2.12'!$Z$4:$AA$10</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'G2.12'!$AD$4:$AD$10</c:f>
              <c:numCache>
                <c:formatCode>0.00</c:formatCode>
                <c:ptCount val="7"/>
                <c:pt idx="0">
                  <c:v>56.089005628000002</c:v>
                </c:pt>
                <c:pt idx="1">
                  <c:v>99.845764854600006</c:v>
                </c:pt>
                <c:pt idx="2">
                  <c:v>62.850893934399998</c:v>
                </c:pt>
                <c:pt idx="3">
                  <c:v>52.425631981199999</c:v>
                </c:pt>
                <c:pt idx="4">
                  <c:v>52.556012063499999</c:v>
                </c:pt>
                <c:pt idx="5">
                  <c:v>53.1590201729</c:v>
                </c:pt>
                <c:pt idx="6">
                  <c:v>52.115987175299999</c:v>
                </c:pt>
              </c:numCache>
            </c:numRef>
          </c:val>
          <c:extLst>
            <c:ext xmlns:c16="http://schemas.microsoft.com/office/drawing/2014/chart" uri="{C3380CC4-5D6E-409C-BE32-E72D297353CC}">
              <c16:uniqueId val="{00000002-6E26-47E3-B783-BB6391F20358}"/>
            </c:ext>
          </c:extLst>
        </c:ser>
        <c:dLbls>
          <c:showLegendKey val="0"/>
          <c:showVal val="0"/>
          <c:showCatName val="0"/>
          <c:showSerName val="0"/>
          <c:showPercent val="0"/>
          <c:showBubbleSize val="0"/>
        </c:dLbls>
        <c:gapWidth val="219"/>
        <c:overlap val="-10"/>
        <c:axId val="1541395279"/>
        <c:axId val="1541399855"/>
      </c:barChart>
      <c:catAx>
        <c:axId val="1541395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41399855"/>
        <c:crosses val="autoZero"/>
        <c:auto val="1"/>
        <c:lblAlgn val="ctr"/>
        <c:lblOffset val="100"/>
        <c:noMultiLvlLbl val="0"/>
      </c:catAx>
      <c:valAx>
        <c:axId val="1541399855"/>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41395279"/>
        <c:crosses val="autoZero"/>
        <c:crossBetween val="between"/>
      </c:valAx>
      <c:spPr>
        <a:noFill/>
        <a:ln>
          <a:noFill/>
        </a:ln>
        <a:effectLst/>
      </c:spPr>
    </c:plotArea>
    <c:legend>
      <c:legendPos val="r"/>
      <c:layout>
        <c:manualLayout>
          <c:xMode val="edge"/>
          <c:yMode val="edge"/>
          <c:x val="0.81476430771231001"/>
          <c:y val="9.4172915885514311E-2"/>
          <c:w val="0.13363610508438767"/>
          <c:h val="0.17673322084739407"/>
        </c:manualLayout>
      </c:layout>
      <c:overlay val="0"/>
      <c:spPr>
        <a:solidFill>
          <a:schemeClr val="bg1"/>
        </a:solidFill>
        <a:ln>
          <a:solidFill>
            <a:schemeClr val="bg1">
              <a:lumMod val="8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157034246004573"/>
          <c:y val="3.0087527352297593E-2"/>
          <c:w val="0.45129547901760259"/>
          <c:h val="0.91449219490342704"/>
        </c:manualLayout>
      </c:layout>
      <c:barChart>
        <c:barDir val="bar"/>
        <c:grouping val="clustered"/>
        <c:varyColors val="0"/>
        <c:ser>
          <c:idx val="0"/>
          <c:order val="0"/>
          <c:spPr>
            <a:solidFill>
              <a:srgbClr val="B44946"/>
            </a:solidFill>
            <a:ln>
              <a:noFill/>
            </a:ln>
            <a:effectLst/>
          </c:spPr>
          <c:invertIfNegative val="0"/>
          <c:dPt>
            <c:idx val="0"/>
            <c:invertIfNegative val="0"/>
            <c:bubble3D val="0"/>
            <c:extLst>
              <c:ext xmlns:c16="http://schemas.microsoft.com/office/drawing/2014/chart" uri="{C3380CC4-5D6E-409C-BE32-E72D297353CC}">
                <c16:uniqueId val="{00000001-F762-478C-929D-ECD5D4391B69}"/>
              </c:ext>
            </c:extLst>
          </c:dPt>
          <c:dPt>
            <c:idx val="11"/>
            <c:invertIfNegative val="0"/>
            <c:bubble3D val="0"/>
            <c:spPr>
              <a:solidFill>
                <a:srgbClr val="632827"/>
              </a:solidFill>
              <a:ln>
                <a:noFill/>
              </a:ln>
              <a:effectLst/>
            </c:spPr>
            <c:extLst>
              <c:ext xmlns:c16="http://schemas.microsoft.com/office/drawing/2014/chart" uri="{C3380CC4-5D6E-409C-BE32-E72D297353CC}">
                <c16:uniqueId val="{00000003-F762-478C-929D-ECD5D4391B69}"/>
              </c:ext>
            </c:extLst>
          </c:dPt>
          <c:cat>
            <c:strRef>
              <c:f>'G2.13'!$S$2:$S$21</c:f>
              <c:strCache>
                <c:ptCount val="20"/>
                <c:pt idx="0">
                  <c:v>J – Informační a komunikační činnosti</c:v>
                </c:pt>
                <c:pt idx="1">
                  <c:v>K – Peněžnictví a pojišťovnictví</c:v>
                </c:pt>
                <c:pt idx="2">
                  <c:v>M – Profesní, vědecké a technické činnosti</c:v>
                </c:pt>
                <c:pt idx="3">
                  <c:v>L – Činnosti v oblasti nemovitostí</c:v>
                </c:pt>
                <c:pt idx="4">
                  <c:v>R – Kulturní, zábavní a rekreační činnosti</c:v>
                </c:pt>
                <c:pt idx="5">
                  <c:v>D – Výroba a rozvod elektřiny, plynu, tepla a klimatiz. vzduchu</c:v>
                </c:pt>
                <c:pt idx="6">
                  <c:v>P – Vzdělávání</c:v>
                </c:pt>
                <c:pt idx="7">
                  <c:v>O – Veřejná správa a obrana; povinné sociální zabezpečení</c:v>
                </c:pt>
                <c:pt idx="8">
                  <c:v>S – Ostatní činnosti</c:v>
                </c:pt>
                <c:pt idx="9">
                  <c:v>I – Ubytování, stravování a pohostinství</c:v>
                </c:pt>
                <c:pt idx="10">
                  <c:v>Q – Zdravotní a sociální péče</c:v>
                </c:pt>
                <c:pt idx="11">
                  <c:v>CELKEM</c:v>
                </c:pt>
                <c:pt idx="12">
                  <c:v>G – Velkoobchod a maloobchod; opravy a údržba motor. vozidel</c:v>
                </c:pt>
                <c:pt idx="13">
                  <c:v>F – Stavebnictví</c:v>
                </c:pt>
                <c:pt idx="14">
                  <c:v>H – Doprava a skladování</c:v>
                </c:pt>
                <c:pt idx="15">
                  <c:v>A – Zemědělství, lesnictví, rybářství</c:v>
                </c:pt>
                <c:pt idx="16">
                  <c:v>E – Zásobování vodou; činnosti související s odpady a sanacemi</c:v>
                </c:pt>
                <c:pt idx="17">
                  <c:v>N – Administrativní a podpůrné činnosti</c:v>
                </c:pt>
                <c:pt idx="18">
                  <c:v>C – Zpracovatelský průmysl</c:v>
                </c:pt>
                <c:pt idx="19">
                  <c:v>B – Těžba a dobývání</c:v>
                </c:pt>
              </c:strCache>
            </c:strRef>
          </c:cat>
          <c:val>
            <c:numRef>
              <c:f>'G2.13'!$T$2:$T$21</c:f>
              <c:numCache>
                <c:formatCode>#,##0.00</c:formatCode>
                <c:ptCount val="20"/>
                <c:pt idx="0">
                  <c:v>1.8446397741999999E-2</c:v>
                </c:pt>
                <c:pt idx="1">
                  <c:v>2.5954532249999999E-2</c:v>
                </c:pt>
                <c:pt idx="2">
                  <c:v>2.6666500846000002E-2</c:v>
                </c:pt>
                <c:pt idx="3">
                  <c:v>3.1020041738000003E-2</c:v>
                </c:pt>
                <c:pt idx="4">
                  <c:v>3.3900906019999996E-2</c:v>
                </c:pt>
                <c:pt idx="5">
                  <c:v>3.6295611471000001E-2</c:v>
                </c:pt>
                <c:pt idx="6">
                  <c:v>3.6694779401000001E-2</c:v>
                </c:pt>
                <c:pt idx="7">
                  <c:v>4.1482097013999998E-2</c:v>
                </c:pt>
                <c:pt idx="8">
                  <c:v>4.6477526693000003E-2</c:v>
                </c:pt>
                <c:pt idx="9">
                  <c:v>5.1638079818999996E-2</c:v>
                </c:pt>
                <c:pt idx="10">
                  <c:v>5.3526714805999999E-2</c:v>
                </c:pt>
                <c:pt idx="11">
                  <c:v>5.5252060451E-2</c:v>
                </c:pt>
                <c:pt idx="12">
                  <c:v>5.6934752509999999E-2</c:v>
                </c:pt>
                <c:pt idx="13">
                  <c:v>5.6984376704999999E-2</c:v>
                </c:pt>
                <c:pt idx="14">
                  <c:v>6.1449653216000003E-2</c:v>
                </c:pt>
                <c:pt idx="15">
                  <c:v>6.2807937317999996E-2</c:v>
                </c:pt>
                <c:pt idx="16">
                  <c:v>6.4787344555000001E-2</c:v>
                </c:pt>
                <c:pt idx="17">
                  <c:v>6.915322854E-2</c:v>
                </c:pt>
                <c:pt idx="18">
                  <c:v>7.4371498231000005E-2</c:v>
                </c:pt>
                <c:pt idx="19">
                  <c:v>7.9264588477000006E-2</c:v>
                </c:pt>
              </c:numCache>
            </c:numRef>
          </c:val>
          <c:extLst>
            <c:ext xmlns:c16="http://schemas.microsoft.com/office/drawing/2014/chart" uri="{C3380CC4-5D6E-409C-BE32-E72D297353CC}">
              <c16:uniqueId val="{00000004-F762-478C-929D-ECD5D4391B69}"/>
            </c:ext>
          </c:extLst>
        </c:ser>
        <c:dLbls>
          <c:showLegendKey val="0"/>
          <c:showVal val="0"/>
          <c:showCatName val="0"/>
          <c:showSerName val="0"/>
          <c:showPercent val="0"/>
          <c:showBubbleSize val="0"/>
        </c:dLbls>
        <c:gapWidth val="182"/>
        <c:axId val="1399942447"/>
        <c:axId val="1399957007"/>
      </c:barChart>
      <c:catAx>
        <c:axId val="13999424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57007"/>
        <c:crosses val="autoZero"/>
        <c:auto val="1"/>
        <c:lblAlgn val="ctr"/>
        <c:lblOffset val="100"/>
        <c:noMultiLvlLbl val="0"/>
      </c:catAx>
      <c:valAx>
        <c:axId val="1399957007"/>
        <c:scaling>
          <c:orientation val="minMax"/>
          <c:max val="8.0000000000000016E-2"/>
        </c:scaling>
        <c:delete val="0"/>
        <c:axPos val="b"/>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424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442257217847768E-2"/>
          <c:y val="5.0925925925925923E-2"/>
          <c:w val="0.89200218722659663"/>
          <c:h val="0.84225284339457562"/>
        </c:manualLayout>
      </c:layout>
      <c:barChart>
        <c:barDir val="col"/>
        <c:grouping val="clustered"/>
        <c:varyColors val="0"/>
        <c:ser>
          <c:idx val="0"/>
          <c:order val="0"/>
          <c:tx>
            <c:strRef>
              <c:f>'G2.14'!$R$23</c:f>
              <c:strCache>
                <c:ptCount val="1"/>
                <c:pt idx="0">
                  <c:v> 2021</c:v>
                </c:pt>
              </c:strCache>
            </c:strRef>
          </c:tx>
          <c:spPr>
            <a:solidFill>
              <a:srgbClr val="632827"/>
            </a:solidFill>
            <a:ln>
              <a:noFill/>
            </a:ln>
            <a:effectLst/>
          </c:spPr>
          <c:invertIfNegative val="0"/>
          <c:dPt>
            <c:idx val="12"/>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1-B0C9-419D-8BE5-5C030C15E93F}"/>
              </c:ext>
            </c:extLst>
          </c:dPt>
          <c:cat>
            <c:strRef>
              <c:f>'G2.14'!$Q$24:$Q$38</c:f>
              <c:strCache>
                <c:ptCount val="15"/>
                <c:pt idx="0">
                  <c:v>MSK</c:v>
                </c:pt>
                <c:pt idx="1">
                  <c:v>ZLK</c:v>
                </c:pt>
                <c:pt idx="2">
                  <c:v>LBK</c:v>
                </c:pt>
                <c:pt idx="3">
                  <c:v>JHC</c:v>
                </c:pt>
                <c:pt idx="4">
                  <c:v>PLK</c:v>
                </c:pt>
                <c:pt idx="5">
                  <c:v>ULK</c:v>
                </c:pt>
                <c:pt idx="6">
                  <c:v>KVK</c:v>
                </c:pt>
                <c:pt idx="7">
                  <c:v>OLK</c:v>
                </c:pt>
                <c:pt idx="8">
                  <c:v>VYS</c:v>
                </c:pt>
                <c:pt idx="9">
                  <c:v>HKK</c:v>
                </c:pt>
                <c:pt idx="10">
                  <c:v>PAK</c:v>
                </c:pt>
                <c:pt idx="11">
                  <c:v>STC</c:v>
                </c:pt>
                <c:pt idx="12">
                  <c:v>ČR</c:v>
                </c:pt>
                <c:pt idx="13">
                  <c:v>JHM</c:v>
                </c:pt>
                <c:pt idx="14">
                  <c:v>PHA</c:v>
                </c:pt>
              </c:strCache>
            </c:strRef>
          </c:cat>
          <c:val>
            <c:numRef>
              <c:f>'G2.14'!$R$24:$R$38</c:f>
              <c:numCache>
                <c:formatCode>0.00</c:formatCode>
                <c:ptCount val="15"/>
                <c:pt idx="0">
                  <c:v>6.9563280494999991E-2</c:v>
                </c:pt>
                <c:pt idx="1">
                  <c:v>6.6602510975000001E-2</c:v>
                </c:pt>
                <c:pt idx="2">
                  <c:v>6.4533454229000003E-2</c:v>
                </c:pt>
                <c:pt idx="3">
                  <c:v>6.2202747530999997E-2</c:v>
                </c:pt>
                <c:pt idx="4">
                  <c:v>6.2172677565000001E-2</c:v>
                </c:pt>
                <c:pt idx="5">
                  <c:v>6.1882807792000005E-2</c:v>
                </c:pt>
                <c:pt idx="6">
                  <c:v>6.1843555629000006E-2</c:v>
                </c:pt>
                <c:pt idx="7">
                  <c:v>6.0795029874999996E-2</c:v>
                </c:pt>
                <c:pt idx="8">
                  <c:v>6.0523398838000002E-2</c:v>
                </c:pt>
                <c:pt idx="9">
                  <c:v>5.9735835543999999E-2</c:v>
                </c:pt>
                <c:pt idx="10">
                  <c:v>5.9246882351999999E-2</c:v>
                </c:pt>
                <c:pt idx="11">
                  <c:v>5.6741365186000002E-2</c:v>
                </c:pt>
                <c:pt idx="12">
                  <c:v>5.5252060451E-2</c:v>
                </c:pt>
                <c:pt idx="13">
                  <c:v>5.4634288816999999E-2</c:v>
                </c:pt>
                <c:pt idx="14">
                  <c:v>3.8966061991999999E-2</c:v>
                </c:pt>
              </c:numCache>
            </c:numRef>
          </c:val>
          <c:extLst>
            <c:ext xmlns:c16="http://schemas.microsoft.com/office/drawing/2014/chart" uri="{C3380CC4-5D6E-409C-BE32-E72D297353CC}">
              <c16:uniqueId val="{00000002-B0C9-419D-8BE5-5C030C15E93F}"/>
            </c:ext>
          </c:extLst>
        </c:ser>
        <c:ser>
          <c:idx val="1"/>
          <c:order val="1"/>
          <c:tx>
            <c:strRef>
              <c:f>'G2.14'!$S$23</c:f>
              <c:strCache>
                <c:ptCount val="1"/>
                <c:pt idx="0">
                  <c:v> 2019</c:v>
                </c:pt>
              </c:strCache>
            </c:strRef>
          </c:tx>
          <c:spPr>
            <a:solidFill>
              <a:srgbClr val="B44946"/>
            </a:solidFill>
            <a:ln>
              <a:noFill/>
            </a:ln>
            <a:effectLst/>
          </c:spPr>
          <c:invertIfNegative val="0"/>
          <c:dPt>
            <c:idx val="12"/>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4-B0C9-419D-8BE5-5C030C15E93F}"/>
              </c:ext>
            </c:extLst>
          </c:dPt>
          <c:cat>
            <c:strRef>
              <c:f>'G2.14'!$Q$24:$Q$38</c:f>
              <c:strCache>
                <c:ptCount val="15"/>
                <c:pt idx="0">
                  <c:v>MSK</c:v>
                </c:pt>
                <c:pt idx="1">
                  <c:v>ZLK</c:v>
                </c:pt>
                <c:pt idx="2">
                  <c:v>LBK</c:v>
                </c:pt>
                <c:pt idx="3">
                  <c:v>JHC</c:v>
                </c:pt>
                <c:pt idx="4">
                  <c:v>PLK</c:v>
                </c:pt>
                <c:pt idx="5">
                  <c:v>ULK</c:v>
                </c:pt>
                <c:pt idx="6">
                  <c:v>KVK</c:v>
                </c:pt>
                <c:pt idx="7">
                  <c:v>OLK</c:v>
                </c:pt>
                <c:pt idx="8">
                  <c:v>VYS</c:v>
                </c:pt>
                <c:pt idx="9">
                  <c:v>HKK</c:v>
                </c:pt>
                <c:pt idx="10">
                  <c:v>PAK</c:v>
                </c:pt>
                <c:pt idx="11">
                  <c:v>STC</c:v>
                </c:pt>
                <c:pt idx="12">
                  <c:v>ČR</c:v>
                </c:pt>
                <c:pt idx="13">
                  <c:v>JHM</c:v>
                </c:pt>
                <c:pt idx="14">
                  <c:v>PHA</c:v>
                </c:pt>
              </c:strCache>
            </c:strRef>
          </c:cat>
          <c:val>
            <c:numRef>
              <c:f>'G2.14'!$S$24:$S$38</c:f>
              <c:numCache>
                <c:formatCode>0.0</c:formatCode>
                <c:ptCount val="15"/>
                <c:pt idx="0">
                  <c:v>5.7500000000000002E-2</c:v>
                </c:pt>
                <c:pt idx="1">
                  <c:v>5.5999999999999994E-2</c:v>
                </c:pt>
                <c:pt idx="2">
                  <c:v>5.2900000000000003E-2</c:v>
                </c:pt>
                <c:pt idx="3">
                  <c:v>5.3399999999999996E-2</c:v>
                </c:pt>
                <c:pt idx="4">
                  <c:v>5.0300000000000004E-2</c:v>
                </c:pt>
                <c:pt idx="5">
                  <c:v>5.0900000000000001E-2</c:v>
                </c:pt>
                <c:pt idx="6">
                  <c:v>5.04E-2</c:v>
                </c:pt>
                <c:pt idx="7">
                  <c:v>0.05</c:v>
                </c:pt>
                <c:pt idx="8">
                  <c:v>5.3499999999999999E-2</c:v>
                </c:pt>
                <c:pt idx="9">
                  <c:v>4.9000000000000002E-2</c:v>
                </c:pt>
                <c:pt idx="10">
                  <c:v>4.9500000000000002E-2</c:v>
                </c:pt>
                <c:pt idx="11">
                  <c:v>4.8000000000000001E-2</c:v>
                </c:pt>
                <c:pt idx="12">
                  <c:v>4.7E-2</c:v>
                </c:pt>
                <c:pt idx="13">
                  <c:v>4.6100000000000002E-2</c:v>
                </c:pt>
                <c:pt idx="14">
                  <c:v>3.56E-2</c:v>
                </c:pt>
              </c:numCache>
            </c:numRef>
          </c:val>
          <c:extLst>
            <c:ext xmlns:c16="http://schemas.microsoft.com/office/drawing/2014/chart" uri="{C3380CC4-5D6E-409C-BE32-E72D297353CC}">
              <c16:uniqueId val="{00000005-B0C9-419D-8BE5-5C030C15E93F}"/>
            </c:ext>
          </c:extLst>
        </c:ser>
        <c:dLbls>
          <c:showLegendKey val="0"/>
          <c:showVal val="0"/>
          <c:showCatName val="0"/>
          <c:showSerName val="0"/>
          <c:showPercent val="0"/>
          <c:showBubbleSize val="0"/>
        </c:dLbls>
        <c:gapWidth val="219"/>
        <c:axId val="180492687"/>
        <c:axId val="180497679"/>
      </c:barChart>
      <c:catAx>
        <c:axId val="180492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0497679"/>
        <c:crosses val="autoZero"/>
        <c:auto val="1"/>
        <c:lblAlgn val="ctr"/>
        <c:lblOffset val="100"/>
        <c:noMultiLvlLbl val="0"/>
      </c:catAx>
      <c:valAx>
        <c:axId val="180497679"/>
        <c:scaling>
          <c:orientation val="minMax"/>
          <c:max val="7.0000000000000007E-2"/>
        </c:scaling>
        <c:delete val="0"/>
        <c:axPos val="l"/>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0492687"/>
        <c:crosses val="autoZero"/>
        <c:crossBetween val="between"/>
      </c:valAx>
      <c:spPr>
        <a:noFill/>
        <a:ln>
          <a:noFill/>
        </a:ln>
        <a:effectLst/>
      </c:spPr>
    </c:plotArea>
    <c:legend>
      <c:legendPos val="b"/>
      <c:layout>
        <c:manualLayout>
          <c:xMode val="edge"/>
          <c:yMode val="edge"/>
          <c:x val="0.88721865785295362"/>
          <c:y val="6.076334208223972E-2"/>
          <c:w val="8.2686400311072217E-2"/>
          <c:h val="0.17898893073148464"/>
        </c:manualLayout>
      </c:layout>
      <c:overlay val="0"/>
      <c:spPr>
        <a:solidFill>
          <a:sysClr val="window" lastClr="FFFFFF"/>
        </a:solidFill>
        <a:ln>
          <a:solidFill>
            <a:schemeClr val="bg1">
              <a:lumMod val="8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2522119628178"/>
          <c:y val="9.9785387564809411E-2"/>
          <c:w val="0.44132624633790457"/>
          <c:h val="0.7929721033192999"/>
        </c:manualLayout>
      </c:layout>
      <c:pieChart>
        <c:varyColors val="1"/>
        <c:ser>
          <c:idx val="0"/>
          <c:order val="0"/>
          <c:dPt>
            <c:idx val="0"/>
            <c:bubble3D val="0"/>
            <c:spPr>
              <a:solidFill>
                <a:srgbClr val="4E201E"/>
              </a:solidFill>
              <a:ln w="19050">
                <a:solidFill>
                  <a:schemeClr val="lt1"/>
                </a:solidFill>
              </a:ln>
              <a:effectLst/>
            </c:spPr>
            <c:extLst>
              <c:ext xmlns:c16="http://schemas.microsoft.com/office/drawing/2014/chart" uri="{C3380CC4-5D6E-409C-BE32-E72D297353CC}">
                <c16:uniqueId val="{00000001-52DE-41AF-986D-3D114D1EEA77}"/>
              </c:ext>
            </c:extLst>
          </c:dPt>
          <c:dPt>
            <c:idx val="1"/>
            <c:bubble3D val="0"/>
            <c:spPr>
              <a:solidFill>
                <a:srgbClr val="722F2C"/>
              </a:solidFill>
              <a:ln w="19050">
                <a:solidFill>
                  <a:schemeClr val="lt1"/>
                </a:solidFill>
              </a:ln>
              <a:effectLst/>
            </c:spPr>
            <c:extLst>
              <c:ext xmlns:c16="http://schemas.microsoft.com/office/drawing/2014/chart" uri="{C3380CC4-5D6E-409C-BE32-E72D297353CC}">
                <c16:uniqueId val="{00000003-52DE-41AF-986D-3D114D1EEA77}"/>
              </c:ext>
            </c:extLst>
          </c:dPt>
          <c:dPt>
            <c:idx val="2"/>
            <c:bubble3D val="0"/>
            <c:spPr>
              <a:solidFill>
                <a:srgbClr val="9A403C"/>
              </a:solidFill>
              <a:ln w="19050">
                <a:solidFill>
                  <a:schemeClr val="lt1"/>
                </a:solidFill>
              </a:ln>
              <a:effectLst/>
            </c:spPr>
            <c:extLst>
              <c:ext xmlns:c16="http://schemas.microsoft.com/office/drawing/2014/chart" uri="{C3380CC4-5D6E-409C-BE32-E72D297353CC}">
                <c16:uniqueId val="{00000005-52DE-41AF-986D-3D114D1EEA77}"/>
              </c:ext>
            </c:extLst>
          </c:dPt>
          <c:dPt>
            <c:idx val="3"/>
            <c:bubble3D val="0"/>
            <c:spPr>
              <a:solidFill>
                <a:srgbClr val="C36969"/>
              </a:solidFill>
              <a:ln w="19050">
                <a:solidFill>
                  <a:schemeClr val="lt1"/>
                </a:solidFill>
              </a:ln>
              <a:effectLst/>
            </c:spPr>
            <c:extLst>
              <c:ext xmlns:c16="http://schemas.microsoft.com/office/drawing/2014/chart" uri="{C3380CC4-5D6E-409C-BE32-E72D297353CC}">
                <c16:uniqueId val="{00000007-52DE-41AF-986D-3D114D1EEA77}"/>
              </c:ext>
            </c:extLst>
          </c:dPt>
          <c:dPt>
            <c:idx val="4"/>
            <c:bubble3D val="0"/>
            <c:spPr>
              <a:solidFill>
                <a:srgbClr val="F07373"/>
              </a:solidFill>
              <a:ln w="19050">
                <a:solidFill>
                  <a:schemeClr val="lt1"/>
                </a:solidFill>
              </a:ln>
              <a:effectLst/>
            </c:spPr>
            <c:extLst>
              <c:ext xmlns:c16="http://schemas.microsoft.com/office/drawing/2014/chart" uri="{C3380CC4-5D6E-409C-BE32-E72D297353CC}">
                <c16:uniqueId val="{00000009-52DE-41AF-986D-3D114D1EEA77}"/>
              </c:ext>
            </c:extLst>
          </c:dPt>
          <c:dPt>
            <c:idx val="5"/>
            <c:bubble3D val="0"/>
            <c:spPr>
              <a:solidFill>
                <a:srgbClr val="D79895"/>
              </a:solidFill>
              <a:ln w="19050">
                <a:solidFill>
                  <a:schemeClr val="lt1"/>
                </a:solidFill>
              </a:ln>
              <a:effectLst/>
            </c:spPr>
            <c:extLst>
              <c:ext xmlns:c16="http://schemas.microsoft.com/office/drawing/2014/chart" uri="{C3380CC4-5D6E-409C-BE32-E72D297353CC}">
                <c16:uniqueId val="{0000000B-52DE-41AF-986D-3D114D1EEA77}"/>
              </c:ext>
            </c:extLst>
          </c:dPt>
          <c:dPt>
            <c:idx val="6"/>
            <c:bubble3D val="0"/>
            <c:spPr>
              <a:solidFill>
                <a:srgbClr val="FA9696"/>
              </a:solidFill>
              <a:ln w="19050">
                <a:solidFill>
                  <a:schemeClr val="lt1"/>
                </a:solidFill>
              </a:ln>
              <a:effectLst/>
            </c:spPr>
            <c:extLst>
              <c:ext xmlns:c16="http://schemas.microsoft.com/office/drawing/2014/chart" uri="{C3380CC4-5D6E-409C-BE32-E72D297353CC}">
                <c16:uniqueId val="{0000000D-52DE-41AF-986D-3D114D1EEA77}"/>
              </c:ext>
            </c:extLst>
          </c:dPt>
          <c:dPt>
            <c:idx val="7"/>
            <c:bubble3D val="0"/>
            <c:spPr>
              <a:solidFill>
                <a:srgbClr val="E2B6B4"/>
              </a:solidFill>
              <a:ln w="19050">
                <a:solidFill>
                  <a:schemeClr val="lt1"/>
                </a:solidFill>
              </a:ln>
              <a:effectLst/>
            </c:spPr>
            <c:extLst>
              <c:ext xmlns:c16="http://schemas.microsoft.com/office/drawing/2014/chart" uri="{C3380CC4-5D6E-409C-BE32-E72D297353CC}">
                <c16:uniqueId val="{0000000F-52DE-41AF-986D-3D114D1EEA77}"/>
              </c:ext>
            </c:extLst>
          </c:dPt>
          <c:dPt>
            <c:idx val="8"/>
            <c:bubble3D val="0"/>
            <c:spPr>
              <a:solidFill>
                <a:srgbClr val="EBCDCB"/>
              </a:solidFill>
              <a:ln w="19050">
                <a:solidFill>
                  <a:schemeClr val="lt1"/>
                </a:solidFill>
              </a:ln>
              <a:effectLst/>
            </c:spPr>
            <c:extLst>
              <c:ext xmlns:c16="http://schemas.microsoft.com/office/drawing/2014/chart" uri="{C3380CC4-5D6E-409C-BE32-E72D297353CC}">
                <c16:uniqueId val="{00000011-52DE-41AF-986D-3D114D1EEA77}"/>
              </c:ext>
            </c:extLst>
          </c:dPt>
          <c:dPt>
            <c:idx val="9"/>
            <c:bubble3D val="0"/>
            <c:spPr>
              <a:solidFill>
                <a:srgbClr val="F6E7E6"/>
              </a:solidFill>
              <a:ln w="19050">
                <a:solidFill>
                  <a:schemeClr val="lt1"/>
                </a:solidFill>
              </a:ln>
              <a:effectLst/>
            </c:spPr>
            <c:extLst>
              <c:ext xmlns:c16="http://schemas.microsoft.com/office/drawing/2014/chart" uri="{C3380CC4-5D6E-409C-BE32-E72D297353CC}">
                <c16:uniqueId val="{00000013-52DE-41AF-986D-3D114D1EEA77}"/>
              </c:ext>
            </c:extLst>
          </c:dPt>
          <c:dPt>
            <c:idx val="10"/>
            <c:bubble3D val="0"/>
            <c:spPr>
              <a:solidFill>
                <a:srgbClr val="D9D9D9"/>
              </a:solidFill>
              <a:ln w="19050">
                <a:solidFill>
                  <a:schemeClr val="lt1"/>
                </a:solidFill>
              </a:ln>
              <a:effectLst/>
            </c:spPr>
            <c:extLst>
              <c:ext xmlns:c16="http://schemas.microsoft.com/office/drawing/2014/chart" uri="{C3380CC4-5D6E-409C-BE32-E72D297353CC}">
                <c16:uniqueId val="{00000015-52DE-41AF-986D-3D114D1EEA77}"/>
              </c:ext>
            </c:extLst>
          </c:dPt>
          <c:dPt>
            <c:idx val="11"/>
            <c:bubble3D val="0"/>
            <c:spPr>
              <a:solidFill>
                <a:srgbClr val="BFBFBF"/>
              </a:solidFill>
              <a:ln w="19050">
                <a:solidFill>
                  <a:schemeClr val="lt1"/>
                </a:solidFill>
              </a:ln>
              <a:effectLst/>
            </c:spPr>
            <c:extLst>
              <c:ext xmlns:c16="http://schemas.microsoft.com/office/drawing/2014/chart" uri="{C3380CC4-5D6E-409C-BE32-E72D297353CC}">
                <c16:uniqueId val="{00000017-52DE-41AF-986D-3D114D1EEA77}"/>
              </c:ext>
            </c:extLst>
          </c:dPt>
          <c:dLbls>
            <c:dLbl>
              <c:idx val="0"/>
              <c:layout>
                <c:manualLayout>
                  <c:x val="0.13674023264211707"/>
                  <c:y val="9.4726581996042447E-2"/>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extLst>
                <c:ext xmlns:c15="http://schemas.microsoft.com/office/drawing/2012/chart" uri="{CE6537A1-D6FC-4f65-9D91-7224C49458BB}">
                  <c15:layout>
                    <c:manualLayout>
                      <c:w val="0.14000832772897662"/>
                      <c:h val="0.12083720930232558"/>
                    </c:manualLayout>
                  </c15:layout>
                </c:ext>
                <c:ext xmlns:c16="http://schemas.microsoft.com/office/drawing/2014/chart" uri="{C3380CC4-5D6E-409C-BE32-E72D297353CC}">
                  <c16:uniqueId val="{00000001-52DE-41AF-986D-3D114D1EEA77}"/>
                </c:ext>
              </c:extLst>
            </c:dLbl>
            <c:dLbl>
              <c:idx val="1"/>
              <c:layout>
                <c:manualLayout>
                  <c:x val="1.0740580954718538E-2"/>
                  <c:y val="0.15097089161823168"/>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52DE-41AF-986D-3D114D1EEA77}"/>
                </c:ext>
              </c:extLst>
            </c:dLbl>
            <c:dLbl>
              <c:idx val="2"/>
              <c:layout>
                <c:manualLayout>
                  <c:x val="1.9678503561198865E-2"/>
                  <c:y val="-4.096513942468600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2DE-41AF-986D-3D114D1EEA77}"/>
                </c:ext>
              </c:extLst>
            </c:dLbl>
            <c:dLbl>
              <c:idx val="3"/>
              <c:layout>
                <c:manualLayout>
                  <c:x val="3.7787350922284406E-2"/>
                  <c:y val="-0.10976692091340931"/>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extLst>
                <c:ext xmlns:c15="http://schemas.microsoft.com/office/drawing/2012/chart" uri="{CE6537A1-D6FC-4f65-9D91-7224C49458BB}">
                  <c15:layout>
                    <c:manualLayout>
                      <c:w val="0.22689534372635872"/>
                      <c:h val="0.11459746222997291"/>
                    </c:manualLayout>
                  </c15:layout>
                </c:ext>
                <c:ext xmlns:c16="http://schemas.microsoft.com/office/drawing/2014/chart" uri="{C3380CC4-5D6E-409C-BE32-E72D297353CC}">
                  <c16:uniqueId val="{00000007-52DE-41AF-986D-3D114D1EEA77}"/>
                </c:ext>
              </c:extLst>
            </c:dLbl>
            <c:dLbl>
              <c:idx val="4"/>
              <c:layout>
                <c:manualLayout>
                  <c:x val="0.14567574544985157"/>
                  <c:y val="-0.15743598325377114"/>
                </c:manualLayout>
              </c:layout>
              <c:showLegendKey val="0"/>
              <c:showVal val="0"/>
              <c:showCatName val="1"/>
              <c:showSerName val="0"/>
              <c:showPercent val="1"/>
              <c:showBubbleSize val="0"/>
              <c:extLst>
                <c:ext xmlns:c15="http://schemas.microsoft.com/office/drawing/2012/chart" uri="{CE6537A1-D6FC-4f65-9D91-7224C49458BB}">
                  <c15:layout>
                    <c:manualLayout>
                      <c:w val="0.30099605727329315"/>
                      <c:h val="0.11403817811364184"/>
                    </c:manualLayout>
                  </c15:layout>
                </c:ext>
                <c:ext xmlns:c16="http://schemas.microsoft.com/office/drawing/2014/chart" uri="{C3380CC4-5D6E-409C-BE32-E72D297353CC}">
                  <c16:uniqueId val="{00000009-52DE-41AF-986D-3D114D1EEA77}"/>
                </c:ext>
              </c:extLst>
            </c:dLbl>
            <c:dLbl>
              <c:idx val="5"/>
              <c:layout>
                <c:manualLayout>
                  <c:x val="0.13727878329381893"/>
                  <c:y val="-0.1277208218100254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2DE-41AF-986D-3D114D1EEA77}"/>
                </c:ext>
              </c:extLst>
            </c:dLbl>
            <c:dLbl>
              <c:idx val="6"/>
              <c:layout>
                <c:manualLayout>
                  <c:x val="0.17977036435500537"/>
                  <c:y val="-9.6150774777313916E-2"/>
                </c:manualLayout>
              </c:layout>
              <c:showLegendKey val="0"/>
              <c:showVal val="0"/>
              <c:showCatName val="1"/>
              <c:showSerName val="0"/>
              <c:showPercent val="1"/>
              <c:showBubbleSize val="0"/>
              <c:extLst>
                <c:ext xmlns:c15="http://schemas.microsoft.com/office/drawing/2012/chart" uri="{CE6537A1-D6FC-4f65-9D91-7224C49458BB}">
                  <c15:layout>
                    <c:manualLayout>
                      <c:w val="0.21107084326640121"/>
                      <c:h val="0.11403817811364184"/>
                    </c:manualLayout>
                  </c15:layout>
                </c:ext>
                <c:ext xmlns:c16="http://schemas.microsoft.com/office/drawing/2014/chart" uri="{C3380CC4-5D6E-409C-BE32-E72D297353CC}">
                  <c16:uniqueId val="{0000000D-52DE-41AF-986D-3D114D1EEA77}"/>
                </c:ext>
              </c:extLst>
            </c:dLbl>
            <c:dLbl>
              <c:idx val="7"/>
              <c:layout>
                <c:manualLayout>
                  <c:x val="0.10955486239671372"/>
                  <c:y val="-3.5116583581414743E-2"/>
                </c:manualLayout>
              </c:layout>
              <c:showLegendKey val="0"/>
              <c:showVal val="0"/>
              <c:showCatName val="1"/>
              <c:showSerName val="0"/>
              <c:showPercent val="1"/>
              <c:showBubbleSize val="0"/>
              <c:extLst>
                <c:ext xmlns:c15="http://schemas.microsoft.com/office/drawing/2012/chart" uri="{CE6537A1-D6FC-4f65-9D91-7224C49458BB}">
                  <c15:layout>
                    <c:manualLayout>
                      <c:w val="0.25376634156463995"/>
                      <c:h val="0.11403817811364184"/>
                    </c:manualLayout>
                  </c15:layout>
                </c:ext>
                <c:ext xmlns:c16="http://schemas.microsoft.com/office/drawing/2014/chart" uri="{C3380CC4-5D6E-409C-BE32-E72D297353CC}">
                  <c16:uniqueId val="{0000000F-52DE-41AF-986D-3D114D1EEA77}"/>
                </c:ext>
              </c:extLst>
            </c:dLbl>
            <c:dLbl>
              <c:idx val="8"/>
              <c:layout>
                <c:manualLayout>
                  <c:x val="0.13763874296787815"/>
                  <c:y val="3.961111404698573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52DE-41AF-986D-3D114D1EEA77}"/>
                </c:ext>
              </c:extLst>
            </c:dLbl>
            <c:dLbl>
              <c:idx val="9"/>
              <c:layout>
                <c:manualLayout>
                  <c:x val="0.11836268183845776"/>
                  <c:y val="8.145290563511775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52DE-41AF-986D-3D114D1EEA77}"/>
                </c:ext>
              </c:extLst>
            </c:dLbl>
            <c:dLbl>
              <c:idx val="10"/>
              <c:layout>
                <c:manualLayout>
                  <c:x val="0.15372206145947881"/>
                  <c:y val="0.1450386654688298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52DE-41AF-986D-3D114D1EEA77}"/>
                </c:ext>
              </c:extLst>
            </c:dLbl>
            <c:dLbl>
              <c:idx val="11"/>
              <c:layout>
                <c:manualLayout>
                  <c:x val="-1.0167109849392612E-2"/>
                  <c:y val="-0.2444324369160401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52DE-41AF-986D-3D114D1EEA77}"/>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'G3.1'!$A$18:$A$29</c:f>
              <c:strCache>
                <c:ptCount val="12"/>
                <c:pt idx="0">
                  <c:v>nemoci dýchací soustavy</c:v>
                </c:pt>
                <c:pt idx="1">
                  <c:v>nemoci pohybové
 soustavy</c:v>
                </c:pt>
                <c:pt idx="2">
                  <c:v>úrazy, otravy</c:v>
                </c:pt>
                <c:pt idx="3">
                  <c:v>nemoci trávicí soustavy</c:v>
                </c:pt>
                <c:pt idx="4">
                  <c:v>nemoci močové a pohlavní soustavy</c:v>
                </c:pt>
                <c:pt idx="5">
                  <c:v>nemoci duševní</c:v>
                </c:pt>
                <c:pt idx="6">
                  <c:v>nemoci oběhové soustavy</c:v>
                </c:pt>
                <c:pt idx="7">
                  <c:v>těhotenství, porod, šestinedělí</c:v>
                </c:pt>
                <c:pt idx="8">
                  <c:v>nemoci nervové soustavy</c:v>
                </c:pt>
                <c:pt idx="9">
                  <c:v>nemoci kůže</c:v>
                </c:pt>
                <c:pt idx="10">
                  <c:v>zhoubné novotvary</c:v>
                </c:pt>
                <c:pt idx="11">
                  <c:v>nemoci ostatní</c:v>
                </c:pt>
              </c:strCache>
            </c:strRef>
          </c:cat>
          <c:val>
            <c:numRef>
              <c:f>'G3.1'!$C$18:$C$29</c:f>
              <c:numCache>
                <c:formatCode>General</c:formatCode>
                <c:ptCount val="12"/>
                <c:pt idx="0">
                  <c:v>0.23218585936186362</c:v>
                </c:pt>
                <c:pt idx="1">
                  <c:v>0.13986805171525044</c:v>
                </c:pt>
                <c:pt idx="2">
                  <c:v>6.9945615760501831E-2</c:v>
                </c:pt>
                <c:pt idx="3">
                  <c:v>4.8436963622054373E-2</c:v>
                </c:pt>
                <c:pt idx="4">
                  <c:v>2.6760901775389152E-2</c:v>
                </c:pt>
                <c:pt idx="5">
                  <c:v>1.9414375085314562E-2</c:v>
                </c:pt>
                <c:pt idx="6">
                  <c:v>1.7796571817109124E-2</c:v>
                </c:pt>
                <c:pt idx="7">
                  <c:v>1.0984284459632737E-2</c:v>
                </c:pt>
                <c:pt idx="8">
                  <c:v>1.1468852779902594E-2</c:v>
                </c:pt>
                <c:pt idx="9">
                  <c:v>1.0657559578539621E-2</c:v>
                </c:pt>
                <c:pt idx="10">
                  <c:v>5.1801346857094288E-3</c:v>
                </c:pt>
                <c:pt idx="11">
                  <c:v>0.40730082935873252</c:v>
                </c:pt>
              </c:numCache>
            </c:numRef>
          </c:val>
          <c:extLst>
            <c:ext xmlns:c16="http://schemas.microsoft.com/office/drawing/2014/chart" uri="{C3380CC4-5D6E-409C-BE32-E72D297353CC}">
              <c16:uniqueId val="{00000018-52DE-41AF-986D-3D114D1EEA77}"/>
            </c:ext>
          </c:extLst>
        </c:ser>
        <c:dLbls>
          <c:showLegendKey val="0"/>
          <c:showVal val="0"/>
          <c:showCatName val="0"/>
          <c:showSerName val="0"/>
          <c:showPercent val="0"/>
          <c:showBubbleSize val="0"/>
          <c:showLeaderLines val="1"/>
        </c:dLbls>
        <c:firstSliceAng val="249"/>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'G1.1'!$A$30</c:f>
              <c:strCache>
                <c:ptCount val="1"/>
                <c:pt idx="0">
                  <c:v>500 a více zaměstnanců</c:v>
                </c:pt>
              </c:strCache>
            </c:strRef>
          </c:tx>
          <c:spPr>
            <a:solidFill>
              <a:srgbClr val="E8C1BE"/>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'G1.1'!$B$29:$D$29</c:f>
              <c:numCache>
                <c:formatCode>General</c:formatCode>
                <c:ptCount val="3"/>
                <c:pt idx="0">
                  <c:v>2011</c:v>
                </c:pt>
                <c:pt idx="1">
                  <c:v>2016</c:v>
                </c:pt>
                <c:pt idx="2">
                  <c:v>2021</c:v>
                </c:pt>
              </c:numCache>
            </c:numRef>
          </c:cat>
          <c:val>
            <c:numRef>
              <c:f>'G1.1'!$B$30:$D$30</c:f>
              <c:numCache>
                <c:formatCode>#,##0</c:formatCode>
                <c:ptCount val="3"/>
                <c:pt idx="0" formatCode="#\ ###\ ###\ ##0">
                  <c:v>1263.6959999999999</c:v>
                </c:pt>
                <c:pt idx="1">
                  <c:v>1528.4322101</c:v>
                </c:pt>
                <c:pt idx="2">
                  <c:v>1541.9895989000001</c:v>
                </c:pt>
              </c:numCache>
            </c:numRef>
          </c:val>
          <c:extLst>
            <c:ext xmlns:c16="http://schemas.microsoft.com/office/drawing/2014/chart" uri="{C3380CC4-5D6E-409C-BE32-E72D297353CC}">
              <c16:uniqueId val="{00000000-D6B7-4CAE-872A-811942408DBC}"/>
            </c:ext>
          </c:extLst>
        </c:ser>
        <c:ser>
          <c:idx val="1"/>
          <c:order val="1"/>
          <c:tx>
            <c:strRef>
              <c:f>'G1.1'!$A$31</c:f>
              <c:strCache>
                <c:ptCount val="1"/>
                <c:pt idx="0">
                  <c:v>250–499 zaměstnanců</c:v>
                </c:pt>
              </c:strCache>
            </c:strRef>
          </c:tx>
          <c:spPr>
            <a:solidFill>
              <a:srgbClr val="F0737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'G1.1'!$B$29:$D$29</c:f>
              <c:numCache>
                <c:formatCode>General</c:formatCode>
                <c:ptCount val="3"/>
                <c:pt idx="0">
                  <c:v>2011</c:v>
                </c:pt>
                <c:pt idx="1">
                  <c:v>2016</c:v>
                </c:pt>
                <c:pt idx="2">
                  <c:v>2021</c:v>
                </c:pt>
              </c:numCache>
            </c:numRef>
          </c:cat>
          <c:val>
            <c:numRef>
              <c:f>'G1.1'!$B$31:$D$31</c:f>
              <c:numCache>
                <c:formatCode>#,##0</c:formatCode>
                <c:ptCount val="3"/>
                <c:pt idx="0" formatCode="#\ ###\ ###\ ##0">
                  <c:v>387.71199999999999</c:v>
                </c:pt>
                <c:pt idx="1">
                  <c:v>429.62899629999998</c:v>
                </c:pt>
                <c:pt idx="2">
                  <c:v>448.27333240000002</c:v>
                </c:pt>
              </c:numCache>
            </c:numRef>
          </c:val>
          <c:extLst>
            <c:ext xmlns:c16="http://schemas.microsoft.com/office/drawing/2014/chart" uri="{C3380CC4-5D6E-409C-BE32-E72D297353CC}">
              <c16:uniqueId val="{00000001-D6B7-4CAE-872A-811942408DBC}"/>
            </c:ext>
          </c:extLst>
        </c:ser>
        <c:ser>
          <c:idx val="2"/>
          <c:order val="2"/>
          <c:tx>
            <c:strRef>
              <c:f>'G1.1'!$A$32</c:f>
              <c:strCache>
                <c:ptCount val="1"/>
                <c:pt idx="0">
                  <c:v> 50–249 zaměstnanců</c:v>
                </c:pt>
              </c:strCache>
            </c:strRef>
          </c:tx>
          <c:spPr>
            <a:solidFill>
              <a:srgbClr val="C36969"/>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'G1.1'!$B$29:$D$29</c:f>
              <c:numCache>
                <c:formatCode>General</c:formatCode>
                <c:ptCount val="3"/>
                <c:pt idx="0">
                  <c:v>2011</c:v>
                </c:pt>
                <c:pt idx="1">
                  <c:v>2016</c:v>
                </c:pt>
                <c:pt idx="2">
                  <c:v>2021</c:v>
                </c:pt>
              </c:numCache>
            </c:numRef>
          </c:cat>
          <c:val>
            <c:numRef>
              <c:f>'G1.1'!$B$32:$D$32</c:f>
              <c:numCache>
                <c:formatCode>#,##0</c:formatCode>
                <c:ptCount val="3"/>
                <c:pt idx="0" formatCode="General">
                  <c:v>939.32299999999998</c:v>
                </c:pt>
                <c:pt idx="1">
                  <c:v>1062.9449342</c:v>
                </c:pt>
                <c:pt idx="2">
                  <c:v>1126.7769139</c:v>
                </c:pt>
              </c:numCache>
            </c:numRef>
          </c:val>
          <c:extLst>
            <c:ext xmlns:c16="http://schemas.microsoft.com/office/drawing/2014/chart" uri="{C3380CC4-5D6E-409C-BE32-E72D297353CC}">
              <c16:uniqueId val="{00000002-D6B7-4CAE-872A-811942408DBC}"/>
            </c:ext>
          </c:extLst>
        </c:ser>
        <c:ser>
          <c:idx val="3"/>
          <c:order val="3"/>
          <c:tx>
            <c:strRef>
              <c:f>'G1.1'!$A$33</c:f>
              <c:strCache>
                <c:ptCount val="1"/>
                <c:pt idx="0">
                  <c:v> 1–49 zaměstnanců</c:v>
                </c:pt>
              </c:strCache>
            </c:strRef>
          </c:tx>
          <c:spPr>
            <a:solidFill>
              <a:srgbClr val="9A403C"/>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'G1.1'!$B$29:$D$29</c:f>
              <c:numCache>
                <c:formatCode>General</c:formatCode>
                <c:ptCount val="3"/>
                <c:pt idx="0">
                  <c:v>2011</c:v>
                </c:pt>
                <c:pt idx="1">
                  <c:v>2016</c:v>
                </c:pt>
                <c:pt idx="2">
                  <c:v>2021</c:v>
                </c:pt>
              </c:numCache>
            </c:numRef>
          </c:cat>
          <c:val>
            <c:numRef>
              <c:f>'G1.1'!$B$33:$D$33</c:f>
              <c:numCache>
                <c:formatCode>#,##0</c:formatCode>
                <c:ptCount val="3"/>
                <c:pt idx="0" formatCode="#\ ###\ ###\ ##0">
                  <c:v>1471.0830000000001</c:v>
                </c:pt>
                <c:pt idx="1">
                  <c:v>1460.8059354000002</c:v>
                </c:pt>
                <c:pt idx="2">
                  <c:v>1492.5845704999999</c:v>
                </c:pt>
              </c:numCache>
            </c:numRef>
          </c:val>
          <c:extLst>
            <c:ext xmlns:c16="http://schemas.microsoft.com/office/drawing/2014/chart" uri="{C3380CC4-5D6E-409C-BE32-E72D297353CC}">
              <c16:uniqueId val="{00000003-D6B7-4CAE-872A-811942408DBC}"/>
            </c:ext>
          </c:extLst>
        </c:ser>
        <c:ser>
          <c:idx val="4"/>
          <c:order val="4"/>
          <c:tx>
            <c:strRef>
              <c:f>'G1.1'!$A$34</c:f>
              <c:strCache>
                <c:ptCount val="1"/>
                <c:pt idx="0">
                  <c:v> OSVČ</c:v>
                </c:pt>
              </c:strCache>
            </c:strRef>
          </c:tx>
          <c:spPr>
            <a:solidFill>
              <a:srgbClr val="4E201E"/>
            </a:solidFill>
            <a:ln>
              <a:noFill/>
            </a:ln>
            <a:effectLst/>
          </c:spPr>
          <c:invertIfNegative val="0"/>
          <c:dLbls>
            <c:dLbl>
              <c:idx val="0"/>
              <c:layout>
                <c:manualLayout>
                  <c:x val="0"/>
                  <c:y val="-4.076698745990084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B7-4CAE-872A-811942408DB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'G1.1'!$B$29:$D$29</c:f>
              <c:numCache>
                <c:formatCode>General</c:formatCode>
                <c:ptCount val="3"/>
                <c:pt idx="0">
                  <c:v>2011</c:v>
                </c:pt>
                <c:pt idx="1">
                  <c:v>2016</c:v>
                </c:pt>
                <c:pt idx="2">
                  <c:v>2021</c:v>
                </c:pt>
              </c:numCache>
            </c:numRef>
          </c:cat>
          <c:val>
            <c:numRef>
              <c:f>'G1.1'!$B$34:$D$34</c:f>
              <c:numCache>
                <c:formatCode>#,##0</c:formatCode>
                <c:ptCount val="3"/>
                <c:pt idx="0" formatCode="#\ ###\ ###\ ##0">
                  <c:v>149.73500000000001</c:v>
                </c:pt>
                <c:pt idx="1">
                  <c:v>89.492662500000009</c:v>
                </c:pt>
                <c:pt idx="2">
                  <c:v>98.540273100000007</c:v>
                </c:pt>
              </c:numCache>
            </c:numRef>
          </c:val>
          <c:extLst>
            <c:ext xmlns:c16="http://schemas.microsoft.com/office/drawing/2014/chart" uri="{C3380CC4-5D6E-409C-BE32-E72D297353CC}">
              <c16:uniqueId val="{00000005-D6B7-4CAE-872A-811942408DBC}"/>
            </c:ext>
          </c:extLst>
        </c:ser>
        <c:dLbls>
          <c:showLegendKey val="0"/>
          <c:showVal val="0"/>
          <c:showCatName val="0"/>
          <c:showSerName val="0"/>
          <c:showPercent val="0"/>
          <c:showBubbleSize val="0"/>
        </c:dLbls>
        <c:gapWidth val="75"/>
        <c:overlap val="100"/>
        <c:axId val="972192847"/>
        <c:axId val="972193263"/>
      </c:barChart>
      <c:catAx>
        <c:axId val="972192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72193263"/>
        <c:crosses val="autoZero"/>
        <c:auto val="1"/>
        <c:lblAlgn val="ctr"/>
        <c:lblOffset val="100"/>
        <c:noMultiLvlLbl val="0"/>
      </c:catAx>
      <c:valAx>
        <c:axId val="972193263"/>
        <c:scaling>
          <c:orientation val="minMax"/>
          <c:max val="48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tisíce</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 ###\ ###\ ##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72192847"/>
        <c:crosses val="autoZero"/>
        <c:crossBetween val="between"/>
        <c:majorUnit val="12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'G4.1'!$A$3</c:f>
              <c:strCache>
                <c:ptCount val="1"/>
                <c:pt idx="0">
                  <c:v> nemocenské </c:v>
                </c:pt>
              </c:strCache>
            </c:strRef>
          </c:tx>
          <c:spPr>
            <a:solidFill>
              <a:srgbClr val="B44946"/>
            </a:solidFill>
            <a:ln>
              <a:solidFill>
                <a:srgbClr val="B44946"/>
              </a:solid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'G4.1'!$B$2:$L$2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'G4.1'!$B$3:$L$3</c:f>
              <c:numCache>
                <c:formatCode>General</c:formatCode>
                <c:ptCount val="11"/>
                <c:pt idx="0">
                  <c:v>13.353999999999999</c:v>
                </c:pt>
                <c:pt idx="1">
                  <c:v>11.465</c:v>
                </c:pt>
                <c:pt idx="2">
                  <c:v>12.035</c:v>
                </c:pt>
                <c:pt idx="3">
                  <c:v>13.881</c:v>
                </c:pt>
                <c:pt idx="4">
                  <c:v>15.428000000000001</c:v>
                </c:pt>
                <c:pt idx="5">
                  <c:v>16.984999999999999</c:v>
                </c:pt>
                <c:pt idx="6">
                  <c:v>18.29</c:v>
                </c:pt>
                <c:pt idx="7">
                  <c:v>22.68</c:v>
                </c:pt>
                <c:pt idx="8" formatCode="0.00">
                  <c:v>26.669625022889999</c:v>
                </c:pt>
                <c:pt idx="9" formatCode="#,##0.00">
                  <c:v>32.766449426119998</c:v>
                </c:pt>
                <c:pt idx="10" formatCode="#,##0.00">
                  <c:v>34.037351810419999</c:v>
                </c:pt>
              </c:numCache>
            </c:numRef>
          </c:val>
          <c:extLst>
            <c:ext xmlns:c16="http://schemas.microsoft.com/office/drawing/2014/chart" uri="{C3380CC4-5D6E-409C-BE32-E72D297353CC}">
              <c16:uniqueId val="{00000000-C89A-404A-A71B-48DF21A7CC18}"/>
            </c:ext>
          </c:extLst>
        </c:ser>
        <c:dLbls>
          <c:showLegendKey val="0"/>
          <c:showVal val="0"/>
          <c:showCatName val="0"/>
          <c:showSerName val="0"/>
          <c:showPercent val="0"/>
          <c:showBubbleSize val="0"/>
        </c:dLbls>
        <c:gapWidth val="64"/>
        <c:overlap val="-27"/>
        <c:axId val="621806511"/>
        <c:axId val="621830639"/>
      </c:barChart>
      <c:lineChart>
        <c:grouping val="stacked"/>
        <c:varyColors val="0"/>
        <c:ser>
          <c:idx val="1"/>
          <c:order val="1"/>
          <c:tx>
            <c:strRef>
              <c:f>'G4.1'!$A$4</c:f>
              <c:strCache>
                <c:ptCount val="1"/>
                <c:pt idx="0">
                  <c:v>výdaje na 1 pojištěnce (Kč)</c:v>
                </c:pt>
              </c:strCache>
            </c:strRef>
          </c:tx>
          <c:spPr>
            <a:ln w="25400" cap="rnd">
              <a:noFill/>
              <a:round/>
            </a:ln>
            <a:effectLst/>
          </c:spPr>
          <c:marker>
            <c:symbol val="circle"/>
            <c:size val="5"/>
            <c:spPr>
              <a:solidFill>
                <a:srgbClr val="632827"/>
              </a:solidFill>
              <a:ln w="9525">
                <a:solidFill>
                  <a:srgbClr val="632827"/>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'G4.1'!$B$2:$L$2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'G4.1'!$B$4:$L$4</c:f>
              <c:numCache>
                <c:formatCode>General</c:formatCode>
                <c:ptCount val="11"/>
                <c:pt idx="0">
                  <c:v>3170.8048511367197</c:v>
                </c:pt>
                <c:pt idx="1">
                  <c:v>2563.7935109748923</c:v>
                </c:pt>
                <c:pt idx="2">
                  <c:v>2710.3865797241015</c:v>
                </c:pt>
                <c:pt idx="3">
                  <c:v>3109.5033060733767</c:v>
                </c:pt>
                <c:pt idx="4">
                  <c:v>3423.1104776290813</c:v>
                </c:pt>
                <c:pt idx="5">
                  <c:v>3715.5693990274981</c:v>
                </c:pt>
                <c:pt idx="6">
                  <c:v>3914.9580434067425</c:v>
                </c:pt>
                <c:pt idx="7">
                  <c:v>4792.1527680967365</c:v>
                </c:pt>
                <c:pt idx="8">
                  <c:v>5634.9562735716163</c:v>
                </c:pt>
                <c:pt idx="9">
                  <c:v>6985.8938827470065</c:v>
                </c:pt>
                <c:pt idx="10">
                  <c:v>7229.4310119163056</c:v>
                </c:pt>
              </c:numCache>
            </c:numRef>
          </c:val>
          <c:smooth val="0"/>
          <c:extLst>
            <c:ext xmlns:c16="http://schemas.microsoft.com/office/drawing/2014/chart" uri="{C3380CC4-5D6E-409C-BE32-E72D297353CC}">
              <c16:uniqueId val="{00000001-C89A-404A-A71B-48DF21A7CC18}"/>
            </c:ext>
          </c:extLst>
        </c:ser>
        <c:dLbls>
          <c:showLegendKey val="0"/>
          <c:showVal val="0"/>
          <c:showCatName val="0"/>
          <c:showSerName val="0"/>
          <c:showPercent val="0"/>
          <c:showBubbleSize val="0"/>
        </c:dLbls>
        <c:marker val="1"/>
        <c:smooth val="0"/>
        <c:axId val="676338687"/>
        <c:axId val="676332863"/>
      </c:lineChart>
      <c:catAx>
        <c:axId val="621806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21830639"/>
        <c:crosses val="autoZero"/>
        <c:auto val="1"/>
        <c:lblAlgn val="ctr"/>
        <c:lblOffset val="100"/>
        <c:noMultiLvlLbl val="0"/>
      </c:catAx>
      <c:valAx>
        <c:axId val="621830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mld. Kč</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21806511"/>
        <c:crosses val="autoZero"/>
        <c:crossBetween val="between"/>
      </c:valAx>
      <c:valAx>
        <c:axId val="676332863"/>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76338687"/>
        <c:crosses val="max"/>
        <c:crossBetween val="between"/>
      </c:valAx>
      <c:catAx>
        <c:axId val="676338687"/>
        <c:scaling>
          <c:orientation val="minMax"/>
        </c:scaling>
        <c:delete val="1"/>
        <c:axPos val="b"/>
        <c:numFmt formatCode="General" sourceLinked="1"/>
        <c:majorTickMark val="out"/>
        <c:minorTickMark val="none"/>
        <c:tickLblPos val="nextTo"/>
        <c:crossAx val="67633286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442754735763945E-2"/>
          <c:y val="4.1844964556086932E-2"/>
          <c:w val="0.87662353577456686"/>
          <c:h val="0.80177947434097929"/>
        </c:manualLayout>
      </c:layout>
      <c:barChart>
        <c:barDir val="col"/>
        <c:grouping val="clustered"/>
        <c:varyColors val="0"/>
        <c:ser>
          <c:idx val="0"/>
          <c:order val="0"/>
          <c:tx>
            <c:strRef>
              <c:f>'G4.2'!$D$23</c:f>
              <c:strCache>
                <c:ptCount val="1"/>
                <c:pt idx="0">
                  <c:v> karantény či izolace</c:v>
                </c:pt>
              </c:strCache>
            </c:strRef>
          </c:tx>
          <c:spPr>
            <a:solidFill>
              <a:srgbClr val="B44946"/>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9-5CBF-4BE9-AC9B-309B22355F73}"/>
                </c:ext>
              </c:extLst>
            </c:dLbl>
            <c:dLbl>
              <c:idx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A-5CBF-4BE9-AC9B-309B22355F73}"/>
                </c:ext>
              </c:extLst>
            </c:dLbl>
            <c:dLbl>
              <c:idx val="2"/>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B-5CBF-4BE9-AC9B-309B22355F73}"/>
                </c:ext>
              </c:extLst>
            </c:dLbl>
            <c:dLbl>
              <c:idx val="3"/>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C-5CBF-4BE9-AC9B-309B22355F73}"/>
                </c:ext>
              </c:extLst>
            </c:dLbl>
            <c:dLbl>
              <c:idx val="4"/>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D-5CBF-4BE9-AC9B-309B22355F73}"/>
                </c:ext>
              </c:extLst>
            </c:dLbl>
            <c:dLbl>
              <c:idx val="5"/>
              <c:layout>
                <c:manualLayout>
                  <c:x val="3.8337420937136196E-3"/>
                  <c:y val="2.03537935254618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BF-4BE9-AC9B-309B22355F73}"/>
                </c:ext>
              </c:extLst>
            </c:dLbl>
            <c:dLbl>
              <c:idx val="6"/>
              <c:layout>
                <c:manualLayout>
                  <c:x val="1.9960360319143549E-3"/>
                  <c:y val="-3.58402401598158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BF-4BE9-AC9B-309B22355F73}"/>
                </c:ext>
              </c:extLst>
            </c:dLbl>
            <c:dLbl>
              <c:idx val="7"/>
              <c:layout>
                <c:manualLayout>
                  <c:x val="-7.6086829415018839E-17"/>
                  <c:y val="-8.0842178690487495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BF-4BE9-AC9B-309B22355F73}"/>
                </c:ext>
              </c:extLst>
            </c:dLbl>
            <c:dLbl>
              <c:idx val="8"/>
              <c:layout>
                <c:manualLayout>
                  <c:x val="0"/>
                  <c:y val="4.6994561053211099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BF-4BE9-AC9B-309B22355F73}"/>
                </c:ext>
              </c:extLst>
            </c:dLbl>
            <c:dLbl>
              <c:idx val="9"/>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E-5CBF-4BE9-AC9B-309B22355F73}"/>
                </c:ext>
              </c:extLst>
            </c:dLbl>
            <c:dLbl>
              <c:idx val="1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F-5CBF-4BE9-AC9B-309B22355F73}"/>
                </c:ext>
              </c:extLst>
            </c:dLbl>
            <c:dLbl>
              <c:idx val="1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10-5CBF-4BE9-AC9B-309B22355F7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'G4.2'!$A$24:$A$35</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'G4.2'!$D$24:$D$35</c:f>
              <c:numCache>
                <c:formatCode>#,##0</c:formatCode>
                <c:ptCount val="12"/>
                <c:pt idx="0">
                  <c:v>144089</c:v>
                </c:pt>
                <c:pt idx="1">
                  <c:v>141665</c:v>
                </c:pt>
                <c:pt idx="2">
                  <c:v>184558</c:v>
                </c:pt>
                <c:pt idx="3">
                  <c:v>59074</c:v>
                </c:pt>
                <c:pt idx="4">
                  <c:v>21246</c:v>
                </c:pt>
                <c:pt idx="5">
                  <c:v>4937</c:v>
                </c:pt>
                <c:pt idx="6">
                  <c:v>3454</c:v>
                </c:pt>
                <c:pt idx="7">
                  <c:v>3351</c:v>
                </c:pt>
                <c:pt idx="8">
                  <c:v>6995</c:v>
                </c:pt>
                <c:pt idx="9">
                  <c:v>25495</c:v>
                </c:pt>
                <c:pt idx="10">
                  <c:v>153324</c:v>
                </c:pt>
                <c:pt idx="11">
                  <c:v>111595</c:v>
                </c:pt>
              </c:numCache>
            </c:numRef>
          </c:val>
          <c:extLst>
            <c:ext xmlns:c16="http://schemas.microsoft.com/office/drawing/2014/chart" uri="{C3380CC4-5D6E-409C-BE32-E72D297353CC}">
              <c16:uniqueId val="{00000004-5CBF-4BE9-AC9B-309B22355F73}"/>
            </c:ext>
          </c:extLst>
        </c:ser>
        <c:dLbls>
          <c:showLegendKey val="0"/>
          <c:showVal val="0"/>
          <c:showCatName val="0"/>
          <c:showSerName val="0"/>
          <c:showPercent val="0"/>
          <c:showBubbleSize val="0"/>
        </c:dLbls>
        <c:gapWidth val="20"/>
        <c:overlap val="8"/>
        <c:axId val="684523359"/>
        <c:axId val="684534175"/>
      </c:barChart>
      <c:lineChart>
        <c:grouping val="stacked"/>
        <c:varyColors val="0"/>
        <c:ser>
          <c:idx val="1"/>
          <c:order val="1"/>
          <c:tx>
            <c:strRef>
              <c:f>'G4.2'!$F$23</c:f>
              <c:strCache>
                <c:ptCount val="1"/>
                <c:pt idx="0">
                  <c:v> podíl na počtu vydaných neschopenek</c:v>
                </c:pt>
              </c:strCache>
            </c:strRef>
          </c:tx>
          <c:spPr>
            <a:ln w="25400" cap="rnd">
              <a:noFill/>
              <a:round/>
            </a:ln>
            <a:effectLst/>
          </c:spPr>
          <c:marker>
            <c:symbol val="circle"/>
            <c:size val="5"/>
            <c:spPr>
              <a:solidFill>
                <a:srgbClr val="632827"/>
              </a:solidFill>
              <a:ln w="9525">
                <a:solidFill>
                  <a:srgbClr val="632827"/>
                </a:solidFill>
              </a:ln>
              <a:effectLst/>
            </c:spPr>
          </c:marker>
          <c:dLbls>
            <c:dLbl>
              <c:idx val="0"/>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extLst>
                <c:ext xmlns:c16="http://schemas.microsoft.com/office/drawing/2014/chart" uri="{C3380CC4-5D6E-409C-BE32-E72D297353CC}">
                  <c16:uniqueId val="{00000007-5CBF-4BE9-AC9B-309B22355F73}"/>
                </c:ext>
              </c:extLst>
            </c:dLbl>
            <c:dLbl>
              <c:idx val="1"/>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extLst>
                <c:ext xmlns:c16="http://schemas.microsoft.com/office/drawing/2014/chart" uri="{C3380CC4-5D6E-409C-BE32-E72D297353CC}">
                  <c16:uniqueId val="{00000008-5CBF-4BE9-AC9B-309B22355F73}"/>
                </c:ext>
              </c:extLst>
            </c:dLbl>
            <c:dLbl>
              <c:idx val="2"/>
              <c:layout>
                <c:manualLayout>
                  <c:x val="-3.5169655151169293E-2"/>
                  <c:y val="-3.6509656691569962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BF-4BE9-AC9B-309B22355F73}"/>
                </c:ext>
              </c:extLst>
            </c:dLbl>
            <c:dLbl>
              <c:idx val="5"/>
              <c:layout>
                <c:manualLayout>
                  <c:x val="-2.7796304980449837E-2"/>
                  <c:y val="-0.1131005747081693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CBF-4BE9-AC9B-309B22355F73}"/>
                </c:ext>
              </c:extLst>
            </c:dLbl>
            <c:dLbl>
              <c:idx val="6"/>
              <c:layout>
                <c:manualLayout>
                  <c:x val="-2.5721185661088899E-2"/>
                  <c:y val="-9.33260048050647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CBF-4BE9-AC9B-309B22355F73}"/>
                </c:ext>
              </c:extLst>
            </c:dLbl>
            <c:dLbl>
              <c:idx val="7"/>
              <c:layout>
                <c:manualLayout>
                  <c:x val="-2.779630498044976E-2"/>
                  <c:y val="-0.1091456607275484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CBF-4BE9-AC9B-309B22355F73}"/>
                </c:ext>
              </c:extLst>
            </c:dLbl>
            <c:dLbl>
              <c:idx val="10"/>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extLst>
                <c:ext xmlns:c16="http://schemas.microsoft.com/office/drawing/2014/chart" uri="{C3380CC4-5D6E-409C-BE32-E72D297353CC}">
                  <c16:uniqueId val="{00000011-5CBF-4BE9-AC9B-309B22355F73}"/>
                </c:ext>
              </c:extLst>
            </c:dLbl>
            <c:dLbl>
              <c:idx val="11"/>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extLst>
                <c:ext xmlns:c16="http://schemas.microsoft.com/office/drawing/2014/chart" uri="{C3380CC4-5D6E-409C-BE32-E72D297353CC}">
                  <c16:uniqueId val="{00000012-5CBF-4BE9-AC9B-309B22355F73}"/>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'G4.2'!$I$26:$I$35</c:f>
              <c:strCache>
                <c:ptCount val="10"/>
                <c:pt idx="0">
                  <c:v>březen</c:v>
                </c:pt>
                <c:pt idx="1">
                  <c:v>duben</c:v>
                </c:pt>
                <c:pt idx="2">
                  <c:v>květen</c:v>
                </c:pt>
                <c:pt idx="3">
                  <c:v>červen</c:v>
                </c:pt>
                <c:pt idx="4">
                  <c:v>červenec</c:v>
                </c:pt>
                <c:pt idx="5">
                  <c:v>srpen</c:v>
                </c:pt>
                <c:pt idx="6">
                  <c:v>září</c:v>
                </c:pt>
                <c:pt idx="7">
                  <c:v>říjen</c:v>
                </c:pt>
                <c:pt idx="8">
                  <c:v>listopad</c:v>
                </c:pt>
                <c:pt idx="9">
                  <c:v>prosinec</c:v>
                </c:pt>
              </c:strCache>
            </c:strRef>
          </c:cat>
          <c:val>
            <c:numRef>
              <c:f>'G4.2'!$F$24:$F$35</c:f>
              <c:numCache>
                <c:formatCode>General</c:formatCode>
                <c:ptCount val="12"/>
                <c:pt idx="0">
                  <c:v>0.43981868685327064</c:v>
                </c:pt>
                <c:pt idx="1">
                  <c:v>0.44640831400625192</c:v>
                </c:pt>
                <c:pt idx="2">
                  <c:v>0.50686872792586934</c:v>
                </c:pt>
                <c:pt idx="3">
                  <c:v>0.31690189956601272</c:v>
                </c:pt>
                <c:pt idx="4">
                  <c:v>0.12863889561637201</c:v>
                </c:pt>
                <c:pt idx="5">
                  <c:v>3.0004862039625622E-2</c:v>
                </c:pt>
                <c:pt idx="6">
                  <c:v>2.828272902951099E-2</c:v>
                </c:pt>
                <c:pt idx="7">
                  <c:v>2.2585732772565512E-2</c:v>
                </c:pt>
                <c:pt idx="8">
                  <c:v>3.30033781871025E-2</c:v>
                </c:pt>
                <c:pt idx="9">
                  <c:v>0.10306590234712935</c:v>
                </c:pt>
                <c:pt idx="10">
                  <c:v>0.34316485897303906</c:v>
                </c:pt>
                <c:pt idx="11">
                  <c:v>0.36275602913880589</c:v>
                </c:pt>
              </c:numCache>
            </c:numRef>
          </c:val>
          <c:smooth val="0"/>
          <c:extLst>
            <c:ext xmlns:c16="http://schemas.microsoft.com/office/drawing/2014/chart" uri="{C3380CC4-5D6E-409C-BE32-E72D297353CC}">
              <c16:uniqueId val="{00000006-5CBF-4BE9-AC9B-309B22355F73}"/>
            </c:ext>
          </c:extLst>
        </c:ser>
        <c:dLbls>
          <c:showLegendKey val="0"/>
          <c:showVal val="0"/>
          <c:showCatName val="0"/>
          <c:showSerName val="0"/>
          <c:showPercent val="0"/>
          <c:showBubbleSize val="0"/>
        </c:dLbls>
        <c:marker val="1"/>
        <c:smooth val="0"/>
        <c:axId val="483886319"/>
        <c:axId val="483885903"/>
      </c:lineChart>
      <c:catAx>
        <c:axId val="684523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84534175"/>
        <c:crosses val="autoZero"/>
        <c:auto val="1"/>
        <c:lblAlgn val="ctr"/>
        <c:lblOffset val="100"/>
        <c:noMultiLvlLbl val="0"/>
      </c:catAx>
      <c:valAx>
        <c:axId val="6845341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84523359"/>
        <c:crosses val="autoZero"/>
        <c:crossBetween val="between"/>
      </c:valAx>
      <c:valAx>
        <c:axId val="483885903"/>
        <c:scaling>
          <c:orientation val="minMax"/>
          <c:max val="1"/>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crossAx val="483886319"/>
        <c:crosses val="max"/>
        <c:crossBetween val="between"/>
      </c:valAx>
      <c:catAx>
        <c:axId val="483886319"/>
        <c:scaling>
          <c:orientation val="minMax"/>
        </c:scaling>
        <c:delete val="1"/>
        <c:axPos val="b"/>
        <c:numFmt formatCode="General" sourceLinked="1"/>
        <c:majorTickMark val="out"/>
        <c:minorTickMark val="none"/>
        <c:tickLblPos val="nextTo"/>
        <c:crossAx val="48388590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632827"/>
              </a:solidFill>
              <a:round/>
            </a:ln>
            <a:effectLst/>
          </c:spPr>
          <c:marker>
            <c:symbol val="none"/>
          </c:marker>
          <c:cat>
            <c:strRef>
              <c:f>'G4.3'!$A$2:$A$366</c:f>
              <c:strCache>
                <c:ptCount val="365"/>
                <c:pt idx="0">
                  <c:v>01.01.</c:v>
                </c:pt>
                <c:pt idx="1">
                  <c:v>02.01.</c:v>
                </c:pt>
                <c:pt idx="2">
                  <c:v>03.01.</c:v>
                </c:pt>
                <c:pt idx="3">
                  <c:v>04.01.</c:v>
                </c:pt>
                <c:pt idx="4">
                  <c:v>05.01.</c:v>
                </c:pt>
                <c:pt idx="5">
                  <c:v>06.01.</c:v>
                </c:pt>
                <c:pt idx="6">
                  <c:v>07.01.</c:v>
                </c:pt>
                <c:pt idx="7">
                  <c:v>08.01.</c:v>
                </c:pt>
                <c:pt idx="8">
                  <c:v>09.01.</c:v>
                </c:pt>
                <c:pt idx="9">
                  <c:v>10.01.</c:v>
                </c:pt>
                <c:pt idx="10">
                  <c:v>11.01.</c:v>
                </c:pt>
                <c:pt idx="11">
                  <c:v>12.01.</c:v>
                </c:pt>
                <c:pt idx="12">
                  <c:v>13.01.</c:v>
                </c:pt>
                <c:pt idx="13">
                  <c:v>14.01.</c:v>
                </c:pt>
                <c:pt idx="14">
                  <c:v>15.01.</c:v>
                </c:pt>
                <c:pt idx="15">
                  <c:v>16.01.</c:v>
                </c:pt>
                <c:pt idx="16">
                  <c:v>17.01.</c:v>
                </c:pt>
                <c:pt idx="17">
                  <c:v>18.01.</c:v>
                </c:pt>
                <c:pt idx="18">
                  <c:v>19.01.</c:v>
                </c:pt>
                <c:pt idx="19">
                  <c:v>20.01.</c:v>
                </c:pt>
                <c:pt idx="20">
                  <c:v>21.01.</c:v>
                </c:pt>
                <c:pt idx="21">
                  <c:v>22.01.</c:v>
                </c:pt>
                <c:pt idx="22">
                  <c:v>23.01.</c:v>
                </c:pt>
                <c:pt idx="23">
                  <c:v>24.01.</c:v>
                </c:pt>
                <c:pt idx="24">
                  <c:v>25.01.</c:v>
                </c:pt>
                <c:pt idx="25">
                  <c:v>26.01.</c:v>
                </c:pt>
                <c:pt idx="26">
                  <c:v>27.01.</c:v>
                </c:pt>
                <c:pt idx="27">
                  <c:v>28.01.</c:v>
                </c:pt>
                <c:pt idx="28">
                  <c:v>29.01.</c:v>
                </c:pt>
                <c:pt idx="29">
                  <c:v>30.01.</c:v>
                </c:pt>
                <c:pt idx="30">
                  <c:v>31.01.</c:v>
                </c:pt>
                <c:pt idx="31">
                  <c:v>01.02.</c:v>
                </c:pt>
                <c:pt idx="32">
                  <c:v>02.02.</c:v>
                </c:pt>
                <c:pt idx="33">
                  <c:v>03.02.</c:v>
                </c:pt>
                <c:pt idx="34">
                  <c:v>04.02.</c:v>
                </c:pt>
                <c:pt idx="35">
                  <c:v>05.02.</c:v>
                </c:pt>
                <c:pt idx="36">
                  <c:v>06.02.</c:v>
                </c:pt>
                <c:pt idx="37">
                  <c:v>07.02.</c:v>
                </c:pt>
                <c:pt idx="38">
                  <c:v>08.02.</c:v>
                </c:pt>
                <c:pt idx="39">
                  <c:v>09.02.</c:v>
                </c:pt>
                <c:pt idx="40">
                  <c:v>10.02.</c:v>
                </c:pt>
                <c:pt idx="41">
                  <c:v>11.02.</c:v>
                </c:pt>
                <c:pt idx="42">
                  <c:v>12.02.</c:v>
                </c:pt>
                <c:pt idx="43">
                  <c:v>13.02.</c:v>
                </c:pt>
                <c:pt idx="44">
                  <c:v>14.02.</c:v>
                </c:pt>
                <c:pt idx="45">
                  <c:v>15.02.</c:v>
                </c:pt>
                <c:pt idx="46">
                  <c:v>16.02.</c:v>
                </c:pt>
                <c:pt idx="47">
                  <c:v>17.02.</c:v>
                </c:pt>
                <c:pt idx="48">
                  <c:v>18.02.</c:v>
                </c:pt>
                <c:pt idx="49">
                  <c:v>19.02.</c:v>
                </c:pt>
                <c:pt idx="50">
                  <c:v>20.02.</c:v>
                </c:pt>
                <c:pt idx="51">
                  <c:v>21.02.</c:v>
                </c:pt>
                <c:pt idx="52">
                  <c:v>22.02.</c:v>
                </c:pt>
                <c:pt idx="53">
                  <c:v>23.02.</c:v>
                </c:pt>
                <c:pt idx="54">
                  <c:v>24.02.</c:v>
                </c:pt>
                <c:pt idx="55">
                  <c:v>25.02.</c:v>
                </c:pt>
                <c:pt idx="56">
                  <c:v>26.02.</c:v>
                </c:pt>
                <c:pt idx="57">
                  <c:v>27.02.</c:v>
                </c:pt>
                <c:pt idx="58">
                  <c:v>28.02.</c:v>
                </c:pt>
                <c:pt idx="59">
                  <c:v>01.03.</c:v>
                </c:pt>
                <c:pt idx="60">
                  <c:v>02.03.</c:v>
                </c:pt>
                <c:pt idx="61">
                  <c:v>03.03.</c:v>
                </c:pt>
                <c:pt idx="62">
                  <c:v>04.03.</c:v>
                </c:pt>
                <c:pt idx="63">
                  <c:v>05.03.</c:v>
                </c:pt>
                <c:pt idx="64">
                  <c:v>06.03.</c:v>
                </c:pt>
                <c:pt idx="65">
                  <c:v>07.03.</c:v>
                </c:pt>
                <c:pt idx="66">
                  <c:v>08.03.</c:v>
                </c:pt>
                <c:pt idx="67">
                  <c:v>09.03.</c:v>
                </c:pt>
                <c:pt idx="68">
                  <c:v>10.03.</c:v>
                </c:pt>
                <c:pt idx="69">
                  <c:v>11.03.</c:v>
                </c:pt>
                <c:pt idx="70">
                  <c:v>12.03.</c:v>
                </c:pt>
                <c:pt idx="71">
                  <c:v>13.03.</c:v>
                </c:pt>
                <c:pt idx="72">
                  <c:v>14.03.</c:v>
                </c:pt>
                <c:pt idx="73">
                  <c:v>15.03.</c:v>
                </c:pt>
                <c:pt idx="74">
                  <c:v>16.03.</c:v>
                </c:pt>
                <c:pt idx="75">
                  <c:v>17.03.</c:v>
                </c:pt>
                <c:pt idx="76">
                  <c:v>18.03.</c:v>
                </c:pt>
                <c:pt idx="77">
                  <c:v>19.03.</c:v>
                </c:pt>
                <c:pt idx="78">
                  <c:v>20.03.</c:v>
                </c:pt>
                <c:pt idx="79">
                  <c:v>21.03.</c:v>
                </c:pt>
                <c:pt idx="80">
                  <c:v>22.03.</c:v>
                </c:pt>
                <c:pt idx="81">
                  <c:v>23.03.</c:v>
                </c:pt>
                <c:pt idx="82">
                  <c:v>24.03.</c:v>
                </c:pt>
                <c:pt idx="83">
                  <c:v>25.03.</c:v>
                </c:pt>
                <c:pt idx="84">
                  <c:v>26.03.</c:v>
                </c:pt>
                <c:pt idx="85">
                  <c:v>27.03.</c:v>
                </c:pt>
                <c:pt idx="86">
                  <c:v>28.03.</c:v>
                </c:pt>
                <c:pt idx="87">
                  <c:v>29.03.</c:v>
                </c:pt>
                <c:pt idx="88">
                  <c:v>30.03.</c:v>
                </c:pt>
                <c:pt idx="89">
                  <c:v>31.03.</c:v>
                </c:pt>
                <c:pt idx="90">
                  <c:v>01.04.</c:v>
                </c:pt>
                <c:pt idx="91">
                  <c:v>02.04.</c:v>
                </c:pt>
                <c:pt idx="92">
                  <c:v>03.04.</c:v>
                </c:pt>
                <c:pt idx="93">
                  <c:v>04.04.</c:v>
                </c:pt>
                <c:pt idx="94">
                  <c:v>05.04.</c:v>
                </c:pt>
                <c:pt idx="95">
                  <c:v>06.04.</c:v>
                </c:pt>
                <c:pt idx="96">
                  <c:v>07.04.</c:v>
                </c:pt>
                <c:pt idx="97">
                  <c:v>08.04.</c:v>
                </c:pt>
                <c:pt idx="98">
                  <c:v>09.04.</c:v>
                </c:pt>
                <c:pt idx="99">
                  <c:v>10.04.</c:v>
                </c:pt>
                <c:pt idx="100">
                  <c:v>11.04.</c:v>
                </c:pt>
                <c:pt idx="101">
                  <c:v>12.04.</c:v>
                </c:pt>
                <c:pt idx="102">
                  <c:v>13.04.</c:v>
                </c:pt>
                <c:pt idx="103">
                  <c:v>14.04.</c:v>
                </c:pt>
                <c:pt idx="104">
                  <c:v>15.04.</c:v>
                </c:pt>
                <c:pt idx="105">
                  <c:v>16.04.</c:v>
                </c:pt>
                <c:pt idx="106">
                  <c:v>17.04.</c:v>
                </c:pt>
                <c:pt idx="107">
                  <c:v>18.04.</c:v>
                </c:pt>
                <c:pt idx="108">
                  <c:v>19.04.</c:v>
                </c:pt>
                <c:pt idx="109">
                  <c:v>20.04.</c:v>
                </c:pt>
                <c:pt idx="110">
                  <c:v>21.04.</c:v>
                </c:pt>
                <c:pt idx="111">
                  <c:v>22.04.</c:v>
                </c:pt>
                <c:pt idx="112">
                  <c:v>23.04.</c:v>
                </c:pt>
                <c:pt idx="113">
                  <c:v>24.04.</c:v>
                </c:pt>
                <c:pt idx="114">
                  <c:v>25.04.</c:v>
                </c:pt>
                <c:pt idx="115">
                  <c:v>26.04.</c:v>
                </c:pt>
                <c:pt idx="116">
                  <c:v>27.04.</c:v>
                </c:pt>
                <c:pt idx="117">
                  <c:v>28.04.</c:v>
                </c:pt>
                <c:pt idx="118">
                  <c:v>29.04.</c:v>
                </c:pt>
                <c:pt idx="119">
                  <c:v>30.04.</c:v>
                </c:pt>
                <c:pt idx="120">
                  <c:v>01.05.</c:v>
                </c:pt>
                <c:pt idx="121">
                  <c:v>02.05.</c:v>
                </c:pt>
                <c:pt idx="122">
                  <c:v>03.05.</c:v>
                </c:pt>
                <c:pt idx="123">
                  <c:v>04.05.</c:v>
                </c:pt>
                <c:pt idx="124">
                  <c:v>05.05.</c:v>
                </c:pt>
                <c:pt idx="125">
                  <c:v>06.05.</c:v>
                </c:pt>
                <c:pt idx="126">
                  <c:v>07.05.</c:v>
                </c:pt>
                <c:pt idx="127">
                  <c:v>08.05.</c:v>
                </c:pt>
                <c:pt idx="128">
                  <c:v>09.05.</c:v>
                </c:pt>
                <c:pt idx="129">
                  <c:v>10.05.</c:v>
                </c:pt>
                <c:pt idx="130">
                  <c:v>11.05.</c:v>
                </c:pt>
                <c:pt idx="131">
                  <c:v>12.05.</c:v>
                </c:pt>
                <c:pt idx="132">
                  <c:v>13.05.</c:v>
                </c:pt>
                <c:pt idx="133">
                  <c:v>14.05.</c:v>
                </c:pt>
                <c:pt idx="134">
                  <c:v>15.05.</c:v>
                </c:pt>
                <c:pt idx="135">
                  <c:v>16.05.</c:v>
                </c:pt>
                <c:pt idx="136">
                  <c:v>17.05.</c:v>
                </c:pt>
                <c:pt idx="137">
                  <c:v>18.05.</c:v>
                </c:pt>
                <c:pt idx="138">
                  <c:v>19.05.</c:v>
                </c:pt>
                <c:pt idx="139">
                  <c:v>20.05.</c:v>
                </c:pt>
                <c:pt idx="140">
                  <c:v>21.05.</c:v>
                </c:pt>
                <c:pt idx="141">
                  <c:v>22.05.</c:v>
                </c:pt>
                <c:pt idx="142">
                  <c:v>23.05.</c:v>
                </c:pt>
                <c:pt idx="143">
                  <c:v>24.05.</c:v>
                </c:pt>
                <c:pt idx="144">
                  <c:v>25.05.</c:v>
                </c:pt>
                <c:pt idx="145">
                  <c:v>26.05.</c:v>
                </c:pt>
                <c:pt idx="146">
                  <c:v>27.05.</c:v>
                </c:pt>
                <c:pt idx="147">
                  <c:v>28.05.</c:v>
                </c:pt>
                <c:pt idx="148">
                  <c:v>29.05.</c:v>
                </c:pt>
                <c:pt idx="149">
                  <c:v>30.05.</c:v>
                </c:pt>
                <c:pt idx="150">
                  <c:v>31.05.</c:v>
                </c:pt>
                <c:pt idx="151">
                  <c:v>01.06.</c:v>
                </c:pt>
                <c:pt idx="152">
                  <c:v>02.06.</c:v>
                </c:pt>
                <c:pt idx="153">
                  <c:v>03.06.</c:v>
                </c:pt>
                <c:pt idx="154">
                  <c:v>04.06.</c:v>
                </c:pt>
                <c:pt idx="155">
                  <c:v>05.06.</c:v>
                </c:pt>
                <c:pt idx="156">
                  <c:v>06.06.</c:v>
                </c:pt>
                <c:pt idx="157">
                  <c:v>07.06.</c:v>
                </c:pt>
                <c:pt idx="158">
                  <c:v>08.06.</c:v>
                </c:pt>
                <c:pt idx="159">
                  <c:v>09.06.</c:v>
                </c:pt>
                <c:pt idx="160">
                  <c:v>10.06.</c:v>
                </c:pt>
                <c:pt idx="161">
                  <c:v>11.06.</c:v>
                </c:pt>
                <c:pt idx="162">
                  <c:v>12.06.</c:v>
                </c:pt>
                <c:pt idx="163">
                  <c:v>13.06.</c:v>
                </c:pt>
                <c:pt idx="164">
                  <c:v>14.06.</c:v>
                </c:pt>
                <c:pt idx="165">
                  <c:v>15.06.</c:v>
                </c:pt>
                <c:pt idx="166">
                  <c:v>16.06.</c:v>
                </c:pt>
                <c:pt idx="167">
                  <c:v>17.06.</c:v>
                </c:pt>
                <c:pt idx="168">
                  <c:v>18.06.</c:v>
                </c:pt>
                <c:pt idx="169">
                  <c:v>19.06.</c:v>
                </c:pt>
                <c:pt idx="170">
                  <c:v>20.06.</c:v>
                </c:pt>
                <c:pt idx="171">
                  <c:v>21.06.</c:v>
                </c:pt>
                <c:pt idx="172">
                  <c:v>22.06.</c:v>
                </c:pt>
                <c:pt idx="173">
                  <c:v>23.06.</c:v>
                </c:pt>
                <c:pt idx="174">
                  <c:v>24.06.</c:v>
                </c:pt>
                <c:pt idx="175">
                  <c:v>25.06.</c:v>
                </c:pt>
                <c:pt idx="176">
                  <c:v>26.06.</c:v>
                </c:pt>
                <c:pt idx="177">
                  <c:v>27.06.</c:v>
                </c:pt>
                <c:pt idx="178">
                  <c:v>28.06.</c:v>
                </c:pt>
                <c:pt idx="179">
                  <c:v>29.06.</c:v>
                </c:pt>
                <c:pt idx="180">
                  <c:v>30.06.</c:v>
                </c:pt>
                <c:pt idx="181">
                  <c:v>01.07.</c:v>
                </c:pt>
                <c:pt idx="182">
                  <c:v>02.07.</c:v>
                </c:pt>
                <c:pt idx="183">
                  <c:v>03.07.</c:v>
                </c:pt>
                <c:pt idx="184">
                  <c:v>04.07.</c:v>
                </c:pt>
                <c:pt idx="185">
                  <c:v>05.07.</c:v>
                </c:pt>
                <c:pt idx="186">
                  <c:v>06.07.</c:v>
                </c:pt>
                <c:pt idx="187">
                  <c:v>07.07.</c:v>
                </c:pt>
                <c:pt idx="188">
                  <c:v>08.07.</c:v>
                </c:pt>
                <c:pt idx="189">
                  <c:v>09.07.</c:v>
                </c:pt>
                <c:pt idx="190">
                  <c:v>10.07.</c:v>
                </c:pt>
                <c:pt idx="191">
                  <c:v>11.07.</c:v>
                </c:pt>
                <c:pt idx="192">
                  <c:v>12.07.</c:v>
                </c:pt>
                <c:pt idx="193">
                  <c:v>13.07.</c:v>
                </c:pt>
                <c:pt idx="194">
                  <c:v>14.07.</c:v>
                </c:pt>
                <c:pt idx="195">
                  <c:v>15.07.</c:v>
                </c:pt>
                <c:pt idx="196">
                  <c:v>16.07.</c:v>
                </c:pt>
                <c:pt idx="197">
                  <c:v>17.07.</c:v>
                </c:pt>
                <c:pt idx="198">
                  <c:v>18.07.</c:v>
                </c:pt>
                <c:pt idx="199">
                  <c:v>19.07.</c:v>
                </c:pt>
                <c:pt idx="200">
                  <c:v>20.07.</c:v>
                </c:pt>
                <c:pt idx="201">
                  <c:v>21.07.</c:v>
                </c:pt>
                <c:pt idx="202">
                  <c:v>22.07.</c:v>
                </c:pt>
                <c:pt idx="203">
                  <c:v>23.07.</c:v>
                </c:pt>
                <c:pt idx="204">
                  <c:v>24.07.</c:v>
                </c:pt>
                <c:pt idx="205">
                  <c:v>25.07.</c:v>
                </c:pt>
                <c:pt idx="206">
                  <c:v>26.07.</c:v>
                </c:pt>
                <c:pt idx="207">
                  <c:v>27.07.</c:v>
                </c:pt>
                <c:pt idx="208">
                  <c:v>28.07.</c:v>
                </c:pt>
                <c:pt idx="209">
                  <c:v>29.07.</c:v>
                </c:pt>
                <c:pt idx="210">
                  <c:v>30.07.</c:v>
                </c:pt>
                <c:pt idx="211">
                  <c:v>31.07.</c:v>
                </c:pt>
                <c:pt idx="212">
                  <c:v>01.08.</c:v>
                </c:pt>
                <c:pt idx="213">
                  <c:v>02.08.</c:v>
                </c:pt>
                <c:pt idx="214">
                  <c:v>03.08.</c:v>
                </c:pt>
                <c:pt idx="215">
                  <c:v>04.08.</c:v>
                </c:pt>
                <c:pt idx="216">
                  <c:v>05.08.</c:v>
                </c:pt>
                <c:pt idx="217">
                  <c:v>06.08.</c:v>
                </c:pt>
                <c:pt idx="218">
                  <c:v>07.08.</c:v>
                </c:pt>
                <c:pt idx="219">
                  <c:v>08.08.</c:v>
                </c:pt>
                <c:pt idx="220">
                  <c:v>09.08.</c:v>
                </c:pt>
                <c:pt idx="221">
                  <c:v>10.08.</c:v>
                </c:pt>
                <c:pt idx="222">
                  <c:v>11.08.</c:v>
                </c:pt>
                <c:pt idx="223">
                  <c:v>12.08.</c:v>
                </c:pt>
                <c:pt idx="224">
                  <c:v>13.08.</c:v>
                </c:pt>
                <c:pt idx="225">
                  <c:v>14.08.</c:v>
                </c:pt>
                <c:pt idx="226">
                  <c:v>15.08.</c:v>
                </c:pt>
                <c:pt idx="227">
                  <c:v>16.08.</c:v>
                </c:pt>
                <c:pt idx="228">
                  <c:v>17.08.</c:v>
                </c:pt>
                <c:pt idx="229">
                  <c:v>18.08.</c:v>
                </c:pt>
                <c:pt idx="230">
                  <c:v>19.08.</c:v>
                </c:pt>
                <c:pt idx="231">
                  <c:v>20.08.</c:v>
                </c:pt>
                <c:pt idx="232">
                  <c:v>21.08.</c:v>
                </c:pt>
                <c:pt idx="233">
                  <c:v>22.08.</c:v>
                </c:pt>
                <c:pt idx="234">
                  <c:v>23.08.</c:v>
                </c:pt>
                <c:pt idx="235">
                  <c:v>24.08.</c:v>
                </c:pt>
                <c:pt idx="236">
                  <c:v>25.08.</c:v>
                </c:pt>
                <c:pt idx="237">
                  <c:v>26.08.</c:v>
                </c:pt>
                <c:pt idx="238">
                  <c:v>27.08.</c:v>
                </c:pt>
                <c:pt idx="239">
                  <c:v>28.08.</c:v>
                </c:pt>
                <c:pt idx="240">
                  <c:v>29.08.</c:v>
                </c:pt>
                <c:pt idx="241">
                  <c:v>30.08.</c:v>
                </c:pt>
                <c:pt idx="242">
                  <c:v>31.08.</c:v>
                </c:pt>
                <c:pt idx="243">
                  <c:v>01.09.</c:v>
                </c:pt>
                <c:pt idx="244">
                  <c:v>02.09.</c:v>
                </c:pt>
                <c:pt idx="245">
                  <c:v>03.09.</c:v>
                </c:pt>
                <c:pt idx="246">
                  <c:v>04.09.</c:v>
                </c:pt>
                <c:pt idx="247">
                  <c:v>05.09.</c:v>
                </c:pt>
                <c:pt idx="248">
                  <c:v>06.09.</c:v>
                </c:pt>
                <c:pt idx="249">
                  <c:v>07.09.</c:v>
                </c:pt>
                <c:pt idx="250">
                  <c:v>08.09.</c:v>
                </c:pt>
                <c:pt idx="251">
                  <c:v>09.09.</c:v>
                </c:pt>
                <c:pt idx="252">
                  <c:v>10.09.</c:v>
                </c:pt>
                <c:pt idx="253">
                  <c:v>11.09.</c:v>
                </c:pt>
                <c:pt idx="254">
                  <c:v>12.09.</c:v>
                </c:pt>
                <c:pt idx="255">
                  <c:v>13.09.</c:v>
                </c:pt>
                <c:pt idx="256">
                  <c:v>14.09.</c:v>
                </c:pt>
                <c:pt idx="257">
                  <c:v>15.09.</c:v>
                </c:pt>
                <c:pt idx="258">
                  <c:v>16.09.</c:v>
                </c:pt>
                <c:pt idx="259">
                  <c:v>17.09.</c:v>
                </c:pt>
                <c:pt idx="260">
                  <c:v>18.09.</c:v>
                </c:pt>
                <c:pt idx="261">
                  <c:v>19.09.</c:v>
                </c:pt>
                <c:pt idx="262">
                  <c:v>20.09.</c:v>
                </c:pt>
                <c:pt idx="263">
                  <c:v>21.09.</c:v>
                </c:pt>
                <c:pt idx="264">
                  <c:v>22.09.</c:v>
                </c:pt>
                <c:pt idx="265">
                  <c:v>23.09.</c:v>
                </c:pt>
                <c:pt idx="266">
                  <c:v>24.09.</c:v>
                </c:pt>
                <c:pt idx="267">
                  <c:v>25.09.</c:v>
                </c:pt>
                <c:pt idx="268">
                  <c:v>26.09.</c:v>
                </c:pt>
                <c:pt idx="269">
                  <c:v>27.09.</c:v>
                </c:pt>
                <c:pt idx="270">
                  <c:v>28.09.</c:v>
                </c:pt>
                <c:pt idx="271">
                  <c:v>29.09.</c:v>
                </c:pt>
                <c:pt idx="272">
                  <c:v>30.09.</c:v>
                </c:pt>
                <c:pt idx="273">
                  <c:v>01.10.</c:v>
                </c:pt>
                <c:pt idx="274">
                  <c:v>02.10.</c:v>
                </c:pt>
                <c:pt idx="275">
                  <c:v>03.10.</c:v>
                </c:pt>
                <c:pt idx="276">
                  <c:v>04.10.</c:v>
                </c:pt>
                <c:pt idx="277">
                  <c:v>05.10.</c:v>
                </c:pt>
                <c:pt idx="278">
                  <c:v>06.10.</c:v>
                </c:pt>
                <c:pt idx="279">
                  <c:v>07.10.</c:v>
                </c:pt>
                <c:pt idx="280">
                  <c:v>08.10.</c:v>
                </c:pt>
                <c:pt idx="281">
                  <c:v>09.10.</c:v>
                </c:pt>
                <c:pt idx="282">
                  <c:v>10.10.</c:v>
                </c:pt>
                <c:pt idx="283">
                  <c:v>11.10.</c:v>
                </c:pt>
                <c:pt idx="284">
                  <c:v>12.10.</c:v>
                </c:pt>
                <c:pt idx="285">
                  <c:v>13.10.</c:v>
                </c:pt>
                <c:pt idx="286">
                  <c:v>14.10.</c:v>
                </c:pt>
                <c:pt idx="287">
                  <c:v>15.10.</c:v>
                </c:pt>
                <c:pt idx="288">
                  <c:v>16.10.</c:v>
                </c:pt>
                <c:pt idx="289">
                  <c:v>17.10.</c:v>
                </c:pt>
                <c:pt idx="290">
                  <c:v>18.10.</c:v>
                </c:pt>
                <c:pt idx="291">
                  <c:v>19.10.</c:v>
                </c:pt>
                <c:pt idx="292">
                  <c:v>20.10.</c:v>
                </c:pt>
                <c:pt idx="293">
                  <c:v>21.10.</c:v>
                </c:pt>
                <c:pt idx="294">
                  <c:v>22.10.</c:v>
                </c:pt>
                <c:pt idx="295">
                  <c:v>23.10.</c:v>
                </c:pt>
                <c:pt idx="296">
                  <c:v>24.10.</c:v>
                </c:pt>
                <c:pt idx="297">
                  <c:v>25.10.</c:v>
                </c:pt>
                <c:pt idx="298">
                  <c:v>26.10.</c:v>
                </c:pt>
                <c:pt idx="299">
                  <c:v>27.10.</c:v>
                </c:pt>
                <c:pt idx="300">
                  <c:v>28.10.</c:v>
                </c:pt>
                <c:pt idx="301">
                  <c:v>29.10.</c:v>
                </c:pt>
                <c:pt idx="302">
                  <c:v>30.10.</c:v>
                </c:pt>
                <c:pt idx="303">
                  <c:v>31.10.</c:v>
                </c:pt>
                <c:pt idx="304">
                  <c:v>01.11.</c:v>
                </c:pt>
                <c:pt idx="305">
                  <c:v>02.11.</c:v>
                </c:pt>
                <c:pt idx="306">
                  <c:v>03.11.</c:v>
                </c:pt>
                <c:pt idx="307">
                  <c:v>04.11.</c:v>
                </c:pt>
                <c:pt idx="308">
                  <c:v>05.11.</c:v>
                </c:pt>
                <c:pt idx="309">
                  <c:v>06.11.</c:v>
                </c:pt>
                <c:pt idx="310">
                  <c:v>07.11.</c:v>
                </c:pt>
                <c:pt idx="311">
                  <c:v>08.11.</c:v>
                </c:pt>
                <c:pt idx="312">
                  <c:v>09.11.</c:v>
                </c:pt>
                <c:pt idx="313">
                  <c:v>10.11.</c:v>
                </c:pt>
                <c:pt idx="314">
                  <c:v>11.11.</c:v>
                </c:pt>
                <c:pt idx="315">
                  <c:v>12.11.</c:v>
                </c:pt>
                <c:pt idx="316">
                  <c:v>13.11.</c:v>
                </c:pt>
                <c:pt idx="317">
                  <c:v>14.11.</c:v>
                </c:pt>
                <c:pt idx="318">
                  <c:v>15.11.</c:v>
                </c:pt>
                <c:pt idx="319">
                  <c:v>16.11.</c:v>
                </c:pt>
                <c:pt idx="320">
                  <c:v>17.11.</c:v>
                </c:pt>
                <c:pt idx="321">
                  <c:v>18.11.</c:v>
                </c:pt>
                <c:pt idx="322">
                  <c:v>19.11.</c:v>
                </c:pt>
                <c:pt idx="323">
                  <c:v>20.11.</c:v>
                </c:pt>
                <c:pt idx="324">
                  <c:v>21.11.</c:v>
                </c:pt>
                <c:pt idx="325">
                  <c:v>22.11.</c:v>
                </c:pt>
                <c:pt idx="326">
                  <c:v>23.11.</c:v>
                </c:pt>
                <c:pt idx="327">
                  <c:v>24.11.</c:v>
                </c:pt>
                <c:pt idx="328">
                  <c:v>25.11.</c:v>
                </c:pt>
                <c:pt idx="329">
                  <c:v>26.11.</c:v>
                </c:pt>
                <c:pt idx="330">
                  <c:v>27.11.</c:v>
                </c:pt>
                <c:pt idx="331">
                  <c:v>28.11.</c:v>
                </c:pt>
                <c:pt idx="332">
                  <c:v>29.11.</c:v>
                </c:pt>
                <c:pt idx="333">
                  <c:v>30.11.</c:v>
                </c:pt>
                <c:pt idx="334">
                  <c:v>01.12.</c:v>
                </c:pt>
                <c:pt idx="335">
                  <c:v>02.12.</c:v>
                </c:pt>
                <c:pt idx="336">
                  <c:v>03.12.</c:v>
                </c:pt>
                <c:pt idx="337">
                  <c:v>04.12.</c:v>
                </c:pt>
                <c:pt idx="338">
                  <c:v>05.12.</c:v>
                </c:pt>
                <c:pt idx="339">
                  <c:v>06.12.</c:v>
                </c:pt>
                <c:pt idx="340">
                  <c:v>07.12.</c:v>
                </c:pt>
                <c:pt idx="341">
                  <c:v>08.12.</c:v>
                </c:pt>
                <c:pt idx="342">
                  <c:v>09.12.</c:v>
                </c:pt>
                <c:pt idx="343">
                  <c:v>10.12.</c:v>
                </c:pt>
                <c:pt idx="344">
                  <c:v>11.12.</c:v>
                </c:pt>
                <c:pt idx="345">
                  <c:v>12.12.</c:v>
                </c:pt>
                <c:pt idx="346">
                  <c:v>13.12.</c:v>
                </c:pt>
                <c:pt idx="347">
                  <c:v>14.12.</c:v>
                </c:pt>
                <c:pt idx="348">
                  <c:v>15.12.</c:v>
                </c:pt>
                <c:pt idx="349">
                  <c:v>16.12.</c:v>
                </c:pt>
                <c:pt idx="350">
                  <c:v>17.12.</c:v>
                </c:pt>
                <c:pt idx="351">
                  <c:v>18.12.</c:v>
                </c:pt>
                <c:pt idx="352">
                  <c:v>19.12.</c:v>
                </c:pt>
                <c:pt idx="353">
                  <c:v>20.12.</c:v>
                </c:pt>
                <c:pt idx="354">
                  <c:v>21.12.</c:v>
                </c:pt>
                <c:pt idx="355">
                  <c:v>22.12.</c:v>
                </c:pt>
                <c:pt idx="356">
                  <c:v>23.12.</c:v>
                </c:pt>
                <c:pt idx="357">
                  <c:v>24.12.</c:v>
                </c:pt>
                <c:pt idx="358">
                  <c:v>25.12.</c:v>
                </c:pt>
                <c:pt idx="359">
                  <c:v>26.12.</c:v>
                </c:pt>
                <c:pt idx="360">
                  <c:v>27.12.</c:v>
                </c:pt>
                <c:pt idx="361">
                  <c:v>28.12.</c:v>
                </c:pt>
                <c:pt idx="362">
                  <c:v>29.12.</c:v>
                </c:pt>
                <c:pt idx="363">
                  <c:v>30.12.</c:v>
                </c:pt>
                <c:pt idx="364">
                  <c:v>31.12.</c:v>
                </c:pt>
              </c:strCache>
            </c:strRef>
          </c:cat>
          <c:val>
            <c:numRef>
              <c:f>'G4.3'!$B$2:$B$366</c:f>
              <c:numCache>
                <c:formatCode>#,##0</c:formatCode>
                <c:ptCount val="365"/>
                <c:pt idx="0">
                  <c:v>16799</c:v>
                </c:pt>
                <c:pt idx="1">
                  <c:v>16619</c:v>
                </c:pt>
                <c:pt idx="2">
                  <c:v>16481</c:v>
                </c:pt>
                <c:pt idx="3">
                  <c:v>23210</c:v>
                </c:pt>
                <c:pt idx="4">
                  <c:v>28633</c:v>
                </c:pt>
                <c:pt idx="5">
                  <c:v>30907</c:v>
                </c:pt>
                <c:pt idx="6">
                  <c:v>32599</c:v>
                </c:pt>
                <c:pt idx="7">
                  <c:v>33841</c:v>
                </c:pt>
                <c:pt idx="8">
                  <c:v>31394</c:v>
                </c:pt>
                <c:pt idx="9">
                  <c:v>30892</c:v>
                </c:pt>
                <c:pt idx="10">
                  <c:v>33366</c:v>
                </c:pt>
                <c:pt idx="11">
                  <c:v>33536</c:v>
                </c:pt>
                <c:pt idx="12">
                  <c:v>34345</c:v>
                </c:pt>
                <c:pt idx="13">
                  <c:v>34432</c:v>
                </c:pt>
                <c:pt idx="14">
                  <c:v>35026</c:v>
                </c:pt>
                <c:pt idx="15">
                  <c:v>30948</c:v>
                </c:pt>
                <c:pt idx="16">
                  <c:v>30243</c:v>
                </c:pt>
                <c:pt idx="17">
                  <c:v>30331</c:v>
                </c:pt>
                <c:pt idx="18">
                  <c:v>29328</c:v>
                </c:pt>
                <c:pt idx="19">
                  <c:v>29661</c:v>
                </c:pt>
                <c:pt idx="20">
                  <c:v>29930</c:v>
                </c:pt>
                <c:pt idx="21">
                  <c:v>30127</c:v>
                </c:pt>
                <c:pt idx="22">
                  <c:v>26841</c:v>
                </c:pt>
                <c:pt idx="23">
                  <c:v>26139</c:v>
                </c:pt>
                <c:pt idx="24">
                  <c:v>26984</c:v>
                </c:pt>
                <c:pt idx="25">
                  <c:v>26597</c:v>
                </c:pt>
                <c:pt idx="26">
                  <c:v>27490</c:v>
                </c:pt>
                <c:pt idx="27">
                  <c:v>27887</c:v>
                </c:pt>
                <c:pt idx="28">
                  <c:v>27974</c:v>
                </c:pt>
                <c:pt idx="29">
                  <c:v>25254</c:v>
                </c:pt>
                <c:pt idx="30">
                  <c:v>24675</c:v>
                </c:pt>
                <c:pt idx="31">
                  <c:v>24765</c:v>
                </c:pt>
                <c:pt idx="32">
                  <c:v>24838</c:v>
                </c:pt>
                <c:pt idx="33">
                  <c:v>25867</c:v>
                </c:pt>
                <c:pt idx="34">
                  <c:v>26658</c:v>
                </c:pt>
                <c:pt idx="35">
                  <c:v>27532</c:v>
                </c:pt>
                <c:pt idx="36">
                  <c:v>24771</c:v>
                </c:pt>
                <c:pt idx="37">
                  <c:v>24223</c:v>
                </c:pt>
                <c:pt idx="38">
                  <c:v>25943</c:v>
                </c:pt>
                <c:pt idx="39">
                  <c:v>26131</c:v>
                </c:pt>
                <c:pt idx="40">
                  <c:v>27436</c:v>
                </c:pt>
                <c:pt idx="41">
                  <c:v>28302</c:v>
                </c:pt>
                <c:pt idx="42">
                  <c:v>29432</c:v>
                </c:pt>
                <c:pt idx="43">
                  <c:v>26629</c:v>
                </c:pt>
                <c:pt idx="44">
                  <c:v>26020</c:v>
                </c:pt>
                <c:pt idx="45">
                  <c:v>28058</c:v>
                </c:pt>
                <c:pt idx="46">
                  <c:v>28494</c:v>
                </c:pt>
                <c:pt idx="47">
                  <c:v>29926</c:v>
                </c:pt>
                <c:pt idx="48">
                  <c:v>31873</c:v>
                </c:pt>
                <c:pt idx="49">
                  <c:v>33230</c:v>
                </c:pt>
                <c:pt idx="50">
                  <c:v>30180</c:v>
                </c:pt>
                <c:pt idx="51">
                  <c:v>29481</c:v>
                </c:pt>
                <c:pt idx="52">
                  <c:v>33140</c:v>
                </c:pt>
                <c:pt idx="53">
                  <c:v>34688</c:v>
                </c:pt>
                <c:pt idx="54">
                  <c:v>37112</c:v>
                </c:pt>
                <c:pt idx="55">
                  <c:v>38705</c:v>
                </c:pt>
                <c:pt idx="56">
                  <c:v>40648</c:v>
                </c:pt>
                <c:pt idx="57">
                  <c:v>37291</c:v>
                </c:pt>
                <c:pt idx="58">
                  <c:v>36547</c:v>
                </c:pt>
                <c:pt idx="59">
                  <c:v>39108</c:v>
                </c:pt>
                <c:pt idx="60">
                  <c:v>40497</c:v>
                </c:pt>
                <c:pt idx="61">
                  <c:v>43190</c:v>
                </c:pt>
                <c:pt idx="62">
                  <c:v>44028</c:v>
                </c:pt>
                <c:pt idx="63">
                  <c:v>47263</c:v>
                </c:pt>
                <c:pt idx="64">
                  <c:v>43648</c:v>
                </c:pt>
                <c:pt idx="65">
                  <c:v>42980</c:v>
                </c:pt>
                <c:pt idx="66">
                  <c:v>41892</c:v>
                </c:pt>
                <c:pt idx="67">
                  <c:v>47673</c:v>
                </c:pt>
                <c:pt idx="68">
                  <c:v>48245</c:v>
                </c:pt>
                <c:pt idx="69">
                  <c:v>50515</c:v>
                </c:pt>
                <c:pt idx="70">
                  <c:v>51866</c:v>
                </c:pt>
                <c:pt idx="71">
                  <c:v>48712</c:v>
                </c:pt>
                <c:pt idx="72">
                  <c:v>48357</c:v>
                </c:pt>
                <c:pt idx="73">
                  <c:v>50242</c:v>
                </c:pt>
                <c:pt idx="74">
                  <c:v>49329</c:v>
                </c:pt>
                <c:pt idx="75">
                  <c:v>49012</c:v>
                </c:pt>
                <c:pt idx="76">
                  <c:v>48504</c:v>
                </c:pt>
                <c:pt idx="77">
                  <c:v>48330</c:v>
                </c:pt>
                <c:pt idx="78">
                  <c:v>44418</c:v>
                </c:pt>
                <c:pt idx="79">
                  <c:v>43910</c:v>
                </c:pt>
                <c:pt idx="80">
                  <c:v>44339</c:v>
                </c:pt>
                <c:pt idx="81">
                  <c:v>42648</c:v>
                </c:pt>
                <c:pt idx="82">
                  <c:v>41683</c:v>
                </c:pt>
                <c:pt idx="83">
                  <c:v>40611</c:v>
                </c:pt>
                <c:pt idx="84">
                  <c:v>40017</c:v>
                </c:pt>
                <c:pt idx="85">
                  <c:v>36466</c:v>
                </c:pt>
                <c:pt idx="86">
                  <c:v>36031</c:v>
                </c:pt>
                <c:pt idx="87">
                  <c:v>36136</c:v>
                </c:pt>
                <c:pt idx="88">
                  <c:v>34182</c:v>
                </c:pt>
                <c:pt idx="89">
                  <c:v>33072</c:v>
                </c:pt>
                <c:pt idx="90">
                  <c:v>30636</c:v>
                </c:pt>
                <c:pt idx="91">
                  <c:v>28094</c:v>
                </c:pt>
                <c:pt idx="92">
                  <c:v>27154</c:v>
                </c:pt>
                <c:pt idx="93">
                  <c:v>26800</c:v>
                </c:pt>
                <c:pt idx="94">
                  <c:v>26342</c:v>
                </c:pt>
                <c:pt idx="95">
                  <c:v>27320</c:v>
                </c:pt>
                <c:pt idx="96">
                  <c:v>25239</c:v>
                </c:pt>
                <c:pt idx="97">
                  <c:v>24471</c:v>
                </c:pt>
                <c:pt idx="98">
                  <c:v>24253</c:v>
                </c:pt>
                <c:pt idx="99">
                  <c:v>22231</c:v>
                </c:pt>
                <c:pt idx="100">
                  <c:v>21979</c:v>
                </c:pt>
                <c:pt idx="101">
                  <c:v>22006</c:v>
                </c:pt>
                <c:pt idx="102">
                  <c:v>20933</c:v>
                </c:pt>
                <c:pt idx="103">
                  <c:v>20306</c:v>
                </c:pt>
                <c:pt idx="104">
                  <c:v>19408</c:v>
                </c:pt>
                <c:pt idx="105">
                  <c:v>19314</c:v>
                </c:pt>
                <c:pt idx="106">
                  <c:v>18125</c:v>
                </c:pt>
                <c:pt idx="107">
                  <c:v>17925</c:v>
                </c:pt>
                <c:pt idx="108">
                  <c:v>18102</c:v>
                </c:pt>
                <c:pt idx="109">
                  <c:v>17967</c:v>
                </c:pt>
                <c:pt idx="110">
                  <c:v>17285</c:v>
                </c:pt>
                <c:pt idx="111">
                  <c:v>16859</c:v>
                </c:pt>
                <c:pt idx="112">
                  <c:v>16735</c:v>
                </c:pt>
                <c:pt idx="113">
                  <c:v>15506</c:v>
                </c:pt>
                <c:pt idx="114">
                  <c:v>15317</c:v>
                </c:pt>
                <c:pt idx="115">
                  <c:v>15482</c:v>
                </c:pt>
                <c:pt idx="116">
                  <c:v>15100</c:v>
                </c:pt>
                <c:pt idx="117">
                  <c:v>14761</c:v>
                </c:pt>
                <c:pt idx="118">
                  <c:v>14479</c:v>
                </c:pt>
                <c:pt idx="119">
                  <c:v>14186</c:v>
                </c:pt>
                <c:pt idx="120">
                  <c:v>12670</c:v>
                </c:pt>
                <c:pt idx="121">
                  <c:v>12547</c:v>
                </c:pt>
                <c:pt idx="122">
                  <c:v>12711</c:v>
                </c:pt>
                <c:pt idx="123">
                  <c:v>12221</c:v>
                </c:pt>
                <c:pt idx="124">
                  <c:v>11982</c:v>
                </c:pt>
                <c:pt idx="125">
                  <c:v>11720</c:v>
                </c:pt>
                <c:pt idx="126">
                  <c:v>11535</c:v>
                </c:pt>
                <c:pt idx="127">
                  <c:v>10688</c:v>
                </c:pt>
                <c:pt idx="128">
                  <c:v>10560</c:v>
                </c:pt>
                <c:pt idx="129">
                  <c:v>10653</c:v>
                </c:pt>
                <c:pt idx="130">
                  <c:v>10210</c:v>
                </c:pt>
                <c:pt idx="131">
                  <c:v>9969</c:v>
                </c:pt>
                <c:pt idx="132">
                  <c:v>9758</c:v>
                </c:pt>
                <c:pt idx="133">
                  <c:v>9597</c:v>
                </c:pt>
                <c:pt idx="134">
                  <c:v>8869</c:v>
                </c:pt>
                <c:pt idx="135">
                  <c:v>8788</c:v>
                </c:pt>
                <c:pt idx="136">
                  <c:v>8717</c:v>
                </c:pt>
                <c:pt idx="137">
                  <c:v>8353</c:v>
                </c:pt>
                <c:pt idx="138">
                  <c:v>8074</c:v>
                </c:pt>
                <c:pt idx="139">
                  <c:v>7849</c:v>
                </c:pt>
                <c:pt idx="140">
                  <c:v>7685</c:v>
                </c:pt>
                <c:pt idx="141">
                  <c:v>7178</c:v>
                </c:pt>
                <c:pt idx="142">
                  <c:v>7108</c:v>
                </c:pt>
                <c:pt idx="143">
                  <c:v>6979</c:v>
                </c:pt>
                <c:pt idx="144">
                  <c:v>6660</c:v>
                </c:pt>
                <c:pt idx="145">
                  <c:v>6388</c:v>
                </c:pt>
                <c:pt idx="146">
                  <c:v>6147</c:v>
                </c:pt>
                <c:pt idx="147">
                  <c:v>5952</c:v>
                </c:pt>
                <c:pt idx="148">
                  <c:v>5555</c:v>
                </c:pt>
                <c:pt idx="149">
                  <c:v>5496</c:v>
                </c:pt>
                <c:pt idx="150">
                  <c:v>5385</c:v>
                </c:pt>
                <c:pt idx="151">
                  <c:v>4799</c:v>
                </c:pt>
                <c:pt idx="152">
                  <c:v>4642</c:v>
                </c:pt>
                <c:pt idx="153">
                  <c:v>4503</c:v>
                </c:pt>
                <c:pt idx="154">
                  <c:v>4454</c:v>
                </c:pt>
                <c:pt idx="155">
                  <c:v>4179</c:v>
                </c:pt>
                <c:pt idx="156">
                  <c:v>4137</c:v>
                </c:pt>
                <c:pt idx="157">
                  <c:v>4051</c:v>
                </c:pt>
                <c:pt idx="158">
                  <c:v>3865</c:v>
                </c:pt>
                <c:pt idx="159">
                  <c:v>3730</c:v>
                </c:pt>
                <c:pt idx="160">
                  <c:v>3687</c:v>
                </c:pt>
                <c:pt idx="161">
                  <c:v>3593</c:v>
                </c:pt>
                <c:pt idx="162">
                  <c:v>3430</c:v>
                </c:pt>
                <c:pt idx="163">
                  <c:v>3412</c:v>
                </c:pt>
                <c:pt idx="164">
                  <c:v>3327</c:v>
                </c:pt>
                <c:pt idx="165">
                  <c:v>3211</c:v>
                </c:pt>
                <c:pt idx="166">
                  <c:v>3154</c:v>
                </c:pt>
                <c:pt idx="167">
                  <c:v>3038</c:v>
                </c:pt>
                <c:pt idx="168">
                  <c:v>3001</c:v>
                </c:pt>
                <c:pt idx="169">
                  <c:v>2870</c:v>
                </c:pt>
                <c:pt idx="170">
                  <c:v>2858</c:v>
                </c:pt>
                <c:pt idx="171">
                  <c:v>2815</c:v>
                </c:pt>
                <c:pt idx="172">
                  <c:v>2725</c:v>
                </c:pt>
                <c:pt idx="173">
                  <c:v>2644</c:v>
                </c:pt>
                <c:pt idx="174">
                  <c:v>2573</c:v>
                </c:pt>
                <c:pt idx="175">
                  <c:v>2519</c:v>
                </c:pt>
                <c:pt idx="176">
                  <c:v>2425</c:v>
                </c:pt>
                <c:pt idx="177">
                  <c:v>2416</c:v>
                </c:pt>
                <c:pt idx="178">
                  <c:v>2405</c:v>
                </c:pt>
                <c:pt idx="179">
                  <c:v>2362</c:v>
                </c:pt>
                <c:pt idx="180">
                  <c:v>2293</c:v>
                </c:pt>
                <c:pt idx="181">
                  <c:v>2174</c:v>
                </c:pt>
                <c:pt idx="182">
                  <c:v>2164</c:v>
                </c:pt>
                <c:pt idx="183">
                  <c:v>2081</c:v>
                </c:pt>
                <c:pt idx="184">
                  <c:v>2071</c:v>
                </c:pt>
                <c:pt idx="185">
                  <c:v>2051</c:v>
                </c:pt>
                <c:pt idx="186">
                  <c:v>2038</c:v>
                </c:pt>
                <c:pt idx="187">
                  <c:v>2109</c:v>
                </c:pt>
                <c:pt idx="188">
                  <c:v>2098</c:v>
                </c:pt>
                <c:pt idx="189">
                  <c:v>2119</c:v>
                </c:pt>
                <c:pt idx="190">
                  <c:v>2065</c:v>
                </c:pt>
                <c:pt idx="191">
                  <c:v>2055</c:v>
                </c:pt>
                <c:pt idx="192">
                  <c:v>2131</c:v>
                </c:pt>
                <c:pt idx="193">
                  <c:v>2121</c:v>
                </c:pt>
                <c:pt idx="194">
                  <c:v>2111</c:v>
                </c:pt>
                <c:pt idx="195">
                  <c:v>2082</c:v>
                </c:pt>
                <c:pt idx="196">
                  <c:v>2078</c:v>
                </c:pt>
                <c:pt idx="197">
                  <c:v>2015</c:v>
                </c:pt>
                <c:pt idx="198">
                  <c:v>2009</c:v>
                </c:pt>
                <c:pt idx="199">
                  <c:v>2082</c:v>
                </c:pt>
                <c:pt idx="200">
                  <c:v>2085</c:v>
                </c:pt>
                <c:pt idx="201">
                  <c:v>2098</c:v>
                </c:pt>
                <c:pt idx="202">
                  <c:v>2090</c:v>
                </c:pt>
                <c:pt idx="203">
                  <c:v>2081</c:v>
                </c:pt>
                <c:pt idx="204">
                  <c:v>2017</c:v>
                </c:pt>
                <c:pt idx="205">
                  <c:v>2005</c:v>
                </c:pt>
                <c:pt idx="206">
                  <c:v>2032</c:v>
                </c:pt>
                <c:pt idx="207">
                  <c:v>2007</c:v>
                </c:pt>
                <c:pt idx="208">
                  <c:v>1973</c:v>
                </c:pt>
                <c:pt idx="209">
                  <c:v>1931</c:v>
                </c:pt>
                <c:pt idx="210">
                  <c:v>1913</c:v>
                </c:pt>
                <c:pt idx="211">
                  <c:v>1870</c:v>
                </c:pt>
                <c:pt idx="212">
                  <c:v>1846</c:v>
                </c:pt>
                <c:pt idx="213">
                  <c:v>1856</c:v>
                </c:pt>
                <c:pt idx="214">
                  <c:v>1829</c:v>
                </c:pt>
                <c:pt idx="215">
                  <c:v>1821</c:v>
                </c:pt>
                <c:pt idx="216">
                  <c:v>1798</c:v>
                </c:pt>
                <c:pt idx="217">
                  <c:v>1776</c:v>
                </c:pt>
                <c:pt idx="218">
                  <c:v>1718</c:v>
                </c:pt>
                <c:pt idx="219">
                  <c:v>1709</c:v>
                </c:pt>
                <c:pt idx="220">
                  <c:v>1756</c:v>
                </c:pt>
                <c:pt idx="221">
                  <c:v>1746</c:v>
                </c:pt>
                <c:pt idx="222">
                  <c:v>1726</c:v>
                </c:pt>
                <c:pt idx="223">
                  <c:v>1752</c:v>
                </c:pt>
                <c:pt idx="224">
                  <c:v>1760</c:v>
                </c:pt>
                <c:pt idx="225">
                  <c:v>1720</c:v>
                </c:pt>
                <c:pt idx="226">
                  <c:v>1717</c:v>
                </c:pt>
                <c:pt idx="227">
                  <c:v>1758</c:v>
                </c:pt>
                <c:pt idx="228">
                  <c:v>1755</c:v>
                </c:pt>
                <c:pt idx="229">
                  <c:v>1747</c:v>
                </c:pt>
                <c:pt idx="230">
                  <c:v>1750</c:v>
                </c:pt>
                <c:pt idx="231">
                  <c:v>1743</c:v>
                </c:pt>
                <c:pt idx="232">
                  <c:v>1695</c:v>
                </c:pt>
                <c:pt idx="233">
                  <c:v>1694</c:v>
                </c:pt>
                <c:pt idx="234">
                  <c:v>1702</c:v>
                </c:pt>
                <c:pt idx="235">
                  <c:v>1681</c:v>
                </c:pt>
                <c:pt idx="236">
                  <c:v>1663</c:v>
                </c:pt>
                <c:pt idx="237">
                  <c:v>1670</c:v>
                </c:pt>
                <c:pt idx="238">
                  <c:v>1667</c:v>
                </c:pt>
                <c:pt idx="239">
                  <c:v>1626</c:v>
                </c:pt>
                <c:pt idx="240">
                  <c:v>1623</c:v>
                </c:pt>
                <c:pt idx="241">
                  <c:v>1641</c:v>
                </c:pt>
                <c:pt idx="242">
                  <c:v>1624</c:v>
                </c:pt>
                <c:pt idx="243">
                  <c:v>1637</c:v>
                </c:pt>
                <c:pt idx="244">
                  <c:v>1642</c:v>
                </c:pt>
                <c:pt idx="245">
                  <c:v>1701</c:v>
                </c:pt>
                <c:pt idx="246">
                  <c:v>1665</c:v>
                </c:pt>
                <c:pt idx="247">
                  <c:v>1661</c:v>
                </c:pt>
                <c:pt idx="248">
                  <c:v>1753</c:v>
                </c:pt>
                <c:pt idx="249">
                  <c:v>1763</c:v>
                </c:pt>
                <c:pt idx="250">
                  <c:v>1784</c:v>
                </c:pt>
                <c:pt idx="251">
                  <c:v>1823</c:v>
                </c:pt>
                <c:pt idx="252">
                  <c:v>1864</c:v>
                </c:pt>
                <c:pt idx="253">
                  <c:v>1808</c:v>
                </c:pt>
                <c:pt idx="254">
                  <c:v>1799</c:v>
                </c:pt>
                <c:pt idx="255">
                  <c:v>1936</c:v>
                </c:pt>
                <c:pt idx="256">
                  <c:v>1981</c:v>
                </c:pt>
                <c:pt idx="257">
                  <c:v>2015</c:v>
                </c:pt>
                <c:pt idx="258">
                  <c:v>2031</c:v>
                </c:pt>
                <c:pt idx="259">
                  <c:v>2107</c:v>
                </c:pt>
                <c:pt idx="260">
                  <c:v>2028</c:v>
                </c:pt>
                <c:pt idx="261">
                  <c:v>2018</c:v>
                </c:pt>
                <c:pt idx="262">
                  <c:v>2147</c:v>
                </c:pt>
                <c:pt idx="263">
                  <c:v>2155</c:v>
                </c:pt>
                <c:pt idx="264">
                  <c:v>2202</c:v>
                </c:pt>
                <c:pt idx="265">
                  <c:v>2208</c:v>
                </c:pt>
                <c:pt idx="266">
                  <c:v>2208</c:v>
                </c:pt>
                <c:pt idx="267">
                  <c:v>2102</c:v>
                </c:pt>
                <c:pt idx="268">
                  <c:v>2086</c:v>
                </c:pt>
                <c:pt idx="269">
                  <c:v>2167</c:v>
                </c:pt>
                <c:pt idx="270">
                  <c:v>2086</c:v>
                </c:pt>
                <c:pt idx="271">
                  <c:v>2165</c:v>
                </c:pt>
                <c:pt idx="272">
                  <c:v>2140</c:v>
                </c:pt>
                <c:pt idx="273">
                  <c:v>2183</c:v>
                </c:pt>
                <c:pt idx="274">
                  <c:v>2109</c:v>
                </c:pt>
                <c:pt idx="275">
                  <c:v>2094</c:v>
                </c:pt>
                <c:pt idx="276">
                  <c:v>2223</c:v>
                </c:pt>
                <c:pt idx="277">
                  <c:v>2252</c:v>
                </c:pt>
                <c:pt idx="278">
                  <c:v>2318</c:v>
                </c:pt>
                <c:pt idx="279">
                  <c:v>2431</c:v>
                </c:pt>
                <c:pt idx="280">
                  <c:v>2461</c:v>
                </c:pt>
                <c:pt idx="281">
                  <c:v>2365</c:v>
                </c:pt>
                <c:pt idx="282">
                  <c:v>2349</c:v>
                </c:pt>
                <c:pt idx="283">
                  <c:v>2530</c:v>
                </c:pt>
                <c:pt idx="284">
                  <c:v>2611</c:v>
                </c:pt>
                <c:pt idx="285">
                  <c:v>2697</c:v>
                </c:pt>
                <c:pt idx="286">
                  <c:v>2838</c:v>
                </c:pt>
                <c:pt idx="287">
                  <c:v>2930</c:v>
                </c:pt>
                <c:pt idx="288">
                  <c:v>2777</c:v>
                </c:pt>
                <c:pt idx="289">
                  <c:v>2752</c:v>
                </c:pt>
                <c:pt idx="290">
                  <c:v>3149</c:v>
                </c:pt>
                <c:pt idx="291">
                  <c:v>3339</c:v>
                </c:pt>
                <c:pt idx="292">
                  <c:v>3586</c:v>
                </c:pt>
                <c:pt idx="293">
                  <c:v>3869</c:v>
                </c:pt>
                <c:pt idx="294">
                  <c:v>4373</c:v>
                </c:pt>
                <c:pt idx="295">
                  <c:v>4185</c:v>
                </c:pt>
                <c:pt idx="296">
                  <c:v>4167</c:v>
                </c:pt>
                <c:pt idx="297">
                  <c:v>5021</c:v>
                </c:pt>
                <c:pt idx="298">
                  <c:v>5483</c:v>
                </c:pt>
                <c:pt idx="299">
                  <c:v>6081</c:v>
                </c:pt>
                <c:pt idx="300">
                  <c:v>5893</c:v>
                </c:pt>
                <c:pt idx="301">
                  <c:v>6537</c:v>
                </c:pt>
                <c:pt idx="302">
                  <c:v>6297</c:v>
                </c:pt>
                <c:pt idx="303">
                  <c:v>6313</c:v>
                </c:pt>
                <c:pt idx="304">
                  <c:v>7192</c:v>
                </c:pt>
                <c:pt idx="305">
                  <c:v>7406</c:v>
                </c:pt>
                <c:pt idx="306">
                  <c:v>7616</c:v>
                </c:pt>
                <c:pt idx="307">
                  <c:v>7993</c:v>
                </c:pt>
                <c:pt idx="308">
                  <c:v>8605</c:v>
                </c:pt>
                <c:pt idx="309">
                  <c:v>8013</c:v>
                </c:pt>
                <c:pt idx="310">
                  <c:v>7978</c:v>
                </c:pt>
                <c:pt idx="311">
                  <c:v>9161</c:v>
                </c:pt>
                <c:pt idx="312">
                  <c:v>9694</c:v>
                </c:pt>
                <c:pt idx="313">
                  <c:v>10108</c:v>
                </c:pt>
                <c:pt idx="314">
                  <c:v>10814</c:v>
                </c:pt>
                <c:pt idx="315">
                  <c:v>11728</c:v>
                </c:pt>
                <c:pt idx="316">
                  <c:v>11022</c:v>
                </c:pt>
                <c:pt idx="317">
                  <c:v>10894</c:v>
                </c:pt>
                <c:pt idx="318">
                  <c:v>12492</c:v>
                </c:pt>
                <c:pt idx="319">
                  <c:v>13543</c:v>
                </c:pt>
                <c:pt idx="320">
                  <c:v>12782</c:v>
                </c:pt>
                <c:pt idx="321">
                  <c:v>13677</c:v>
                </c:pt>
                <c:pt idx="322">
                  <c:v>14674</c:v>
                </c:pt>
                <c:pt idx="323">
                  <c:v>13852</c:v>
                </c:pt>
                <c:pt idx="324">
                  <c:v>13770</c:v>
                </c:pt>
                <c:pt idx="325">
                  <c:v>15769</c:v>
                </c:pt>
                <c:pt idx="326">
                  <c:v>16251</c:v>
                </c:pt>
                <c:pt idx="327">
                  <c:v>17092</c:v>
                </c:pt>
                <c:pt idx="328">
                  <c:v>17716</c:v>
                </c:pt>
                <c:pt idx="329">
                  <c:v>18680</c:v>
                </c:pt>
                <c:pt idx="330">
                  <c:v>17536</c:v>
                </c:pt>
                <c:pt idx="331">
                  <c:v>17390</c:v>
                </c:pt>
                <c:pt idx="332">
                  <c:v>18645</c:v>
                </c:pt>
                <c:pt idx="333">
                  <c:v>18779</c:v>
                </c:pt>
                <c:pt idx="334">
                  <c:v>18574</c:v>
                </c:pt>
                <c:pt idx="335">
                  <c:v>18849</c:v>
                </c:pt>
                <c:pt idx="336">
                  <c:v>19258</c:v>
                </c:pt>
                <c:pt idx="337">
                  <c:v>17896</c:v>
                </c:pt>
                <c:pt idx="338">
                  <c:v>17728</c:v>
                </c:pt>
                <c:pt idx="339">
                  <c:v>18384</c:v>
                </c:pt>
                <c:pt idx="340">
                  <c:v>17653</c:v>
                </c:pt>
                <c:pt idx="341">
                  <c:v>17326</c:v>
                </c:pt>
                <c:pt idx="342">
                  <c:v>16848</c:v>
                </c:pt>
                <c:pt idx="343">
                  <c:v>16732</c:v>
                </c:pt>
                <c:pt idx="344">
                  <c:v>15357</c:v>
                </c:pt>
                <c:pt idx="345">
                  <c:v>15276</c:v>
                </c:pt>
                <c:pt idx="346">
                  <c:v>15484</c:v>
                </c:pt>
                <c:pt idx="347">
                  <c:v>14241</c:v>
                </c:pt>
                <c:pt idx="348">
                  <c:v>14113</c:v>
                </c:pt>
                <c:pt idx="349">
                  <c:v>14100</c:v>
                </c:pt>
                <c:pt idx="350">
                  <c:v>13977</c:v>
                </c:pt>
                <c:pt idx="351">
                  <c:v>13012</c:v>
                </c:pt>
                <c:pt idx="352">
                  <c:v>12865</c:v>
                </c:pt>
                <c:pt idx="353">
                  <c:v>12618</c:v>
                </c:pt>
                <c:pt idx="354">
                  <c:v>11751</c:v>
                </c:pt>
                <c:pt idx="355">
                  <c:v>11081</c:v>
                </c:pt>
                <c:pt idx="356">
                  <c:v>10441</c:v>
                </c:pt>
                <c:pt idx="357">
                  <c:v>9573</c:v>
                </c:pt>
                <c:pt idx="358">
                  <c:v>9422</c:v>
                </c:pt>
                <c:pt idx="359">
                  <c:v>9385</c:v>
                </c:pt>
                <c:pt idx="360">
                  <c:v>9199</c:v>
                </c:pt>
                <c:pt idx="361">
                  <c:v>8818</c:v>
                </c:pt>
                <c:pt idx="362">
                  <c:v>8392</c:v>
                </c:pt>
                <c:pt idx="363">
                  <c:v>8090</c:v>
                </c:pt>
                <c:pt idx="364">
                  <c:v>7943</c:v>
                </c:pt>
              </c:numCache>
            </c:numRef>
          </c:val>
          <c:smooth val="0"/>
          <c:extLst>
            <c:ext xmlns:c16="http://schemas.microsoft.com/office/drawing/2014/chart" uri="{C3380CC4-5D6E-409C-BE32-E72D297353CC}">
              <c16:uniqueId val="{00000000-D51D-4298-9E25-182DB439C21D}"/>
            </c:ext>
          </c:extLst>
        </c:ser>
        <c:dLbls>
          <c:showLegendKey val="0"/>
          <c:showVal val="0"/>
          <c:showCatName val="0"/>
          <c:showSerName val="0"/>
          <c:showPercent val="0"/>
          <c:showBubbleSize val="0"/>
        </c:dLbls>
        <c:smooth val="0"/>
        <c:axId val="551561631"/>
        <c:axId val="551562463"/>
      </c:lineChart>
      <c:catAx>
        <c:axId val="55156163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551562463"/>
        <c:crosses val="autoZero"/>
        <c:auto val="1"/>
        <c:lblAlgn val="ctr"/>
        <c:lblOffset val="100"/>
        <c:tickLblSkip val="14"/>
        <c:noMultiLvlLbl val="0"/>
      </c:catAx>
      <c:valAx>
        <c:axId val="551562463"/>
        <c:scaling>
          <c:orientation val="minMax"/>
          <c:max val="55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551561631"/>
        <c:crosses val="autoZero"/>
        <c:crossBetween val="between"/>
        <c:majorUnit val="5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'G5.1'!$B$5</c:f>
              <c:strCache>
                <c:ptCount val="1"/>
                <c:pt idx="0">
                  <c:v> celkem</c:v>
                </c:pt>
              </c:strCache>
            </c:strRef>
          </c:tx>
          <c:spPr>
            <a:solidFill>
              <a:srgbClr val="632827"/>
            </a:solidFill>
            <a:ln>
              <a:noFill/>
            </a:ln>
            <a:effectLst/>
          </c:spPr>
          <c:invertIfNegative val="0"/>
          <c:cat>
            <c:numRef>
              <c:f>'G5.1'!$A$6:$A$16</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'G5.1'!$B$6:$B$16</c:f>
              <c:numCache>
                <c:formatCode>General</c:formatCode>
                <c:ptCount val="11"/>
                <c:pt idx="0">
                  <c:v>1079.9351972397806</c:v>
                </c:pt>
                <c:pt idx="1">
                  <c:v>973.70484821962259</c:v>
                </c:pt>
                <c:pt idx="2">
                  <c:v>953.87140493738525</c:v>
                </c:pt>
                <c:pt idx="3">
                  <c:v>992.39324229058911</c:v>
                </c:pt>
                <c:pt idx="4">
                  <c:v>1012.2229156237019</c:v>
                </c:pt>
                <c:pt idx="5">
                  <c:v>1021.8745560010099</c:v>
                </c:pt>
                <c:pt idx="6">
                  <c:v>1003.2481328292729</c:v>
                </c:pt>
                <c:pt idx="7">
                  <c:v>964.89615656043009</c:v>
                </c:pt>
                <c:pt idx="8">
                  <c:v>928.79837124568758</c:v>
                </c:pt>
                <c:pt idx="9">
                  <c:v>864.94183499552605</c:v>
                </c:pt>
                <c:pt idx="10">
                  <c:v>934.1219542430548</c:v>
                </c:pt>
              </c:numCache>
            </c:numRef>
          </c:val>
          <c:extLst>
            <c:ext xmlns:c16="http://schemas.microsoft.com/office/drawing/2014/chart" uri="{C3380CC4-5D6E-409C-BE32-E72D297353CC}">
              <c16:uniqueId val="{00000000-9898-4243-911E-B82A21CE5FDD}"/>
            </c:ext>
          </c:extLst>
        </c:ser>
        <c:ser>
          <c:idx val="1"/>
          <c:order val="1"/>
          <c:tx>
            <c:strRef>
              <c:f>'G5.1'!$C$5</c:f>
              <c:strCache>
                <c:ptCount val="1"/>
                <c:pt idx="0">
                  <c:v> muži</c:v>
                </c:pt>
              </c:strCache>
            </c:strRef>
          </c:tx>
          <c:spPr>
            <a:solidFill>
              <a:srgbClr val="B44946"/>
            </a:solidFill>
            <a:ln>
              <a:noFill/>
            </a:ln>
            <a:effectLst/>
          </c:spPr>
          <c:invertIfNegative val="0"/>
          <c:cat>
            <c:numRef>
              <c:f>'G5.1'!$A$6:$A$16</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'G5.1'!$C$6:$C$16</c:f>
              <c:numCache>
                <c:formatCode>General</c:formatCode>
                <c:ptCount val="11"/>
                <c:pt idx="0">
                  <c:v>1505.993672350256</c:v>
                </c:pt>
                <c:pt idx="1">
                  <c:v>1359.6356655065706</c:v>
                </c:pt>
                <c:pt idx="2">
                  <c:v>1325.0414476326634</c:v>
                </c:pt>
                <c:pt idx="3">
                  <c:v>1372.173752359331</c:v>
                </c:pt>
                <c:pt idx="4">
                  <c:v>1373.3670257323856</c:v>
                </c:pt>
                <c:pt idx="5">
                  <c:v>1378.6665387508742</c:v>
                </c:pt>
                <c:pt idx="6">
                  <c:v>1355.2518700976673</c:v>
                </c:pt>
                <c:pt idx="7">
                  <c:v>1294.0989767393464</c:v>
                </c:pt>
                <c:pt idx="8">
                  <c:v>1243.7952127639396</c:v>
                </c:pt>
                <c:pt idx="9">
                  <c:v>1193.8973535578518</c:v>
                </c:pt>
                <c:pt idx="10">
                  <c:v>1291.789040414631</c:v>
                </c:pt>
              </c:numCache>
            </c:numRef>
          </c:val>
          <c:extLst>
            <c:ext xmlns:c16="http://schemas.microsoft.com/office/drawing/2014/chart" uri="{C3380CC4-5D6E-409C-BE32-E72D297353CC}">
              <c16:uniqueId val="{00000001-9898-4243-911E-B82A21CE5FDD}"/>
            </c:ext>
          </c:extLst>
        </c:ser>
        <c:ser>
          <c:idx val="2"/>
          <c:order val="2"/>
          <c:tx>
            <c:strRef>
              <c:f>'G5.1'!$D$5</c:f>
              <c:strCache>
                <c:ptCount val="1"/>
                <c:pt idx="0">
                  <c:v> ženy</c:v>
                </c:pt>
              </c:strCache>
            </c:strRef>
          </c:tx>
          <c:spPr>
            <a:solidFill>
              <a:srgbClr val="F07373"/>
            </a:solidFill>
            <a:ln>
              <a:noFill/>
            </a:ln>
            <a:effectLst/>
          </c:spPr>
          <c:invertIfNegative val="0"/>
          <c:cat>
            <c:numRef>
              <c:f>'G5.1'!$A$6:$A$16</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'G5.1'!$D$6:$D$16</c:f>
              <c:numCache>
                <c:formatCode>General</c:formatCode>
                <c:ptCount val="11"/>
                <c:pt idx="0">
                  <c:v>636.29313687475769</c:v>
                </c:pt>
                <c:pt idx="1">
                  <c:v>571.7497029175031</c:v>
                </c:pt>
                <c:pt idx="2">
                  <c:v>568.90076443746273</c:v>
                </c:pt>
                <c:pt idx="3">
                  <c:v>598.4482241654789</c:v>
                </c:pt>
                <c:pt idx="4">
                  <c:v>635.43511275243941</c:v>
                </c:pt>
                <c:pt idx="5">
                  <c:v>651.45580665256648</c:v>
                </c:pt>
                <c:pt idx="6">
                  <c:v>640.8067102346364</c:v>
                </c:pt>
                <c:pt idx="7">
                  <c:v>628.65610667766714</c:v>
                </c:pt>
                <c:pt idx="8">
                  <c:v>608.85567093888449</c:v>
                </c:pt>
                <c:pt idx="9">
                  <c:v>533.51264368714521</c:v>
                </c:pt>
                <c:pt idx="10">
                  <c:v>576.42611519516709</c:v>
                </c:pt>
              </c:numCache>
            </c:numRef>
          </c:val>
          <c:extLst>
            <c:ext xmlns:c16="http://schemas.microsoft.com/office/drawing/2014/chart" uri="{C3380CC4-5D6E-409C-BE32-E72D297353CC}">
              <c16:uniqueId val="{00000002-9898-4243-911E-B82A21CE5FDD}"/>
            </c:ext>
          </c:extLst>
        </c:ser>
        <c:dLbls>
          <c:showLegendKey val="0"/>
          <c:showVal val="0"/>
          <c:showCatName val="0"/>
          <c:showSerName val="0"/>
          <c:showPercent val="0"/>
          <c:showBubbleSize val="0"/>
        </c:dLbls>
        <c:gapWidth val="219"/>
        <c:axId val="764446415"/>
        <c:axId val="764448079"/>
      </c:barChart>
      <c:catAx>
        <c:axId val="764446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64448079"/>
        <c:crosses val="autoZero"/>
        <c:auto val="1"/>
        <c:lblAlgn val="ctr"/>
        <c:lblOffset val="100"/>
        <c:noMultiLvlLbl val="0"/>
      </c:catAx>
      <c:valAx>
        <c:axId val="7644480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64446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496955130038089"/>
          <c:y val="3.3577533577533576E-2"/>
          <c:w val="0.46142696315274351"/>
          <c:h val="0.84903329391518367"/>
        </c:manualLayout>
      </c:layout>
      <c:barChart>
        <c:barDir val="bar"/>
        <c:grouping val="clustered"/>
        <c:varyColors val="0"/>
        <c:ser>
          <c:idx val="0"/>
          <c:order val="0"/>
          <c:spPr>
            <a:solidFill>
              <a:srgbClr val="B44946"/>
            </a:solidFill>
            <a:ln>
              <a:noFill/>
            </a:ln>
            <a:effectLst/>
          </c:spPr>
          <c:invertIfNegative val="0"/>
          <c:dPt>
            <c:idx val="13"/>
            <c:invertIfNegative val="0"/>
            <c:bubble3D val="0"/>
            <c:spPr>
              <a:solidFill>
                <a:srgbClr val="632827"/>
              </a:solidFill>
              <a:ln>
                <a:noFill/>
              </a:ln>
              <a:effectLst/>
            </c:spPr>
            <c:extLst>
              <c:ext xmlns:c16="http://schemas.microsoft.com/office/drawing/2014/chart" uri="{C3380CC4-5D6E-409C-BE32-E72D297353CC}">
                <c16:uniqueId val="{00000001-7291-4FC5-A7AA-5965D17BF23A}"/>
              </c:ext>
            </c:extLst>
          </c:dPt>
          <c:cat>
            <c:strRef>
              <c:f>'G5.2'!$J$8:$J$27</c:f>
              <c:strCache>
                <c:ptCount val="20"/>
                <c:pt idx="0">
                  <c:v>K – Peněžnictví a pojišťovnictví</c:v>
                </c:pt>
                <c:pt idx="1">
                  <c:v>J – Informační a komunikační činnosti</c:v>
                </c:pt>
                <c:pt idx="2">
                  <c:v>M – Profesní, vědecké a technické činnosti</c:v>
                </c:pt>
                <c:pt idx="3">
                  <c:v>L – Činnosti v oblasti nemovitostí</c:v>
                </c:pt>
                <c:pt idx="4">
                  <c:v>P – Vzdělávání</c:v>
                </c:pt>
                <c:pt idx="5">
                  <c:v>S – Ostatní činnosti</c:v>
                </c:pt>
                <c:pt idx="6">
                  <c:v>O – Veřejná správa a obrana; povinné sociální zabezpečení</c:v>
                </c:pt>
                <c:pt idx="7">
                  <c:v>R – Kulturní, zábavní a rekreační činnosti</c:v>
                </c:pt>
                <c:pt idx="8">
                  <c:v>D – Výroba a rozvod elektřiny, plynu, tepla a klimatiz. vzduchu</c:v>
                </c:pt>
                <c:pt idx="9">
                  <c:v>I – Ubytování, stravování a pohostinství</c:v>
                </c:pt>
                <c:pt idx="10">
                  <c:v>Q – Zdravotní a sociální péče</c:v>
                </c:pt>
                <c:pt idx="11">
                  <c:v>G – Velkoobchod a maloobchod; opravy a údržba motor. vozidel</c:v>
                </c:pt>
                <c:pt idx="12">
                  <c:v>N – Administrativní a podpůrné činnosti</c:v>
                </c:pt>
                <c:pt idx="13">
                  <c:v>CELKEM</c:v>
                </c:pt>
                <c:pt idx="14">
                  <c:v>F – Stavebnictví</c:v>
                </c:pt>
                <c:pt idx="15">
                  <c:v>C – Zpracovatelský průmysl</c:v>
                </c:pt>
                <c:pt idx="16">
                  <c:v>H – Doprava a skladování</c:v>
                </c:pt>
                <c:pt idx="17">
                  <c:v>B – Těžba a dobývání</c:v>
                </c:pt>
                <c:pt idx="18">
                  <c:v>E – Zásobování vodou; činnosti související s odpady a sanacemi</c:v>
                </c:pt>
                <c:pt idx="19">
                  <c:v>A – Zemědělství, lesnictví, rybářství</c:v>
                </c:pt>
              </c:strCache>
            </c:strRef>
          </c:cat>
          <c:val>
            <c:numRef>
              <c:f>'G5.2'!$K$8:$K$27</c:f>
              <c:numCache>
                <c:formatCode>General</c:formatCode>
                <c:ptCount val="20"/>
                <c:pt idx="0">
                  <c:v>63.094239634076047</c:v>
                </c:pt>
                <c:pt idx="1">
                  <c:v>81.437941020077147</c:v>
                </c:pt>
                <c:pt idx="2">
                  <c:v>199.49967165627086</c:v>
                </c:pt>
                <c:pt idx="3">
                  <c:v>321.77015972747012</c:v>
                </c:pt>
                <c:pt idx="4">
                  <c:v>322.00907770200683</c:v>
                </c:pt>
                <c:pt idx="5">
                  <c:v>364.95607724112074</c:v>
                </c:pt>
                <c:pt idx="6">
                  <c:v>386.09983488244762</c:v>
                </c:pt>
                <c:pt idx="7">
                  <c:v>438.60066967171161</c:v>
                </c:pt>
                <c:pt idx="8">
                  <c:v>467.79393274959597</c:v>
                </c:pt>
                <c:pt idx="9">
                  <c:v>549.40962061836933</c:v>
                </c:pt>
                <c:pt idx="10">
                  <c:v>625.95410462478662</c:v>
                </c:pt>
                <c:pt idx="11">
                  <c:v>840.53709054020544</c:v>
                </c:pt>
                <c:pt idx="12">
                  <c:v>905.59932047511904</c:v>
                </c:pt>
                <c:pt idx="13">
                  <c:v>934.1219542430548</c:v>
                </c:pt>
                <c:pt idx="14">
                  <c:v>1269.4072478341559</c:v>
                </c:pt>
                <c:pt idx="15">
                  <c:v>1460.0418135337641</c:v>
                </c:pt>
                <c:pt idx="16">
                  <c:v>1576.8414821201134</c:v>
                </c:pt>
                <c:pt idx="17">
                  <c:v>1685.3056088369108</c:v>
                </c:pt>
                <c:pt idx="18">
                  <c:v>2018.0427838718117</c:v>
                </c:pt>
                <c:pt idx="19">
                  <c:v>2448.6717873144071</c:v>
                </c:pt>
              </c:numCache>
            </c:numRef>
          </c:val>
          <c:extLst>
            <c:ext xmlns:c16="http://schemas.microsoft.com/office/drawing/2014/chart" uri="{C3380CC4-5D6E-409C-BE32-E72D297353CC}">
              <c16:uniqueId val="{00000002-7291-4FC5-A7AA-5965D17BF23A}"/>
            </c:ext>
          </c:extLst>
        </c:ser>
        <c:dLbls>
          <c:showLegendKey val="0"/>
          <c:showVal val="0"/>
          <c:showCatName val="0"/>
          <c:showSerName val="0"/>
          <c:showPercent val="0"/>
          <c:showBubbleSize val="0"/>
        </c:dLbls>
        <c:gapWidth val="182"/>
        <c:axId val="759560607"/>
        <c:axId val="759561023"/>
      </c:barChart>
      <c:catAx>
        <c:axId val="7595606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59561023"/>
        <c:crosses val="autoZero"/>
        <c:auto val="1"/>
        <c:lblAlgn val="ctr"/>
        <c:lblOffset val="100"/>
        <c:noMultiLvlLbl val="0"/>
      </c:catAx>
      <c:valAx>
        <c:axId val="759561023"/>
        <c:scaling>
          <c:orientation val="minMax"/>
          <c:max val="2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a:t>
                </a:r>
                <a:r>
                  <a:rPr lang="cs-CZ"/>
                  <a:t>padů</a:t>
                </a:r>
                <a:endParaRPr lang="en-US"/>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595606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79396325459318"/>
          <c:y val="5.0925925925925923E-2"/>
          <c:w val="0.85165048118985132"/>
          <c:h val="0.8374664625255176"/>
        </c:manualLayout>
      </c:layout>
      <c:barChart>
        <c:barDir val="col"/>
        <c:grouping val="clustered"/>
        <c:varyColors val="0"/>
        <c:ser>
          <c:idx val="0"/>
          <c:order val="0"/>
          <c:tx>
            <c:strRef>
              <c:f>'G5.3, poj.v sekci A, vel. fy'!$Q$29</c:f>
              <c:strCache>
                <c:ptCount val="1"/>
                <c:pt idx="0">
                  <c:v> 2021</c:v>
                </c:pt>
              </c:strCache>
            </c:strRef>
          </c:tx>
          <c:spPr>
            <a:solidFill>
              <a:srgbClr val="632827"/>
            </a:solidFill>
            <a:ln>
              <a:noFill/>
            </a:ln>
            <a:effectLst/>
          </c:spPr>
          <c:invertIfNegative val="0"/>
          <c:dPt>
            <c:idx val="12"/>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1-6C7B-4551-9950-0EE5F1DAD396}"/>
              </c:ext>
            </c:extLst>
          </c:dPt>
          <c:cat>
            <c:strRef>
              <c:f>'G5.3, poj.v sekci A, vel. fy'!$P$30:$P$44</c:f>
              <c:strCache>
                <c:ptCount val="15"/>
                <c:pt idx="0">
                  <c:v>VYS</c:v>
                </c:pt>
                <c:pt idx="1">
                  <c:v>JHC</c:v>
                </c:pt>
                <c:pt idx="2">
                  <c:v>PLK</c:v>
                </c:pt>
                <c:pt idx="3">
                  <c:v>ULK</c:v>
                </c:pt>
                <c:pt idx="4">
                  <c:v>KVK</c:v>
                </c:pt>
                <c:pt idx="5">
                  <c:v>HKK</c:v>
                </c:pt>
                <c:pt idx="6">
                  <c:v>PAK</c:v>
                </c:pt>
                <c:pt idx="7">
                  <c:v>OLK</c:v>
                </c:pt>
                <c:pt idx="8">
                  <c:v>ZLK</c:v>
                </c:pt>
                <c:pt idx="9">
                  <c:v>LBK</c:v>
                </c:pt>
                <c:pt idx="10">
                  <c:v>MSK</c:v>
                </c:pt>
                <c:pt idx="11">
                  <c:v>STC</c:v>
                </c:pt>
                <c:pt idx="12">
                  <c:v>ČR</c:v>
                </c:pt>
                <c:pt idx="13">
                  <c:v>JHM</c:v>
                </c:pt>
                <c:pt idx="14">
                  <c:v>PHA</c:v>
                </c:pt>
              </c:strCache>
            </c:strRef>
          </c:cat>
          <c:val>
            <c:numRef>
              <c:f>'G5.3, poj.v sekci A, vel. fy'!$Q$30:$Q$44</c:f>
              <c:numCache>
                <c:formatCode>General</c:formatCode>
                <c:ptCount val="15"/>
                <c:pt idx="0">
                  <c:v>1384.80868452242</c:v>
                </c:pt>
                <c:pt idx="1">
                  <c:v>1356.2246873962538</c:v>
                </c:pt>
                <c:pt idx="2">
                  <c:v>1255.657168720355</c:v>
                </c:pt>
                <c:pt idx="3">
                  <c:v>1227.2754460617202</c:v>
                </c:pt>
                <c:pt idx="4">
                  <c:v>1191.9739558398758</c:v>
                </c:pt>
                <c:pt idx="5">
                  <c:v>1180.9149553854638</c:v>
                </c:pt>
                <c:pt idx="6">
                  <c:v>1126.932393351263</c:v>
                </c:pt>
                <c:pt idx="7">
                  <c:v>1037.8356284366748</c:v>
                </c:pt>
                <c:pt idx="8">
                  <c:v>1028.4186421156221</c:v>
                </c:pt>
                <c:pt idx="9">
                  <c:v>1026.7297143492244</c:v>
                </c:pt>
                <c:pt idx="10">
                  <c:v>947.83247606998827</c:v>
                </c:pt>
                <c:pt idx="11">
                  <c:v>946.8605043020691</c:v>
                </c:pt>
                <c:pt idx="12">
                  <c:v>934.1219542430548</c:v>
                </c:pt>
                <c:pt idx="13">
                  <c:v>843.00146714797984</c:v>
                </c:pt>
                <c:pt idx="14">
                  <c:v>563.44598984109564</c:v>
                </c:pt>
              </c:numCache>
            </c:numRef>
          </c:val>
          <c:extLst>
            <c:ext xmlns:c16="http://schemas.microsoft.com/office/drawing/2014/chart" uri="{C3380CC4-5D6E-409C-BE32-E72D297353CC}">
              <c16:uniqueId val="{00000002-6C7B-4551-9950-0EE5F1DAD396}"/>
            </c:ext>
          </c:extLst>
        </c:ser>
        <c:ser>
          <c:idx val="1"/>
          <c:order val="1"/>
          <c:tx>
            <c:strRef>
              <c:f>'G5.3, poj.v sekci A, vel. fy'!$R$29</c:f>
              <c:strCache>
                <c:ptCount val="1"/>
                <c:pt idx="0">
                  <c:v> 2019</c:v>
                </c:pt>
              </c:strCache>
            </c:strRef>
          </c:tx>
          <c:spPr>
            <a:solidFill>
              <a:srgbClr val="B44946"/>
            </a:solidFill>
            <a:ln>
              <a:noFill/>
            </a:ln>
            <a:effectLst/>
          </c:spPr>
          <c:invertIfNegative val="0"/>
          <c:dPt>
            <c:idx val="12"/>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4-6C7B-4551-9950-0EE5F1DAD396}"/>
              </c:ext>
            </c:extLst>
          </c:dPt>
          <c:cat>
            <c:strRef>
              <c:f>'G5.3, poj.v sekci A, vel. fy'!$P$30:$P$44</c:f>
              <c:strCache>
                <c:ptCount val="15"/>
                <c:pt idx="0">
                  <c:v>VYS</c:v>
                </c:pt>
                <c:pt idx="1">
                  <c:v>JHC</c:v>
                </c:pt>
                <c:pt idx="2">
                  <c:v>PLK</c:v>
                </c:pt>
                <c:pt idx="3">
                  <c:v>ULK</c:v>
                </c:pt>
                <c:pt idx="4">
                  <c:v>KVK</c:v>
                </c:pt>
                <c:pt idx="5">
                  <c:v>HKK</c:v>
                </c:pt>
                <c:pt idx="6">
                  <c:v>PAK</c:v>
                </c:pt>
                <c:pt idx="7">
                  <c:v>OLK</c:v>
                </c:pt>
                <c:pt idx="8">
                  <c:v>ZLK</c:v>
                </c:pt>
                <c:pt idx="9">
                  <c:v>LBK</c:v>
                </c:pt>
                <c:pt idx="10">
                  <c:v>MSK</c:v>
                </c:pt>
                <c:pt idx="11">
                  <c:v>STC</c:v>
                </c:pt>
                <c:pt idx="12">
                  <c:v>ČR</c:v>
                </c:pt>
                <c:pt idx="13">
                  <c:v>JHM</c:v>
                </c:pt>
                <c:pt idx="14">
                  <c:v>PHA</c:v>
                </c:pt>
              </c:strCache>
            </c:strRef>
          </c:cat>
          <c:val>
            <c:numRef>
              <c:f>'G5.3, poj.v sekci A, vel. fy'!$R$30:$R$44</c:f>
              <c:numCache>
                <c:formatCode>General</c:formatCode>
                <c:ptCount val="15"/>
                <c:pt idx="0">
                  <c:v>1414.2535949373141</c:v>
                </c:pt>
                <c:pt idx="1">
                  <c:v>1387.0934786540511</c:v>
                </c:pt>
                <c:pt idx="2">
                  <c:v>1299.2010321270709</c:v>
                </c:pt>
                <c:pt idx="3">
                  <c:v>1220.3632824764002</c:v>
                </c:pt>
                <c:pt idx="4">
                  <c:v>1186.2100123467133</c:v>
                </c:pt>
                <c:pt idx="5">
                  <c:v>1214.9603555301571</c:v>
                </c:pt>
                <c:pt idx="6">
                  <c:v>1103.5059030131486</c:v>
                </c:pt>
                <c:pt idx="7">
                  <c:v>978.78007227276942</c:v>
                </c:pt>
                <c:pt idx="8">
                  <c:v>1031.3984501042264</c:v>
                </c:pt>
                <c:pt idx="9">
                  <c:v>1010.63809679787</c:v>
                </c:pt>
                <c:pt idx="10">
                  <c:v>921.8190201809881</c:v>
                </c:pt>
                <c:pt idx="11">
                  <c:v>944.65633667369013</c:v>
                </c:pt>
                <c:pt idx="12">
                  <c:v>928.79837124568758</c:v>
                </c:pt>
                <c:pt idx="13">
                  <c:v>846.13459554188057</c:v>
                </c:pt>
                <c:pt idx="14">
                  <c:v>543.59822336681088</c:v>
                </c:pt>
              </c:numCache>
            </c:numRef>
          </c:val>
          <c:extLst>
            <c:ext xmlns:c16="http://schemas.microsoft.com/office/drawing/2014/chart" uri="{C3380CC4-5D6E-409C-BE32-E72D297353CC}">
              <c16:uniqueId val="{00000005-6C7B-4551-9950-0EE5F1DAD396}"/>
            </c:ext>
          </c:extLst>
        </c:ser>
        <c:dLbls>
          <c:showLegendKey val="0"/>
          <c:showVal val="0"/>
          <c:showCatName val="0"/>
          <c:showSerName val="0"/>
          <c:showPercent val="0"/>
          <c:showBubbleSize val="0"/>
        </c:dLbls>
        <c:gapWidth val="219"/>
        <c:axId val="180486447"/>
        <c:axId val="180503919"/>
      </c:barChart>
      <c:catAx>
        <c:axId val="180486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0503919"/>
        <c:crosses val="autoZero"/>
        <c:auto val="1"/>
        <c:lblAlgn val="ctr"/>
        <c:lblOffset val="100"/>
        <c:noMultiLvlLbl val="0"/>
      </c:catAx>
      <c:valAx>
        <c:axId val="180503919"/>
        <c:scaling>
          <c:orientation val="minMax"/>
          <c:max val="1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layout>
            <c:manualLayout>
              <c:xMode val="edge"/>
              <c:yMode val="edge"/>
              <c:x val="2.996181552072346E-2"/>
              <c:y val="0.3207239720034995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0486447"/>
        <c:crosses val="autoZero"/>
        <c:crossBetween val="between"/>
        <c:majorUnit val="300"/>
      </c:valAx>
      <c:spPr>
        <a:noFill/>
        <a:ln>
          <a:noFill/>
        </a:ln>
        <a:effectLst/>
      </c:spPr>
    </c:plotArea>
    <c:legend>
      <c:legendPos val="b"/>
      <c:layout>
        <c:manualLayout>
          <c:xMode val="edge"/>
          <c:yMode val="edge"/>
          <c:x val="0.84800778407371979"/>
          <c:y val="9.3307451151939336E-2"/>
          <c:w val="8.4436267896419476E-2"/>
          <c:h val="0.21224810440361622"/>
        </c:manualLayout>
      </c:layout>
      <c:overlay val="0"/>
      <c:spPr>
        <a:solidFill>
          <a:schemeClr val="bg1"/>
        </a:solidFill>
        <a:ln>
          <a:solidFill>
            <a:schemeClr val="bg1">
              <a:lumMod val="8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B44946"/>
            </a:solidFill>
            <a:ln>
              <a:noFill/>
            </a:ln>
            <a:effectLst/>
          </c:spPr>
          <c:invertIfNegative val="0"/>
          <c:dPt>
            <c:idx val="10"/>
            <c:invertIfNegative val="0"/>
            <c:bubble3D val="0"/>
            <c:extLst>
              <c:ext xmlns:c16="http://schemas.microsoft.com/office/drawing/2014/chart" uri="{C3380CC4-5D6E-409C-BE32-E72D297353CC}">
                <c16:uniqueId val="{00000001-D9D5-4892-B288-76D4090EE717}"/>
              </c:ext>
            </c:extLst>
          </c:dPt>
          <c:dPt>
            <c:idx val="11"/>
            <c:invertIfNegative val="0"/>
            <c:bubble3D val="0"/>
            <c:spPr>
              <a:solidFill>
                <a:srgbClr val="632827"/>
              </a:solidFill>
              <a:ln>
                <a:noFill/>
              </a:ln>
              <a:effectLst/>
            </c:spPr>
            <c:extLst>
              <c:ext xmlns:c16="http://schemas.microsoft.com/office/drawing/2014/chart" uri="{C3380CC4-5D6E-409C-BE32-E72D297353CC}">
                <c16:uniqueId val="{00000003-D9D5-4892-B288-76D4090EE717}"/>
              </c:ext>
            </c:extLst>
          </c:dPt>
          <c:dPt>
            <c:idx val="15"/>
            <c:invertIfNegative val="0"/>
            <c:bubble3D val="0"/>
            <c:extLst>
              <c:ext xmlns:c16="http://schemas.microsoft.com/office/drawing/2014/chart" uri="{C3380CC4-5D6E-409C-BE32-E72D297353CC}">
                <c16:uniqueId val="{00000005-D9D5-4892-B288-76D4090EE717}"/>
              </c:ext>
            </c:extLst>
          </c:dPt>
          <c:dPt>
            <c:idx val="18"/>
            <c:invertIfNegative val="0"/>
            <c:bubble3D val="0"/>
            <c:spPr>
              <a:solidFill>
                <a:srgbClr val="632827"/>
              </a:solidFill>
              <a:ln>
                <a:noFill/>
              </a:ln>
              <a:effectLst/>
            </c:spPr>
            <c:extLst>
              <c:ext xmlns:c16="http://schemas.microsoft.com/office/drawing/2014/chart" uri="{C3380CC4-5D6E-409C-BE32-E72D297353CC}">
                <c16:uniqueId val="{00000007-D9D5-4892-B288-76D4090EE717}"/>
              </c:ext>
            </c:extLst>
          </c:dPt>
          <c:cat>
            <c:strRef>
              <c:f>'G6.1'!$D$2:$D$29</c:f>
              <c:strCache>
                <c:ptCount val="28"/>
                <c:pt idx="0">
                  <c:v>Rumunsko</c:v>
                </c:pt>
                <c:pt idx="1">
                  <c:v>Bulharsko</c:v>
                </c:pt>
                <c:pt idx="2">
                  <c:v>Řecko</c:v>
                </c:pt>
                <c:pt idx="3">
                  <c:v>Lotyšsko</c:v>
                </c:pt>
                <c:pt idx="4">
                  <c:v>Litva</c:v>
                </c:pt>
                <c:pt idx="5">
                  <c:v>Polsko</c:v>
                </c:pt>
                <c:pt idx="6">
                  <c:v>Slovensko</c:v>
                </c:pt>
                <c:pt idx="7">
                  <c:v>Irsko</c:v>
                </c:pt>
                <c:pt idx="8">
                  <c:v>Maďarsko</c:v>
                </c:pt>
                <c:pt idx="9">
                  <c:v>Chorvatsko</c:v>
                </c:pt>
                <c:pt idx="10">
                  <c:v>Kypr</c:v>
                </c:pt>
                <c:pt idx="11">
                  <c:v>Česko</c:v>
                </c:pt>
                <c:pt idx="12">
                  <c:v>Švédsko</c:v>
                </c:pt>
                <c:pt idx="13">
                  <c:v>Estonsko</c:v>
                </c:pt>
                <c:pt idx="14">
                  <c:v>Malta</c:v>
                </c:pt>
                <c:pt idx="15">
                  <c:v>Nizozemsko</c:v>
                </c:pt>
                <c:pt idx="16">
                  <c:v>Itálie</c:v>
                </c:pt>
                <c:pt idx="17">
                  <c:v>Slovinsko</c:v>
                </c:pt>
                <c:pt idx="18">
                  <c:v>EU27</c:v>
                </c:pt>
                <c:pt idx="19">
                  <c:v>Rakousko</c:v>
                </c:pt>
                <c:pt idx="20">
                  <c:v>Belgie</c:v>
                </c:pt>
                <c:pt idx="21">
                  <c:v>Finsko</c:v>
                </c:pt>
                <c:pt idx="22">
                  <c:v>Dánsko</c:v>
                </c:pt>
                <c:pt idx="23">
                  <c:v>Německo</c:v>
                </c:pt>
                <c:pt idx="24">
                  <c:v>Lucembursko</c:v>
                </c:pt>
                <c:pt idx="25">
                  <c:v>Portugalsko</c:v>
                </c:pt>
                <c:pt idx="26">
                  <c:v>Francie</c:v>
                </c:pt>
                <c:pt idx="27">
                  <c:v>Španělsko</c:v>
                </c:pt>
              </c:strCache>
            </c:strRef>
          </c:cat>
          <c:val>
            <c:numRef>
              <c:f>'G6.1'!$E$2:$E$29</c:f>
              <c:numCache>
                <c:formatCode>#,##0.00</c:formatCode>
                <c:ptCount val="28"/>
                <c:pt idx="0">
                  <c:v>79.84</c:v>
                </c:pt>
                <c:pt idx="1">
                  <c:v>83.13</c:v>
                </c:pt>
                <c:pt idx="2">
                  <c:v>197.23</c:v>
                </c:pt>
                <c:pt idx="3">
                  <c:v>266.20999999999998</c:v>
                </c:pt>
                <c:pt idx="4">
                  <c:v>437.73</c:v>
                </c:pt>
                <c:pt idx="5">
                  <c:v>479.12</c:v>
                </c:pt>
                <c:pt idx="6">
                  <c:v>520.76</c:v>
                </c:pt>
                <c:pt idx="7">
                  <c:v>559.51</c:v>
                </c:pt>
                <c:pt idx="8" formatCode="#,##0">
                  <c:v>605</c:v>
                </c:pt>
                <c:pt idx="9">
                  <c:v>791.89</c:v>
                </c:pt>
                <c:pt idx="10">
                  <c:v>818.92</c:v>
                </c:pt>
                <c:pt idx="11" formatCode="#\ ##0.0">
                  <c:v>933.8</c:v>
                </c:pt>
                <c:pt idx="12">
                  <c:v>968.21</c:v>
                </c:pt>
                <c:pt idx="13">
                  <c:v>1177.98</c:v>
                </c:pt>
                <c:pt idx="14">
                  <c:v>1187.05</c:v>
                </c:pt>
                <c:pt idx="15">
                  <c:v>1327.16</c:v>
                </c:pt>
                <c:pt idx="16">
                  <c:v>1354.38</c:v>
                </c:pt>
                <c:pt idx="17">
                  <c:v>1477.03</c:v>
                </c:pt>
                <c:pt idx="18">
                  <c:v>1712.53</c:v>
                </c:pt>
                <c:pt idx="19">
                  <c:v>1721.63</c:v>
                </c:pt>
                <c:pt idx="20">
                  <c:v>1746.04</c:v>
                </c:pt>
                <c:pt idx="21">
                  <c:v>1850.63</c:v>
                </c:pt>
                <c:pt idx="22">
                  <c:v>1933.89</c:v>
                </c:pt>
                <c:pt idx="23">
                  <c:v>1939.49</c:v>
                </c:pt>
                <c:pt idx="24" formatCode="#\ ##0.0">
                  <c:v>2289.3000000000002</c:v>
                </c:pt>
                <c:pt idx="25">
                  <c:v>3283.67</c:v>
                </c:pt>
                <c:pt idx="26">
                  <c:v>3406.89</c:v>
                </c:pt>
                <c:pt idx="27">
                  <c:v>3697.21</c:v>
                </c:pt>
              </c:numCache>
            </c:numRef>
          </c:val>
          <c:extLst>
            <c:ext xmlns:c16="http://schemas.microsoft.com/office/drawing/2014/chart" uri="{C3380CC4-5D6E-409C-BE32-E72D297353CC}">
              <c16:uniqueId val="{00000008-D9D5-4892-B288-76D4090EE717}"/>
            </c:ext>
          </c:extLst>
        </c:ser>
        <c:dLbls>
          <c:showLegendKey val="0"/>
          <c:showVal val="0"/>
          <c:showCatName val="0"/>
          <c:showSerName val="0"/>
          <c:showPercent val="0"/>
          <c:showBubbleSize val="0"/>
        </c:dLbls>
        <c:gapWidth val="182"/>
        <c:axId val="876653215"/>
        <c:axId val="876650303"/>
      </c:barChart>
      <c:catAx>
        <c:axId val="876653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76650303"/>
        <c:crosses val="autoZero"/>
        <c:auto val="1"/>
        <c:lblAlgn val="ctr"/>
        <c:lblOffset val="100"/>
        <c:noMultiLvlLbl val="0"/>
      </c:catAx>
      <c:valAx>
        <c:axId val="876650303"/>
        <c:scaling>
          <c:orientation val="minMax"/>
          <c:max val="4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layout>
            <c:manualLayout>
              <c:xMode val="edge"/>
              <c:yMode val="edge"/>
              <c:x val="0.48370446684818602"/>
              <c:y val="0.9519823905689087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766532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B44946"/>
            </a:solidFill>
            <a:ln>
              <a:noFill/>
            </a:ln>
            <a:effectLst/>
          </c:spPr>
          <c:invertIfNegative val="0"/>
          <c:dPt>
            <c:idx val="2"/>
            <c:invertIfNegative val="0"/>
            <c:bubble3D val="0"/>
            <c:extLst>
              <c:ext xmlns:c16="http://schemas.microsoft.com/office/drawing/2014/chart" uri="{C3380CC4-5D6E-409C-BE32-E72D297353CC}">
                <c16:uniqueId val="{00000001-21E2-4242-ADC8-231163BB17BF}"/>
              </c:ext>
            </c:extLst>
          </c:dPt>
          <c:dPt>
            <c:idx val="9"/>
            <c:invertIfNegative val="0"/>
            <c:bubble3D val="0"/>
            <c:spPr>
              <a:solidFill>
                <a:srgbClr val="632827"/>
              </a:solidFill>
              <a:ln>
                <a:noFill/>
              </a:ln>
              <a:effectLst/>
            </c:spPr>
            <c:extLst>
              <c:ext xmlns:c16="http://schemas.microsoft.com/office/drawing/2014/chart" uri="{C3380CC4-5D6E-409C-BE32-E72D297353CC}">
                <c16:uniqueId val="{00000003-21E2-4242-ADC8-231163BB17BF}"/>
              </c:ext>
            </c:extLst>
          </c:dPt>
          <c:dPt>
            <c:idx val="11"/>
            <c:invertIfNegative val="0"/>
            <c:bubble3D val="0"/>
            <c:spPr>
              <a:solidFill>
                <a:srgbClr val="632827"/>
              </a:solidFill>
              <a:ln>
                <a:noFill/>
              </a:ln>
              <a:effectLst/>
            </c:spPr>
            <c:extLst>
              <c:ext xmlns:c16="http://schemas.microsoft.com/office/drawing/2014/chart" uri="{C3380CC4-5D6E-409C-BE32-E72D297353CC}">
                <c16:uniqueId val="{00000005-21E2-4242-ADC8-231163BB17BF}"/>
              </c:ext>
            </c:extLst>
          </c:dPt>
          <c:dPt>
            <c:idx val="13"/>
            <c:invertIfNegative val="0"/>
            <c:bubble3D val="0"/>
            <c:extLst>
              <c:ext xmlns:c16="http://schemas.microsoft.com/office/drawing/2014/chart" uri="{C3380CC4-5D6E-409C-BE32-E72D297353CC}">
                <c16:uniqueId val="{00000007-21E2-4242-ADC8-231163BB17BF}"/>
              </c:ext>
            </c:extLst>
          </c:dPt>
          <c:cat>
            <c:strRef>
              <c:f>'G6.2'!$D$2:$D$29</c:f>
              <c:strCache>
                <c:ptCount val="28"/>
                <c:pt idx="0">
                  <c:v>Nizozemsko</c:v>
                </c:pt>
                <c:pt idx="1">
                  <c:v>Německo</c:v>
                </c:pt>
                <c:pt idx="2">
                  <c:v>Polsko</c:v>
                </c:pt>
                <c:pt idx="3">
                  <c:v>Švédsko</c:v>
                </c:pt>
                <c:pt idx="4">
                  <c:v>Finsko</c:v>
                </c:pt>
                <c:pt idx="5">
                  <c:v>Malta</c:v>
                </c:pt>
                <c:pt idx="6">
                  <c:v>Řecko</c:v>
                </c:pt>
                <c:pt idx="7">
                  <c:v>Belgie</c:v>
                </c:pt>
                <c:pt idx="8">
                  <c:v>Slovinsko</c:v>
                </c:pt>
                <c:pt idx="9">
                  <c:v>EU27</c:v>
                </c:pt>
                <c:pt idx="10">
                  <c:v>Slovensko</c:v>
                </c:pt>
                <c:pt idx="11">
                  <c:v>Česko</c:v>
                </c:pt>
                <c:pt idx="12">
                  <c:v>Estonsko</c:v>
                </c:pt>
                <c:pt idx="13">
                  <c:v>Itálie</c:v>
                </c:pt>
                <c:pt idx="14">
                  <c:v>Maďarsko</c:v>
                </c:pt>
                <c:pt idx="15">
                  <c:v>Irsko</c:v>
                </c:pt>
                <c:pt idx="16">
                  <c:v>Portugalsko</c:v>
                </c:pt>
                <c:pt idx="17">
                  <c:v>Dánsko</c:v>
                </c:pt>
                <c:pt idx="18">
                  <c:v>Chorvatsko</c:v>
                </c:pt>
                <c:pt idx="19">
                  <c:v>Španělsko</c:v>
                </c:pt>
                <c:pt idx="20">
                  <c:v>Lotyšsko</c:v>
                </c:pt>
                <c:pt idx="21">
                  <c:v>Rumunsko</c:v>
                </c:pt>
                <c:pt idx="22">
                  <c:v>Rakousko</c:v>
                </c:pt>
                <c:pt idx="23">
                  <c:v>Litva</c:v>
                </c:pt>
                <c:pt idx="24">
                  <c:v>Kypr</c:v>
                </c:pt>
                <c:pt idx="25">
                  <c:v>Bulharsko</c:v>
                </c:pt>
                <c:pt idx="26">
                  <c:v>Francie</c:v>
                </c:pt>
                <c:pt idx="27">
                  <c:v>Lucembursko</c:v>
                </c:pt>
              </c:strCache>
            </c:strRef>
          </c:cat>
          <c:val>
            <c:numRef>
              <c:f>'G6.2'!$E$2:$E$29</c:f>
              <c:numCache>
                <c:formatCode>#,##0.00</c:formatCode>
                <c:ptCount val="28"/>
                <c:pt idx="0">
                  <c:v>0.69</c:v>
                </c:pt>
                <c:pt idx="1">
                  <c:v>1.05</c:v>
                </c:pt>
                <c:pt idx="2">
                  <c:v>1.08</c:v>
                </c:pt>
                <c:pt idx="3">
                  <c:v>1.1399999999999999</c:v>
                </c:pt>
                <c:pt idx="4">
                  <c:v>1.32</c:v>
                </c:pt>
                <c:pt idx="5">
                  <c:v>1.46</c:v>
                </c:pt>
                <c:pt idx="6">
                  <c:v>1.57</c:v>
                </c:pt>
                <c:pt idx="7">
                  <c:v>1.89</c:v>
                </c:pt>
                <c:pt idx="8" formatCode="#\ ##0.0">
                  <c:v>1.9</c:v>
                </c:pt>
                <c:pt idx="9">
                  <c:v>2.17</c:v>
                </c:pt>
                <c:pt idx="10">
                  <c:v>2.2200000000000002</c:v>
                </c:pt>
                <c:pt idx="11">
                  <c:v>2.4300000000000002</c:v>
                </c:pt>
                <c:pt idx="12" formatCode="#\ ##0.0">
                  <c:v>2.5</c:v>
                </c:pt>
                <c:pt idx="13">
                  <c:v>2.61</c:v>
                </c:pt>
                <c:pt idx="14">
                  <c:v>2.62</c:v>
                </c:pt>
                <c:pt idx="15">
                  <c:v>2.69</c:v>
                </c:pt>
                <c:pt idx="16">
                  <c:v>2.71</c:v>
                </c:pt>
                <c:pt idx="17">
                  <c:v>2.88</c:v>
                </c:pt>
                <c:pt idx="18">
                  <c:v>3.03</c:v>
                </c:pt>
                <c:pt idx="19">
                  <c:v>3.27</c:v>
                </c:pt>
                <c:pt idx="20">
                  <c:v>3.36</c:v>
                </c:pt>
                <c:pt idx="21">
                  <c:v>3.38</c:v>
                </c:pt>
                <c:pt idx="22">
                  <c:v>3.54</c:v>
                </c:pt>
                <c:pt idx="23">
                  <c:v>3.62</c:v>
                </c:pt>
                <c:pt idx="24">
                  <c:v>3.89</c:v>
                </c:pt>
                <c:pt idx="25">
                  <c:v>4.07</c:v>
                </c:pt>
                <c:pt idx="26">
                  <c:v>4.8099999999999996</c:v>
                </c:pt>
                <c:pt idx="27" formatCode="#\ ##0.0">
                  <c:v>5.2</c:v>
                </c:pt>
              </c:numCache>
            </c:numRef>
          </c:val>
          <c:extLst>
            <c:ext xmlns:c16="http://schemas.microsoft.com/office/drawing/2014/chart" uri="{C3380CC4-5D6E-409C-BE32-E72D297353CC}">
              <c16:uniqueId val="{00000008-21E2-4242-ADC8-231163BB17BF}"/>
            </c:ext>
          </c:extLst>
        </c:ser>
        <c:dLbls>
          <c:showLegendKey val="0"/>
          <c:showVal val="0"/>
          <c:showCatName val="0"/>
          <c:showSerName val="0"/>
          <c:showPercent val="0"/>
          <c:showBubbleSize val="0"/>
        </c:dLbls>
        <c:gapWidth val="182"/>
        <c:axId val="676317471"/>
        <c:axId val="676319135"/>
      </c:barChart>
      <c:catAx>
        <c:axId val="6763174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76319135"/>
        <c:crosses val="autoZero"/>
        <c:auto val="1"/>
        <c:lblAlgn val="ctr"/>
        <c:lblOffset val="100"/>
        <c:noMultiLvlLbl val="0"/>
      </c:catAx>
      <c:valAx>
        <c:axId val="676319135"/>
        <c:scaling>
          <c:orientation val="minMax"/>
          <c:max val="5.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layout>
            <c:manualLayout>
              <c:xMode val="edge"/>
              <c:yMode val="edge"/>
              <c:x val="0.49132251822463469"/>
              <c:y val="0.9488184052040399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76317471"/>
        <c:crosses val="autoZero"/>
        <c:crossBetween val="between"/>
        <c:maj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364546177940662"/>
          <c:y val="3.5214081196058747E-2"/>
          <c:w val="0.43911109731329234"/>
          <c:h val="0.86283926322160209"/>
        </c:manualLayout>
      </c:layout>
      <c:barChart>
        <c:barDir val="bar"/>
        <c:grouping val="clustered"/>
        <c:varyColors val="0"/>
        <c:ser>
          <c:idx val="1"/>
          <c:order val="0"/>
          <c:tx>
            <c:strRef>
              <c:f>'G1.2'!$T$27</c:f>
              <c:strCache>
                <c:ptCount val="1"/>
                <c:pt idx="0">
                  <c:v> 2011</c:v>
                </c:pt>
              </c:strCache>
            </c:strRef>
          </c:tx>
          <c:spPr>
            <a:solidFill>
              <a:srgbClr val="B44946"/>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extLst>
                <c:ext xmlns:c16="http://schemas.microsoft.com/office/drawing/2014/chart" uri="{C3380CC4-5D6E-409C-BE32-E72D297353CC}">
                  <c16:uniqueId val="{00000009-3498-47AB-9CEB-CDEBEECF1867}"/>
                </c:ext>
              </c:extLst>
            </c:dLbl>
            <c:dLbl>
              <c:idx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extLst>
                <c:ext xmlns:c16="http://schemas.microsoft.com/office/drawing/2014/chart" uri="{C3380CC4-5D6E-409C-BE32-E72D297353CC}">
                  <c16:uniqueId val="{00000000-3498-47AB-9CEB-CDEBEECF1867}"/>
                </c:ext>
              </c:extLst>
            </c:dLbl>
            <c:dLbl>
              <c:idx val="2"/>
              <c:layout>
                <c:manualLayout>
                  <c:x val="-1.6535729643964065E-2"/>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98-47AB-9CEB-CDEBEECF1867}"/>
                </c:ext>
              </c:extLst>
            </c:dLbl>
            <c:dLbl>
              <c:idx val="3"/>
              <c:layout>
                <c:manualLayout>
                  <c:x val="-4.510624731230637E-2"/>
                  <c:y val="-8.168471626940467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98-47AB-9CEB-CDEBEECF1867}"/>
                </c:ext>
              </c:extLst>
            </c:dLbl>
            <c:dLbl>
              <c:idx val="4"/>
              <c:layout>
                <c:manualLayout>
                  <c:x val="-4.97428711241603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98-47AB-9CEB-CDEBEECF1867}"/>
                </c:ext>
              </c:extLst>
            </c:dLbl>
            <c:dLbl>
              <c:idx val="5"/>
              <c:layout>
                <c:manualLayout>
                  <c:x val="-4.71222029449709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98-47AB-9CEB-CDEBEECF186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'G1.2'!$R$28:$R$46</c:f>
              <c:strCache>
                <c:ptCount val="19"/>
                <c:pt idx="0">
                  <c:v>B – Těžba a dobývání</c:v>
                </c:pt>
                <c:pt idx="1">
                  <c:v>D – Výroba a rozvod elektřiny, plynu, tepla a klimatiz. vzduchu</c:v>
                </c:pt>
                <c:pt idx="2">
                  <c:v>E – Zásobování vodou; činnosti související s odpady a sanacemi</c:v>
                </c:pt>
                <c:pt idx="3">
                  <c:v>R – Kulturní, zábavní a rekreační činnosti</c:v>
                </c:pt>
                <c:pt idx="4">
                  <c:v>L – Činnosti v oblasti nemovitostí</c:v>
                </c:pt>
                <c:pt idx="5">
                  <c:v>S – Ostatní činnosti</c:v>
                </c:pt>
                <c:pt idx="6">
                  <c:v>K – Peněžnictví a pojišťovnictví</c:v>
                </c:pt>
                <c:pt idx="7">
                  <c:v>A – Zemědělství, lesnictví, rybářství</c:v>
                </c:pt>
                <c:pt idx="8">
                  <c:v>I – Ubytování, stravování a pohostinství</c:v>
                </c:pt>
                <c:pt idx="9">
                  <c:v>J – Informační a komunikační činnosti</c:v>
                </c:pt>
                <c:pt idx="10">
                  <c:v>M – Profesní, vědecké a technické činnosti</c:v>
                </c:pt>
                <c:pt idx="11">
                  <c:v>F – Stavebnictví</c:v>
                </c:pt>
                <c:pt idx="12">
                  <c:v>N – Administrativní a podpůrné činnosti</c:v>
                </c:pt>
                <c:pt idx="13">
                  <c:v>O – Veřejná správa a obrana; povinné sociální zabezpečení</c:v>
                </c:pt>
                <c:pt idx="14">
                  <c:v>H – Doprava a skladování</c:v>
                </c:pt>
                <c:pt idx="15">
                  <c:v>P – Vzdělávání</c:v>
                </c:pt>
                <c:pt idx="16">
                  <c:v>Q – Zdravotní a sociální péče</c:v>
                </c:pt>
                <c:pt idx="17">
                  <c:v>G – Velkoobchod a maloobchod; opravy a údržba motor. vozidel</c:v>
                </c:pt>
                <c:pt idx="18">
                  <c:v>C – Zpracovatelský průmysl</c:v>
                </c:pt>
              </c:strCache>
            </c:strRef>
          </c:cat>
          <c:val>
            <c:numRef>
              <c:f>'G1.2'!$T$28:$T$46</c:f>
              <c:numCache>
                <c:formatCode>#\ ###\ ###\ ##0</c:formatCode>
                <c:ptCount val="19"/>
                <c:pt idx="0">
                  <c:v>35.216000000000001</c:v>
                </c:pt>
                <c:pt idx="1">
                  <c:v>30.457000000000001</c:v>
                </c:pt>
                <c:pt idx="2">
                  <c:v>54.171999999999997</c:v>
                </c:pt>
                <c:pt idx="3">
                  <c:v>61.610999999999997</c:v>
                </c:pt>
                <c:pt idx="4">
                  <c:v>65.144000000000005</c:v>
                </c:pt>
                <c:pt idx="5">
                  <c:v>65.5</c:v>
                </c:pt>
                <c:pt idx="6">
                  <c:v>84.748999999999995</c:v>
                </c:pt>
                <c:pt idx="7">
                  <c:v>110.818</c:v>
                </c:pt>
                <c:pt idx="8">
                  <c:v>133.393</c:v>
                </c:pt>
                <c:pt idx="9">
                  <c:v>105.652</c:v>
                </c:pt>
                <c:pt idx="10">
                  <c:v>184.89400000000001</c:v>
                </c:pt>
                <c:pt idx="11">
                  <c:v>261.24</c:v>
                </c:pt>
                <c:pt idx="12">
                  <c:v>175.20400000000001</c:v>
                </c:pt>
                <c:pt idx="13">
                  <c:v>238.17099999999999</c:v>
                </c:pt>
                <c:pt idx="14">
                  <c:v>264.25200000000001</c:v>
                </c:pt>
                <c:pt idx="15">
                  <c:v>316.13799999999998</c:v>
                </c:pt>
                <c:pt idx="16">
                  <c:v>312.38</c:v>
                </c:pt>
                <c:pt idx="17">
                  <c:v>595.85799999999995</c:v>
                </c:pt>
                <c:pt idx="18">
                  <c:v>1111.144</c:v>
                </c:pt>
              </c:numCache>
            </c:numRef>
          </c:val>
          <c:extLst>
            <c:ext xmlns:c16="http://schemas.microsoft.com/office/drawing/2014/chart" uri="{C3380CC4-5D6E-409C-BE32-E72D297353CC}">
              <c16:uniqueId val="{00000005-3498-47AB-9CEB-CDEBEECF1867}"/>
            </c:ext>
          </c:extLst>
        </c:ser>
        <c:ser>
          <c:idx val="0"/>
          <c:order val="1"/>
          <c:tx>
            <c:strRef>
              <c:f>'G1.2'!$S$27</c:f>
              <c:strCache>
                <c:ptCount val="1"/>
                <c:pt idx="0">
                  <c:v> 2021</c:v>
                </c:pt>
              </c:strCache>
            </c:strRef>
          </c:tx>
          <c:spPr>
            <a:solidFill>
              <a:srgbClr val="632827"/>
            </a:solidFill>
            <a:ln>
              <a:noFill/>
            </a:ln>
            <a:effectLst/>
          </c:spPr>
          <c:invertIfNegative val="0"/>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extLst>
                <c:ext xmlns:c16="http://schemas.microsoft.com/office/drawing/2014/chart" uri="{C3380CC4-5D6E-409C-BE32-E72D297353CC}">
                  <c16:uniqueId val="{00000008-3498-47AB-9CEB-CDEBEECF1867}"/>
                </c:ext>
              </c:extLst>
            </c:dLbl>
            <c:dLbl>
              <c:idx val="1"/>
              <c:layout>
                <c:manualLayout>
                  <c:x val="-5.426694544537934E-3"/>
                  <c:y val="-1.6336943253880935E-16"/>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498-47AB-9CEB-CDEBEECF186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'G1.2'!$R$28:$R$46</c:f>
              <c:strCache>
                <c:ptCount val="19"/>
                <c:pt idx="0">
                  <c:v>B – Těžba a dobývání</c:v>
                </c:pt>
                <c:pt idx="1">
                  <c:v>D – Výroba a rozvod elektřiny, plynu, tepla a klimatiz. vzduchu</c:v>
                </c:pt>
                <c:pt idx="2">
                  <c:v>E – Zásobování vodou; činnosti související s odpady a sanacemi</c:v>
                </c:pt>
                <c:pt idx="3">
                  <c:v>R – Kulturní, zábavní a rekreační činnosti</c:v>
                </c:pt>
                <c:pt idx="4">
                  <c:v>L – Činnosti v oblasti nemovitostí</c:v>
                </c:pt>
                <c:pt idx="5">
                  <c:v>S – Ostatní činnosti</c:v>
                </c:pt>
                <c:pt idx="6">
                  <c:v>K – Peněžnictví a pojišťovnictví</c:v>
                </c:pt>
                <c:pt idx="7">
                  <c:v>A – Zemědělství, lesnictví, rybářství</c:v>
                </c:pt>
                <c:pt idx="8">
                  <c:v>I – Ubytování, stravování a pohostinství</c:v>
                </c:pt>
                <c:pt idx="9">
                  <c:v>J – Informační a komunikační činnosti</c:v>
                </c:pt>
                <c:pt idx="10">
                  <c:v>M – Profesní, vědecké a technické činnosti</c:v>
                </c:pt>
                <c:pt idx="11">
                  <c:v>F – Stavebnictví</c:v>
                </c:pt>
                <c:pt idx="12">
                  <c:v>N – Administrativní a podpůrné činnosti</c:v>
                </c:pt>
                <c:pt idx="13">
                  <c:v>O – Veřejná správa a obrana; povinné sociální zabezpečení</c:v>
                </c:pt>
                <c:pt idx="14">
                  <c:v>H – Doprava a skladování</c:v>
                </c:pt>
                <c:pt idx="15">
                  <c:v>P – Vzdělávání</c:v>
                </c:pt>
                <c:pt idx="16">
                  <c:v>Q – Zdravotní a sociální péče</c:v>
                </c:pt>
                <c:pt idx="17">
                  <c:v>G – Velkoobchod a maloobchod; opravy a údržba motor. vozidel</c:v>
                </c:pt>
                <c:pt idx="18">
                  <c:v>C – Zpracovatelský průmysl</c:v>
                </c:pt>
              </c:strCache>
            </c:strRef>
          </c:cat>
          <c:val>
            <c:numRef>
              <c:f>'G1.2'!$S$28:$S$46</c:f>
              <c:numCache>
                <c:formatCode>#,##0</c:formatCode>
                <c:ptCount val="19"/>
                <c:pt idx="0">
                  <c:v>19.521681900000001</c:v>
                </c:pt>
                <c:pt idx="1">
                  <c:v>38.478481099999996</c:v>
                </c:pt>
                <c:pt idx="2">
                  <c:v>58.3238378</c:v>
                </c:pt>
                <c:pt idx="3">
                  <c:v>62.927400500000005</c:v>
                </c:pt>
                <c:pt idx="4">
                  <c:v>72.101154500000007</c:v>
                </c:pt>
                <c:pt idx="5">
                  <c:v>72.885483100000002</c:v>
                </c:pt>
                <c:pt idx="6">
                  <c:v>91.925982999999988</c:v>
                </c:pt>
                <c:pt idx="7">
                  <c:v>108.83451240000001</c:v>
                </c:pt>
                <c:pt idx="8">
                  <c:v>133.05191109999998</c:v>
                </c:pt>
                <c:pt idx="9">
                  <c:v>149.80732380000001</c:v>
                </c:pt>
                <c:pt idx="10">
                  <c:v>224.56177309999998</c:v>
                </c:pt>
                <c:pt idx="11">
                  <c:v>242.71170699999999</c:v>
                </c:pt>
                <c:pt idx="12">
                  <c:v>243.1538927</c:v>
                </c:pt>
                <c:pt idx="13">
                  <c:v>273.24539010000001</c:v>
                </c:pt>
                <c:pt idx="14">
                  <c:v>293.43469540000001</c:v>
                </c:pt>
                <c:pt idx="15">
                  <c:v>395.33046990000003</c:v>
                </c:pt>
                <c:pt idx="16">
                  <c:v>405.46103639999995</c:v>
                </c:pt>
                <c:pt idx="17">
                  <c:v>627.45595160000005</c:v>
                </c:pt>
                <c:pt idx="18">
                  <c:v>1194.8972856999999</c:v>
                </c:pt>
              </c:numCache>
            </c:numRef>
          </c:val>
          <c:extLst>
            <c:ext xmlns:c16="http://schemas.microsoft.com/office/drawing/2014/chart" uri="{C3380CC4-5D6E-409C-BE32-E72D297353CC}">
              <c16:uniqueId val="{00000007-3498-47AB-9CEB-CDEBEECF1867}"/>
            </c:ext>
          </c:extLst>
        </c:ser>
        <c:dLbls>
          <c:showLegendKey val="0"/>
          <c:showVal val="0"/>
          <c:showCatName val="0"/>
          <c:showSerName val="0"/>
          <c:showPercent val="0"/>
          <c:showBubbleSize val="0"/>
        </c:dLbls>
        <c:gapWidth val="71"/>
        <c:axId val="1399933295"/>
        <c:axId val="1399945775"/>
      </c:barChart>
      <c:catAx>
        <c:axId val="13999332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45775"/>
        <c:crosses val="autoZero"/>
        <c:auto val="1"/>
        <c:lblAlgn val="ctr"/>
        <c:lblOffset val="100"/>
        <c:noMultiLvlLbl val="0"/>
      </c:catAx>
      <c:valAx>
        <c:axId val="1399945775"/>
        <c:scaling>
          <c:orientation val="minMax"/>
          <c:max val="8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tisíce</a:t>
                </a:r>
                <a:endParaRPr lang="en-US"/>
              </a:p>
            </c:rich>
          </c:tx>
          <c:layout>
            <c:manualLayout>
              <c:xMode val="edge"/>
              <c:yMode val="edge"/>
              <c:x val="0.72112438788064959"/>
              <c:y val="0.9459679675783795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 ###\ ###\ ##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33295"/>
        <c:crosses val="autoZero"/>
        <c:crossBetween val="between"/>
      </c:valAx>
      <c:spPr>
        <a:noFill/>
        <a:ln>
          <a:noFill/>
        </a:ln>
        <a:effectLst/>
      </c:spPr>
    </c:plotArea>
    <c:legend>
      <c:legendPos val="b"/>
      <c:layout>
        <c:manualLayout>
          <c:xMode val="edge"/>
          <c:yMode val="edge"/>
          <c:x val="0.82079776884634903"/>
          <c:y val="0.43270510064825501"/>
          <c:w val="8.5339874935660864E-2"/>
          <c:h val="7.1024774962438919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5.4343627744891154E-2"/>
          <c:y val="3.6968576709796676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cs-CZ"/>
        </a:p>
      </c:txPr>
    </c:title>
    <c:autoTitleDeleted val="0"/>
    <c:plotArea>
      <c:layout/>
      <c:doughnutChart>
        <c:varyColors val="1"/>
        <c:ser>
          <c:idx val="0"/>
          <c:order val="0"/>
          <c:tx>
            <c:strRef>
              <c:f>'G2.1'!$A$15</c:f>
              <c:strCache>
                <c:ptCount val="1"/>
                <c:pt idx="0">
                  <c:v>muži</c:v>
                </c:pt>
              </c:strCache>
            </c:strRef>
          </c:tx>
          <c:dPt>
            <c:idx val="0"/>
            <c:bubble3D val="0"/>
            <c:spPr>
              <a:solidFill>
                <a:srgbClr val="632827"/>
              </a:solidFill>
              <a:ln w="19050">
                <a:solidFill>
                  <a:schemeClr val="lt1"/>
                </a:solidFill>
              </a:ln>
              <a:effectLst/>
            </c:spPr>
            <c:extLst>
              <c:ext xmlns:c16="http://schemas.microsoft.com/office/drawing/2014/chart" uri="{C3380CC4-5D6E-409C-BE32-E72D297353CC}">
                <c16:uniqueId val="{00000001-664D-4AB3-BFCD-A9ED537ABAF8}"/>
              </c:ext>
            </c:extLst>
          </c:dPt>
          <c:dPt>
            <c:idx val="1"/>
            <c:bubble3D val="0"/>
            <c:spPr>
              <a:solidFill>
                <a:srgbClr val="B44946"/>
              </a:solidFill>
              <a:ln w="19050">
                <a:solidFill>
                  <a:schemeClr val="lt1"/>
                </a:solidFill>
              </a:ln>
              <a:effectLst/>
            </c:spPr>
            <c:extLst>
              <c:ext xmlns:c16="http://schemas.microsoft.com/office/drawing/2014/chart" uri="{C3380CC4-5D6E-409C-BE32-E72D297353CC}">
                <c16:uniqueId val="{00000003-664D-4AB3-BFCD-A9ED537ABAF8}"/>
              </c:ext>
            </c:extLst>
          </c:dPt>
          <c:dPt>
            <c:idx val="2"/>
            <c:bubble3D val="0"/>
            <c:spPr>
              <a:solidFill>
                <a:srgbClr val="F07373"/>
              </a:solidFill>
              <a:ln w="19050">
                <a:solidFill>
                  <a:schemeClr val="lt1"/>
                </a:solidFill>
              </a:ln>
              <a:effectLst/>
            </c:spPr>
            <c:extLst>
              <c:ext xmlns:c16="http://schemas.microsoft.com/office/drawing/2014/chart" uri="{C3380CC4-5D6E-409C-BE32-E72D297353CC}">
                <c16:uniqueId val="{00000005-664D-4AB3-BFCD-A9ED537ABAF8}"/>
              </c:ext>
            </c:extLst>
          </c:dPt>
          <c:dLbls>
            <c:dLbl>
              <c:idx val="0"/>
              <c:tx>
                <c:rich>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fld id="{FE2A0768-32E1-45A8-B09B-FCF760CCFADD}" type="CELLRANGE">
                      <a:rPr lang="cs-CZ"/>
                      <a:pPr>
                        <a:defRPr>
                          <a:solidFill>
                            <a:schemeClr val="bg1"/>
                          </a:solidFill>
                        </a:defRPr>
                      </a:pPr>
                      <a:t>[OBLAST BUNĚK]</a:t>
                    </a:fld>
                    <a:endParaRPr lang="cs-CZ"/>
                  </a:p>
                </c:rich>
              </c:tx>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64D-4AB3-BFCD-A9ED537ABAF8}"/>
                </c:ext>
              </c:extLst>
            </c:dLbl>
            <c:dLbl>
              <c:idx val="1"/>
              <c:layout>
                <c:manualLayout>
                  <c:x val="-5.2777777777777778E-2"/>
                  <c:y val="-0.12578616352201261"/>
                </c:manualLayout>
              </c:layout>
              <c:tx>
                <c:rich>
                  <a:bodyPr/>
                  <a:lstStyle/>
                  <a:p>
                    <a:fld id="{23CC5D44-5DFB-4013-9B5A-E2877461A97F}" type="CELLRANGE">
                      <a:rPr lang="en-US"/>
                      <a:pPr/>
                      <a:t>[OBLAST BUNĚK]</a:t>
                    </a:fld>
                    <a:endParaRPr lang="cs-CZ"/>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664D-4AB3-BFCD-A9ED537ABAF8}"/>
                </c:ext>
              </c:extLst>
            </c:dLbl>
            <c:dLbl>
              <c:idx val="2"/>
              <c:layout>
                <c:manualLayout>
                  <c:x val="1.6827934371055953E-2"/>
                  <c:y val="-0.14171287738755395"/>
                </c:manualLayout>
              </c:layout>
              <c:tx>
                <c:rich>
                  <a:bodyPr/>
                  <a:lstStyle/>
                  <a:p>
                    <a:fld id="{8BB3C515-9609-48CD-8DE3-7AFAC1C169BE}" type="CELLRANGE">
                      <a:rPr lang="en-US"/>
                      <a:pPr/>
                      <a:t>[OBLAST BUNĚK]</a:t>
                    </a:fld>
                    <a:endParaRPr lang="cs-CZ"/>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664D-4AB3-BFCD-A9ED537ABAF8}"/>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ext>
            </c:extLst>
          </c:dLbls>
          <c:cat>
            <c:strRef>
              <c:f>'G2.1'!$B$14:$D$14</c:f>
              <c:strCache>
                <c:ptCount val="3"/>
                <c:pt idx="0">
                  <c:v> nemoc</c:v>
                </c:pt>
                <c:pt idx="1">
                  <c:v> pracovní úraz</c:v>
                </c:pt>
                <c:pt idx="2">
                  <c:v> ostatní úraz</c:v>
                </c:pt>
              </c:strCache>
            </c:strRef>
          </c:cat>
          <c:val>
            <c:numRef>
              <c:f>'G2.1'!$B$15:$D$15</c:f>
              <c:numCache>
                <c:formatCode>#\ ##0.0</c:formatCode>
                <c:ptCount val="3"/>
                <c:pt idx="0">
                  <c:v>1213.4749999999999</c:v>
                </c:pt>
                <c:pt idx="1">
                  <c:v>31.115000000000002</c:v>
                </c:pt>
                <c:pt idx="2">
                  <c:v>98.296000000000006</c:v>
                </c:pt>
              </c:numCache>
            </c:numRef>
          </c:val>
          <c:extLst>
            <c:ext xmlns:c15="http://schemas.microsoft.com/office/drawing/2012/chart" uri="{02D57815-91ED-43cb-92C2-25804820EDAC}">
              <c15:datalabelsRange>
                <c15:f>'G2.1'!$C$18:$C$20</c15:f>
                <c15:dlblRangeCache>
                  <c:ptCount val="3"/>
                  <c:pt idx="0">
                    <c:v>1 213,5 tis.
90 %</c:v>
                  </c:pt>
                  <c:pt idx="1">
                    <c:v>31,1 tis.
2 %</c:v>
                  </c:pt>
                  <c:pt idx="2">
                    <c:v>98,3 tis.
7 %</c:v>
                  </c:pt>
                </c15:dlblRangeCache>
              </c15:datalabelsRange>
            </c:ext>
            <c:ext xmlns:c16="http://schemas.microsoft.com/office/drawing/2014/chart" uri="{C3380CC4-5D6E-409C-BE32-E72D297353CC}">
              <c16:uniqueId val="{00000006-664D-4AB3-BFCD-A9ED537ABAF8}"/>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r"/>
      <c:layout>
        <c:manualLayout>
          <c:xMode val="edge"/>
          <c:yMode val="edge"/>
          <c:x val="0.68649227008172153"/>
          <c:y val="0.31992731677771047"/>
          <c:w val="0.29344041818079425"/>
          <c:h val="0.4022413016990056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7.1246816852608058E-2"/>
          <c:y val="4.9291435613062227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cs-CZ"/>
        </a:p>
      </c:txPr>
    </c:title>
    <c:autoTitleDeleted val="0"/>
    <c:plotArea>
      <c:layout/>
      <c:doughnutChart>
        <c:varyColors val="1"/>
        <c:ser>
          <c:idx val="0"/>
          <c:order val="0"/>
          <c:tx>
            <c:strRef>
              <c:f>'G2.1'!$A$11</c:f>
              <c:strCache>
                <c:ptCount val="1"/>
                <c:pt idx="0">
                  <c:v>ženy</c:v>
                </c:pt>
              </c:strCache>
            </c:strRef>
          </c:tx>
          <c:dPt>
            <c:idx val="0"/>
            <c:bubble3D val="0"/>
            <c:spPr>
              <a:solidFill>
                <a:srgbClr val="632827"/>
              </a:solidFill>
              <a:ln w="19050">
                <a:solidFill>
                  <a:schemeClr val="lt1"/>
                </a:solidFill>
              </a:ln>
              <a:effectLst/>
            </c:spPr>
            <c:extLst>
              <c:ext xmlns:c16="http://schemas.microsoft.com/office/drawing/2014/chart" uri="{C3380CC4-5D6E-409C-BE32-E72D297353CC}">
                <c16:uniqueId val="{00000001-7B6E-430A-9305-959C73C50C6F}"/>
              </c:ext>
            </c:extLst>
          </c:dPt>
          <c:dPt>
            <c:idx val="1"/>
            <c:bubble3D val="0"/>
            <c:spPr>
              <a:solidFill>
                <a:srgbClr val="B44946"/>
              </a:solidFill>
              <a:ln w="19050">
                <a:solidFill>
                  <a:schemeClr val="lt1"/>
                </a:solidFill>
              </a:ln>
              <a:effectLst/>
            </c:spPr>
            <c:extLst>
              <c:ext xmlns:c16="http://schemas.microsoft.com/office/drawing/2014/chart" uri="{C3380CC4-5D6E-409C-BE32-E72D297353CC}">
                <c16:uniqueId val="{00000003-7B6E-430A-9305-959C73C50C6F}"/>
              </c:ext>
            </c:extLst>
          </c:dPt>
          <c:dPt>
            <c:idx val="2"/>
            <c:bubble3D val="0"/>
            <c:spPr>
              <a:solidFill>
                <a:srgbClr val="F07373"/>
              </a:solidFill>
              <a:ln w="19050">
                <a:solidFill>
                  <a:schemeClr val="lt1"/>
                </a:solidFill>
              </a:ln>
              <a:effectLst/>
            </c:spPr>
            <c:extLst>
              <c:ext xmlns:c16="http://schemas.microsoft.com/office/drawing/2014/chart" uri="{C3380CC4-5D6E-409C-BE32-E72D297353CC}">
                <c16:uniqueId val="{00000005-7B6E-430A-9305-959C73C50C6F}"/>
              </c:ext>
            </c:extLst>
          </c:dPt>
          <c:dLbls>
            <c:dLbl>
              <c:idx val="0"/>
              <c:tx>
                <c:rich>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fld id="{C52712FA-4381-44F2-BD40-5E919737A595}" type="CELLRANGE">
                      <a:rPr lang="cs-CZ"/>
                      <a:pPr>
                        <a:defRPr>
                          <a:solidFill>
                            <a:schemeClr val="bg1"/>
                          </a:solidFill>
                        </a:defRPr>
                      </a:pPr>
                      <a:t>[OBLAST BUNĚK]</a:t>
                    </a:fld>
                    <a:endParaRPr lang="cs-CZ"/>
                  </a:p>
                </c:rich>
              </c:tx>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B6E-430A-9305-959C73C50C6F}"/>
                </c:ext>
              </c:extLst>
            </c:dLbl>
            <c:dLbl>
              <c:idx val="1"/>
              <c:layout>
                <c:manualLayout>
                  <c:x val="-9.8393935249408954E-2"/>
                  <c:y val="-0.11346345107970564"/>
                </c:manualLayout>
              </c:layout>
              <c:tx>
                <c:rich>
                  <a:bodyPr/>
                  <a:lstStyle/>
                  <a:p>
                    <a:fld id="{410CEEC7-4396-4905-939A-678B47D6C135}" type="CELLRANGE">
                      <a:rPr lang="en-US"/>
                      <a:pPr/>
                      <a:t>[OBLAST BUNĚK]</a:t>
                    </a:fld>
                    <a:endParaRPr lang="cs-CZ"/>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7B6E-430A-9305-959C73C50C6F}"/>
                </c:ext>
              </c:extLst>
            </c:dLbl>
            <c:dLbl>
              <c:idx val="2"/>
              <c:layout>
                <c:manualLayout>
                  <c:x val="2.7158515855493248E-3"/>
                  <c:y val="-0.1464945347635612"/>
                </c:manualLayout>
              </c:layout>
              <c:tx>
                <c:rich>
                  <a:bodyPr/>
                  <a:lstStyle/>
                  <a:p>
                    <a:fld id="{58822148-498D-4120-9F48-43EE3D94DFFD}" type="CELLRANGE">
                      <a:rPr lang="en-US"/>
                      <a:pPr/>
                      <a:t>[OBLAST BUNĚK]</a:t>
                    </a:fld>
                    <a:endParaRPr lang="cs-CZ"/>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7B6E-430A-9305-959C73C50C6F}"/>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howLeaderLines val="0"/>
            <c:extLst>
              <c:ext xmlns:c15="http://schemas.microsoft.com/office/drawing/2012/chart" uri="{CE6537A1-D6FC-4f65-9D91-7224C49458BB}">
                <c15:showDataLabelsRange val="1"/>
              </c:ext>
            </c:extLst>
          </c:dLbls>
          <c:cat>
            <c:strRef>
              <c:f>'G2.1'!$B$10:$D$10</c:f>
              <c:strCache>
                <c:ptCount val="3"/>
                <c:pt idx="0">
                  <c:v> nemoc</c:v>
                </c:pt>
                <c:pt idx="1">
                  <c:v>pracovní úraz</c:v>
                </c:pt>
                <c:pt idx="2">
                  <c:v>ostatní úraz</c:v>
                </c:pt>
              </c:strCache>
            </c:strRef>
          </c:cat>
          <c:val>
            <c:numRef>
              <c:f>'G2.1'!$B$11:$D$11</c:f>
              <c:numCache>
                <c:formatCode>#\ ##0.0</c:formatCode>
                <c:ptCount val="3"/>
                <c:pt idx="0">
                  <c:v>1336.2739999999999</c:v>
                </c:pt>
                <c:pt idx="1">
                  <c:v>13.818</c:v>
                </c:pt>
                <c:pt idx="2">
                  <c:v>61.795000000000002</c:v>
                </c:pt>
              </c:numCache>
            </c:numRef>
          </c:val>
          <c:extLst>
            <c:ext xmlns:c15="http://schemas.microsoft.com/office/drawing/2012/chart" uri="{02D57815-91ED-43cb-92C2-25804820EDAC}">
              <c15:datalabelsRange>
                <c15:f>'G2.1'!$E$18:$E$20</c15:f>
                <c15:dlblRangeCache>
                  <c:ptCount val="3"/>
                  <c:pt idx="0">
                    <c:v>1 336,3 tis.
95 %</c:v>
                  </c:pt>
                  <c:pt idx="1">
                    <c:v>13,8 tis.
1 %</c:v>
                  </c:pt>
                  <c:pt idx="2">
                    <c:v>61,8 tis.
4 %</c:v>
                  </c:pt>
                </c15:dlblRangeCache>
              </c15:datalabelsRange>
            </c:ext>
            <c:ext xmlns:c16="http://schemas.microsoft.com/office/drawing/2014/chart" uri="{C3380CC4-5D6E-409C-BE32-E72D297353CC}">
              <c16:uniqueId val="{00000006-7B6E-430A-9305-959C73C50C6F}"/>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'G2.2'!$A$4</c:f>
              <c:strCache>
                <c:ptCount val="1"/>
                <c:pt idx="0">
                  <c:v> 1. pololetí</c:v>
                </c:pt>
              </c:strCache>
            </c:strRef>
          </c:tx>
          <c:spPr>
            <a:solidFill>
              <a:srgbClr val="63282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'G2.2'!$B$3:$H$3</c:f>
              <c:numCache>
                <c:formatCode>General</c:formatCode>
                <c:ptCount val="7"/>
                <c:pt idx="0">
                  <c:v>2015</c:v>
                </c:pt>
                <c:pt idx="1">
                  <c:v>2016</c:v>
                </c:pt>
                <c:pt idx="2">
                  <c:v>2017</c:v>
                </c:pt>
                <c:pt idx="3">
                  <c:v>2018</c:v>
                </c:pt>
                <c:pt idx="4">
                  <c:v>2019</c:v>
                </c:pt>
                <c:pt idx="5">
                  <c:v>2020</c:v>
                </c:pt>
                <c:pt idx="6">
                  <c:v>2021</c:v>
                </c:pt>
              </c:numCache>
            </c:numRef>
          </c:cat>
          <c:val>
            <c:numRef>
              <c:f>'G2.2'!$B$4:$H$4</c:f>
              <c:numCache>
                <c:formatCode>_-* #\ ##0_-;\-* #\ ##0_-;_-* "-"??_-;_-@_-</c:formatCode>
                <c:ptCount val="7"/>
                <c:pt idx="0">
                  <c:v>783.80700000000002</c:v>
                </c:pt>
                <c:pt idx="1">
                  <c:v>777.09199999999998</c:v>
                </c:pt>
                <c:pt idx="2">
                  <c:v>841.59900000000005</c:v>
                </c:pt>
                <c:pt idx="3">
                  <c:v>937.75099999999998</c:v>
                </c:pt>
                <c:pt idx="4">
                  <c:v>872.71400000000006</c:v>
                </c:pt>
                <c:pt idx="5" formatCode="#,##0">
                  <c:v>976.90099999999995</c:v>
                </c:pt>
                <c:pt idx="6" formatCode="#,##0">
                  <c:v>1399.434</c:v>
                </c:pt>
              </c:numCache>
            </c:numRef>
          </c:val>
          <c:extLst>
            <c:ext xmlns:c16="http://schemas.microsoft.com/office/drawing/2014/chart" uri="{C3380CC4-5D6E-409C-BE32-E72D297353CC}">
              <c16:uniqueId val="{00000000-066C-41FB-BD43-1D8EA584F18F}"/>
            </c:ext>
          </c:extLst>
        </c:ser>
        <c:ser>
          <c:idx val="1"/>
          <c:order val="1"/>
          <c:tx>
            <c:strRef>
              <c:f>'G2.2'!$A$5</c:f>
              <c:strCache>
                <c:ptCount val="1"/>
                <c:pt idx="0">
                  <c:v> 2. pololetí</c:v>
                </c:pt>
              </c:strCache>
            </c:strRef>
          </c:tx>
          <c:spPr>
            <a:solidFill>
              <a:srgbClr val="B449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'G2.2'!$B$3:$H$3</c:f>
              <c:numCache>
                <c:formatCode>General</c:formatCode>
                <c:ptCount val="7"/>
                <c:pt idx="0">
                  <c:v>2015</c:v>
                </c:pt>
                <c:pt idx="1">
                  <c:v>2016</c:v>
                </c:pt>
                <c:pt idx="2">
                  <c:v>2017</c:v>
                </c:pt>
                <c:pt idx="3">
                  <c:v>2018</c:v>
                </c:pt>
                <c:pt idx="4">
                  <c:v>2019</c:v>
                </c:pt>
                <c:pt idx="5">
                  <c:v>2020</c:v>
                </c:pt>
                <c:pt idx="6">
                  <c:v>2021</c:v>
                </c:pt>
              </c:numCache>
            </c:numRef>
          </c:cat>
          <c:val>
            <c:numRef>
              <c:f>'G2.2'!$B$5:$H$5</c:f>
              <c:numCache>
                <c:formatCode>_-* #\ ##0_-;\-* #\ ##0_-;_-* "-"??_-;_-@_-</c:formatCode>
                <c:ptCount val="7"/>
                <c:pt idx="0">
                  <c:v>600.048</c:v>
                </c:pt>
                <c:pt idx="1">
                  <c:v>663.84400000000005</c:v>
                </c:pt>
                <c:pt idx="2">
                  <c:v>669.27800000000002</c:v>
                </c:pt>
                <c:pt idx="3">
                  <c:v>712.51800000000003</c:v>
                </c:pt>
                <c:pt idx="4">
                  <c:v>838.52499999999998</c:v>
                </c:pt>
                <c:pt idx="5" formatCode="#,##0">
                  <c:v>1225.809</c:v>
                </c:pt>
                <c:pt idx="6" formatCode="#,##0">
                  <c:v>1355.3389999999999</c:v>
                </c:pt>
              </c:numCache>
            </c:numRef>
          </c:val>
          <c:extLst>
            <c:ext xmlns:c16="http://schemas.microsoft.com/office/drawing/2014/chart" uri="{C3380CC4-5D6E-409C-BE32-E72D297353CC}">
              <c16:uniqueId val="{00000001-066C-41FB-BD43-1D8EA584F18F}"/>
            </c:ext>
          </c:extLst>
        </c:ser>
        <c:dLbls>
          <c:showLegendKey val="0"/>
          <c:showVal val="0"/>
          <c:showCatName val="0"/>
          <c:showSerName val="0"/>
          <c:showPercent val="0"/>
          <c:showBubbleSize val="0"/>
        </c:dLbls>
        <c:gapWidth val="57"/>
        <c:overlap val="-5"/>
        <c:axId val="1315640191"/>
        <c:axId val="1315654751"/>
      </c:barChart>
      <c:catAx>
        <c:axId val="1315640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54751"/>
        <c:crosses val="autoZero"/>
        <c:auto val="1"/>
        <c:lblAlgn val="ctr"/>
        <c:lblOffset val="100"/>
        <c:noMultiLvlLbl val="0"/>
      </c:catAx>
      <c:valAx>
        <c:axId val="1315654751"/>
        <c:scaling>
          <c:orientation val="minMax"/>
          <c:max val="14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tisíce</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40191"/>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'G2.3'!$A$3</c:f>
              <c:strCache>
                <c:ptCount val="1"/>
                <c:pt idx="0">
                  <c:v> nemoc</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'G2.3'!$B$2:$L$2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'G2.3'!$B$3:$L$3</c:f>
              <c:numCache>
                <c:formatCode>General</c:formatCode>
                <c:ptCount val="11"/>
                <c:pt idx="0">
                  <c:v>27.175590644663423</c:v>
                </c:pt>
                <c:pt idx="1">
                  <c:v>23.87</c:v>
                </c:pt>
                <c:pt idx="2">
                  <c:v>26.31</c:v>
                </c:pt>
                <c:pt idx="3">
                  <c:v>25.68</c:v>
                </c:pt>
                <c:pt idx="4">
                  <c:v>30.704494485000001</c:v>
                </c:pt>
                <c:pt idx="5">
                  <c:v>31.521328864000001</c:v>
                </c:pt>
                <c:pt idx="6">
                  <c:v>32.340186242500003</c:v>
                </c:pt>
                <c:pt idx="7">
                  <c:v>34.869229084899999</c:v>
                </c:pt>
                <c:pt idx="8">
                  <c:v>36.156327396257865</c:v>
                </c:pt>
                <c:pt idx="9">
                  <c:v>46.962361146799999</c:v>
                </c:pt>
                <c:pt idx="10" formatCode="0.00">
                  <c:v>54.155900834699999</c:v>
                </c:pt>
              </c:numCache>
            </c:numRef>
          </c:val>
          <c:extLst>
            <c:ext xmlns:c16="http://schemas.microsoft.com/office/drawing/2014/chart" uri="{C3380CC4-5D6E-409C-BE32-E72D297353CC}">
              <c16:uniqueId val="{00000000-AFBD-482F-BF0A-C4789A60943E}"/>
            </c:ext>
          </c:extLst>
        </c:ser>
        <c:ser>
          <c:idx val="1"/>
          <c:order val="1"/>
          <c:tx>
            <c:strRef>
              <c:f>'G2.3'!$A$4</c:f>
              <c:strCache>
                <c:ptCount val="1"/>
                <c:pt idx="0">
                  <c:v> pracovní úrazy</c:v>
                </c:pt>
              </c:strCache>
            </c:strRef>
          </c:tx>
          <c:spPr>
            <a:solidFill>
              <a:srgbClr val="B44946"/>
            </a:solidFill>
            <a:ln>
              <a:noFill/>
            </a:ln>
            <a:effectLst/>
          </c:spPr>
          <c:invertIfNegative val="0"/>
          <c:cat>
            <c:numRef>
              <c:f>'G2.3'!$B$2:$L$2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'G2.3'!$B$4:$L$4</c:f>
              <c:numCache>
                <c:formatCode>General</c:formatCode>
                <c:ptCount val="11"/>
                <c:pt idx="0">
                  <c:v>1.1183663777751394</c:v>
                </c:pt>
                <c:pt idx="1">
                  <c:v>0.99</c:v>
                </c:pt>
                <c:pt idx="2">
                  <c:v>0.97</c:v>
                </c:pt>
                <c:pt idx="3">
                  <c:v>1.01</c:v>
                </c:pt>
                <c:pt idx="4">
                  <c:v>1.0279761491999999</c:v>
                </c:pt>
                <c:pt idx="5">
                  <c:v>1.0364437007</c:v>
                </c:pt>
                <c:pt idx="6">
                  <c:v>1.016540582</c:v>
                </c:pt>
                <c:pt idx="7">
                  <c:v>0.97666524430000001</c:v>
                </c:pt>
                <c:pt idx="8">
                  <c:v>0.94132771527418446</c:v>
                </c:pt>
                <c:pt idx="9">
                  <c:v>0.88176352420000004</c:v>
                </c:pt>
                <c:pt idx="10" formatCode="0.00">
                  <c:v>0.95436338720000002</c:v>
                </c:pt>
              </c:numCache>
            </c:numRef>
          </c:val>
          <c:extLst>
            <c:ext xmlns:c16="http://schemas.microsoft.com/office/drawing/2014/chart" uri="{C3380CC4-5D6E-409C-BE32-E72D297353CC}">
              <c16:uniqueId val="{00000001-AFBD-482F-BF0A-C4789A60943E}"/>
            </c:ext>
          </c:extLst>
        </c:ser>
        <c:ser>
          <c:idx val="2"/>
          <c:order val="2"/>
          <c:tx>
            <c:strRef>
              <c:f>'G2.3'!$A$5</c:f>
              <c:strCache>
                <c:ptCount val="1"/>
                <c:pt idx="0">
                  <c:v> ostatní úrazy</c:v>
                </c:pt>
              </c:strCache>
            </c:strRef>
          </c:tx>
          <c:spPr>
            <a:solidFill>
              <a:srgbClr val="F07373"/>
            </a:solidFill>
            <a:ln>
              <a:noFill/>
            </a:ln>
            <a:effectLst/>
          </c:spPr>
          <c:invertIfNegative val="0"/>
          <c:cat>
            <c:numRef>
              <c:f>'G2.3'!$B$2:$L$2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'G2.3'!$B$5:$L$5</c:f>
              <c:numCache>
                <c:formatCode>General</c:formatCode>
                <c:ptCount val="11"/>
                <c:pt idx="0">
                  <c:v>1.8307016502433813</c:v>
                </c:pt>
                <c:pt idx="1">
                  <c:v>2.58</c:v>
                </c:pt>
                <c:pt idx="2">
                  <c:v>2.71</c:v>
                </c:pt>
                <c:pt idx="3">
                  <c:v>2.76</c:v>
                </c:pt>
                <c:pt idx="4">
                  <c:v>2.9569928851</c:v>
                </c:pt>
                <c:pt idx="5">
                  <c:v>3.1726609424999999</c:v>
                </c:pt>
                <c:pt idx="6">
                  <c:v>3.1924353055000001</c:v>
                </c:pt>
                <c:pt idx="7">
                  <c:v>3.2320196819999998</c:v>
                </c:pt>
                <c:pt idx="8">
                  <c:v>3.3599348163568723</c:v>
                </c:pt>
                <c:pt idx="9">
                  <c:v>3.1333540811999998</c:v>
                </c:pt>
                <c:pt idx="10" formatCode="0.00">
                  <c:v>3.4002846242999998</c:v>
                </c:pt>
              </c:numCache>
            </c:numRef>
          </c:val>
          <c:extLst>
            <c:ext xmlns:c16="http://schemas.microsoft.com/office/drawing/2014/chart" uri="{C3380CC4-5D6E-409C-BE32-E72D297353CC}">
              <c16:uniqueId val="{00000002-AFBD-482F-BF0A-C4789A60943E}"/>
            </c:ext>
          </c:extLst>
        </c:ser>
        <c:dLbls>
          <c:showLegendKey val="0"/>
          <c:showVal val="0"/>
          <c:showCatName val="0"/>
          <c:showSerName val="0"/>
          <c:showPercent val="0"/>
          <c:showBubbleSize val="0"/>
        </c:dLbls>
        <c:gapWidth val="64"/>
        <c:overlap val="100"/>
        <c:axId val="1098100367"/>
        <c:axId val="1098102031"/>
      </c:barChart>
      <c:catAx>
        <c:axId val="1098100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098102031"/>
        <c:crosses val="autoZero"/>
        <c:auto val="1"/>
        <c:lblAlgn val="ctr"/>
        <c:lblOffset val="100"/>
        <c:noMultiLvlLbl val="0"/>
      </c:catAx>
      <c:valAx>
        <c:axId val="1098102031"/>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layout>
            <c:manualLayout>
              <c:xMode val="edge"/>
              <c:yMode val="edge"/>
              <c:x val="1.245071591616518E-2"/>
              <c:y val="0.3422951276263643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098100367"/>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710671601621484"/>
          <c:y val="2.8097062579821201E-2"/>
          <c:w val="0.43550671411082686"/>
          <c:h val="0.85924075582506232"/>
        </c:manualLayout>
      </c:layout>
      <c:barChart>
        <c:barDir val="bar"/>
        <c:grouping val="clustered"/>
        <c:varyColors val="0"/>
        <c:ser>
          <c:idx val="1"/>
          <c:order val="0"/>
          <c:tx>
            <c:strRef>
              <c:f>'G2.4'!$W$2</c:f>
              <c:strCache>
                <c:ptCount val="1"/>
                <c:pt idx="0">
                  <c:v> 2011</c:v>
                </c:pt>
              </c:strCache>
            </c:strRef>
          </c:tx>
          <c:spPr>
            <a:solidFill>
              <a:srgbClr val="B44946"/>
            </a:solidFill>
            <a:ln>
              <a:noFill/>
            </a:ln>
            <a:effectLst/>
          </c:spPr>
          <c:invertIfNegative val="0"/>
          <c:dPt>
            <c:idx val="14"/>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1-4AA9-42DC-8D8A-7B4DB76F6876}"/>
              </c:ext>
            </c:extLst>
          </c:dPt>
          <c:cat>
            <c:strRef>
              <c:f>'G2.4'!$U$3:$U$22</c:f>
              <c:strCache>
                <c:ptCount val="20"/>
                <c:pt idx="0">
                  <c:v>L – Činnosti v oblasti nemovitostí</c:v>
                </c:pt>
                <c:pt idx="1">
                  <c:v>J – Informační a komunikační činnosti</c:v>
                </c:pt>
                <c:pt idx="2">
                  <c:v>M – Profesní, vědecké a technické činnosti</c:v>
                </c:pt>
                <c:pt idx="3">
                  <c:v>K – Peněžnictví a pojišťovnictví</c:v>
                </c:pt>
                <c:pt idx="4">
                  <c:v>R – Kulturní, zábavní a rekreační činnosti</c:v>
                </c:pt>
                <c:pt idx="5">
                  <c:v>I – Ubytování, stravování a pohostinství</c:v>
                </c:pt>
                <c:pt idx="6">
                  <c:v>D – Výroba a rozvod elektřiny, plynu, tepla a klimatiz. vzduchu</c:v>
                </c:pt>
                <c:pt idx="7">
                  <c:v>S – Ostatní činnosti</c:v>
                </c:pt>
                <c:pt idx="8">
                  <c:v>Q – Zdravotní a sociální péče</c:v>
                </c:pt>
                <c:pt idx="9">
                  <c:v>F – Stavebnictví</c:v>
                </c:pt>
                <c:pt idx="10">
                  <c:v>O – Veřejná správa a obrana; povinné sociální zabezpečení</c:v>
                </c:pt>
                <c:pt idx="11">
                  <c:v>A – Zemědělství, lesnictví, rybářství</c:v>
                </c:pt>
                <c:pt idx="12">
                  <c:v>P – Vzdělávání</c:v>
                </c:pt>
                <c:pt idx="13">
                  <c:v>G – Velkoobchod a maloobchod; opravy a údržba motor. vozidel</c:v>
                </c:pt>
                <c:pt idx="14">
                  <c:v>CELKEM</c:v>
                </c:pt>
                <c:pt idx="15">
                  <c:v>H – Doprava a skladování</c:v>
                </c:pt>
                <c:pt idx="16">
                  <c:v>E – Zásobování vodou; činnosti související s odpady a sanacemi</c:v>
                </c:pt>
                <c:pt idx="17">
                  <c:v>N – Administrativní a podpůrné činnosti</c:v>
                </c:pt>
                <c:pt idx="18">
                  <c:v>B – Těžba a dobývání</c:v>
                </c:pt>
                <c:pt idx="19">
                  <c:v>C – Zpracovatelský průmysl</c:v>
                </c:pt>
              </c:strCache>
            </c:strRef>
          </c:cat>
          <c:val>
            <c:numRef>
              <c:f>'G2.4'!$W$3:$W$22</c:f>
              <c:numCache>
                <c:formatCode>##0.00</c:formatCode>
                <c:ptCount val="20"/>
                <c:pt idx="0">
                  <c:v>20.100000000000001</c:v>
                </c:pt>
                <c:pt idx="1">
                  <c:v>26.13</c:v>
                </c:pt>
                <c:pt idx="2">
                  <c:v>20.23</c:v>
                </c:pt>
                <c:pt idx="3">
                  <c:v>29.61</c:v>
                </c:pt>
                <c:pt idx="4">
                  <c:v>22.67</c:v>
                </c:pt>
                <c:pt idx="5">
                  <c:v>25.19</c:v>
                </c:pt>
                <c:pt idx="6">
                  <c:v>19.25</c:v>
                </c:pt>
                <c:pt idx="7">
                  <c:v>23.93</c:v>
                </c:pt>
                <c:pt idx="8">
                  <c:v>26.08</c:v>
                </c:pt>
                <c:pt idx="9">
                  <c:v>28.9</c:v>
                </c:pt>
                <c:pt idx="10">
                  <c:v>29.52</c:v>
                </c:pt>
                <c:pt idx="11">
                  <c:v>26.87</c:v>
                </c:pt>
                <c:pt idx="12">
                  <c:v>27.26</c:v>
                </c:pt>
                <c:pt idx="13">
                  <c:v>27.27</c:v>
                </c:pt>
                <c:pt idx="14">
                  <c:v>30.13</c:v>
                </c:pt>
                <c:pt idx="15">
                  <c:v>28.23</c:v>
                </c:pt>
                <c:pt idx="16">
                  <c:v>29.43</c:v>
                </c:pt>
                <c:pt idx="17">
                  <c:v>39.549999999999997</c:v>
                </c:pt>
                <c:pt idx="18">
                  <c:v>39.049999999999997</c:v>
                </c:pt>
                <c:pt idx="19">
                  <c:v>37.5</c:v>
                </c:pt>
              </c:numCache>
            </c:numRef>
          </c:val>
          <c:extLst>
            <c:ext xmlns:c16="http://schemas.microsoft.com/office/drawing/2014/chart" uri="{C3380CC4-5D6E-409C-BE32-E72D297353CC}">
              <c16:uniqueId val="{00000002-4AA9-42DC-8D8A-7B4DB76F6876}"/>
            </c:ext>
          </c:extLst>
        </c:ser>
        <c:ser>
          <c:idx val="0"/>
          <c:order val="1"/>
          <c:tx>
            <c:strRef>
              <c:f>'G2.4'!$V$2</c:f>
              <c:strCache>
                <c:ptCount val="1"/>
                <c:pt idx="0">
                  <c:v> 2021</c:v>
                </c:pt>
              </c:strCache>
            </c:strRef>
          </c:tx>
          <c:spPr>
            <a:solidFill>
              <a:srgbClr val="632827"/>
            </a:solidFill>
            <a:ln>
              <a:noFill/>
            </a:ln>
            <a:effectLst/>
          </c:spPr>
          <c:invertIfNegative val="0"/>
          <c:dPt>
            <c:idx val="14"/>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4-4AA9-42DC-8D8A-7B4DB76F6876}"/>
              </c:ext>
            </c:extLst>
          </c:dPt>
          <c:cat>
            <c:strRef>
              <c:f>'G2.4'!$U$3:$U$22</c:f>
              <c:strCache>
                <c:ptCount val="20"/>
                <c:pt idx="0">
                  <c:v>L – Činnosti v oblasti nemovitostí</c:v>
                </c:pt>
                <c:pt idx="1">
                  <c:v>J – Informační a komunikační činnosti</c:v>
                </c:pt>
                <c:pt idx="2">
                  <c:v>M – Profesní, vědecké a technické činnosti</c:v>
                </c:pt>
                <c:pt idx="3">
                  <c:v>K – Peněžnictví a pojišťovnictví</c:v>
                </c:pt>
                <c:pt idx="4">
                  <c:v>R – Kulturní, zábavní a rekreační činnosti</c:v>
                </c:pt>
                <c:pt idx="5">
                  <c:v>I – Ubytování, stravování a pohostinství</c:v>
                </c:pt>
                <c:pt idx="6">
                  <c:v>D – Výroba a rozvod elektřiny, plynu, tepla a klimatiz. vzduchu</c:v>
                </c:pt>
                <c:pt idx="7">
                  <c:v>S – Ostatní činnosti</c:v>
                </c:pt>
                <c:pt idx="8">
                  <c:v>Q – Zdravotní a sociální péče</c:v>
                </c:pt>
                <c:pt idx="9">
                  <c:v>F – Stavebnictví</c:v>
                </c:pt>
                <c:pt idx="10">
                  <c:v>O – Veřejná správa a obrana; povinné sociální zabezpečení</c:v>
                </c:pt>
                <c:pt idx="11">
                  <c:v>A – Zemědělství, lesnictví, rybářství</c:v>
                </c:pt>
                <c:pt idx="12">
                  <c:v>P – Vzdělávání</c:v>
                </c:pt>
                <c:pt idx="13">
                  <c:v>G – Velkoobchod a maloobchod; opravy a údržba motor. vozidel</c:v>
                </c:pt>
                <c:pt idx="14">
                  <c:v>CELKEM</c:v>
                </c:pt>
                <c:pt idx="15">
                  <c:v>H – Doprava a skladování</c:v>
                </c:pt>
                <c:pt idx="16">
                  <c:v>E – Zásobování vodou; činnosti související s odpady a sanacemi</c:v>
                </c:pt>
                <c:pt idx="17">
                  <c:v>N – Administrativní a podpůrné činnosti</c:v>
                </c:pt>
                <c:pt idx="18">
                  <c:v>B – Těžba a dobývání</c:v>
                </c:pt>
                <c:pt idx="19">
                  <c:v>C – Zpracovatelský průmysl</c:v>
                </c:pt>
              </c:strCache>
            </c:strRef>
          </c:cat>
          <c:val>
            <c:numRef>
              <c:f>'G2.4'!$V$3:$V$22</c:f>
              <c:numCache>
                <c:formatCode>#,##0.00</c:formatCode>
                <c:ptCount val="20"/>
                <c:pt idx="0">
                  <c:v>28.723534517099999</c:v>
                </c:pt>
                <c:pt idx="1">
                  <c:v>28.8577346577</c:v>
                </c:pt>
                <c:pt idx="2">
                  <c:v>30.2958954504</c:v>
                </c:pt>
                <c:pt idx="3">
                  <c:v>31.2207703017</c:v>
                </c:pt>
                <c:pt idx="4">
                  <c:v>36.473777428600002</c:v>
                </c:pt>
                <c:pt idx="5">
                  <c:v>39.189215373800003</c:v>
                </c:pt>
                <c:pt idx="6">
                  <c:v>41.916935229499998</c:v>
                </c:pt>
                <c:pt idx="7">
                  <c:v>44.214565959300003</c:v>
                </c:pt>
                <c:pt idx="8">
                  <c:v>52.058763000799999</c:v>
                </c:pt>
                <c:pt idx="9">
                  <c:v>52.442052166899998</c:v>
                </c:pt>
                <c:pt idx="10">
                  <c:v>52.747458958899998</c:v>
                </c:pt>
                <c:pt idx="11">
                  <c:v>52.806778596800001</c:v>
                </c:pt>
                <c:pt idx="12">
                  <c:v>55.711617689299999</c:v>
                </c:pt>
                <c:pt idx="13">
                  <c:v>56.935789530599997</c:v>
                </c:pt>
                <c:pt idx="14">
                  <c:v>58.510548846200003</c:v>
                </c:pt>
                <c:pt idx="15">
                  <c:v>61.170339708900002</c:v>
                </c:pt>
                <c:pt idx="16">
                  <c:v>65.624968184099998</c:v>
                </c:pt>
                <c:pt idx="17">
                  <c:v>66.385529841899995</c:v>
                </c:pt>
                <c:pt idx="18">
                  <c:v>70.070806757699998</c:v>
                </c:pt>
                <c:pt idx="19">
                  <c:v>80.368748970499993</c:v>
                </c:pt>
              </c:numCache>
            </c:numRef>
          </c:val>
          <c:extLst>
            <c:ext xmlns:c16="http://schemas.microsoft.com/office/drawing/2014/chart" uri="{C3380CC4-5D6E-409C-BE32-E72D297353CC}">
              <c16:uniqueId val="{00000005-4AA9-42DC-8D8A-7B4DB76F6876}"/>
            </c:ext>
          </c:extLst>
        </c:ser>
        <c:dLbls>
          <c:showLegendKey val="0"/>
          <c:showVal val="0"/>
          <c:showCatName val="0"/>
          <c:showSerName val="0"/>
          <c:showPercent val="0"/>
          <c:showBubbleSize val="0"/>
        </c:dLbls>
        <c:gapWidth val="182"/>
        <c:axId val="1399945359"/>
        <c:axId val="1399934543"/>
      </c:barChart>
      <c:catAx>
        <c:axId val="13999453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34543"/>
        <c:crosses val="autoZero"/>
        <c:auto val="1"/>
        <c:lblAlgn val="ctr"/>
        <c:lblOffset val="100"/>
        <c:noMultiLvlLbl val="0"/>
      </c:catAx>
      <c:valAx>
        <c:axId val="139993454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45359"/>
        <c:crosses val="autoZero"/>
        <c:crossBetween val="between"/>
        <c:majorUnit val="10"/>
      </c:valAx>
      <c:spPr>
        <a:noFill/>
        <a:ln>
          <a:noFill/>
        </a:ln>
        <a:effectLst/>
      </c:spPr>
    </c:plotArea>
    <c:legend>
      <c:legendPos val="r"/>
      <c:layout>
        <c:manualLayout>
          <c:xMode val="edge"/>
          <c:yMode val="edge"/>
          <c:x val="0.87569155084986461"/>
          <c:y val="0.41749998800424171"/>
          <c:w val="6.934662589863945E-2"/>
          <c:h val="7.2373384771144925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993704382096461"/>
          <c:y val="2.7160493827160494E-2"/>
          <c:w val="0.45675484017496359"/>
          <c:h val="0.89820715843387322"/>
        </c:manualLayout>
      </c:layout>
      <c:barChart>
        <c:barDir val="bar"/>
        <c:grouping val="clustered"/>
        <c:varyColors val="0"/>
        <c:ser>
          <c:idx val="1"/>
          <c:order val="0"/>
          <c:tx>
            <c:strRef>
              <c:f>'G2.5+PÚ NACE'!$R$24</c:f>
              <c:strCache>
                <c:ptCount val="1"/>
                <c:pt idx="0">
                  <c:v> 2019</c:v>
                </c:pt>
              </c:strCache>
            </c:strRef>
          </c:tx>
          <c:spPr>
            <a:solidFill>
              <a:srgbClr val="B44946"/>
            </a:solidFill>
            <a:ln>
              <a:noFill/>
            </a:ln>
            <a:effectLst/>
          </c:spPr>
          <c:invertIfNegative val="0"/>
          <c:dPt>
            <c:idx val="14"/>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1-DABF-4ABE-AE6B-C93A4804AF54}"/>
              </c:ext>
            </c:extLst>
          </c:dPt>
          <c:cat>
            <c:strRef>
              <c:f>'G2.5+PÚ NACE'!$P$25:$P$44</c:f>
              <c:strCache>
                <c:ptCount val="20"/>
                <c:pt idx="0">
                  <c:v>L – Činnosti v oblasti nemovitostí</c:v>
                </c:pt>
                <c:pt idx="1">
                  <c:v>J – Informační a komunikační činnosti</c:v>
                </c:pt>
                <c:pt idx="2">
                  <c:v>M – Profesní, vědecké a technické činnosti</c:v>
                </c:pt>
                <c:pt idx="3">
                  <c:v>K – Peněžnictví a pojišťovnictví</c:v>
                </c:pt>
                <c:pt idx="4">
                  <c:v>R – Kulturní, zábavní a rekreační činnosti</c:v>
                </c:pt>
                <c:pt idx="5">
                  <c:v>I – Ubytování, stravování a pohostinství</c:v>
                </c:pt>
                <c:pt idx="6">
                  <c:v>D – Výroba a rozvod elektřiny, plynu, tepla a klimatiz. vzduchu</c:v>
                </c:pt>
                <c:pt idx="7">
                  <c:v>S – Ostatní činnosti</c:v>
                </c:pt>
                <c:pt idx="8">
                  <c:v>A – Zemědělství, lesnictví, rybářství</c:v>
                </c:pt>
                <c:pt idx="9">
                  <c:v>F – Stavebnictví</c:v>
                </c:pt>
                <c:pt idx="10">
                  <c:v>Q – Zdravotní a sociální péče</c:v>
                </c:pt>
                <c:pt idx="11">
                  <c:v>O – Veřejná správa a obrana; povinné sociální zabezpečení</c:v>
                </c:pt>
                <c:pt idx="12">
                  <c:v>G – Velkoobchod a maloobchod; opravy a údržba motor. vozidel</c:v>
                </c:pt>
                <c:pt idx="13">
                  <c:v>P – Vzdělávání</c:v>
                </c:pt>
                <c:pt idx="14">
                  <c:v>CELKEM</c:v>
                </c:pt>
                <c:pt idx="15">
                  <c:v>H – Doprava a skladování</c:v>
                </c:pt>
                <c:pt idx="16">
                  <c:v>E – Zásobování vodou; činnosti související s odpady a sanacemi</c:v>
                </c:pt>
                <c:pt idx="17">
                  <c:v>N – Administrativní a podpůrné činnosti</c:v>
                </c:pt>
                <c:pt idx="18">
                  <c:v>B – Těžba a dobývání</c:v>
                </c:pt>
                <c:pt idx="19">
                  <c:v>C – Zpracovatelský průmysl</c:v>
                </c:pt>
              </c:strCache>
            </c:strRef>
          </c:cat>
          <c:val>
            <c:numRef>
              <c:f>'G2.5+PÚ NACE'!$R$25:$R$44</c:f>
              <c:numCache>
                <c:formatCode>General</c:formatCode>
                <c:ptCount val="20"/>
                <c:pt idx="0">
                  <c:v>16.4325042396</c:v>
                </c:pt>
                <c:pt idx="1">
                  <c:v>25.914457753499999</c:v>
                </c:pt>
                <c:pt idx="2">
                  <c:v>21.085648407600001</c:v>
                </c:pt>
                <c:pt idx="3">
                  <c:v>29.290791823999999</c:v>
                </c:pt>
                <c:pt idx="4">
                  <c:v>25.319364479000001</c:v>
                </c:pt>
                <c:pt idx="5">
                  <c:v>26.924199928299998</c:v>
                </c:pt>
                <c:pt idx="6">
                  <c:v>26.962042266800001</c:v>
                </c:pt>
                <c:pt idx="7">
                  <c:v>28.7779557207</c:v>
                </c:pt>
                <c:pt idx="8">
                  <c:v>28.6556755959</c:v>
                </c:pt>
                <c:pt idx="9">
                  <c:v>28.434653663599999</c:v>
                </c:pt>
                <c:pt idx="10">
                  <c:v>31.962876953599999</c:v>
                </c:pt>
                <c:pt idx="11">
                  <c:v>32.9214290623</c:v>
                </c:pt>
                <c:pt idx="12">
                  <c:v>36.070159693800001</c:v>
                </c:pt>
                <c:pt idx="13">
                  <c:v>33.6967067008</c:v>
                </c:pt>
                <c:pt idx="14">
                  <c:v>36.1563273963</c:v>
                </c:pt>
                <c:pt idx="15">
                  <c:v>34.806496846899996</c:v>
                </c:pt>
                <c:pt idx="16">
                  <c:v>36.457182837600001</c:v>
                </c:pt>
                <c:pt idx="17">
                  <c:v>45.307465729100002</c:v>
                </c:pt>
                <c:pt idx="18">
                  <c:v>38.051303267100003</c:v>
                </c:pt>
                <c:pt idx="19">
                  <c:v>47.509079030800002</c:v>
                </c:pt>
              </c:numCache>
            </c:numRef>
          </c:val>
          <c:extLst>
            <c:ext xmlns:c16="http://schemas.microsoft.com/office/drawing/2014/chart" uri="{C3380CC4-5D6E-409C-BE32-E72D297353CC}">
              <c16:uniqueId val="{00000002-DABF-4ABE-AE6B-C93A4804AF54}"/>
            </c:ext>
          </c:extLst>
        </c:ser>
        <c:ser>
          <c:idx val="0"/>
          <c:order val="1"/>
          <c:tx>
            <c:strRef>
              <c:f>'G2.5+PÚ NACE'!$Q$24</c:f>
              <c:strCache>
                <c:ptCount val="1"/>
                <c:pt idx="0">
                  <c:v> 2021</c:v>
                </c:pt>
              </c:strCache>
            </c:strRef>
          </c:tx>
          <c:spPr>
            <a:solidFill>
              <a:srgbClr val="632827"/>
            </a:solidFill>
            <a:ln>
              <a:noFill/>
            </a:ln>
            <a:effectLst/>
          </c:spPr>
          <c:invertIfNegative val="0"/>
          <c:dPt>
            <c:idx val="14"/>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4-DABF-4ABE-AE6B-C93A4804AF54}"/>
              </c:ext>
            </c:extLst>
          </c:dPt>
          <c:cat>
            <c:strRef>
              <c:f>'G2.5+PÚ NACE'!$P$25:$P$44</c:f>
              <c:strCache>
                <c:ptCount val="20"/>
                <c:pt idx="0">
                  <c:v>L – Činnosti v oblasti nemovitostí</c:v>
                </c:pt>
                <c:pt idx="1">
                  <c:v>J – Informační a komunikační činnosti</c:v>
                </c:pt>
                <c:pt idx="2">
                  <c:v>M – Profesní, vědecké a technické činnosti</c:v>
                </c:pt>
                <c:pt idx="3">
                  <c:v>K – Peněžnictví a pojišťovnictví</c:v>
                </c:pt>
                <c:pt idx="4">
                  <c:v>R – Kulturní, zábavní a rekreační činnosti</c:v>
                </c:pt>
                <c:pt idx="5">
                  <c:v>I – Ubytování, stravování a pohostinství</c:v>
                </c:pt>
                <c:pt idx="6">
                  <c:v>D – Výroba a rozvod elektřiny, plynu, tepla a klimatiz. vzduchu</c:v>
                </c:pt>
                <c:pt idx="7">
                  <c:v>S – Ostatní činnosti</c:v>
                </c:pt>
                <c:pt idx="8">
                  <c:v>A – Zemědělství, lesnictví, rybářství</c:v>
                </c:pt>
                <c:pt idx="9">
                  <c:v>F – Stavebnictví</c:v>
                </c:pt>
                <c:pt idx="10">
                  <c:v>Q – Zdravotní a sociální péče</c:v>
                </c:pt>
                <c:pt idx="11">
                  <c:v>O – Veřejná správa a obrana; povinné sociální zabezpečení</c:v>
                </c:pt>
                <c:pt idx="12">
                  <c:v>G – Velkoobchod a maloobchod; opravy a údržba motor. vozidel</c:v>
                </c:pt>
                <c:pt idx="13">
                  <c:v>P – Vzdělávání</c:v>
                </c:pt>
                <c:pt idx="14">
                  <c:v>CELKEM</c:v>
                </c:pt>
                <c:pt idx="15">
                  <c:v>H – Doprava a skladování</c:v>
                </c:pt>
                <c:pt idx="16">
                  <c:v>E – Zásobování vodou; činnosti související s odpady a sanacemi</c:v>
                </c:pt>
                <c:pt idx="17">
                  <c:v>N – Administrativní a podpůrné činnosti</c:v>
                </c:pt>
                <c:pt idx="18">
                  <c:v>B – Těžba a dobývání</c:v>
                </c:pt>
                <c:pt idx="19">
                  <c:v>C – Zpracovatelský průmysl</c:v>
                </c:pt>
              </c:strCache>
            </c:strRef>
          </c:cat>
          <c:val>
            <c:numRef>
              <c:f>'G2.5+PÚ NACE'!$Q$25:$Q$44</c:f>
              <c:numCache>
                <c:formatCode>#,##0.00</c:formatCode>
                <c:ptCount val="20"/>
                <c:pt idx="0">
                  <c:v>26.715244899399998</c:v>
                </c:pt>
                <c:pt idx="1">
                  <c:v>27.582763613899999</c:v>
                </c:pt>
                <c:pt idx="2">
                  <c:v>28.5774373412</c:v>
                </c:pt>
                <c:pt idx="3">
                  <c:v>30.0121892632</c:v>
                </c:pt>
                <c:pt idx="4">
                  <c:v>34.083721605500003</c:v>
                </c:pt>
                <c:pt idx="5">
                  <c:v>35.721395962700001</c:v>
                </c:pt>
                <c:pt idx="6">
                  <c:v>38.982827729100002</c:v>
                </c:pt>
                <c:pt idx="7">
                  <c:v>41.6777096179</c:v>
                </c:pt>
                <c:pt idx="8">
                  <c:v>46.577137051599998</c:v>
                </c:pt>
                <c:pt idx="9">
                  <c:v>46.882781801699998</c:v>
                </c:pt>
                <c:pt idx="10">
                  <c:v>48.645364731299999</c:v>
                </c:pt>
                <c:pt idx="11">
                  <c:v>50.155649451199999</c:v>
                </c:pt>
                <c:pt idx="12">
                  <c:v>52.806734744499998</c:v>
                </c:pt>
                <c:pt idx="13">
                  <c:v>53.590607385699997</c:v>
                </c:pt>
                <c:pt idx="14">
                  <c:v>54.155900834699999</c:v>
                </c:pt>
                <c:pt idx="15">
                  <c:v>55.733014044900003</c:v>
                </c:pt>
                <c:pt idx="16">
                  <c:v>59.315369675500001</c:v>
                </c:pt>
                <c:pt idx="17">
                  <c:v>61.493154947999997</c:v>
                </c:pt>
                <c:pt idx="18">
                  <c:v>64.016000588599994</c:v>
                </c:pt>
                <c:pt idx="19">
                  <c:v>73.723910041699995</c:v>
                </c:pt>
              </c:numCache>
            </c:numRef>
          </c:val>
          <c:extLst>
            <c:ext xmlns:c16="http://schemas.microsoft.com/office/drawing/2014/chart" uri="{C3380CC4-5D6E-409C-BE32-E72D297353CC}">
              <c16:uniqueId val="{00000005-DABF-4ABE-AE6B-C93A4804AF54}"/>
            </c:ext>
          </c:extLst>
        </c:ser>
        <c:dLbls>
          <c:showLegendKey val="0"/>
          <c:showVal val="0"/>
          <c:showCatName val="0"/>
          <c:showSerName val="0"/>
          <c:showPercent val="0"/>
          <c:showBubbleSize val="0"/>
        </c:dLbls>
        <c:gapWidth val="182"/>
        <c:axId val="1535997743"/>
        <c:axId val="1535996911"/>
      </c:barChart>
      <c:catAx>
        <c:axId val="15359977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5996911"/>
        <c:crosses val="autoZero"/>
        <c:auto val="1"/>
        <c:lblAlgn val="ctr"/>
        <c:lblOffset val="100"/>
        <c:noMultiLvlLbl val="0"/>
      </c:catAx>
      <c:valAx>
        <c:axId val="153599691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5997743"/>
        <c:crosses val="autoZero"/>
        <c:crossBetween val="between"/>
        <c:majorUnit val="10"/>
      </c:valAx>
      <c:spPr>
        <a:noFill/>
        <a:ln>
          <a:noFill/>
        </a:ln>
        <a:effectLst/>
      </c:spPr>
    </c:plotArea>
    <c:legend>
      <c:legendPos val="r"/>
      <c:layout>
        <c:manualLayout>
          <c:xMode val="edge"/>
          <c:yMode val="edge"/>
          <c:x val="0.85662657096772854"/>
          <c:y val="0.48556644308350355"/>
          <c:w val="6.871715586943257E-2"/>
          <c:h val="6.6985168252542596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0.89786</cdr:x>
      <cdr:y>0.0259</cdr:y>
    </cdr:from>
    <cdr:to>
      <cdr:x>0.97315</cdr:x>
      <cdr:y>0.07268</cdr:y>
    </cdr:to>
    <cdr:sp macro="" textlink="">
      <cdr:nvSpPr>
        <cdr:cNvPr id="2" name="TextovéPole 1"/>
        <cdr:cNvSpPr txBox="1"/>
      </cdr:nvSpPr>
      <cdr:spPr>
        <a:xfrm xmlns:a="http://schemas.openxmlformats.org/drawingml/2006/main">
          <a:off x="5495028" y="133767"/>
          <a:ext cx="460760" cy="2415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400" b="1">
              <a:solidFill>
                <a:schemeClr val="bg1"/>
              </a:solidFill>
            </a:rPr>
            <a:t>//</a:t>
          </a:r>
        </a:p>
      </cdr:txBody>
    </cdr:sp>
  </cdr:relSizeAnchor>
  <cdr:relSizeAnchor xmlns:cdr="http://schemas.openxmlformats.org/drawingml/2006/chartDrawing">
    <cdr:from>
      <cdr:x>0.91855</cdr:x>
      <cdr:y>0.07085</cdr:y>
    </cdr:from>
    <cdr:to>
      <cdr:x>0.9694</cdr:x>
      <cdr:y>0.10934</cdr:y>
    </cdr:to>
    <cdr:sp macro="" textlink="">
      <cdr:nvSpPr>
        <cdr:cNvPr id="3" name="TextovéPole 3"/>
        <cdr:cNvSpPr txBox="1"/>
      </cdr:nvSpPr>
      <cdr:spPr>
        <a:xfrm xmlns:a="http://schemas.openxmlformats.org/drawingml/2006/main">
          <a:off x="6194425" y="403225"/>
          <a:ext cx="342900" cy="21907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cs-CZ" sz="1100" b="1">
              <a:solidFill>
                <a:schemeClr val="bg1"/>
              </a:solidFill>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0.214</cdr:x>
      <cdr:y>0.49756</cdr:y>
    </cdr:from>
    <cdr:to>
      <cdr:x>0.51119</cdr:x>
      <cdr:y>0.6566</cdr:y>
    </cdr:to>
    <cdr:sp macro="" textlink="">
      <cdr:nvSpPr>
        <cdr:cNvPr id="2" name="TextovéPole 1"/>
        <cdr:cNvSpPr txBox="1"/>
      </cdr:nvSpPr>
      <cdr:spPr>
        <a:xfrm xmlns:a="http://schemas.openxmlformats.org/drawingml/2006/main">
          <a:off x="646021" y="1025585"/>
          <a:ext cx="897148" cy="3278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cs-CZ" sz="1000" b="1">
              <a:latin typeface="Arial" panose="020B0604020202020204" pitchFamily="34" charset="0"/>
              <a:cs typeface="Arial" panose="020B0604020202020204" pitchFamily="34" charset="0"/>
            </a:rPr>
            <a:t>1 342,9 tis.</a:t>
          </a:r>
        </a:p>
      </cdr:txBody>
    </cdr:sp>
  </cdr:relSizeAnchor>
</c:userShapes>
</file>

<file path=word/drawings/drawing3.xml><?xml version="1.0" encoding="utf-8"?>
<c:userShapes xmlns:c="http://schemas.openxmlformats.org/drawingml/2006/chart">
  <cdr:relSizeAnchor xmlns:cdr="http://schemas.openxmlformats.org/drawingml/2006/chartDrawing">
    <cdr:from>
      <cdr:x>0.36519</cdr:x>
      <cdr:y>0.50221</cdr:y>
    </cdr:from>
    <cdr:to>
      <cdr:x>0.65733</cdr:x>
      <cdr:y>0.66125</cdr:y>
    </cdr:to>
    <cdr:sp macro="" textlink="">
      <cdr:nvSpPr>
        <cdr:cNvPr id="2" name="TextovéPole 1"/>
        <cdr:cNvSpPr txBox="1"/>
      </cdr:nvSpPr>
      <cdr:spPr>
        <a:xfrm xmlns:a="http://schemas.openxmlformats.org/drawingml/2006/main">
          <a:off x="1121433" y="1035170"/>
          <a:ext cx="897148" cy="3278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000" b="1">
              <a:latin typeface="Arial" panose="020B0604020202020204" pitchFamily="34" charset="0"/>
              <a:cs typeface="Arial" panose="020B0604020202020204" pitchFamily="34" charset="0"/>
            </a:rPr>
            <a:t>1 411,9 tis.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49AB2-3076-4192-B614-6B0823BDE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 CZ_lide a spolecnost_2017-08-14.dotx</Template>
  <TotalTime>0</TotalTime>
  <Pages>57</Pages>
  <Words>20361</Words>
  <Characters>120136</Characters>
  <Application>Microsoft Office Word</Application>
  <DocSecurity>0</DocSecurity>
  <Lines>1001</Lines>
  <Paragraphs>280</Paragraphs>
  <ScaleCrop>false</ScaleCrop>
  <HeadingPairs>
    <vt:vector size="6" baseType="variant">
      <vt:variant>
        <vt:lpstr>Název</vt:lpstr>
      </vt:variant>
      <vt:variant>
        <vt:i4>1</vt:i4>
      </vt:variant>
      <vt:variant>
        <vt:lpstr>Title</vt:lpstr>
      </vt:variant>
      <vt:variant>
        <vt:i4>1</vt:i4>
      </vt:variant>
      <vt:variant>
        <vt:lpstr>Headings</vt:lpstr>
      </vt:variant>
      <vt:variant>
        <vt:i4>8</vt:i4>
      </vt:variant>
    </vt:vector>
  </HeadingPairs>
  <TitlesOfParts>
    <vt:vector size="10" baseType="lpstr">
      <vt:lpstr/>
      <vt:lpstr/>
      <vt:lpstr>Styl: Nadpis 1</vt:lpstr>
      <vt:lpstr>    Styl: Nadpis 2</vt:lpstr>
      <vt:lpstr>        Styl: Nadpis 3</vt:lpstr>
      <vt:lpstr>        Styl: Nadpis 3</vt:lpstr>
      <vt:lpstr>    Styl: Nadpis 2</vt:lpstr>
      <vt:lpstr>        Styl: Nadpis 3</vt:lpstr>
      <vt:lpstr>    Styl: Nadpis 2</vt:lpstr>
      <vt:lpstr>        Styl: Nadpis 3</vt:lpstr>
    </vt:vector>
  </TitlesOfParts>
  <Manager/>
  <Company>CSU</Company>
  <LinksUpToDate>false</LinksUpToDate>
  <CharactersWithSpaces>140217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hykysova23070</dc:creator>
  <cp:keywords/>
  <dc:description/>
  <cp:lastModifiedBy>Hykyšová Alena</cp:lastModifiedBy>
  <cp:revision>2</cp:revision>
  <cp:lastPrinted>2022-05-26T14:42:00Z</cp:lastPrinted>
  <dcterms:created xsi:type="dcterms:W3CDTF">2022-12-16T11:29:00Z</dcterms:created>
  <dcterms:modified xsi:type="dcterms:W3CDTF">2022-12-16T11:29:00Z</dcterms:modified>
  <cp:category/>
</cp:coreProperties>
</file>