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7" w:rsidRPr="00EB2612" w:rsidRDefault="00C67B80">
      <w:pPr>
        <w:spacing w:line="240" w:lineRule="auto"/>
        <w:rPr>
          <w:rFonts w:cs="Arial"/>
          <w:lang w:eastAsia="ar-SA"/>
        </w:rPr>
      </w:pPr>
      <w:r w:rsidRPr="00C67B80">
        <w:rPr>
          <w:rFonts w:cs="Arial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-443865</wp:posOffset>
            </wp:positionV>
            <wp:extent cx="2052320" cy="990600"/>
            <wp:effectExtent l="19050" t="0" r="5080" b="0"/>
            <wp:wrapNone/>
            <wp:docPr id="33" name="obrázek 33" descr="NIPOS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IPOS-log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A75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4.65pt;margin-top:759.8pt;width:403.95pt;height:14.15pt;z-index:25166182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" filled="f" stroked="f">
            <v:textbox style="mso-next-textbox:#Textové pole 2" inset="0,0,0,0">
              <w:txbxContent>
                <w:p w:rsidR="009B00A5" w:rsidRPr="005251DD" w:rsidRDefault="009B00A5" w:rsidP="00A33EFD">
                  <w:r w:rsidRPr="005251DD">
                    <w:t xml:space="preserve">Český statistický úřad, </w:t>
                  </w:r>
                  <w:r>
                    <w:t>Praha, 2021</w:t>
                  </w:r>
                </w:p>
              </w:txbxContent>
            </v:textbox>
            <w10:wrap anchorx="page" anchory="page"/>
            <w10:anchorlock/>
          </v:shape>
        </w:pict>
      </w:r>
      <w:r w:rsidR="00494A75">
        <w:rPr>
          <w:rFonts w:cs="Arial"/>
          <w:noProof/>
        </w:rPr>
        <w:pict>
          <v:shape id="_x0000_s1027" type="#_x0000_t202" style="position:absolute;left:0;text-align:left;margin-left:134.3pt;margin-top:652.05pt;width:403.95pt;height:72.85pt;z-index:25166080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" filled="f" stroked="f">
            <v:textbox style="mso-next-textbox:#_x0000_s1027" inset="0,0,0,0">
              <w:txbxContent>
                <w:p w:rsidR="009B00A5" w:rsidRPr="006C5577" w:rsidRDefault="009B00A5" w:rsidP="00C67B80">
                  <w:pPr>
                    <w:pStyle w:val="TL-Identifikace-dole"/>
                    <w:jc w:val="left"/>
                  </w:pPr>
                  <w:r>
                    <w:t>Z</w:t>
                  </w:r>
                  <w:r w:rsidRPr="006C5577">
                    <w:t xml:space="preserve">pracoval: </w:t>
                  </w:r>
                  <w:r>
                    <w:t xml:space="preserve">Český statistický úřad - </w:t>
                  </w:r>
                  <w:r w:rsidRPr="006C5577">
                    <w:t xml:space="preserve">Odbor </w:t>
                  </w:r>
                  <w:r>
                    <w:t>statistik rozvoje společnosti (63), Národní informační a poradenské středisko pro kulturu (NIPOS) - Centrum informací a statistik kultury</w:t>
                  </w:r>
                </w:p>
                <w:p w:rsidR="009B00A5" w:rsidRPr="006C5577" w:rsidRDefault="009B00A5" w:rsidP="00A33EFD">
                  <w:pPr>
                    <w:pStyle w:val="TL-Identifikace-dole"/>
                  </w:pPr>
                  <w:r w:rsidRPr="006C5577">
                    <w:t xml:space="preserve">Ředitel odboru: </w:t>
                  </w:r>
                  <w:r>
                    <w:t>Martin Mana</w:t>
                  </w:r>
                </w:p>
                <w:p w:rsidR="009B00A5" w:rsidRPr="006C5577" w:rsidRDefault="009B00A5" w:rsidP="00A33EFD">
                  <w:pPr>
                    <w:pStyle w:val="TL-Identifikace-dole"/>
                  </w:pPr>
                  <w:r w:rsidRPr="006C5577">
                    <w:t xml:space="preserve">Kontaktní osoba: </w:t>
                  </w:r>
                  <w:r>
                    <w:t>Milan Dedera</w:t>
                  </w:r>
                  <w:r w:rsidRPr="006C5577">
                    <w:t xml:space="preserve">, e-mail: </w:t>
                  </w:r>
                  <w:r>
                    <w:t>milan</w:t>
                  </w:r>
                  <w:r w:rsidRPr="006C5577">
                    <w:t>.</w:t>
                  </w:r>
                  <w:r>
                    <w:t>dedera</w:t>
                  </w:r>
                  <w:r w:rsidRPr="006C5577"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 w:rsidR="00494A75">
        <w:rPr>
          <w:rFonts w:cs="Arial"/>
          <w:noProof/>
        </w:rPr>
        <w:pict>
          <v:shape id="_x0000_s1028" type="#_x0000_t202" style="position:absolute;left:0;text-align:left;margin-left:134.65pt;margin-top:368.55pt;width:403.9pt;height:122.8pt;z-index:25165977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" filled="f" stroked="f">
            <v:textbox style="mso-next-textbox:#_x0000_s1028;mso-fit-shape-to-text:t" inset="0,0,0,0">
              <w:txbxContent>
                <w:p w:rsidR="009B00A5" w:rsidRPr="00D31445" w:rsidRDefault="009B00A5" w:rsidP="00A33EFD">
                  <w:pPr>
                    <w:pStyle w:val="TL-identifikace-sted"/>
                  </w:pPr>
                  <w:r>
                    <w:t>Lidé a společnost</w:t>
                  </w:r>
                </w:p>
                <w:p w:rsidR="009B00A5" w:rsidRPr="00D31445" w:rsidRDefault="009B00A5" w:rsidP="00A33EFD">
                  <w:pPr>
                    <w:pStyle w:val="TL-identifikace-sted"/>
                  </w:pPr>
                  <w:r>
                    <w:t>Praha</w:t>
                  </w:r>
                  <w:r w:rsidRPr="00D31445">
                    <w:t xml:space="preserve">, </w:t>
                  </w:r>
                  <w:r>
                    <w:t>31. 5. 2021</w:t>
                  </w:r>
                </w:p>
                <w:p w:rsidR="009B00A5" w:rsidRDefault="009B00A5" w:rsidP="00A33EFD">
                  <w:pPr>
                    <w:pStyle w:val="TL-identifikace-sted"/>
                  </w:pPr>
                  <w:r w:rsidRPr="00D31445">
                    <w:t xml:space="preserve">Kód publikace: </w:t>
                  </w:r>
                  <w:r>
                    <w:t>090005-21</w:t>
                  </w:r>
                </w:p>
                <w:p w:rsidR="009B00A5" w:rsidRPr="004B5F06" w:rsidRDefault="009B00A5" w:rsidP="00A33EFD">
                  <w:pPr>
                    <w:pStyle w:val="TL-identifikace-sted"/>
                  </w:pPr>
                  <w:r w:rsidRPr="0075310E">
                    <w:t>Č.j.: CSU-005203/2021-63</w:t>
                  </w:r>
                </w:p>
              </w:txbxContent>
            </v:textbox>
            <w10:wrap anchorx="page" anchory="page"/>
            <w10:anchorlock/>
          </v:shape>
        </w:pict>
      </w:r>
      <w:r w:rsidR="00494A75">
        <w:rPr>
          <w:rFonts w:cs="Arial"/>
          <w:noProof/>
        </w:rPr>
        <w:pict>
          <v:shape id="_x0000_s1029" type="#_x0000_t202" style="position:absolute;left:0;text-align:left;margin-left:134.65pt;margin-top:116.25pt;width:403.9pt;height:118.65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" filled="f" stroked="f">
            <v:textbox style="mso-next-textbox:#_x0000_s1029;mso-fit-shape-to-text:t" inset="0,0,0,0">
              <w:txbxContent>
                <w:p w:rsidR="009B00A5" w:rsidRPr="000F0B50" w:rsidRDefault="009B00A5" w:rsidP="00A33EFD">
                  <w:pPr>
                    <w:pStyle w:val="Nzev"/>
                    <w:rPr>
                      <w:sz w:val="40"/>
                      <w:szCs w:val="40"/>
                    </w:rPr>
                  </w:pPr>
                  <w:bookmarkStart w:id="0" w:name="_Toc70435561"/>
                  <w:bookmarkStart w:id="1" w:name="_Toc70435752"/>
                  <w:bookmarkStart w:id="2" w:name="_Toc72164480"/>
                  <w:bookmarkStart w:id="3" w:name="_Toc72164611"/>
                  <w:r>
                    <w:rPr>
                      <w:sz w:val="40"/>
                      <w:szCs w:val="40"/>
                    </w:rPr>
                    <w:t>VýSLEDKY ÚČTU KULTURY</w:t>
                  </w:r>
                  <w:bookmarkEnd w:id="0"/>
                  <w:bookmarkEnd w:id="1"/>
                  <w:bookmarkEnd w:id="2"/>
                  <w:bookmarkEnd w:id="3"/>
                </w:p>
                <w:p w:rsidR="009B00A5" w:rsidRPr="009B04D0" w:rsidRDefault="009B00A5" w:rsidP="00A33EFD">
                  <w:pPr>
                    <w:pStyle w:val="Podtitul"/>
                  </w:pPr>
                </w:p>
                <w:p w:rsidR="009B00A5" w:rsidRPr="000F0B50" w:rsidRDefault="009B00A5" w:rsidP="00A33EFD">
                  <w:pPr>
                    <w:pStyle w:val="Podtitul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2019</w:t>
                  </w:r>
                  <w:r w:rsidRPr="000F0B5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  <w10:wrap anchorx="page" anchory="page"/>
            <w10:anchorlock/>
          </v:shape>
        </w:pict>
      </w:r>
      <w:r w:rsidR="00494A75">
        <w:rPr>
          <w:rFonts w:cs="Arial"/>
          <w:noProof/>
        </w:rPr>
        <w:pict>
          <v:group id="Group 24" o:spid="_x0000_s1047" style="position:absolute;left:0;text-align:left;margin-left:45.1pt;margin-top:36.8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">
            <o:lock v:ext="edit" aspectratio="t"/>
            <v:rect id="Rectangle 9" o:spid="_x0000_s1050" style="position:absolute;left:1215;top:901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" fillcolor="#0071bc" stroked="f">
              <o:lock v:ext="edit" aspectratio="t"/>
            </v:rect>
            <v:rect id="Rectangle 10" o:spid="_x0000_s1049" style="position:absolute;left:567;top:1131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" fillcolor="#0071bc" stroked="f">
              <o:lock v:ext="edit" aspectratio="t"/>
            </v:rect>
            <v:rect id="Rectangle 11" o:spid="_x0000_s1048" style="position:absolute;left:1288;top:1361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" fillcolor="#0071bc" stroked="f">
              <o:lock v:ext="edit" aspectratio="t"/>
            </v:rect>
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F63FB7" w:rsidRPr="00EB2612" w:rsidRDefault="00F63FB7" w:rsidP="0060487F">
      <w:pPr>
        <w:pStyle w:val="Styl1"/>
        <w:rPr>
          <w:rFonts w:cs="Arial"/>
          <w:sz w:val="20"/>
        </w:rPr>
      </w:pPr>
    </w:p>
    <w:p w:rsidR="00F63FB7" w:rsidRPr="00EB2612" w:rsidRDefault="00494A75">
      <w:pPr>
        <w:spacing w:line="240" w:lineRule="auto"/>
        <w:rPr>
          <w:rFonts w:cs="Arial"/>
          <w:lang w:eastAsia="ar-SA"/>
        </w:rPr>
      </w:pPr>
      <w:r w:rsidRPr="00494A75">
        <w:rPr>
          <w:noProof/>
        </w:rPr>
        <w:pict>
          <v:line id="Přímá spojnice 33" o:spid="_x0000_s1046" style="position:absolute;left:0;text-align:left;z-index:251656704;visibility:visible;mso-wrap-distance-top:-6e-5mm;mso-wrap-distance-bottom:-6e-5mm;mso-position-horizontal-relative:page;mso-position-vertical-relative:page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DUivTn3AEAAI8DAAAOAAAAAAAAAAAAAAAAAC4CAABkcnMvZTJvRG9jLnhtbFBLAQItABQA&#10;BgAIAAAAIQCPhHZM4gAAAA4BAAAPAAAAAAAAAAAAAAAAADYEAABkcnMvZG93bnJldi54bWxQSwUG&#10;AAAAAAQABADzAAAARQUAAAAA&#10;" o:allowincell="f" strokecolor="windowText" strokeweight="1pt">
            <o:lock v:ext="edit" shapetype="f"/>
            <w10:wrap anchorx="page" anchory="page"/>
            <w10:anchorlock/>
          </v:line>
        </w:pict>
      </w:r>
      <w:r w:rsidR="00F63FB7" w:rsidRPr="00EB2612">
        <w:rPr>
          <w:rFonts w:cs="Arial"/>
        </w:rPr>
        <w:br w:type="page"/>
      </w:r>
    </w:p>
    <w:p w:rsidR="00F63FB7" w:rsidRPr="00EB2612" w:rsidRDefault="00F63FB7" w:rsidP="0060487F">
      <w:pPr>
        <w:pStyle w:val="Styl1"/>
        <w:rPr>
          <w:rFonts w:cs="Arial"/>
          <w:sz w:val="20"/>
        </w:rPr>
      </w:pPr>
    </w:p>
    <w:p w:rsidR="003F313C" w:rsidRPr="00EB2612" w:rsidRDefault="003F313C" w:rsidP="0060487F">
      <w:pPr>
        <w:pStyle w:val="Styl1"/>
        <w:rPr>
          <w:rFonts w:cs="Arial"/>
          <w:sz w:val="20"/>
        </w:rPr>
      </w:pPr>
    </w:p>
    <w:p w:rsidR="003F313C" w:rsidRPr="00EB2612" w:rsidRDefault="003F313C">
      <w:pPr>
        <w:spacing w:line="240" w:lineRule="auto"/>
        <w:rPr>
          <w:rFonts w:cs="Arial"/>
          <w:lang w:eastAsia="ar-SA"/>
        </w:rPr>
      </w:pPr>
    </w:p>
    <w:p w:rsidR="0060487F" w:rsidRPr="00EB2612" w:rsidRDefault="0060487F" w:rsidP="0060487F">
      <w:pPr>
        <w:pStyle w:val="Styl1"/>
        <w:rPr>
          <w:rFonts w:cs="Arial"/>
          <w:sz w:val="20"/>
        </w:rPr>
      </w:pPr>
    </w:p>
    <w:p w:rsidR="0060487F" w:rsidRPr="00811CDF" w:rsidRDefault="00494A75" w:rsidP="0060487F">
      <w:pPr>
        <w:pStyle w:val="Styl1"/>
        <w:rPr>
          <w:rFonts w:cs="Arial"/>
          <w:sz w:val="20"/>
          <w:szCs w:val="20"/>
        </w:rPr>
      </w:pPr>
      <w:r w:rsidRPr="00494A75">
        <w:rPr>
          <w:noProof/>
          <w:lang w:eastAsia="cs-CZ"/>
        </w:rPr>
        <w:pict>
          <v:shape id="_x0000_s1045" type="#_x0000_t202" style="position:absolute;margin-left:56.7pt;margin-top:116.25pt;width:481.9pt;height:595.3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" filled="f" stroked="f">
            <v:textbox style="mso-next-textbox:#_x0000_s1045" inset="0,0,0,0">
              <w:txbxContent>
                <w:p w:rsidR="009B00A5" w:rsidRPr="00641938" w:rsidRDefault="009B00A5" w:rsidP="0048086F">
                  <w:pPr>
                    <w:pStyle w:val="TL-Kontakty"/>
                    <w:rPr>
                      <w:b w:val="0"/>
                    </w:rPr>
                  </w:pPr>
                  <w:r w:rsidRPr="00641938">
                    <w:rPr>
                      <w:rStyle w:val="TL-KontaktyChar"/>
                      <w:b/>
                    </w:rPr>
                    <w:t>KONTAKTY V</w:t>
                  </w:r>
                  <w:r w:rsidRPr="00641938">
                    <w:rPr>
                      <w:b w:val="0"/>
                    </w:rPr>
                    <w:t> </w:t>
                  </w:r>
                  <w:r w:rsidRPr="00641938">
                    <w:t>ÚSTŘEDÍ</w:t>
                  </w:r>
                </w:p>
                <w:p w:rsidR="009B00A5" w:rsidRPr="00EA4153" w:rsidRDefault="009B00A5" w:rsidP="00BD366B">
                  <w:pPr>
                    <w:spacing w:after="80" w:line="240" w:lineRule="auto"/>
                    <w:rPr>
                      <w:b/>
                      <w:color w:val="0071BC"/>
                    </w:rPr>
                  </w:pPr>
                  <w:r w:rsidRPr="00320214">
                    <w:rPr>
                      <w:b/>
                      <w:color w:val="0071BC"/>
                    </w:rPr>
                    <w:t>Český statistický úřad</w:t>
                  </w:r>
                  <w:r>
                    <w:rPr>
                      <w:b/>
                      <w:color w:val="0071BC"/>
                    </w:rPr>
                    <w:t xml:space="preserve"> | </w:t>
                  </w:r>
                  <w:r>
                    <w:t xml:space="preserve">Na padesátém 81, 100 82 Praha 10 | tel.: 274 051 111 | </w:t>
                  </w:r>
                  <w:r w:rsidRPr="00841D9F">
                    <w:rPr>
                      <w:b/>
                      <w:bCs/>
                    </w:rPr>
                    <w:t>www.czso.cz</w:t>
                  </w:r>
                </w:p>
                <w:p w:rsidR="009B00A5" w:rsidRPr="00B27293" w:rsidRDefault="009B00A5" w:rsidP="00BD366B">
                  <w:pPr>
                    <w:spacing w:after="80" w:line="240" w:lineRule="auto"/>
                  </w:pPr>
                  <w:r w:rsidRPr="00100014">
                    <w:rPr>
                      <w:b/>
                    </w:rPr>
                    <w:t>Oddělení informačních služeb</w:t>
                  </w:r>
                  <w:r w:rsidRPr="00EA4153">
                    <w:t xml:space="preserve"> |</w:t>
                  </w:r>
                  <w:r>
                    <w:rPr>
                      <w:b/>
                    </w:rPr>
                    <w:t xml:space="preserve"> </w:t>
                  </w:r>
                  <w:r>
                    <w:t>tel.: 274 052 648, 274 052 304, 274 052 451 | e-mail: infoservis@czso.cz</w:t>
                  </w:r>
                </w:p>
                <w:p w:rsidR="009B00A5" w:rsidRPr="00EA4153" w:rsidRDefault="009B00A5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Prodejna publikací ČSÚ</w:t>
                  </w:r>
                  <w:r>
                    <w:t xml:space="preserve"> | tel.: 274 052 361 | e-mail: prodejna@czso.cz</w:t>
                  </w:r>
                </w:p>
                <w:p w:rsidR="009B00A5" w:rsidRPr="00EA4153" w:rsidRDefault="009B00A5" w:rsidP="00BD366B">
                  <w:pPr>
                    <w:spacing w:after="8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Evropská data (ESDS), </w:t>
                  </w:r>
                  <w:r w:rsidRPr="00100014">
                    <w:rPr>
                      <w:b/>
                    </w:rPr>
                    <w:t>mezinárodní srovnání</w:t>
                  </w:r>
                  <w:r>
                    <w:t xml:space="preserve"> | tel.: 274 052 347, 274 052 757 | e-mail: esds@czso.cz</w:t>
                  </w:r>
                </w:p>
                <w:p w:rsidR="009B00A5" w:rsidRPr="00EA4153" w:rsidRDefault="009B00A5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Ústřední statistická knihovna</w:t>
                  </w:r>
                  <w:r>
                    <w:t xml:space="preserve"> | tel.: 274 052 361 | e-mail: knihovna@czso.cz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71229A" w:rsidRDefault="009B00A5" w:rsidP="004F06F5">
                  <w:pPr>
                    <w:pStyle w:val="TL-Kontakty"/>
                  </w:pPr>
                  <w:r w:rsidRPr="0071229A">
                    <w:t>INFORMAČNÍ SLUŽBY V REGIONECH</w:t>
                  </w:r>
                </w:p>
                <w:p w:rsidR="009B00A5" w:rsidRDefault="009B00A5" w:rsidP="00BD366B">
                  <w:pPr>
                    <w:spacing w:line="240" w:lineRule="auto"/>
                  </w:pPr>
                  <w:r w:rsidRPr="00100014">
                    <w:rPr>
                      <w:b/>
                      <w:color w:val="0071BC"/>
                    </w:rPr>
                    <w:t>Hl. m. Praha</w:t>
                  </w:r>
                  <w:r>
                    <w:t xml:space="preserve"> | Na padesátém 81, 100 82 Praha 10 | tel.: 274 052 673, 274 054 223</w:t>
                  </w:r>
                </w:p>
                <w:p w:rsidR="009B00A5" w:rsidRPr="00100014" w:rsidRDefault="009B00A5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infoservispraha@czso.cz | </w:t>
                  </w:r>
                  <w:r w:rsidRPr="00100014">
                    <w:rPr>
                      <w:b/>
                    </w:rPr>
                    <w:t>www.praha.czso.cz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Středočeský kraj</w:t>
                  </w:r>
                  <w:r>
                    <w:t xml:space="preserve"> | Na padesátém 81, 100 82 Praha 10</w:t>
                  </w:r>
                  <w:r w:rsidRPr="00B27293">
                    <w:t xml:space="preserve"> |</w:t>
                  </w:r>
                  <w:r w:rsidRPr="00B27293">
                    <w:rPr>
                      <w:b/>
                    </w:rPr>
                    <w:t xml:space="preserve"> </w:t>
                  </w:r>
                  <w:r>
                    <w:t>tel.: 274 054 175</w:t>
                  </w:r>
                </w:p>
                <w:p w:rsidR="009B00A5" w:rsidRPr="00B27293" w:rsidRDefault="009B00A5" w:rsidP="00BD366B">
                  <w:pPr>
                    <w:spacing w:line="240" w:lineRule="auto"/>
                  </w:pPr>
                  <w:r>
                    <w:t xml:space="preserve">e-mail: infoservisstc@czso.cz | </w:t>
                  </w:r>
                  <w:r w:rsidRPr="00100014">
                    <w:rPr>
                      <w:b/>
                    </w:rPr>
                    <w:t>www.stredocesky.czso.cz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České Budějovice</w:t>
                  </w:r>
                  <w:r>
                    <w:t xml:space="preserve"> | Žižkova 1, 370 77 České Budějovice | tel.: 386 718 440</w:t>
                  </w:r>
                </w:p>
                <w:p w:rsidR="009B00A5" w:rsidRPr="00B27293" w:rsidRDefault="009B00A5" w:rsidP="00BD366B">
                  <w:pPr>
                    <w:spacing w:line="240" w:lineRule="auto"/>
                  </w:pPr>
                  <w:r>
                    <w:t xml:space="preserve">e-mail: infoserviscb@czso.cz | </w:t>
                  </w:r>
                  <w:r w:rsidRPr="00100014">
                    <w:rPr>
                      <w:b/>
                    </w:rPr>
                    <w:t>www.cbudejovice.czso.cz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Plzeň</w:t>
                  </w:r>
                  <w:r>
                    <w:t xml:space="preserve"> | Slovanská alej 36, 326 64 Plzeň | tel.: 377 612 108, 377 612 249</w:t>
                  </w:r>
                </w:p>
                <w:p w:rsidR="009B00A5" w:rsidRPr="00B27293" w:rsidRDefault="009B00A5" w:rsidP="00BD366B">
                  <w:pPr>
                    <w:spacing w:line="240" w:lineRule="auto"/>
                  </w:pPr>
                  <w:r>
                    <w:t xml:space="preserve">e-mail: infoservisplzen@czso.cz | </w:t>
                  </w:r>
                  <w:r w:rsidRPr="0071229A">
                    <w:rPr>
                      <w:b/>
                    </w:rPr>
                    <w:t>www.plzen.czso.cz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Karlovy Vary</w:t>
                  </w:r>
                  <w:r>
                    <w:t xml:space="preserve"> | Sportovní 28, 360 01 Karlovy Vary | tel.: 353 114 529, 353 114 525</w:t>
                  </w:r>
                </w:p>
                <w:p w:rsidR="009B00A5" w:rsidRDefault="009B00A5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infoserviskv@czso.cz | </w:t>
                  </w:r>
                  <w:r>
                    <w:rPr>
                      <w:b/>
                    </w:rPr>
                    <w:t>www.kvary.czso.cz</w:t>
                  </w:r>
                </w:p>
                <w:p w:rsidR="009B00A5" w:rsidRDefault="009B00A5" w:rsidP="00BD366B">
                  <w:pPr>
                    <w:spacing w:line="240" w:lineRule="auto"/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Špálova 2684, 400 11 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472 706 176, 472 706 121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infoservisul@czso.cz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www.ustinadlabem.czso.cz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Liberec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Nám. Dr. Edvarda Beneše 585/26, 460 01 Liberec 1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485 238 811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infoservislbc@czso.cz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www.liberec.czso.cz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Hradec Králové</w:t>
                  </w:r>
                  <w:r>
                    <w:t xml:space="preserve"> | </w:t>
                  </w:r>
                  <w:r>
                    <w:rPr>
                      <w:bCs/>
                    </w:rPr>
                    <w:t xml:space="preserve">Myslivečkova 914, </w:t>
                  </w:r>
                  <w:r w:rsidRPr="0071229A">
                    <w:rPr>
                      <w:bCs/>
                    </w:rPr>
                    <w:t>500 03 Hradec Králové 3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495 762 322, 495 762 317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infoservishk@czso.cz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www.hradeckralove.czso.cz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V Ráji 872, 531 53 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466 743 480, 466 743 418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infoservispa@czso.cz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www.pardubice.czso.cz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Jihlava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Ke Skalce 30, 586 01 Jihlava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567 109 062, 567 109 080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infoservisvys@czso.cz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www.jihlava.czso.cz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Brno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Jezuitská 2, 601 59 Brno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542 528 115, 542 528 105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infoservisbrno@czso.cz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www.brno.czso.cz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Jeremenkova 1142/42, 772 11 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585 731 516, 585 731 509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infoservisolom@czso.cz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www.olomouc.czso.cz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B27293" w:rsidRDefault="009B00A5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Repinova 17, 702 03 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595 131 230, 595 131 232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infoservis_ov@czso.cz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www.ostrava.czso.cz</w:t>
                  </w: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B00A5" w:rsidRPr="0071229A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tř. Tomáše Bati 1565, 761 76 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577 004 931, 577 004 935</w:t>
                  </w:r>
                </w:p>
                <w:p w:rsidR="009B00A5" w:rsidRPr="00B27293" w:rsidRDefault="009B00A5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infoservis-zl@czso.cz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www.zlin.czso.cz</w:t>
                  </w:r>
                </w:p>
                <w:p w:rsidR="009B00A5" w:rsidRPr="00B27293" w:rsidRDefault="009B00A5" w:rsidP="00BD366B">
                  <w:pPr>
                    <w:spacing w:line="240" w:lineRule="auto"/>
                  </w:pPr>
                </w:p>
              </w:txbxContent>
            </v:textbox>
            <w10:wrap anchorx="page" anchory="page"/>
            <w10:anchorlock/>
          </v:shape>
        </w:pict>
      </w:r>
      <w:r w:rsidRPr="00494A75">
        <w:rPr>
          <w:noProof/>
          <w:lang w:eastAsia="cs-CZ"/>
        </w:rPr>
        <w:pict>
          <v:shape id="_x0000_s1044" type="#_x0000_t202" style="position:absolute;margin-left:56.7pt;margin-top:56.7pt;width:481.85pt;height:47.4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" filled="f" stroked="f">
            <v:textbox style="mso-next-textbox:#_x0000_s1044;mso-fit-shape-to-text:t" inset="0,0,0,0">
              <w:txbxContent>
                <w:p w:rsidR="009B00A5" w:rsidRPr="00B95F50" w:rsidRDefault="009B00A5" w:rsidP="0060487F">
                  <w:pPr>
                    <w:rPr>
                      <w:b/>
                      <w:bCs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>Zajímají Vás nejnovější údaje o inflaci, HDP, obyvatelstvu, průměrných mzdách a</w:t>
                  </w:r>
                  <w:r>
                    <w:rPr>
                      <w:b/>
                      <w:color w:val="0071BC"/>
                      <w:sz w:val="24"/>
                    </w:rPr>
                    <w:t> </w:t>
                  </w:r>
                  <w:r w:rsidRPr="00B95F50">
                    <w:rPr>
                      <w:b/>
                      <w:color w:val="0071BC"/>
                      <w:sz w:val="24"/>
                    </w:rPr>
                    <w:t xml:space="preserve">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  <w:r w:rsidRPr="00494A75">
        <w:rPr>
          <w:noProof/>
          <w:lang w:eastAsia="cs-CZ"/>
        </w:rPr>
        <w:pict>
          <v:shape id="_x0000_s1043" type="#_x0000_t202" style="position:absolute;margin-left:56.35pt;margin-top:747pt;width:481.9pt;height:29.25pt;z-index:2516546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" filled="f" stroked="f">
            <v:textbox style="mso-next-textbox:#_x0000_s1043" inset="0,0,0,0">
              <w:txbxContent>
                <w:p w:rsidR="009B00A5" w:rsidRPr="007B0B56" w:rsidRDefault="009B00A5" w:rsidP="00B21017">
                  <w:pPr>
                    <w:spacing w:after="0" w:line="276" w:lineRule="auto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ISBN: 978-80-250-3125-4</w:t>
                  </w:r>
                </w:p>
                <w:p w:rsidR="009B00A5" w:rsidRDefault="009B00A5" w:rsidP="00B21017">
                  <w:pPr>
                    <w:spacing w:after="0" w:line="276" w:lineRule="auto"/>
                  </w:pPr>
                  <w:r w:rsidRPr="00841D9F">
                    <w:t>© Český sta</w:t>
                  </w:r>
                  <w:r>
                    <w:t>tistický úřad, Praha, 2021</w:t>
                  </w:r>
                </w:p>
              </w:txbxContent>
            </v:textbox>
            <w10:wrap anchorx="page" anchory="page"/>
            <w10:anchorlock/>
          </v:shape>
        </w:pict>
      </w:r>
    </w:p>
    <w:p w:rsidR="00A75E40" w:rsidRPr="00EB2612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EB2612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EB2612" w:rsidSect="007B47EE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id w:val="6044124"/>
        <w:docPartObj>
          <w:docPartGallery w:val="Table of Contents"/>
          <w:docPartUnique/>
        </w:docPartObj>
      </w:sdtPr>
      <w:sdtEndPr>
        <w:rPr>
          <w:rFonts w:cs="Arial"/>
          <w:sz w:val="22"/>
          <w:szCs w:val="22"/>
        </w:rPr>
      </w:sdtEndPr>
      <w:sdtContent>
        <w:p w:rsidR="009D1495" w:rsidRDefault="009D1495" w:rsidP="00483539">
          <w:pPr>
            <w:pStyle w:val="Nadpisobsahu"/>
            <w:spacing w:before="0" w:after="200"/>
            <w:rPr>
              <w:rStyle w:val="ObsahChar"/>
              <w:b/>
            </w:rPr>
          </w:pPr>
          <w:r w:rsidRPr="009D1495">
            <w:rPr>
              <w:rStyle w:val="ObsahChar"/>
              <w:b/>
            </w:rPr>
            <w:t>Obsah</w:t>
          </w:r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r w:rsidRPr="00977DB4">
            <w:rPr>
              <w:sz w:val="20"/>
              <w:szCs w:val="20"/>
            </w:rPr>
            <w:fldChar w:fldCharType="begin"/>
          </w:r>
          <w:r w:rsidR="009D1495" w:rsidRPr="00977DB4">
            <w:rPr>
              <w:sz w:val="20"/>
              <w:szCs w:val="20"/>
            </w:rPr>
            <w:instrText xml:space="preserve"> TOC \o "1-3" \h \z \u </w:instrText>
          </w:r>
          <w:r w:rsidRPr="00977DB4">
            <w:rPr>
              <w:sz w:val="20"/>
              <w:szCs w:val="20"/>
            </w:rPr>
            <w:fldChar w:fldCharType="separate"/>
          </w:r>
          <w:hyperlink w:anchor="_Toc72164483" w:history="1">
            <w:r w:rsidR="00977DB4" w:rsidRPr="00977DB4">
              <w:rPr>
                <w:rStyle w:val="Hypertextovodkaz"/>
                <w:sz w:val="20"/>
                <w:szCs w:val="20"/>
              </w:rPr>
              <w:t>1.1. Vymezení a členění sektoru kultury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_Toc72164483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864853">
              <w:rPr>
                <w:webHidden/>
                <w:sz w:val="20"/>
                <w:szCs w:val="20"/>
              </w:rPr>
              <w:t>4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4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1.2. Zdroje dat a související problémy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_Toc72164484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6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85" w:history="1">
            <w:r w:rsidR="00977DB4" w:rsidRPr="00977DB4">
              <w:rPr>
                <w:rStyle w:val="Hypertextovodkaz"/>
                <w:sz w:val="20"/>
                <w:szCs w:val="20"/>
              </w:rPr>
              <w:t>2. Hospodaření kulturních institucí v roce 2019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_Toc72164485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864853">
              <w:rPr>
                <w:webHidden/>
                <w:sz w:val="20"/>
                <w:szCs w:val="20"/>
              </w:rPr>
              <w:t>8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6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2.1. Zdroje financování kultury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_Toc72164486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8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7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 Mikroekonomický pohled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_Toc72164487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11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8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2.2.1. Finanční hospodaření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_Toc72164488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11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89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2.2.2. Zaměstnanost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_Toc72164489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12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0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2.2.3. Investice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_Toc72164490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14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1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2.2.4. Naturální ukazatele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_Toc72164491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15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2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2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 Makroekonomický pohled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_Toc72164492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16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3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2.3.1. Základní ukazatele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_Toc72164493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16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3"/>
            <w:tabs>
              <w:tab w:val="right" w:leader="dot" w:pos="9628"/>
            </w:tabs>
            <w:rPr>
              <w:rFonts w:eastAsiaTheme="minorEastAsia" w:cs="Arial"/>
              <w:noProof/>
              <w:szCs w:val="20"/>
            </w:rPr>
          </w:pPr>
          <w:hyperlink w:anchor="_Toc72164494" w:history="1">
            <w:r w:rsidR="00977DB4" w:rsidRPr="00977DB4">
              <w:rPr>
                <w:rStyle w:val="Hypertextovodkaz"/>
                <w:rFonts w:cs="Arial"/>
                <w:noProof/>
                <w:szCs w:val="20"/>
              </w:rPr>
              <w:t>2.3.2. Zahraniční obchod</w:t>
            </w:r>
            <w:r w:rsidR="00977DB4" w:rsidRPr="00977DB4">
              <w:rPr>
                <w:rFonts w:cs="Arial"/>
                <w:noProof/>
                <w:webHidden/>
                <w:szCs w:val="20"/>
              </w:rPr>
              <w:tab/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begin"/>
            </w:r>
            <w:r w:rsidR="00977DB4" w:rsidRPr="00977DB4">
              <w:rPr>
                <w:rFonts w:cs="Arial"/>
                <w:noProof/>
                <w:webHidden/>
                <w:szCs w:val="20"/>
              </w:rPr>
              <w:instrText xml:space="preserve"> PAGEREF _Toc72164494 \h </w:instrText>
            </w:r>
            <w:r w:rsidRPr="00977DB4">
              <w:rPr>
                <w:rFonts w:cs="Arial"/>
                <w:noProof/>
                <w:webHidden/>
                <w:szCs w:val="20"/>
              </w:rPr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separate"/>
            </w:r>
            <w:r w:rsidR="00864853">
              <w:rPr>
                <w:rFonts w:cs="Arial"/>
                <w:noProof/>
                <w:webHidden/>
                <w:szCs w:val="20"/>
              </w:rPr>
              <w:t>18</w:t>
            </w:r>
            <w:r w:rsidRPr="00977DB4">
              <w:rPr>
                <w:rFonts w:cs="Arial"/>
                <w:noProof/>
                <w:webHidden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5" w:history="1">
            <w:r w:rsidR="00977DB4" w:rsidRPr="00977DB4">
              <w:rPr>
                <w:rStyle w:val="Hypertextovodkaz"/>
                <w:sz w:val="20"/>
                <w:szCs w:val="20"/>
              </w:rPr>
              <w:t>3. Závěr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_Toc72164495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864853">
              <w:rPr>
                <w:webHidden/>
                <w:sz w:val="20"/>
                <w:szCs w:val="20"/>
              </w:rPr>
              <w:t>19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6" w:history="1">
            <w:r w:rsidR="00977DB4" w:rsidRPr="00977DB4">
              <w:rPr>
                <w:rStyle w:val="Hypertextovodkaz"/>
                <w:sz w:val="20"/>
                <w:szCs w:val="20"/>
              </w:rPr>
              <w:t>4. Použité zdroje a literatura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_Toc72164496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864853">
              <w:rPr>
                <w:webHidden/>
                <w:sz w:val="20"/>
                <w:szCs w:val="20"/>
              </w:rPr>
              <w:t>21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77DB4" w:rsidRPr="00977DB4" w:rsidRDefault="00494A75" w:rsidP="00F46391">
          <w:pPr>
            <w:pStyle w:val="Obsah1"/>
            <w:spacing w:line="360" w:lineRule="auto"/>
            <w:rPr>
              <w:rFonts w:eastAsiaTheme="minorEastAsia"/>
              <w:sz w:val="20"/>
              <w:szCs w:val="20"/>
            </w:rPr>
          </w:pPr>
          <w:hyperlink w:anchor="_Toc72164497" w:history="1">
            <w:r w:rsidR="00977DB4" w:rsidRPr="00977DB4">
              <w:rPr>
                <w:rStyle w:val="Hypertextovodkaz"/>
                <w:sz w:val="20"/>
                <w:szCs w:val="20"/>
              </w:rPr>
              <w:t>5. Tabulková příloha</w:t>
            </w:r>
            <w:r w:rsidR="00977DB4" w:rsidRPr="00977DB4">
              <w:rPr>
                <w:webHidden/>
                <w:sz w:val="20"/>
                <w:szCs w:val="20"/>
              </w:rPr>
              <w:tab/>
            </w:r>
            <w:r w:rsidRPr="00977DB4">
              <w:rPr>
                <w:webHidden/>
                <w:sz w:val="20"/>
                <w:szCs w:val="20"/>
              </w:rPr>
              <w:fldChar w:fldCharType="begin"/>
            </w:r>
            <w:r w:rsidR="00977DB4" w:rsidRPr="00977DB4">
              <w:rPr>
                <w:webHidden/>
                <w:sz w:val="20"/>
                <w:szCs w:val="20"/>
              </w:rPr>
              <w:instrText xml:space="preserve"> PAGEREF _Toc72164497 \h </w:instrText>
            </w:r>
            <w:r w:rsidRPr="00977DB4">
              <w:rPr>
                <w:webHidden/>
                <w:sz w:val="20"/>
                <w:szCs w:val="20"/>
              </w:rPr>
            </w:r>
            <w:r w:rsidRPr="00977DB4">
              <w:rPr>
                <w:webHidden/>
                <w:sz w:val="20"/>
                <w:szCs w:val="20"/>
              </w:rPr>
              <w:fldChar w:fldCharType="separate"/>
            </w:r>
            <w:r w:rsidR="00864853">
              <w:rPr>
                <w:webHidden/>
                <w:sz w:val="20"/>
                <w:szCs w:val="20"/>
              </w:rPr>
              <w:t>22</w:t>
            </w:r>
            <w:r w:rsidRPr="00977DB4">
              <w:rPr>
                <w:webHidden/>
                <w:sz w:val="20"/>
                <w:szCs w:val="20"/>
              </w:rPr>
              <w:fldChar w:fldCharType="end"/>
            </w:r>
          </w:hyperlink>
        </w:p>
        <w:p w:rsidR="009D1495" w:rsidRPr="00977DB4" w:rsidRDefault="00494A75" w:rsidP="00977DB4">
          <w:pPr>
            <w:rPr>
              <w:rFonts w:cs="Arial"/>
              <w:sz w:val="22"/>
              <w:szCs w:val="22"/>
            </w:rPr>
          </w:pPr>
          <w:r w:rsidRPr="00977DB4">
            <w:rPr>
              <w:rFonts w:cs="Arial"/>
              <w:szCs w:val="20"/>
            </w:rPr>
            <w:fldChar w:fldCharType="end"/>
          </w:r>
        </w:p>
      </w:sdtContent>
    </w:sdt>
    <w:p w:rsidR="000B70E7" w:rsidRPr="00977DB4" w:rsidRDefault="000B70E7">
      <w:pPr>
        <w:rPr>
          <w:rFonts w:cs="Arial"/>
          <w:sz w:val="22"/>
          <w:szCs w:val="22"/>
        </w:rPr>
      </w:pPr>
    </w:p>
    <w:p w:rsidR="000B70E7" w:rsidRDefault="009D1495" w:rsidP="0066011F">
      <w:pPr>
        <w:pStyle w:val="Obsah1"/>
      </w:pPr>
      <w:r>
        <w:tab/>
      </w:r>
    </w:p>
    <w:p w:rsidR="009C7E56" w:rsidRDefault="00494A75" w:rsidP="00EB62C4">
      <w:pPr>
        <w:pStyle w:val="Nadpis1"/>
      </w:pPr>
      <w:r w:rsidRPr="00494A75">
        <w:rPr>
          <w:rFonts w:eastAsia="Times New Roman" w:cs="Arial"/>
        </w:rPr>
        <w:fldChar w:fldCharType="begin"/>
      </w:r>
      <w:r w:rsidR="009C7E56" w:rsidRPr="008B4B74">
        <w:rPr>
          <w:rFonts w:cs="Arial"/>
        </w:rPr>
        <w:instrText xml:space="preserve"> TOC \o "1-3" \h \z \u </w:instrText>
      </w:r>
      <w:r w:rsidRPr="00494A75">
        <w:rPr>
          <w:rFonts w:eastAsia="Times New Roman" w:cs="Arial"/>
        </w:rPr>
        <w:fldChar w:fldCharType="separate"/>
      </w:r>
      <w:hyperlink r:id="rId9" w:anchor="_Toc70433571" w:history="1"/>
      <w:r w:rsidRPr="008B4B74">
        <w:rPr>
          <w:rFonts w:cs="Arial"/>
          <w:sz w:val="20"/>
          <w:szCs w:val="20"/>
        </w:rPr>
        <w:fldChar w:fldCharType="end"/>
      </w:r>
      <w:r w:rsidR="009C7E56" w:rsidRPr="001328C6">
        <w:br w:type="page"/>
      </w:r>
      <w:bookmarkStart w:id="4" w:name="_Toc451166910"/>
      <w:bookmarkStart w:id="5" w:name="_Toc451166926"/>
      <w:bookmarkStart w:id="6" w:name="_Toc451175099"/>
      <w:bookmarkStart w:id="7" w:name="_Toc451180155"/>
      <w:bookmarkStart w:id="8" w:name="_Toc9259632"/>
      <w:bookmarkStart w:id="9" w:name="_Toc9259676"/>
      <w:bookmarkStart w:id="10" w:name="_Toc9434259"/>
      <w:bookmarkStart w:id="11" w:name="_Toc9435202"/>
      <w:bookmarkStart w:id="12" w:name="_Toc69992963"/>
      <w:bookmarkStart w:id="13" w:name="_Toc70432294"/>
      <w:bookmarkStart w:id="14" w:name="_Toc70433572"/>
      <w:bookmarkStart w:id="15" w:name="_Toc70433943"/>
      <w:bookmarkStart w:id="16" w:name="_Toc70433944"/>
      <w:bookmarkStart w:id="17" w:name="_Toc70435562"/>
      <w:bookmarkStart w:id="18" w:name="_Toc70435753"/>
      <w:bookmarkStart w:id="19" w:name="_Toc72164481"/>
      <w:bookmarkStart w:id="20" w:name="_Toc72164482"/>
      <w:bookmarkStart w:id="21" w:name="_Toc72164612"/>
      <w:bookmarkStart w:id="22" w:name="_Toc72164613"/>
      <w:bookmarkStart w:id="23" w:name="_Toc451166918"/>
      <w:bookmarkStart w:id="24" w:name="_Toc451166934"/>
      <w:bookmarkStart w:id="25" w:name="_Toc451175107"/>
      <w:bookmarkStart w:id="26" w:name="_Toc451180163"/>
      <w:bookmarkStart w:id="27" w:name="_Toc9259645"/>
      <w:bookmarkStart w:id="28" w:name="_Toc9259689"/>
      <w:bookmarkStart w:id="29" w:name="_Toc9434272"/>
      <w:bookmarkStart w:id="30" w:name="_Toc9435215"/>
      <w:r w:rsidR="009C7E56" w:rsidRPr="001328C6">
        <w:lastRenderedPageBreak/>
        <w:t>1. Úvod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9C7E56" w:rsidRPr="000A3C85" w:rsidRDefault="009C7E56" w:rsidP="00D83C11">
      <w:pPr>
        <w:spacing w:after="240" w:line="276" w:lineRule="auto"/>
      </w:pPr>
      <w:r w:rsidRPr="000A3C85">
        <w:t>Satelitní účet kultury ČR (dále také „účet kultury“ či „účet“) byl v n</w:t>
      </w:r>
      <w:r w:rsidR="001932CD">
        <w:t>ávaznosti na růst</w:t>
      </w:r>
      <w:r w:rsidR="00911CCF">
        <w:t>u</w:t>
      </w:r>
      <w:r w:rsidR="001932CD">
        <w:t xml:space="preserve"> významu sledo</w:t>
      </w:r>
      <w:r w:rsidRPr="000A3C85">
        <w:t>vání ekonomického rozměru kultury a úkol</w:t>
      </w:r>
      <w:r w:rsidR="00911CCF">
        <w:t>u</w:t>
      </w:r>
      <w:r w:rsidRPr="000A3C85">
        <w:t xml:space="preserve"> vyplývající</w:t>
      </w:r>
      <w:r w:rsidR="00911CCF">
        <w:t>ho</w:t>
      </w:r>
      <w:r w:rsidRPr="000A3C85">
        <w:t xml:space="preserve"> z usnesení vlády ČR č. 1452 z roku 2008 poprvé zpracován v ověřovacím provedení za referenční rok 2009.</w:t>
      </w:r>
    </w:p>
    <w:p w:rsidR="009C7E56" w:rsidRPr="000A3C85" w:rsidRDefault="009C7E56" w:rsidP="00D83C11">
      <w:pPr>
        <w:spacing w:after="240" w:line="276" w:lineRule="auto"/>
      </w:pPr>
      <w:r w:rsidRPr="000A3C85">
        <w:t>V roce 2015 b</w:t>
      </w:r>
      <w:r>
        <w:t>yl usnesením vlády ČR č. 266 k n</w:t>
      </w:r>
      <w:r w:rsidRPr="000A3C85">
        <w:t>ávrhu Státní kulturní politiky na léta 2015 – 2020 (s výhledem do roku 2025) úkol týkající se sestavování Satelitního účtu kultury prodloužen do dalšího období.</w:t>
      </w:r>
    </w:p>
    <w:p w:rsidR="009C7E56" w:rsidRPr="000A3C85" w:rsidRDefault="009C7E56" w:rsidP="00D83C11">
      <w:pPr>
        <w:spacing w:after="240" w:line="276" w:lineRule="auto"/>
      </w:pPr>
      <w:r w:rsidRPr="000A3C85">
        <w:t>Pro prvé ověřovací sestavení kulturního účtu za rok 2009 byl sektor kultury vymezen v rámci dohody zainteresovaných insti</w:t>
      </w:r>
      <w:r w:rsidRPr="000A3C85">
        <w:softHyphen/>
        <w:t>tucí (MK ČR resp. NIPOS a ČSÚ). Na podzim roku 2011 byl však ukončen projekt ESSn</w:t>
      </w:r>
      <w:r w:rsidR="00EB62C4">
        <w:t>et Culture organizovaný Eurosta</w:t>
      </w:r>
      <w:r w:rsidRPr="000A3C85">
        <w:t xml:space="preserve">tem, jehož úkolem </w:t>
      </w:r>
      <w:r w:rsidR="00EB62C4" w:rsidRPr="004576AF">
        <w:t>–</w:t>
      </w:r>
      <w:r w:rsidRPr="000A3C85">
        <w:t xml:space="preserve"> mimo jiné </w:t>
      </w:r>
      <w:r w:rsidR="00EB62C4" w:rsidRPr="004576AF">
        <w:t>–</w:t>
      </w:r>
      <w:r w:rsidRPr="000A3C85">
        <w:t xml:space="preserve"> bylo jednotné vymezení sektoru kultury v r</w:t>
      </w:r>
      <w:r w:rsidR="00EB62C4">
        <w:t>ámci celé EU. Výsledky výše uve</w:t>
      </w:r>
      <w:r w:rsidRPr="000A3C85">
        <w:t>deného projektu byly zapracovány do novelizované metodiky sestavení kulturního účtu a staly se východiskem pro sestavení účtu za rok 2010 a následující léta. V rámci analytických prací s dlouhodobými časovými řadami těchto dat je však třeba mít na paměti, že s postupem času se rozsah k</w:t>
      </w:r>
      <w:r>
        <w:t>ulturních aktivit zahrnutých do</w:t>
      </w:r>
      <w:r w:rsidRPr="000A3C85">
        <w:t xml:space="preserve"> účtu rozšiřoval.</w:t>
      </w:r>
    </w:p>
    <w:p w:rsidR="009C7E56" w:rsidRPr="000A3C85" w:rsidRDefault="009C7E56" w:rsidP="00D83C11">
      <w:pPr>
        <w:spacing w:after="240" w:line="276" w:lineRule="auto"/>
      </w:pPr>
      <w:r w:rsidRPr="000A3C85">
        <w:t>Za období roku 2019 je účet kultury zpracováván již po jedenácté.</w:t>
      </w:r>
      <w:r>
        <w:t xml:space="preserve"> Současná situace </w:t>
      </w:r>
      <w:r w:rsidRPr="000A3C85">
        <w:t xml:space="preserve">ukazuje, že výsledky tohoto zpracování jsou zvlášť významné. Představují výchozí srovnávací základnu pro období následujících let, </w:t>
      </w:r>
      <w:r>
        <w:t>která jsou či budou poznamenána</w:t>
      </w:r>
      <w:r w:rsidRPr="000A3C85">
        <w:t xml:space="preserve"> pandemií Cov</w:t>
      </w:r>
      <w:r>
        <w:t>i</w:t>
      </w:r>
      <w:r w:rsidRPr="000A3C85">
        <w:t>d-19.</w:t>
      </w:r>
    </w:p>
    <w:p w:rsidR="009C7E56" w:rsidRPr="00F93537" w:rsidRDefault="009C7E56" w:rsidP="009C7E56">
      <w:pPr>
        <w:pStyle w:val="Nadpis2"/>
      </w:pPr>
      <w:bookmarkStart w:id="31" w:name="_Toc451166911"/>
      <w:bookmarkStart w:id="32" w:name="_Toc451166927"/>
      <w:bookmarkStart w:id="33" w:name="_Toc451175100"/>
      <w:bookmarkStart w:id="34" w:name="_Toc451180156"/>
      <w:bookmarkStart w:id="35" w:name="_Toc9259633"/>
      <w:bookmarkStart w:id="36" w:name="_Toc9259677"/>
      <w:bookmarkStart w:id="37" w:name="_Toc9434260"/>
      <w:bookmarkStart w:id="38" w:name="_Toc9435203"/>
      <w:bookmarkStart w:id="39" w:name="_Toc69992964"/>
      <w:bookmarkStart w:id="40" w:name="_Toc70432295"/>
      <w:bookmarkStart w:id="41" w:name="_Toc70433573"/>
      <w:bookmarkStart w:id="42" w:name="_Toc70433945"/>
      <w:bookmarkStart w:id="43" w:name="_Toc72164483"/>
      <w:bookmarkStart w:id="44" w:name="_Toc72164614"/>
      <w:r w:rsidRPr="00F93537">
        <w:t>1.1. Vymezení a členění sektoru kultury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C7E56" w:rsidRDefault="009C7E56" w:rsidP="00D83C11">
      <w:pPr>
        <w:spacing w:after="240" w:line="276" w:lineRule="auto"/>
      </w:pPr>
      <w:r w:rsidRPr="00876C71">
        <w:t>Před vlastním zjišťováním</w:t>
      </w:r>
      <w:r>
        <w:t xml:space="preserve"> a </w:t>
      </w:r>
      <w:r w:rsidRPr="00876C71">
        <w:t>hodnocením ekonomického ro</w:t>
      </w:r>
      <w:r w:rsidR="001932CD">
        <w:t>změru kultury je nutné jasně ur</w:t>
      </w:r>
      <w:r w:rsidRPr="00876C71">
        <w:t>čit rozsah</w:t>
      </w:r>
      <w:r>
        <w:t xml:space="preserve"> a </w:t>
      </w:r>
      <w:r w:rsidRPr="00876C71">
        <w:t>strukturu objektu, který je předmětem našeh</w:t>
      </w:r>
      <w:r w:rsidR="00EB62C4">
        <w:t>o zájmu. Nejdříve je třeba odli</w:t>
      </w:r>
      <w:r w:rsidRPr="00876C71">
        <w:t>šit jeho vymezení</w:t>
      </w:r>
      <w:r>
        <w:t xml:space="preserve"> z </w:t>
      </w:r>
      <w:r w:rsidRPr="00876C71">
        <w:t>pohledu věcného od vymezení průř</w:t>
      </w:r>
      <w:r w:rsidR="00EB62C4">
        <w:t>ezového cha</w:t>
      </w:r>
      <w:r w:rsidRPr="00876C71"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</w:t>
      </w:r>
      <w:r w:rsidR="00911CCF">
        <w:t xml:space="preserve"> případě věcného vymezení </w:t>
      </w:r>
      <w:r w:rsidRPr="00876C71">
        <w:t>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 w:rsidR="001932CD">
        <w:t xml:space="preserve"> a </w:t>
      </w:r>
      <w:r w:rsidRPr="00876C71">
        <w:t>ve</w:t>
      </w:r>
      <w:r w:rsidR="00911CCF">
        <w:t xml:space="preserve"> druhém případě </w:t>
      </w:r>
      <w:r>
        <w:t>o </w:t>
      </w:r>
      <w:r w:rsidRPr="00876C71">
        <w:t>tzv. kulturním cyklu.</w:t>
      </w:r>
    </w:p>
    <w:p w:rsidR="009C7E56" w:rsidRDefault="009C7E56" w:rsidP="00D83C11">
      <w:pPr>
        <w:spacing w:after="240" w:line="276" w:lineRule="auto"/>
      </w:pPr>
      <w:r w:rsidRPr="00876C71">
        <w:t>V souladu</w:t>
      </w:r>
      <w:r>
        <w:t xml:space="preserve"> s </w:t>
      </w:r>
      <w:r w:rsidRPr="00876C71">
        <w:t>dostupnými mezinárodními dokumenty (EUROSTAT, UNESCO, OECD) rozlišuj</w:t>
      </w:r>
      <w:r w:rsidR="001932CD">
        <w:t xml:space="preserve">eme tyto kulturní oblasti </w:t>
      </w:r>
      <w:r w:rsidR="00911CCF">
        <w:t xml:space="preserve">vymezené dle </w:t>
      </w:r>
      <w:r w:rsidR="009B00A5">
        <w:t>K</w:t>
      </w:r>
      <w:r w:rsidR="001B7C88">
        <w:t>lasifikace ekonomických činn</w:t>
      </w:r>
      <w:r w:rsidR="009B00A5">
        <w:t>ost</w:t>
      </w:r>
      <w:r w:rsidR="001B7C88">
        <w:t xml:space="preserve">í </w:t>
      </w:r>
      <w:r w:rsidR="009B00A5">
        <w:t>(</w:t>
      </w:r>
      <w:r w:rsidR="001B7C88">
        <w:t>CZ-NACE</w:t>
      </w:r>
      <w:r w:rsidR="009B00A5">
        <w:t>)</w:t>
      </w:r>
      <w:r w:rsidR="001B7C88">
        <w:t xml:space="preserve"> </w:t>
      </w:r>
      <w:r w:rsidR="00911CCF">
        <w:t>a</w:t>
      </w:r>
      <w:r w:rsidR="009B00A5">
        <w:t xml:space="preserve"> označené </w:t>
      </w:r>
      <w:r>
        <w:t>O</w:t>
      </w:r>
      <w:r w:rsidR="009B00A5">
        <w:t>.</w:t>
      </w:r>
      <w:r w:rsidR="00911CCF">
        <w:t>11 – O</w:t>
      </w:r>
      <w:r w:rsidR="009B00A5">
        <w:t>.</w:t>
      </w:r>
      <w:r w:rsidR="00911CCF">
        <w:t>19</w:t>
      </w:r>
      <w:r w:rsidR="001B7C88">
        <w:t>. Kódy příslušných činností</w:t>
      </w:r>
      <w:r w:rsidR="009B00A5">
        <w:t xml:space="preserve"> CZ-NACE</w:t>
      </w:r>
      <w:r w:rsidR="001B7C88">
        <w:t xml:space="preserve"> jsou uvedeny v závorce za názvem oblasti</w:t>
      </w:r>
      <w:r w:rsidR="00911CCF">
        <w:t>: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kulturní dědictví </w:t>
      </w:r>
      <w:r w:rsidRPr="004576AF">
        <w:t>–</w:t>
      </w:r>
      <w:r w:rsidR="00911CCF">
        <w:t xml:space="preserve"> O.11 </w:t>
      </w:r>
      <w:r w:rsidRPr="008B153A">
        <w:t xml:space="preserve">(91.01, </w:t>
      </w:r>
      <w:r w:rsidR="00911CCF">
        <w:t>91.</w:t>
      </w:r>
      <w:r w:rsidRPr="008B153A">
        <w:t xml:space="preserve">02, </w:t>
      </w:r>
      <w:r w:rsidR="00911CCF">
        <w:t>91.</w:t>
      </w:r>
      <w:r w:rsidRPr="008B153A">
        <w:t xml:space="preserve">03, 47.78, </w:t>
      </w:r>
      <w:r w:rsidR="00911CCF">
        <w:t>47.</w:t>
      </w:r>
      <w:r w:rsidRPr="008B153A">
        <w:t>79)</w:t>
      </w:r>
    </w:p>
    <w:p w:rsidR="009C7E56" w:rsidRPr="008B153A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8B153A">
        <w:t xml:space="preserve">interpretační (scénické) umění </w:t>
      </w:r>
      <w:r w:rsidRPr="004576AF">
        <w:t>–</w:t>
      </w:r>
      <w:r w:rsidRPr="008B153A">
        <w:t xml:space="preserve"> O.12 (90.01, </w:t>
      </w:r>
      <w:r w:rsidR="001B7C88">
        <w:t>90.</w:t>
      </w:r>
      <w:r w:rsidRPr="008B153A">
        <w:t xml:space="preserve">02, </w:t>
      </w:r>
      <w:r w:rsidR="001B7C88">
        <w:t>90.</w:t>
      </w:r>
      <w:r w:rsidRPr="008B153A">
        <w:t>04)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Pr="004576AF">
        <w:t>–</w:t>
      </w:r>
      <w:r w:rsidRPr="00A85DA7">
        <w:t xml:space="preserve"> O.13 (74.10, </w:t>
      </w:r>
      <w:r w:rsidR="001B7C88" w:rsidRPr="00A85DA7">
        <w:t>74.</w:t>
      </w:r>
      <w:r w:rsidRPr="00A85DA7">
        <w:t>20, 90.03, část sekce C</w:t>
      </w:r>
      <w:r w:rsidR="001B7C88">
        <w:t xml:space="preserve"> náležící uměleckým řemeslům</w:t>
      </w:r>
      <w:r w:rsidRPr="00A85DA7">
        <w:t>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Pr="004576AF">
        <w:t>–</w:t>
      </w:r>
      <w:r w:rsidRPr="00A85DA7">
        <w:t xml:space="preserve"> O.14 (58.11,</w:t>
      </w:r>
      <w:r w:rsidR="001B7C88">
        <w:t xml:space="preserve"> </w:t>
      </w:r>
      <w:r w:rsidR="001B7C88" w:rsidRPr="00A85DA7">
        <w:t>58.</w:t>
      </w:r>
      <w:r w:rsidRPr="00A85DA7">
        <w:t xml:space="preserve">13, 63.91, 74.30, 47.61, </w:t>
      </w:r>
      <w:r w:rsidR="001B7C88" w:rsidRPr="00A85DA7">
        <w:t>47.</w:t>
      </w:r>
      <w:r w:rsidRPr="00A85DA7">
        <w:t>62)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audiovizuální</w:t>
      </w:r>
      <w:r>
        <w:t xml:space="preserve"> a </w:t>
      </w:r>
      <w:r w:rsidRPr="00A85DA7">
        <w:t xml:space="preserve">interaktivní média – O.15 (58.21, 59.11, </w:t>
      </w:r>
      <w:r w:rsidR="001B7C88" w:rsidRPr="00A85DA7">
        <w:t>59.</w:t>
      </w:r>
      <w:r w:rsidRPr="00A85DA7">
        <w:t xml:space="preserve">12, </w:t>
      </w:r>
      <w:r w:rsidR="001B7C88" w:rsidRPr="00A85DA7">
        <w:t>59.</w:t>
      </w:r>
      <w:r w:rsidRPr="00A85DA7">
        <w:t xml:space="preserve">13, </w:t>
      </w:r>
      <w:r w:rsidR="001B7C88" w:rsidRPr="00A85DA7">
        <w:t>59.</w:t>
      </w:r>
      <w:r w:rsidRPr="00A85DA7">
        <w:t xml:space="preserve">14, </w:t>
      </w:r>
      <w:r w:rsidR="001B7C88" w:rsidRPr="00A85DA7">
        <w:t>59.</w:t>
      </w:r>
      <w:r w:rsidRPr="00A85DA7">
        <w:t xml:space="preserve">20, 60.10, </w:t>
      </w:r>
      <w:r w:rsidR="001B7C88" w:rsidRPr="00A85DA7">
        <w:t>60.</w:t>
      </w:r>
      <w:r w:rsidRPr="00A85DA7">
        <w:t>20, 47.63, 77.22)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architektura – O.16 (71.11)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>
        <w:t>reklama – O.17 (73.11)</w:t>
      </w:r>
    </w:p>
    <w:p w:rsidR="009C7E56" w:rsidRPr="00A85DA7" w:rsidRDefault="009C7E56" w:rsidP="00D83C11">
      <w:pPr>
        <w:numPr>
          <w:ilvl w:val="0"/>
          <w:numId w:val="43"/>
        </w:numPr>
        <w:spacing w:after="80" w:line="240" w:lineRule="auto"/>
        <w:ind w:left="714" w:hanging="357"/>
        <w:jc w:val="left"/>
      </w:pPr>
      <w:r w:rsidRPr="00A85DA7">
        <w:t>umělecké vzdělávání – O.18 (85.52)</w:t>
      </w:r>
    </w:p>
    <w:p w:rsidR="009C7E56" w:rsidRDefault="009C7E56" w:rsidP="00D83C11">
      <w:pPr>
        <w:numPr>
          <w:ilvl w:val="0"/>
          <w:numId w:val="43"/>
        </w:numPr>
        <w:spacing w:after="240" w:line="240" w:lineRule="auto"/>
        <w:ind w:left="714" w:hanging="357"/>
        <w:jc w:val="left"/>
      </w:pPr>
      <w:r w:rsidRPr="00A85DA7">
        <w:t>správa kultury vč. jej</w:t>
      </w:r>
      <w:r w:rsidR="001B7C88">
        <w:t>í podpory – O.19 (84.11 – část náležící kultuře,</w:t>
      </w:r>
      <w:r w:rsidRPr="00A85DA7">
        <w:t xml:space="preserve"> 94.99.2)</w:t>
      </w:r>
    </w:p>
    <w:p w:rsidR="009C7E56" w:rsidRPr="00876C71" w:rsidRDefault="009C7E56" w:rsidP="00D83C11">
      <w:pPr>
        <w:spacing w:after="240" w:line="276" w:lineRule="auto"/>
      </w:pPr>
      <w:r w:rsidRPr="00876C71"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>
        <w:t>deme nazývat „neznámá oblast “.</w:t>
      </w:r>
    </w:p>
    <w:p w:rsidR="009C7E56" w:rsidRPr="00876C71" w:rsidRDefault="009C7E56" w:rsidP="00D83C11">
      <w:pPr>
        <w:spacing w:after="240" w:line="276" w:lineRule="auto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 xml:space="preserve">rámci </w:t>
      </w:r>
      <w:r w:rsidR="00EB62C4">
        <w:t>muzeí či originály zvukových na</w:t>
      </w:r>
      <w:r w:rsidRPr="00876C71">
        <w:t>hrávek). Nositele uvede</w:t>
      </w:r>
      <w:r>
        <w:softHyphen/>
      </w:r>
      <w:r w:rsidRPr="00876C71">
        <w:t xml:space="preserve">ných kulturních činností, popř. služeb či statků, lze také souhrnně označit za </w:t>
      </w:r>
      <w:r w:rsidRPr="00ED0885">
        <w:rPr>
          <w:b/>
        </w:rPr>
        <w:t>poskytovatele</w:t>
      </w:r>
      <w:r w:rsidRPr="00876C71">
        <w:t xml:space="preserve"> kulturních statků</w:t>
      </w:r>
      <w:r>
        <w:t xml:space="preserve"> a </w:t>
      </w:r>
      <w:r w:rsidRPr="00876C71">
        <w:t xml:space="preserve">služeb (dále také „poskytovatele“). Mezi ně patří </w:t>
      </w:r>
      <w:r w:rsidRPr="00876C71">
        <w:lastRenderedPageBreak/>
        <w:t>např. muzea, knihovny, divadla, kina, rozhlas či televize. Nutno dodat, že jejich počet je do značné míry dán pragmatickými důvody spočívajícími</w:t>
      </w:r>
      <w:r>
        <w:t xml:space="preserve"> v </w:t>
      </w:r>
      <w:r w:rsidRPr="00876C71">
        <w:t>dosažitelnosti st</w:t>
      </w:r>
      <w:r w:rsidR="001932CD">
        <w:t xml:space="preserve">atistických dat (zejména cestou </w:t>
      </w:r>
      <w:r w:rsidRPr="00876C71">
        <w:t>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>, k </w:t>
      </w:r>
      <w:r w:rsidRPr="00876C71">
        <w:t>dispozici.</w:t>
      </w:r>
    </w:p>
    <w:p w:rsidR="009C7E56" w:rsidRPr="00876C71" w:rsidRDefault="009C7E56" w:rsidP="00977DB4">
      <w:pPr>
        <w:spacing w:after="200" w:line="276" w:lineRule="auto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>urním oblastem (odvětvím) tj. O.11 – O.19, takto: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historická památka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muzeum</w:t>
      </w:r>
      <w:r>
        <w:t xml:space="preserve"> a </w:t>
      </w:r>
      <w:r w:rsidRPr="00A85DA7">
        <w:t xml:space="preserve">galerie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archiv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knihovna </w:t>
      </w:r>
      <w:r w:rsidRPr="004576AF">
        <w:t>–</w:t>
      </w:r>
      <w:r>
        <w:t xml:space="preserve"> O.11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 xml:space="preserve">divadlo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koncertní sál </w:t>
      </w:r>
      <w:r w:rsidRPr="004576AF">
        <w:t>–</w:t>
      </w:r>
      <w:r>
        <w:t xml:space="preserve">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kulturní domy – O.12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výstavní sál </w:t>
      </w:r>
      <w:r w:rsidRPr="004576AF">
        <w:t>–</w:t>
      </w:r>
      <w:r>
        <w:t xml:space="preserve"> O.13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nakladatelství/vydavatelství </w:t>
      </w:r>
      <w:r w:rsidRPr="004576AF">
        <w:t>–</w:t>
      </w:r>
      <w:r>
        <w:t xml:space="preserve"> O.14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rozhlas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 w:rsidRPr="00A85DA7">
        <w:t xml:space="preserve">televize </w:t>
      </w:r>
      <w:r w:rsidRPr="004576AF">
        <w:t>–</w:t>
      </w:r>
      <w:r>
        <w:t xml:space="preserve"> O.15</w:t>
      </w:r>
    </w:p>
    <w:p w:rsidR="009C7E56" w:rsidRPr="00A85DA7" w:rsidRDefault="009C7E56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školy uměleckého vzdělávání – O.18</w:t>
      </w:r>
    </w:p>
    <w:p w:rsidR="009C7E56" w:rsidRPr="00A85DA7" w:rsidRDefault="00586F5C" w:rsidP="00463DF0">
      <w:pPr>
        <w:numPr>
          <w:ilvl w:val="0"/>
          <w:numId w:val="44"/>
        </w:numPr>
        <w:spacing w:after="60" w:line="240" w:lineRule="auto"/>
        <w:ind w:left="714" w:hanging="357"/>
        <w:jc w:val="left"/>
      </w:pPr>
      <w:r>
        <w:t>organizace ochrany autorských</w:t>
      </w:r>
      <w:r w:rsidR="009C7E56">
        <w:t xml:space="preserve"> práv </w:t>
      </w:r>
      <w:r w:rsidR="009C7E56" w:rsidRPr="004576AF">
        <w:t>–</w:t>
      </w:r>
      <w:r w:rsidR="009C7E56">
        <w:t xml:space="preserve"> O.19</w:t>
      </w:r>
    </w:p>
    <w:p w:rsidR="009C7E56" w:rsidRPr="00A85DA7" w:rsidRDefault="009C7E56" w:rsidP="00977DB4">
      <w:pPr>
        <w:numPr>
          <w:ilvl w:val="0"/>
          <w:numId w:val="44"/>
        </w:numPr>
        <w:spacing w:after="200" w:line="240" w:lineRule="auto"/>
        <w:ind w:left="714" w:hanging="357"/>
        <w:jc w:val="left"/>
      </w:pPr>
      <w:r>
        <w:t xml:space="preserve">ostatní poskytovatelé </w:t>
      </w:r>
      <w:r w:rsidRPr="004576AF">
        <w:t>–</w:t>
      </w:r>
      <w:r>
        <w:t xml:space="preserve"> O.11 </w:t>
      </w:r>
      <w:r w:rsidRPr="004576AF">
        <w:t>–</w:t>
      </w:r>
      <w:r>
        <w:t xml:space="preserve"> O.19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(O.16) se žádný jed</w:t>
      </w:r>
      <w:r w:rsidRPr="00876C71">
        <w:softHyphen/>
        <w:t xml:space="preserve">noznačně vymezený poskytovatel </w:t>
      </w:r>
      <w:r>
        <w:t>– z </w:t>
      </w:r>
      <w:r w:rsidRPr="00876C71">
        <w:t xml:space="preserve">důvodu nedostatku odpovídajících dat získávaných statistickými šetřeními </w:t>
      </w:r>
      <w:r>
        <w:t>–</w:t>
      </w:r>
      <w:r w:rsidRPr="00876C71">
        <w:t xml:space="preserve"> nenachází. Obvykle je rozsah kul</w:t>
      </w:r>
      <w:r w:rsidRPr="00876C71">
        <w:softHyphen/>
        <w:t xml:space="preserve">turních oblastí širší než činnosti poskytovatelů, kteří </w:t>
      </w:r>
      <w:r w:rsidR="00586F5C">
        <w:t>jsou do</w:t>
      </w:r>
      <w:r w:rsidRPr="00876C71">
        <w:t xml:space="preserve"> nich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>
        <w:t>sobem</w:t>
      </w:r>
      <w:r w:rsidR="00586F5C">
        <w:t xml:space="preserve"> nepokrývají</w:t>
      </w:r>
      <w:r>
        <w:t xml:space="preserve"> celou oblast.</w:t>
      </w:r>
    </w:p>
    <w:p w:rsidR="009C7E56" w:rsidRPr="00876C71" w:rsidRDefault="009C7E56" w:rsidP="00D83C11">
      <w:pPr>
        <w:spacing w:after="240" w:line="276" w:lineRule="auto"/>
      </w:pPr>
      <w:r w:rsidRPr="00876C71"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jím řízených insti</w:t>
      </w:r>
      <w:r>
        <w:softHyphen/>
        <w:t>tucí atd.).</w:t>
      </w:r>
    </w:p>
    <w:p w:rsidR="009C7E56" w:rsidRPr="00876C71" w:rsidRDefault="009C7E56" w:rsidP="00D83C11">
      <w:pPr>
        <w:spacing w:after="240" w:line="276" w:lineRule="auto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>tzv. „neznámého poskytovatele“. V této souvislosti je patrné, že postupné snižování 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>
        <w:t xml:space="preserve"> administrativní zátěže apod.).</w:t>
      </w:r>
    </w:p>
    <w:p w:rsidR="009C7E56" w:rsidRPr="00876C71" w:rsidRDefault="009C7E56" w:rsidP="00D83C11">
      <w:pPr>
        <w:spacing w:after="240" w:line="276" w:lineRule="auto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 </w:t>
      </w:r>
      <w:r w:rsidRPr="00876C71">
        <w:t>se změnami ve statistickém zjišťování</w:t>
      </w:r>
      <w:r>
        <w:t xml:space="preserve"> v čase měnit.</w:t>
      </w:r>
    </w:p>
    <w:p w:rsidR="009C7E56" w:rsidRPr="00876C71" w:rsidRDefault="009C7E56" w:rsidP="00D83C11">
      <w:pPr>
        <w:spacing w:after="240" w:line="276" w:lineRule="auto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 xml:space="preserve">nich odráží rozhodující příbuzné rysy </w:t>
      </w:r>
      <w:r w:rsidRPr="00876C71">
        <w:lastRenderedPageBreak/>
        <w:t xml:space="preserve">několika oblastí. Za takovou skupinu příbuzných oblastí lze považovat sféru </w:t>
      </w:r>
      <w:r w:rsidRPr="00ED0885">
        <w:rPr>
          <w:b/>
        </w:rPr>
        <w:t>kulturního (hmotného a nehmotného) dědictví</w:t>
      </w:r>
      <w:r w:rsidRPr="00876C71">
        <w:t>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 xml:space="preserve">knihovny, dále sféru </w:t>
      </w:r>
      <w:r w:rsidRPr="00ED0885">
        <w:rPr>
          <w:b/>
        </w:rPr>
        <w:t>živé origi</w:t>
      </w:r>
      <w:r w:rsidRPr="00ED0885">
        <w:rPr>
          <w:b/>
        </w:rPr>
        <w:softHyphen/>
        <w:t>nální umělecké tvorby</w:t>
      </w:r>
      <w:r w:rsidRPr="00876C71">
        <w:t xml:space="preserve">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ED0885">
        <w:rPr>
          <w:b/>
        </w:rPr>
        <w:t>sféru kulturních medií</w:t>
      </w:r>
      <w:r w:rsidRPr="00876C71">
        <w:t xml:space="preserve">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Pr="004576AF">
        <w:t>–</w:t>
      </w:r>
      <w:r w:rsidRPr="00876C71">
        <w:t xml:space="preserve"> by mohly tvořit </w:t>
      </w:r>
      <w:r w:rsidRPr="00ED0885">
        <w:rPr>
          <w:b/>
        </w:rPr>
        <w:t>správní (režijní) činnosti</w:t>
      </w:r>
      <w:r w:rsidRPr="00876C71">
        <w:t xml:space="preserve">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Pr="004576AF">
        <w:t>–</w:t>
      </w:r>
      <w:r w:rsidRPr="00876C71">
        <w:t xml:space="preserve"> neoddělitelně spojeny</w:t>
      </w:r>
      <w:r>
        <w:t xml:space="preserve"> a dále umělecké vzdělávání.</w:t>
      </w:r>
    </w:p>
    <w:p w:rsidR="009C7E56" w:rsidRPr="00876C71" w:rsidRDefault="009C7E56" w:rsidP="00D83C11">
      <w:pPr>
        <w:spacing w:after="240" w:line="276" w:lineRule="auto"/>
      </w:pPr>
      <w:r w:rsidRPr="00876C71">
        <w:t>Samozřejmě nemalý význam mají</w:t>
      </w:r>
      <w:r>
        <w:t xml:space="preserve"> i </w:t>
      </w:r>
      <w:r w:rsidR="00586F5C">
        <w:t>jiná členění kultury</w:t>
      </w:r>
      <w:r w:rsidRPr="00876C71">
        <w:t>. Evropská Komise člení kulturu</w:t>
      </w:r>
      <w:r>
        <w:t xml:space="preserve"> v </w:t>
      </w:r>
      <w:r w:rsidRPr="00876C71">
        <w:t xml:space="preserve">zásadě na </w:t>
      </w:r>
      <w:r w:rsidRPr="00ED0885">
        <w:rPr>
          <w:b/>
        </w:rPr>
        <w:t xml:space="preserve">kulturní </w:t>
      </w:r>
      <w:r w:rsidR="00586F5C">
        <w:rPr>
          <w:b/>
        </w:rPr>
        <w:t>odvětví</w:t>
      </w:r>
      <w:r>
        <w:t xml:space="preserve"> a </w:t>
      </w:r>
      <w:r w:rsidRPr="00ED0885">
        <w:rPr>
          <w:b/>
        </w:rPr>
        <w:t xml:space="preserve">kreativní </w:t>
      </w:r>
      <w:r w:rsidR="00586F5C">
        <w:rPr>
          <w:b/>
        </w:rPr>
        <w:t>odvětví</w:t>
      </w:r>
      <w:r w:rsidRPr="00876C71">
        <w:t xml:space="preserve">. Prvý </w:t>
      </w:r>
      <w:r w:rsidR="00177A1E">
        <w:t xml:space="preserve">tvoří </w:t>
      </w:r>
      <w:r w:rsidR="00586F5C">
        <w:rPr>
          <w:b/>
        </w:rPr>
        <w:t>kulturní sektor</w:t>
      </w:r>
      <w:r w:rsidR="00177A1E">
        <w:rPr>
          <w:b/>
        </w:rPr>
        <w:t xml:space="preserve"> </w:t>
      </w:r>
      <w:r w:rsidR="00177A1E" w:rsidRPr="00177A1E">
        <w:t>zahrnující oblasti tradičního umění</w:t>
      </w:r>
      <w:r w:rsidRPr="00177A1E">
        <w:t xml:space="preserve"> (</w:t>
      </w:r>
      <w:r w:rsidRPr="00876C71">
        <w:t>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177A1E">
        <w:t xml:space="preserve">oblast </w:t>
      </w:r>
      <w:r w:rsidRPr="00177A1E">
        <w:rPr>
          <w:b/>
        </w:rPr>
        <w:t>kulturních průmyslů</w:t>
      </w:r>
      <w:r w:rsidR="00586F5C">
        <w:rPr>
          <w:b/>
        </w:rPr>
        <w:t xml:space="preserve"> </w:t>
      </w:r>
      <w:r w:rsidRPr="00876C71">
        <w:t>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</w:t>
      </w:r>
      <w:r w:rsidR="00177A1E">
        <w:t xml:space="preserve"> tvoří</w:t>
      </w:r>
      <w:r w:rsidRPr="00876C71">
        <w:t xml:space="preserve"> </w:t>
      </w:r>
      <w:r w:rsidRPr="00ED0885">
        <w:rPr>
          <w:b/>
        </w:rPr>
        <w:t>krea</w:t>
      </w:r>
      <w:r w:rsidRPr="00ED0885">
        <w:rPr>
          <w:b/>
        </w:rPr>
        <w:softHyphen/>
        <w:t>tivní</w:t>
      </w:r>
      <w:r w:rsidR="00177A1E">
        <w:rPr>
          <w:b/>
        </w:rPr>
        <w:t xml:space="preserve"> průmysl </w:t>
      </w:r>
      <w:r w:rsidRPr="00876C71">
        <w:t>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</w:t>
      </w:r>
      <w:r w:rsidR="00586F5C">
        <w:t xml:space="preserve"> </w:t>
      </w:r>
      <w:r w:rsidR="00586F5C" w:rsidRPr="00177A1E">
        <w:rPr>
          <w:b/>
        </w:rPr>
        <w:t>Příbuzná odvětví však nejsou v účtu kultury zohledněna</w:t>
      </w:r>
      <w:r w:rsidR="00586F5C">
        <w:t>.</w:t>
      </w:r>
      <w:r w:rsidRPr="00876C71">
        <w:t xml:space="preserve">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>
        <w:t>ch výsledků kulturních oblastí.</w:t>
      </w:r>
    </w:p>
    <w:p w:rsidR="009C7E56" w:rsidRPr="00876C71" w:rsidRDefault="009C7E56" w:rsidP="00D83C11">
      <w:pPr>
        <w:spacing w:after="240" w:line="276" w:lineRule="auto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Pr="004576AF">
        <w:t>–</w:t>
      </w:r>
      <w:r w:rsidRPr="00876C71">
        <w:t xml:space="preserve"> </w:t>
      </w:r>
      <w:r w:rsidRPr="00ED0885">
        <w:rPr>
          <w:b/>
        </w:rPr>
        <w:t>kulturním cyklu</w:t>
      </w:r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>
        <w:t>vit (např. vzdělávání, obchod).</w:t>
      </w:r>
    </w:p>
    <w:p w:rsidR="009C7E56" w:rsidRPr="00876C71" w:rsidRDefault="009C7E56" w:rsidP="00D83C11">
      <w:pPr>
        <w:spacing w:after="240" w:line="276" w:lineRule="auto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statky směřují do budoucnosti.</w:t>
      </w:r>
    </w:p>
    <w:p w:rsidR="009C7E56" w:rsidRPr="00876C71" w:rsidRDefault="009C7E56" w:rsidP="00D83C11">
      <w:pPr>
        <w:spacing w:after="240" w:line="276" w:lineRule="auto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související správní činnosti).</w:t>
      </w:r>
    </w:p>
    <w:p w:rsidR="009C7E56" w:rsidRPr="00876C71" w:rsidRDefault="009C7E56" w:rsidP="00D83C11">
      <w:pPr>
        <w:spacing w:after="240" w:line="276" w:lineRule="auto"/>
      </w:pPr>
      <w:r w:rsidRPr="00876C71"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 xml:space="preserve">vími. Mezi prvými lze uvést na </w:t>
      </w:r>
      <w:r w:rsidR="00586F5C">
        <w:t>předním</w:t>
      </w:r>
      <w:r w:rsidRPr="00876C71">
        <w:t xml:space="preserve">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vek,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videoher, architektonických, návrhářských</w:t>
      </w:r>
      <w:r>
        <w:t xml:space="preserve"> a reklamních činností.</w:t>
      </w:r>
    </w:p>
    <w:p w:rsidR="009C7E56" w:rsidRPr="004576AF" w:rsidRDefault="009C7E56" w:rsidP="00D83C11">
      <w:pPr>
        <w:spacing w:after="240" w:line="276" w:lineRule="auto"/>
      </w:pPr>
      <w:r w:rsidRPr="00876C71"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9C7E56" w:rsidRPr="001932CD" w:rsidRDefault="009C7E56" w:rsidP="001932CD">
      <w:pPr>
        <w:pStyle w:val="Nadpis2"/>
      </w:pPr>
      <w:bookmarkStart w:id="45" w:name="_Toc451166912"/>
      <w:bookmarkStart w:id="46" w:name="_Toc451166928"/>
      <w:bookmarkStart w:id="47" w:name="_Toc451175101"/>
      <w:bookmarkStart w:id="48" w:name="_Toc451180157"/>
      <w:bookmarkStart w:id="49" w:name="_Toc9259634"/>
      <w:bookmarkStart w:id="50" w:name="_Toc9259678"/>
      <w:bookmarkStart w:id="51" w:name="_Toc9434261"/>
      <w:bookmarkStart w:id="52" w:name="_Toc9435204"/>
      <w:bookmarkStart w:id="53" w:name="_Toc69992965"/>
      <w:bookmarkStart w:id="54" w:name="_Toc70432296"/>
      <w:bookmarkStart w:id="55" w:name="_Toc70433574"/>
      <w:bookmarkStart w:id="56" w:name="_Toc70433946"/>
      <w:bookmarkStart w:id="57" w:name="_Toc72164484"/>
      <w:bookmarkStart w:id="58" w:name="_Toc72164615"/>
      <w:r w:rsidRPr="001932CD">
        <w:t>1.2. Zdroje dat a související problémy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DB0AFA" w:rsidRDefault="009C7E56" w:rsidP="00D83C11">
      <w:pPr>
        <w:spacing w:after="240" w:line="276" w:lineRule="auto"/>
        <w:rPr>
          <w:color w:val="FF0000"/>
        </w:rPr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</w:t>
      </w:r>
      <w:r w:rsidRPr="00876C71">
        <w:t>údaje</w:t>
      </w:r>
      <w:r>
        <w:t xml:space="preserve"> z </w:t>
      </w:r>
      <w:r w:rsidRPr="00ED0885">
        <w:rPr>
          <w:b/>
        </w:rPr>
        <w:t>veřejných rozpočtů</w:t>
      </w:r>
      <w:r w:rsidRPr="00876C71">
        <w:t xml:space="preserve"> (státní roz</w:t>
      </w:r>
      <w:r>
        <w:softHyphen/>
      </w:r>
      <w:r w:rsidRPr="00876C71">
        <w:t>počet</w:t>
      </w:r>
      <w:r>
        <w:t xml:space="preserve"> a </w:t>
      </w:r>
      <w:r w:rsidRPr="00876C71">
        <w:t xml:space="preserve">místní rozpočty). </w:t>
      </w:r>
    </w:p>
    <w:p w:rsidR="009C7E56" w:rsidRPr="00876C71" w:rsidRDefault="009C7E56" w:rsidP="00D83C11">
      <w:pPr>
        <w:spacing w:after="240" w:line="276" w:lineRule="auto"/>
      </w:pPr>
      <w:r w:rsidRPr="00876C71">
        <w:t xml:space="preserve">Druhou skupinu tvoří zejména data získaná </w:t>
      </w:r>
      <w:r w:rsidRPr="005C1E0D">
        <w:rPr>
          <w:b/>
        </w:rPr>
        <w:t>šetřením v domácnostech</w:t>
      </w:r>
      <w:r w:rsidRPr="00876C71">
        <w:t xml:space="preserve"> </w:t>
      </w:r>
      <w:r>
        <w:t xml:space="preserve">(statistika </w:t>
      </w:r>
      <w:r w:rsidRPr="00876C71">
        <w:t>rodin</w:t>
      </w:r>
      <w:r>
        <w:softHyphen/>
      </w:r>
      <w:r w:rsidRPr="00876C71">
        <w:t>ných účtů</w:t>
      </w:r>
      <w:r>
        <w:t>, výběrové šetření pracovních sil</w:t>
      </w:r>
      <w:r w:rsidRPr="00876C71">
        <w:t>)</w:t>
      </w:r>
      <w:r>
        <w:t xml:space="preserve"> a </w:t>
      </w:r>
      <w:r w:rsidRPr="00876C71">
        <w:t xml:space="preserve">dále statistickým </w:t>
      </w:r>
      <w:r w:rsidRPr="005C1E0D">
        <w:rPr>
          <w:b/>
        </w:rPr>
        <w:t>zjiš</w:t>
      </w:r>
      <w:r w:rsidRPr="005C1E0D">
        <w:rPr>
          <w:b/>
        </w:rPr>
        <w:softHyphen/>
        <w:t>ťováním</w:t>
      </w:r>
      <w:r w:rsidRPr="00876C71">
        <w:t xml:space="preserve"> přímo</w:t>
      </w:r>
      <w:r>
        <w:t xml:space="preserve"> u </w:t>
      </w:r>
      <w:r w:rsidRPr="005C1E0D">
        <w:rPr>
          <w:b/>
        </w:rPr>
        <w:t>kulturních institucí</w:t>
      </w:r>
      <w:r w:rsidRPr="00876C71">
        <w:t xml:space="preserve">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 xml:space="preserve">televizního vysílání. Data od naprosté většiny dalších kulturních institucí (poskytovatelů) sbírá pomocí výše zmíněného šetření </w:t>
      </w:r>
      <w:r w:rsidRPr="00876C71">
        <w:lastRenderedPageBreak/>
        <w:t>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</w:t>
      </w:r>
      <w:r>
        <w:t>zv. podnikové statis</w:t>
      </w:r>
      <w:r>
        <w:softHyphen/>
        <w:t>tiky</w:t>
      </w:r>
      <w:r w:rsidRPr="00876C71">
        <w:t xml:space="preserve"> ČSÚ (</w:t>
      </w:r>
      <w:r w:rsidRPr="00030214">
        <w:t>P 5-01</w:t>
      </w:r>
      <w:r w:rsidRPr="00876C71">
        <w:t>). Ze statistického zjišťování tohoto úřadu jsou získávána také data</w:t>
      </w:r>
      <w:r>
        <w:t xml:space="preserve"> o </w:t>
      </w:r>
      <w:r w:rsidRPr="00876C71">
        <w:t xml:space="preserve">neziskových institucích </w:t>
      </w:r>
      <w:r w:rsidR="00585C5C">
        <w:t xml:space="preserve">(NI 1-01), </w:t>
      </w:r>
      <w:r w:rsidRPr="00876C71">
        <w:t>včetně organ</w:t>
      </w:r>
      <w:r w:rsidR="00585C5C">
        <w:t>izací ochrany autorských práv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V referenčním roce 2014 byla</w:t>
      </w:r>
      <w:r>
        <w:t xml:space="preserve"> </w:t>
      </w:r>
      <w:r w:rsidRPr="004576AF">
        <w:t>–</w:t>
      </w:r>
      <w:r>
        <w:t xml:space="preserve"> v </w:t>
      </w:r>
      <w:r w:rsidRPr="00876C71">
        <w:t>návaznosti na záměry Eurostatu</w:t>
      </w:r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 novým </w:t>
      </w:r>
      <w:r w:rsidRPr="00876C71">
        <w:t>využitím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9C7E56" w:rsidRPr="00876C71" w:rsidRDefault="009C7E56" w:rsidP="00D83C11">
      <w:pPr>
        <w:spacing w:after="240" w:line="276" w:lineRule="auto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 w:rsidR="005609E5">
        <w:t xml:space="preserve"> z národních účtů</w:t>
      </w:r>
      <w:r>
        <w:t>.</w:t>
      </w:r>
    </w:p>
    <w:p w:rsidR="009C7E56" w:rsidRPr="00876C71" w:rsidRDefault="009C7E56" w:rsidP="00D83C11">
      <w:pPr>
        <w:spacing w:after="240" w:line="276" w:lineRule="auto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  <w:t>butorů atd.</w:t>
      </w:r>
    </w:p>
    <w:p w:rsidR="009C7E56" w:rsidRDefault="009C7E56" w:rsidP="00D83C11">
      <w:pPr>
        <w:spacing w:after="240" w:line="276" w:lineRule="auto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9C7E56" w:rsidRPr="00A0405B" w:rsidRDefault="009C7E56" w:rsidP="00D83C11">
      <w:pPr>
        <w:spacing w:after="240" w:line="276" w:lineRule="auto"/>
      </w:pPr>
      <w:r w:rsidRPr="00A2396B">
        <w:t xml:space="preserve">Nově – počínaje referenčním rokem 2018 – jsou takto </w:t>
      </w:r>
      <w:r>
        <w:t xml:space="preserve">šetřeny i aktivity související </w:t>
      </w:r>
      <w:r w:rsidRPr="00A2396B">
        <w:t>s archeologickými nalezišti, které zatím v plném rozsahu do kulturního účtu zahrnuty nebyly.</w:t>
      </w:r>
    </w:p>
    <w:p w:rsidR="009C7E56" w:rsidRPr="00A0405B" w:rsidRDefault="009C7E56" w:rsidP="00D83C11">
      <w:pPr>
        <w:spacing w:after="240" w:line="276" w:lineRule="auto"/>
      </w:pPr>
      <w:r w:rsidRPr="00A0405B">
        <w:t xml:space="preserve">Nutno dodat, že se na mapě statistického sledování sektoru kultury najdou ještě “bílá místa”. </w:t>
      </w:r>
      <w:r w:rsidRPr="005C1E0D">
        <w:t xml:space="preserve">Např. umělecká řemesla jsou pokryta jen částečně. </w:t>
      </w:r>
      <w:r w:rsidRPr="00A0405B">
        <w:t>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>ných údajů snadné. Základní překážkou je vysoká míra neodpovědí (non</w:t>
      </w:r>
      <w:r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9C7E56" w:rsidRPr="00A0405B" w:rsidRDefault="009C7E56" w:rsidP="00D83C11">
      <w:pPr>
        <w:spacing w:after="240" w:line="276" w:lineRule="auto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>ných důvodů výběrový soubor šetření 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</w:t>
      </w:r>
      <w:r w:rsidR="00585C5C">
        <w:t>podrobnějším</w:t>
      </w:r>
      <w:r w:rsidRPr="00A0405B">
        <w:t xml:space="preserve"> členění (např. na čtyři místa </w:t>
      </w:r>
      <w:r>
        <w:t>CZ-</w:t>
      </w:r>
      <w:r w:rsidRPr="00A0405B">
        <w:t xml:space="preserve">NACE). </w:t>
      </w:r>
    </w:p>
    <w:p w:rsidR="009C7E56" w:rsidRPr="00A0405B" w:rsidRDefault="009C7E56" w:rsidP="00D83C11">
      <w:pPr>
        <w:spacing w:after="240" w:line="276" w:lineRule="auto"/>
      </w:pPr>
      <w:r>
        <w:t>Potřebná data jsou z jednotlivých datových zdrojů dostupná v různých termínech</w:t>
      </w:r>
      <w:r w:rsidRPr="00A0405B">
        <w:t>. Data</w:t>
      </w:r>
      <w:r>
        <w:t xml:space="preserve"> o </w:t>
      </w:r>
      <w:r w:rsidRPr="00A0405B">
        <w:t>veřej</w:t>
      </w:r>
      <w:r>
        <w:softHyphen/>
      </w:r>
      <w:r w:rsidRPr="00A0405B">
        <w:t>ných výdajích jsou</w:t>
      </w:r>
      <w:r>
        <w:t xml:space="preserve"> k </w:t>
      </w:r>
      <w:r w:rsidRPr="00A0405B">
        <w:t>dispozici zhruba pět měsíců, údaje</w:t>
      </w:r>
      <w:r>
        <w:t xml:space="preserve"> o </w:t>
      </w:r>
      <w:r w:rsidRPr="00A0405B">
        <w:t>výdajích domácností osm</w:t>
      </w:r>
      <w:r>
        <w:t xml:space="preserve"> měsíců a o </w:t>
      </w:r>
      <w:r w:rsidRPr="00A0405B">
        <w:t xml:space="preserve">podnicích či neziskových institucích až třináct měsíců po </w:t>
      </w:r>
      <w:r>
        <w:t>konci referenčního</w:t>
      </w:r>
      <w:r w:rsidRPr="00A0405B">
        <w:t xml:space="preserve"> </w:t>
      </w:r>
      <w:r>
        <w:t>roku</w:t>
      </w:r>
      <w:r w:rsidRPr="00A0405B">
        <w:t>. Podobné to je</w:t>
      </w:r>
      <w:r>
        <w:t xml:space="preserve"> s </w:t>
      </w:r>
      <w:r w:rsidRPr="00A0405B">
        <w:t xml:space="preserve">dopočtenými údaji sbíranými od kulturních institucí (poskytovatelů). Nejpozději jsou </w:t>
      </w:r>
      <w:r w:rsidR="00585C5C">
        <w:t>dostupná</w:t>
      </w:r>
      <w:r w:rsidRPr="00A0405B">
        <w:t xml:space="preserve"> data ze systému národního účetnictví (více než rok po </w:t>
      </w:r>
      <w:r>
        <w:t xml:space="preserve">ukončení </w:t>
      </w:r>
      <w:r w:rsidRPr="00A0405B">
        <w:t xml:space="preserve">referenčním období), která jsou navíc </w:t>
      </w:r>
      <w:r>
        <w:t xml:space="preserve">dodatečnými revizemi </w:t>
      </w:r>
      <w:r w:rsidRPr="00A0405B">
        <w:t xml:space="preserve">postupně zpřesňována. </w:t>
      </w:r>
      <w:r>
        <w:t>V</w:t>
      </w:r>
      <w:r w:rsidRPr="00A0405B">
        <w:t>ýsledky účtu kultury</w:t>
      </w:r>
      <w:r>
        <w:t xml:space="preserve"> jsou tedy dostupné až cca 16 měsíců po skončení referenčního roku.</w:t>
      </w:r>
    </w:p>
    <w:p w:rsidR="009C7E56" w:rsidRDefault="009C7E56" w:rsidP="00D83C11">
      <w:pPr>
        <w:spacing w:after="240" w:line="276" w:lineRule="auto"/>
      </w:pPr>
      <w:r>
        <w:t>N</w:t>
      </w:r>
      <w:r w:rsidRPr="00A0405B">
        <w:t>emalé rozdíly jsou</w:t>
      </w:r>
      <w:r>
        <w:t xml:space="preserve"> i v </w:t>
      </w:r>
      <w:r w:rsidRPr="00A0405B">
        <w:t>kvalitě informací. Vysokou věrohodnost lze před</w:t>
      </w:r>
      <w:r w:rsidRPr="00A0405B">
        <w:softHyphen/>
        <w:t>po</w:t>
      </w:r>
      <w:r w:rsidRPr="00A0405B">
        <w:softHyphen/>
        <w:t>klá</w:t>
      </w:r>
      <w:r>
        <w:softHyphen/>
      </w:r>
      <w:r w:rsidRPr="00A0405B">
        <w:t>dat</w:t>
      </w:r>
      <w:r>
        <w:t xml:space="preserve"> u </w:t>
      </w:r>
      <w:r w:rsidRPr="00A0405B">
        <w:t>dat týkajících se veřejných výdajů na kulturu, která vycházejí</w:t>
      </w:r>
      <w:r>
        <w:t xml:space="preserve"> z </w:t>
      </w:r>
      <w:r w:rsidRPr="00A0405B">
        <w:t>čerpání státního roz</w:t>
      </w:r>
      <w:r>
        <w:softHyphen/>
      </w:r>
      <w:r w:rsidRPr="00A0405B">
        <w:t>počtu. Problematičtější</w:t>
      </w:r>
      <w:r>
        <w:t xml:space="preserve"> v </w:t>
      </w:r>
      <w:r w:rsidRPr="00A0405B">
        <w:t>tomto směru jsou všechny údaje zjištěné statistickým šetřením, ať už</w:t>
      </w:r>
      <w:r>
        <w:t xml:space="preserve"> v </w:t>
      </w:r>
      <w:r w:rsidRPr="00A0405B">
        <w:t>domácnostech (rodinné účty, výběrové šetření pracovních sil), tak zejména speciali</w:t>
      </w:r>
      <w:r>
        <w:softHyphen/>
      </w:r>
      <w:r w:rsidRPr="00A0405B">
        <w:t>zovanými zjišťováními</w:t>
      </w:r>
      <w:r>
        <w:t xml:space="preserve"> v </w:t>
      </w:r>
      <w:r w:rsidRPr="00A0405B">
        <w:t>kulturních institucích</w:t>
      </w:r>
      <w:r w:rsidRPr="00A85DA7">
        <w:t xml:space="preserve"> </w:t>
      </w:r>
      <w:r w:rsidRPr="00A0405B">
        <w:t>(výběrová statistická šetření KULT prováděná NIPOS</w:t>
      </w:r>
      <w:r>
        <w:t xml:space="preserve"> a </w:t>
      </w:r>
      <w:r w:rsidRPr="00A0405B">
        <w:t>ČSÚ), dalšími šetřeními ČSÚ</w:t>
      </w:r>
      <w:r>
        <w:t xml:space="preserve"> v </w:t>
      </w:r>
      <w:r w:rsidRPr="00A0405B">
        <w:t>podnicích</w:t>
      </w:r>
      <w:r>
        <w:t xml:space="preserve"> a </w:t>
      </w:r>
      <w:r w:rsidRPr="00A0405B">
        <w:t>šetřeními doplňkovými. Kvalita těchto dat je ovlivněna všemi problematickými okolnostmi, počínaje úplností základního souboru respondentů, metodami sestavení výběrového souboru, mírou n</w:t>
      </w:r>
      <w:r>
        <w:t>eodpovědí, úrovní dopočtů apod.</w:t>
      </w:r>
      <w:bookmarkStart w:id="59" w:name="_Toc451166913"/>
      <w:bookmarkStart w:id="60" w:name="_Toc451166929"/>
      <w:bookmarkStart w:id="61" w:name="_Toc451175102"/>
      <w:bookmarkStart w:id="62" w:name="_Toc451180158"/>
      <w:bookmarkStart w:id="63" w:name="_Toc9259635"/>
      <w:bookmarkStart w:id="64" w:name="_Toc9259679"/>
      <w:bookmarkStart w:id="65" w:name="_Toc9434262"/>
      <w:bookmarkStart w:id="66" w:name="_Toc9435205"/>
    </w:p>
    <w:p w:rsidR="009C7E56" w:rsidRPr="000B70E7" w:rsidRDefault="009C7E56" w:rsidP="00D83C11">
      <w:pPr>
        <w:pStyle w:val="Nadpis1"/>
        <w:spacing w:after="240"/>
        <w:rPr>
          <w:color w:val="C00000"/>
          <w:szCs w:val="32"/>
        </w:rPr>
      </w:pPr>
      <w:r>
        <w:br w:type="page"/>
      </w:r>
      <w:bookmarkStart w:id="67" w:name="_Toc69992966"/>
      <w:bookmarkStart w:id="68" w:name="_Toc70432297"/>
      <w:bookmarkStart w:id="69" w:name="_Toc70433575"/>
      <w:bookmarkStart w:id="70" w:name="_Toc70433947"/>
      <w:bookmarkStart w:id="71" w:name="_Toc72164485"/>
      <w:bookmarkStart w:id="72" w:name="_Toc72164616"/>
      <w:r w:rsidRPr="001932CD">
        <w:lastRenderedPageBreak/>
        <w:t>2. Hospodaření kulturních institucí v roce 201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1932CD">
        <w:t>9</w:t>
      </w:r>
      <w:bookmarkEnd w:id="67"/>
      <w:bookmarkEnd w:id="68"/>
      <w:bookmarkEnd w:id="69"/>
      <w:bookmarkEnd w:id="70"/>
      <w:bookmarkEnd w:id="71"/>
      <w:bookmarkEnd w:id="72"/>
    </w:p>
    <w:p w:rsidR="009C7E56" w:rsidRPr="001932CD" w:rsidRDefault="009C7E56" w:rsidP="00D83C11">
      <w:pPr>
        <w:pStyle w:val="Nadpis2"/>
        <w:spacing w:after="240"/>
        <w:rPr>
          <w:szCs w:val="24"/>
        </w:rPr>
      </w:pPr>
      <w:bookmarkStart w:id="73" w:name="_Toc451166914"/>
      <w:bookmarkStart w:id="74" w:name="_Toc451166930"/>
      <w:bookmarkStart w:id="75" w:name="_Toc451175103"/>
      <w:bookmarkStart w:id="76" w:name="_Toc451180159"/>
      <w:bookmarkStart w:id="77" w:name="_Toc9259636"/>
      <w:bookmarkStart w:id="78" w:name="_Toc9259680"/>
      <w:bookmarkStart w:id="79" w:name="_Toc9434263"/>
      <w:bookmarkStart w:id="80" w:name="_Toc9435206"/>
      <w:bookmarkStart w:id="81" w:name="_Toc69992967"/>
      <w:bookmarkStart w:id="82" w:name="_Toc70432298"/>
      <w:bookmarkStart w:id="83" w:name="_Toc70433576"/>
      <w:bookmarkStart w:id="84" w:name="_Toc70433948"/>
      <w:bookmarkStart w:id="85" w:name="_Toc72164486"/>
      <w:bookmarkStart w:id="86" w:name="_Toc72164617"/>
      <w:r w:rsidRPr="001932CD">
        <w:t>2.1. Zdroje financování kultury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9C7E56" w:rsidRDefault="009C7E56" w:rsidP="00D83C11">
      <w:pPr>
        <w:spacing w:after="240" w:line="276" w:lineRule="auto"/>
      </w:pPr>
      <w:r>
        <w:t xml:space="preserve">Celková výše finančních zdrojů vstupujících do </w:t>
      </w:r>
      <w:r w:rsidR="00E65EF7">
        <w:t xml:space="preserve">oblasti </w:t>
      </w:r>
      <w:r>
        <w:t>kultury do</w:t>
      </w:r>
      <w:r w:rsidR="00DB0AFA">
        <w:t>sáhla v roce 2019 více než 274,7</w:t>
      </w:r>
      <w:r>
        <w:t xml:space="preserve"> mld. Kč (viz tab. č. 1 v příloze). V porovnání s rokem předcházejícím to bylo o 1,9 mld. Kč (o 0,7 %) více. Finančními zdroji se rozumí veškeré provozní příjmy (snížené o zaplacené daně), investiční dotace, přijaté úvěry a</w:t>
      </w:r>
      <w:r w:rsidR="00DB5B65">
        <w:t> </w:t>
      </w:r>
      <w:r>
        <w:t>půjčky (bez splacených), vlastní vklady, dary apod. získané institucemi s převažujícími kulturními aktivitami během referenčního roku.</w:t>
      </w:r>
    </w:p>
    <w:p w:rsidR="009733D8" w:rsidRDefault="009733D8" w:rsidP="009733D8">
      <w:pPr>
        <w:spacing w:after="240" w:line="276" w:lineRule="auto"/>
      </w:pPr>
      <w:r>
        <w:t>Celkový objem finančních zdrojů kultury vykazuje od roku 2013 (kdy v porovnání s r. 2012 o 7,1 % poklesl) růst v průměru o 3,8 % ročně. Růst byl podpořen ekonomickým oživením počínajícím již v roce 2014.</w:t>
      </w:r>
    </w:p>
    <w:p w:rsidR="009C7E56" w:rsidRDefault="009C7E56" w:rsidP="00D83C11">
      <w:pPr>
        <w:spacing w:after="240" w:line="276" w:lineRule="auto"/>
      </w:pPr>
      <w:r>
        <w:t xml:space="preserve">Co se původu finančních zdrojů týče, největší část jich pochází </w:t>
      </w:r>
      <w:r w:rsidR="00E65EF7">
        <w:t>od podniků</w:t>
      </w:r>
      <w:r>
        <w:t xml:space="preserve">, na druhém místě jsou </w:t>
      </w:r>
      <w:r w:rsidR="00E65EF7">
        <w:t>přímé</w:t>
      </w:r>
      <w:r w:rsidR="009B00A5">
        <w:t xml:space="preserve"> výdaje</w:t>
      </w:r>
      <w:r w:rsidR="00E65EF7">
        <w:t xml:space="preserve"> </w:t>
      </w:r>
      <w:r>
        <w:t>domácnosti, na třetím veřejné rozpočty, dále je mezinárodní prostředí a neziskové instituce (uvedené pořadí se po řadu let v zásadě nemění).</w:t>
      </w:r>
    </w:p>
    <w:p w:rsidR="009733D8" w:rsidRDefault="009733D8" w:rsidP="00D83C11">
      <w:pPr>
        <w:spacing w:after="240" w:line="276" w:lineRule="auto"/>
      </w:pPr>
      <w:r>
        <w:t xml:space="preserve">Jak je zřejmé z následující tabulky zachycující strukturu finančních zdrojů – v šestileté časové řadě je patrná tendence mírného růstu podílu domácností a podniků (soukromých zdrojů) na financování kultury a stagnace podílu veřejných rozpočtů. Absolutní úroveň ostatních zdrojů je poměrně nízká a výkyvy jejich relativních podílů jsou proto velmi proměnlivé. S ohledem na stagnaci veřejné podpory kultuře lze pozitivně hodnotit mírný nárůst stupně soběstačnosti kulturních organizací (relace tržeb za vlastní výkony k celkovým výdajům) ve stejném období (o 1,0 %). V oblastech spadajících do tzv. tradiční kultury (kulturní dědictví, interpretační umění aj.) však došlo k poklesu tohoto ukazatele téměř o 3 </w:t>
      </w:r>
      <w:r w:rsidRPr="007D3EFD">
        <w:t>%</w:t>
      </w:r>
      <w:r>
        <w:t>.</w:t>
      </w:r>
    </w:p>
    <w:p w:rsidR="0044704A" w:rsidRPr="001B2077" w:rsidRDefault="0044704A" w:rsidP="0044704A">
      <w:pPr>
        <w:pStyle w:val="Titulek"/>
        <w:keepNext/>
        <w:rPr>
          <w:rFonts w:ascii="Arial" w:hAnsi="Arial" w:cs="Arial"/>
          <w:color w:val="auto"/>
        </w:rPr>
      </w:pPr>
      <w:r w:rsidRPr="001B2077">
        <w:rPr>
          <w:rFonts w:ascii="Arial" w:hAnsi="Arial" w:cs="Arial"/>
          <w:color w:val="auto"/>
        </w:rPr>
        <w:t xml:space="preserve">Tabulka </w:t>
      </w:r>
      <w:r w:rsidR="00494A75" w:rsidRPr="001B2077">
        <w:rPr>
          <w:rFonts w:ascii="Arial" w:hAnsi="Arial" w:cs="Arial"/>
          <w:color w:val="auto"/>
        </w:rPr>
        <w:fldChar w:fldCharType="begin"/>
      </w:r>
      <w:r w:rsidRPr="001B2077">
        <w:rPr>
          <w:rFonts w:ascii="Arial" w:hAnsi="Arial" w:cs="Arial"/>
          <w:color w:val="auto"/>
        </w:rPr>
        <w:instrText xml:space="preserve"> SEQ Tabulka \* ARABIC </w:instrText>
      </w:r>
      <w:r w:rsidR="00494A75" w:rsidRPr="001B2077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1</w:t>
      </w:r>
      <w:r w:rsidR="00494A75" w:rsidRPr="001B2077">
        <w:rPr>
          <w:rFonts w:ascii="Arial" w:hAnsi="Arial" w:cs="Arial"/>
          <w:color w:val="auto"/>
        </w:rPr>
        <w:fldChar w:fldCharType="end"/>
      </w:r>
      <w:r w:rsidRPr="001B2077">
        <w:rPr>
          <w:rFonts w:ascii="Arial" w:hAnsi="Arial" w:cs="Arial"/>
          <w:color w:val="auto"/>
        </w:rPr>
        <w:t xml:space="preserve"> Podíl jednotlivých zdrojů na financování kultury</w:t>
      </w:r>
      <w:r>
        <w:rPr>
          <w:rFonts w:ascii="Arial" w:hAnsi="Arial" w:cs="Arial"/>
          <w:color w:val="auto"/>
        </w:rPr>
        <w:t xml:space="preserve"> v časové řadě</w:t>
      </w:r>
      <w:r w:rsidRPr="001B2077">
        <w:rPr>
          <w:rFonts w:ascii="Arial" w:hAnsi="Arial" w:cs="Arial"/>
          <w:color w:val="auto"/>
        </w:rPr>
        <w:t xml:space="preserve"> (v %)</w:t>
      </w:r>
    </w:p>
    <w:tbl>
      <w:tblPr>
        <w:tblW w:w="1012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077"/>
        <w:gridCol w:w="766"/>
        <w:gridCol w:w="311"/>
        <w:gridCol w:w="965"/>
        <w:gridCol w:w="112"/>
        <w:gridCol w:w="1077"/>
        <w:gridCol w:w="86"/>
        <w:gridCol w:w="991"/>
        <w:gridCol w:w="309"/>
        <w:gridCol w:w="768"/>
        <w:gridCol w:w="508"/>
        <w:gridCol w:w="968"/>
        <w:gridCol w:w="166"/>
        <w:gridCol w:w="160"/>
      </w:tblGrid>
      <w:tr w:rsidR="0044704A" w:rsidRPr="001328C6" w:rsidTr="00A2551E">
        <w:trPr>
          <w:gridAfter w:val="2"/>
          <w:wAfter w:w="326" w:type="dxa"/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Původ zdroje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2077">
              <w:rPr>
                <w:rFonts w:ascii="Arial" w:hAnsi="Arial" w:cs="Arial"/>
                <w:b/>
                <w:sz w:val="18"/>
                <w:szCs w:val="18"/>
              </w:rPr>
              <w:t>Index 2019/14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Veřejné rozpočty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14,2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15,2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15,7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98,7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Domácnosti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19,0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20,9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103,5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Podniky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63,8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62,0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100,3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Neziskové instituce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2,2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63,6</w:t>
            </w:r>
          </w:p>
        </w:tc>
      </w:tr>
      <w:tr w:rsidR="0044704A" w:rsidRPr="001328C6" w:rsidTr="00A2551E">
        <w:trPr>
          <w:gridAfter w:val="2"/>
          <w:wAfter w:w="326" w:type="dxa"/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2077">
              <w:rPr>
                <w:rFonts w:ascii="Arial" w:hAnsi="Arial" w:cs="Arial"/>
                <w:sz w:val="18"/>
                <w:szCs w:val="18"/>
              </w:rPr>
              <w:t>Ostatní svět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</w:p>
        </w:tc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0,7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04A" w:rsidRPr="001B2077" w:rsidRDefault="0044704A" w:rsidP="00A2551E">
            <w:pPr>
              <w:pStyle w:val="Zkladnodstavec"/>
              <w:spacing w:before="60" w:after="6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B2077">
              <w:rPr>
                <w:rFonts w:ascii="Arial" w:hAnsi="Arial" w:cs="Arial"/>
                <w:color w:val="auto"/>
                <w:sz w:val="18"/>
                <w:szCs w:val="18"/>
              </w:rPr>
              <w:t>70,0</w:t>
            </w:r>
          </w:p>
        </w:tc>
      </w:tr>
      <w:tr w:rsidR="0044704A" w:rsidRPr="001328C6" w:rsidTr="00A2551E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04A" w:rsidRPr="001328C6" w:rsidRDefault="0044704A" w:rsidP="00A2551E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E65EF7" w:rsidRDefault="009C7E56" w:rsidP="00D83C11">
      <w:pPr>
        <w:spacing w:after="240" w:line="276" w:lineRule="auto"/>
      </w:pPr>
      <w:r>
        <w:t>V jednotlivých oblastech kultury je obrázek podílů zdrojů financ</w:t>
      </w:r>
      <w:r w:rsidR="00511226">
        <w:t>ování poněkud odlišný.</w:t>
      </w:r>
      <w:r w:rsidR="005F035C">
        <w:t xml:space="preserve"> To souvisí zejména s </w:t>
      </w:r>
      <w:r w:rsidR="00511226">
        <w:t xml:space="preserve"> </w:t>
      </w:r>
      <w:r w:rsidR="005F035C">
        <w:t xml:space="preserve">odlišnou úrovní rozvoje tržních vztahů v oblasti kultury. </w:t>
      </w:r>
      <w:r w:rsidR="00511226">
        <w:t xml:space="preserve">Zatímco </w:t>
      </w:r>
      <w:r>
        <w:t xml:space="preserve"> v kulturním dědictví, uměleckém vzdělávání nebo činnostech správního charakteru jsou rozhodující veřejné rozpočty (s více než 60% podílem)</w:t>
      </w:r>
      <w:r w:rsidR="00E65EF7">
        <w:t>. Tržně orientované</w:t>
      </w:r>
      <w:r>
        <w:t xml:space="preserve"> </w:t>
      </w:r>
      <w:r w:rsidR="00E65EF7">
        <w:t>oblasti jako např. architektura či reklama jsou téměř výhradně financované z podnikových zdrojů. Na financování oblastí jako jsou audiovizuální média, tisk</w:t>
      </w:r>
      <w:r w:rsidR="00551171">
        <w:t xml:space="preserve">, ale i výtvarné umění se kromě podnikových zdrojů podílejí i přímé platby domácností např. ze vstupného, konsecionářských poplatků či nákupů knih, časopisů nebo obrazů. </w:t>
      </w:r>
      <w:r w:rsidR="005F035C">
        <w:t>Tato relace se v čase v zásadě nemění.</w:t>
      </w:r>
    </w:p>
    <w:p w:rsidR="005F035C" w:rsidRDefault="005F035C" w:rsidP="005F035C">
      <w:pPr>
        <w:spacing w:after="240" w:line="276" w:lineRule="auto"/>
      </w:pPr>
      <w:r>
        <w:t>Z pohledu objemu celkových finančních zdrojů byla mezi oblastmi na prvém místě reklama (před au</w:t>
      </w:r>
      <w:r w:rsidR="009733D8">
        <w:t>diovizuálními médii a tiskem). M</w:t>
      </w:r>
      <w:r>
        <w:t xml:space="preserve">ezi vybranými poskytovateli kulturních služeb </w:t>
      </w:r>
      <w:r w:rsidR="009733D8">
        <w:t xml:space="preserve">nejvíce zdrojů směřovalo do </w:t>
      </w:r>
      <w:r>
        <w:t>televize (před muzei a galeriemi a divadly) – viz tab. č. 1 a č. 2 v příloze.</w:t>
      </w:r>
    </w:p>
    <w:p w:rsidR="005F035C" w:rsidRDefault="005F035C" w:rsidP="005F035C">
      <w:pPr>
        <w:spacing w:after="240" w:line="276" w:lineRule="auto"/>
      </w:pPr>
      <w:r>
        <w:lastRenderedPageBreak/>
        <w:t>Co se týče rozdělení soukromých zdrojů do jednotlivých oblastí, směřovaly soukromé zdroje zejména do reklamy (79,8 mld. Kč), architektury (30,7 mld. Kč), médií (25,4 mld. Kč) a tisku (20 mld. Kč). Na druhé straně méně do oborů živé umělecké tvorby, ve kterých tradičně převažuje účast zdrojů veřejných.</w:t>
      </w:r>
    </w:p>
    <w:p w:rsidR="004F3094" w:rsidRPr="004F3094" w:rsidRDefault="004F3094" w:rsidP="004F3094">
      <w:pPr>
        <w:pStyle w:val="Titulek"/>
        <w:keepNext/>
        <w:jc w:val="left"/>
        <w:rPr>
          <w:rFonts w:ascii="Arial" w:hAnsi="Arial" w:cs="Arial"/>
          <w:color w:val="auto"/>
        </w:rPr>
      </w:pPr>
      <w:bookmarkStart w:id="87" w:name="OLE_LINK1"/>
      <w:r w:rsidRPr="004F3094">
        <w:rPr>
          <w:rFonts w:ascii="Arial" w:hAnsi="Arial" w:cs="Arial"/>
          <w:color w:val="auto"/>
        </w:rPr>
        <w:t xml:space="preserve">Graf </w:t>
      </w:r>
      <w:r w:rsidR="00494A75" w:rsidRPr="004F3094">
        <w:rPr>
          <w:rFonts w:ascii="Arial" w:hAnsi="Arial" w:cs="Arial"/>
          <w:color w:val="auto"/>
        </w:rPr>
        <w:fldChar w:fldCharType="begin"/>
      </w:r>
      <w:r w:rsidRPr="004F3094">
        <w:rPr>
          <w:rFonts w:ascii="Arial" w:hAnsi="Arial" w:cs="Arial"/>
          <w:color w:val="auto"/>
        </w:rPr>
        <w:instrText xml:space="preserve"> SEQ Obrázek \* ARABIC </w:instrText>
      </w:r>
      <w:r w:rsidR="00494A75" w:rsidRPr="004F3094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1</w:t>
      </w:r>
      <w:r w:rsidR="00494A75" w:rsidRPr="004F3094">
        <w:rPr>
          <w:rFonts w:ascii="Arial" w:hAnsi="Arial" w:cs="Arial"/>
          <w:color w:val="auto"/>
        </w:rPr>
        <w:fldChar w:fldCharType="end"/>
      </w:r>
      <w:r w:rsidRPr="004F3094">
        <w:rPr>
          <w:rFonts w:ascii="Arial" w:hAnsi="Arial" w:cs="Arial"/>
          <w:color w:val="auto"/>
        </w:rPr>
        <w:t xml:space="preserve"> </w:t>
      </w:r>
      <w:r w:rsidR="00EB248A" w:rsidRPr="001B2077">
        <w:rPr>
          <w:rFonts w:ascii="Arial" w:hAnsi="Arial" w:cs="Arial"/>
          <w:color w:val="auto"/>
        </w:rPr>
        <w:t xml:space="preserve">Podíl jednotlivých zdrojů na financování </w:t>
      </w:r>
      <w:r w:rsidRPr="004F3094">
        <w:rPr>
          <w:rFonts w:ascii="Arial" w:hAnsi="Arial" w:cs="Arial"/>
          <w:color w:val="auto"/>
        </w:rPr>
        <w:t>oblastí kultury v roce 2019</w:t>
      </w:r>
      <w:r>
        <w:rPr>
          <w:rFonts w:ascii="Arial" w:hAnsi="Arial" w:cs="Arial"/>
          <w:color w:val="auto"/>
        </w:rPr>
        <w:t xml:space="preserve"> (v mld. Kč)</w:t>
      </w:r>
    </w:p>
    <w:bookmarkEnd w:id="87"/>
    <w:p w:rsidR="00551171" w:rsidRDefault="00EB248A" w:rsidP="00C229BA">
      <w:pPr>
        <w:spacing w:after="240" w:line="276" w:lineRule="auto"/>
        <w:jc w:val="left"/>
      </w:pPr>
      <w:r w:rsidRPr="00C229BA">
        <w:rPr>
          <w:noProof/>
          <w:color w:val="E5B8B7" w:themeColor="accent2" w:themeTint="66"/>
        </w:rPr>
        <w:drawing>
          <wp:inline distT="0" distB="0" distL="0" distR="0">
            <wp:extent cx="6324600" cy="2457450"/>
            <wp:effectExtent l="0" t="0" r="0" b="0"/>
            <wp:docPr id="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094" w:rsidRDefault="004F3094" w:rsidP="004F3094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bookmarkStart w:id="88" w:name="_Toc451166915"/>
      <w:bookmarkStart w:id="89" w:name="_Toc451166931"/>
      <w:bookmarkStart w:id="90" w:name="_Toc451175104"/>
      <w:bookmarkStart w:id="91" w:name="_Toc451180160"/>
      <w:bookmarkStart w:id="92" w:name="_Toc9259637"/>
      <w:bookmarkStart w:id="93" w:name="_Toc9259681"/>
      <w:bookmarkStart w:id="94" w:name="_Toc9434264"/>
      <w:bookmarkStart w:id="95" w:name="_Toc9435207"/>
      <w:r>
        <w:t xml:space="preserve">Z veřejných rozpočtů bylo v roce 2019 věnováno na kulturu téměř 43,1 mld. Kč, tj. o 1,6 mld. Kč (o 3,9 %) více než v roce předcházejícím. Tato částka představuje konsolidované provozní a investiční výdaje organizačních složek státu, územních samosprávných celků a státních mimorozpočtových fondů (fondu kultury a fondu pro podporu a rozvoj české kinematografie) na bázi pokladního plnění. </w:t>
      </w:r>
    </w:p>
    <w:p w:rsidR="009C7E56" w:rsidRDefault="009C7E56" w:rsidP="00D83C11">
      <w:pPr>
        <w:spacing w:after="240" w:line="276" w:lineRule="auto"/>
      </w:pPr>
      <w:r>
        <w:t xml:space="preserve">Z </w:t>
      </w:r>
      <w:r w:rsidR="001741A2">
        <w:t>celkových</w:t>
      </w:r>
      <w:r>
        <w:t xml:space="preserve"> výdajů</w:t>
      </w:r>
      <w:r w:rsidR="001741A2">
        <w:t xml:space="preserve"> na kulturu z veřejných rozpočtů</w:t>
      </w:r>
      <w:r>
        <w:t xml:space="preserve"> bylo 35,5 mld. Kč určeno na provozní účely a 7,6 mld. Kč na investice. Veřejné výdaje na provoz tak v porovnání s předešlým rokem vzrostly o 6,5 %, zatímco výdaje na investice o 7</w:t>
      </w:r>
      <w:r w:rsidR="001741A2">
        <w:t xml:space="preserve"> </w:t>
      </w:r>
      <w:r>
        <w:t xml:space="preserve">% poklesly. Z pohledu úrovně veřejných zdrojů bylo nejvíce </w:t>
      </w:r>
      <w:r w:rsidR="001741A2" w:rsidRPr="001741A2">
        <w:t>–</w:t>
      </w:r>
      <w:r>
        <w:t xml:space="preserve"> jak provozních, tak i</w:t>
      </w:r>
      <w:r w:rsidR="00DB5B65">
        <w:t> </w:t>
      </w:r>
      <w:r>
        <w:t xml:space="preserve">investičních prostředků </w:t>
      </w:r>
      <w:r w:rsidR="001741A2" w:rsidRPr="001741A2">
        <w:t>–</w:t>
      </w:r>
      <w:r>
        <w:t xml:space="preserve"> vydáno na kulturu z </w:t>
      </w:r>
      <w:r w:rsidR="00247D44">
        <w:t>obecních a městských rozpočtů (6</w:t>
      </w:r>
      <w:r>
        <w:t>9,6 %)</w:t>
      </w:r>
      <w:r w:rsidR="001741A2">
        <w:t>,</w:t>
      </w:r>
      <w:r>
        <w:t xml:space="preserve"> a to zejména do oblasti kulturního dědictví, interpretačního umění a uměleckého vzdělávání (v porovnání s rokem 2018 to však bylo o 1,6 mld. Kč méně).</w:t>
      </w:r>
    </w:p>
    <w:p w:rsidR="009733D8" w:rsidRDefault="009733D8" w:rsidP="009733D8">
      <w:pPr>
        <w:spacing w:after="240" w:line="276" w:lineRule="auto"/>
      </w:pPr>
      <w:r>
        <w:t>Celková finanční částka věnovaná kultuře v roce 2019 představovala téměř 2 % výdajů veřejných rozpočtů (v předcházejícím roce to bylo 2,1 %). Údaje vychází z informačního systému Monitor Ministerstva financí.</w:t>
      </w:r>
    </w:p>
    <w:p w:rsidR="00D43557" w:rsidRDefault="003F2215" w:rsidP="00D43557">
      <w:pPr>
        <w:pStyle w:val="Titulek"/>
        <w:keepNext/>
        <w:rPr>
          <w:rFonts w:ascii="Arial" w:hAnsi="Arial" w:cs="Arial"/>
          <w:color w:val="auto"/>
        </w:rPr>
      </w:pPr>
      <w:r w:rsidRPr="0066011F">
        <w:rPr>
          <w:rFonts w:ascii="Arial" w:hAnsi="Arial" w:cs="Arial"/>
          <w:color w:val="auto"/>
        </w:rPr>
        <w:t xml:space="preserve">Graf </w:t>
      </w:r>
      <w:r w:rsidR="00D43557" w:rsidRPr="0066011F">
        <w:rPr>
          <w:rFonts w:ascii="Arial" w:hAnsi="Arial" w:cs="Arial"/>
          <w:color w:val="auto"/>
        </w:rPr>
        <w:t xml:space="preserve">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2</w:t>
      </w:r>
      <w:r w:rsidR="00494A75">
        <w:rPr>
          <w:rFonts w:ascii="Arial" w:hAnsi="Arial" w:cs="Arial"/>
          <w:color w:val="auto"/>
        </w:rPr>
        <w:fldChar w:fldCharType="end"/>
      </w:r>
      <w:r w:rsidRPr="0066011F">
        <w:rPr>
          <w:rFonts w:ascii="Arial" w:hAnsi="Arial" w:cs="Arial"/>
          <w:color w:val="auto"/>
        </w:rPr>
        <w:t xml:space="preserve"> </w:t>
      </w:r>
      <w:r w:rsidR="0066011F">
        <w:rPr>
          <w:rFonts w:ascii="Arial" w:hAnsi="Arial" w:cs="Arial"/>
          <w:color w:val="auto"/>
        </w:rPr>
        <w:t>Veřejné výdaje na kulturu</w:t>
      </w:r>
    </w:p>
    <w:p w:rsidR="009C7E56" w:rsidRDefault="00506689" w:rsidP="001932CD">
      <w:pPr>
        <w:spacing w:line="276" w:lineRule="auto"/>
      </w:pPr>
      <w:r w:rsidRPr="00506689">
        <w:rPr>
          <w:noProof/>
        </w:rPr>
        <w:drawing>
          <wp:inline distT="0" distB="0" distL="0" distR="0">
            <wp:extent cx="6324600" cy="1981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2002" w:rsidRDefault="00247D44" w:rsidP="000A2002">
      <w:pPr>
        <w:spacing w:line="276" w:lineRule="auto"/>
        <w:jc w:val="center"/>
      </w:pPr>
      <w:r>
        <w:t>ZDROJ: Monitor státní pokladny, MF</w:t>
      </w:r>
    </w:p>
    <w:p w:rsidR="009C7E56" w:rsidRDefault="009C7E56" w:rsidP="00D83C11">
      <w:pPr>
        <w:spacing w:after="240" w:line="276" w:lineRule="auto"/>
      </w:pPr>
      <w:r>
        <w:lastRenderedPageBreak/>
        <w:t>Výdaje domácností na kulturu se v roce 2019 v porovnání s předcházejícím rokem zvýšily o více než 10 % a</w:t>
      </w:r>
      <w:r w:rsidR="00DC2851">
        <w:t> </w:t>
      </w:r>
      <w:r>
        <w:t xml:space="preserve">dosáhly téměř 57,4 mld. Kč. Jejich váha v celkových finančních zdrojích kultury je dlouhodobě stabilní. </w:t>
      </w:r>
    </w:p>
    <w:p w:rsidR="009C7E56" w:rsidRDefault="009C7E56" w:rsidP="00D83C11">
      <w:pPr>
        <w:spacing w:after="240" w:line="276" w:lineRule="auto"/>
      </w:pPr>
      <w:r>
        <w:t>Výdaje domácností směřovaly zejména do sféry médií a tisku (televize, rozhlas, kino, knihy a tisk atd.) a to ve výši 40,5 mld. Kč, což představuje z celkových výdajů domácností na kulturu více než dvoutřetinový podíl. Mnohem méně prostředků domácnosti vydaly v oblasti kulturního dědictví, živé umělecké tvorby (interpretační a výtvarné umění) a uměleckého vzdělávání (15 mld. Kč). Výdaje domácností na kulturu mají nejčastěji podobu vstupného, nákupu občerstvení a upomínkových předmětů, řemeslných výrobků, koncesionářských poplatků, jiných poplatků za služby</w:t>
      </w:r>
      <w:r w:rsidR="00247D44">
        <w:t xml:space="preserve"> (např. poplatky za sledování placených pořadů</w:t>
      </w:r>
      <w:r w:rsidR="006E633B">
        <w:t xml:space="preserve"> přes internet)</w:t>
      </w:r>
      <w:r>
        <w:t>, úhrad školného</w:t>
      </w:r>
      <w:r w:rsidR="006E633B">
        <w:t xml:space="preserve"> za umělecké vzdělání nebo </w:t>
      </w:r>
      <w:r>
        <w:t>úhrad nákupů zboží kulturní povahy (knihy, časopisy, obrazy, starožitnosti atd.).</w:t>
      </w:r>
    </w:p>
    <w:p w:rsidR="009C7E56" w:rsidRDefault="009C7E56" w:rsidP="00D83C11">
      <w:pPr>
        <w:spacing w:after="240" w:line="276" w:lineRule="auto"/>
      </w:pPr>
      <w:r>
        <w:t xml:space="preserve">Pohyb finančních prostředků se v rámci kulturního účtu zachycuje v tzv. domácím (nikoli v národním) pojetí, tj. včetně nerezidentů v tuzemsku a bez rezidentů v zahraničí. Z toho je patrné, že výdaje domácností na kulturu kvantifikované v kulturním účtu jsou ovlivněny i rozsahem cestovního ruchu (výdaji uskutečněnými zahraničními návštěvníky). </w:t>
      </w:r>
    </w:p>
    <w:p w:rsidR="009C7E56" w:rsidRPr="00247D44" w:rsidRDefault="009C7E56" w:rsidP="00D83C11">
      <w:pPr>
        <w:spacing w:after="240" w:line="276" w:lineRule="auto"/>
      </w:pPr>
      <w:r w:rsidRPr="00247D44">
        <w:t>Podíl výdajů domácností na kulturu na celkových spotřebních výdajích domácností dosáhl v r</w:t>
      </w:r>
      <w:r w:rsidR="00247D44" w:rsidRPr="00247D44">
        <w:t xml:space="preserve">oce 2019 zhruba 2,2 </w:t>
      </w:r>
      <w:r w:rsidR="00247D44">
        <w:t>%</w:t>
      </w:r>
      <w:r w:rsidR="00247D44" w:rsidRPr="00247D44">
        <w:t xml:space="preserve"> (tj. o 0,1</w:t>
      </w:r>
      <w:r w:rsidRPr="00247D44">
        <w:t xml:space="preserve"> p. b. více než v r. 2018).</w:t>
      </w:r>
      <w:r w:rsidR="000D4C2D">
        <w:t xml:space="preserve"> Údaje o celkových výdajích domácností vychází z dat Národních účtů Českého statistického úřadu.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auto"/>
        </w:rPr>
      </w:pPr>
      <w:r w:rsidRPr="00620888">
        <w:rPr>
          <w:rFonts w:ascii="Arial" w:hAnsi="Arial" w:cs="Arial"/>
          <w:color w:val="auto"/>
        </w:rPr>
        <w:t xml:space="preserve">Graf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3</w:t>
      </w:r>
      <w:r w:rsidR="00494A75">
        <w:rPr>
          <w:rFonts w:ascii="Arial" w:hAnsi="Arial" w:cs="Arial"/>
          <w:color w:val="auto"/>
        </w:rPr>
        <w:fldChar w:fldCharType="end"/>
      </w:r>
      <w:r w:rsidRPr="00620888">
        <w:rPr>
          <w:rFonts w:ascii="Arial" w:hAnsi="Arial" w:cs="Arial"/>
          <w:color w:val="auto"/>
        </w:rPr>
        <w:t xml:space="preserve"> </w:t>
      </w:r>
      <w:r w:rsidR="004F3094">
        <w:rPr>
          <w:rFonts w:ascii="Arial" w:hAnsi="Arial" w:cs="Arial"/>
          <w:color w:val="auto"/>
        </w:rPr>
        <w:t>V</w:t>
      </w:r>
      <w:r w:rsidRPr="00620888">
        <w:rPr>
          <w:rFonts w:ascii="Arial" w:hAnsi="Arial" w:cs="Arial"/>
          <w:color w:val="auto"/>
        </w:rPr>
        <w:t>ýdaje domácností na kulturu</w:t>
      </w:r>
    </w:p>
    <w:p w:rsidR="00620888" w:rsidRDefault="000D4C2D" w:rsidP="001932CD">
      <w:pPr>
        <w:spacing w:line="276" w:lineRule="auto"/>
      </w:pPr>
      <w:r w:rsidRPr="000D4C2D">
        <w:rPr>
          <w:noProof/>
        </w:rPr>
        <w:drawing>
          <wp:inline distT="0" distB="0" distL="0" distR="0">
            <wp:extent cx="6153150" cy="2590800"/>
            <wp:effectExtent l="0" t="0" r="0" b="0"/>
            <wp:docPr id="3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2002" w:rsidRDefault="005D3C37" w:rsidP="000A2002">
      <w:pPr>
        <w:spacing w:line="276" w:lineRule="auto"/>
        <w:jc w:val="center"/>
      </w:pPr>
      <w:r>
        <w:t xml:space="preserve">ZDROJ: </w:t>
      </w:r>
      <w:r w:rsidR="000A2002">
        <w:t>ČSÚ, NIPOS</w:t>
      </w:r>
    </w:p>
    <w:p w:rsidR="009C7E56" w:rsidRDefault="009C7E56" w:rsidP="00D83C11">
      <w:pPr>
        <w:spacing w:after="240" w:line="276" w:lineRule="auto"/>
      </w:pPr>
      <w:r>
        <w:t xml:space="preserve">V rámci </w:t>
      </w:r>
      <w:r w:rsidR="0095070B">
        <w:t>dalších zdrojů financování kultury (62</w:t>
      </w:r>
      <w:r>
        <w:t xml:space="preserve">% podíl na celkových zdrojích) mají nejvýznamnější postavení finanční a nefinanční podniky (170,3 mld. Kč), mnohem menší pak nevládní neziskové instituce (1,95 mld. Kč). </w:t>
      </w:r>
      <w:r w:rsidR="0095070B">
        <w:t xml:space="preserve">Tyto zdroje pochází obvykle z příjmů </w:t>
      </w:r>
      <w:r>
        <w:t xml:space="preserve">kulturních institucí za služby, výrobky či zboží, popř. </w:t>
      </w:r>
      <w:r w:rsidR="0095070B">
        <w:t xml:space="preserve">z </w:t>
      </w:r>
      <w:r>
        <w:t>navýšení stavu úvěrů a půjček a vlastní</w:t>
      </w:r>
      <w:r w:rsidR="0095070B">
        <w:t>ch vkladů.</w:t>
      </w:r>
    </w:p>
    <w:p w:rsidR="009C7E56" w:rsidRDefault="009C7E56" w:rsidP="00D83C11">
      <w:pPr>
        <w:spacing w:after="240" w:line="276" w:lineRule="auto"/>
      </w:pPr>
      <w:r>
        <w:t>Zdrojem doplňkového charakteru byly prostředky ze zahraničí (necelé 2 mld. Kč), které se v porovnání s</w:t>
      </w:r>
      <w:r w:rsidR="00DC2851">
        <w:t> </w:t>
      </w:r>
      <w:r>
        <w:t xml:space="preserve">předcházejícím rokem o 0,6 mld. Kč snížily (dotace, granty apod.). </w:t>
      </w:r>
    </w:p>
    <w:p w:rsidR="009C7E56" w:rsidRPr="001328C6" w:rsidRDefault="009C7E56" w:rsidP="009C7E56">
      <w:pPr>
        <w:pStyle w:val="Nadpis2"/>
      </w:pPr>
      <w:bookmarkStart w:id="96" w:name="_Toc69992968"/>
      <w:bookmarkStart w:id="97" w:name="_Toc70432299"/>
      <w:bookmarkStart w:id="98" w:name="_Toc70433577"/>
      <w:bookmarkStart w:id="99" w:name="_Toc70433949"/>
      <w:bookmarkStart w:id="100" w:name="_Toc72164487"/>
      <w:bookmarkStart w:id="101" w:name="_Toc72164618"/>
      <w:r w:rsidRPr="001328C6">
        <w:lastRenderedPageBreak/>
        <w:t>2.2. Mikroekonomický pohled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9C7E56" w:rsidRPr="001328C6" w:rsidRDefault="009C7E56" w:rsidP="009C7E56">
      <w:pPr>
        <w:pStyle w:val="Nadpis3"/>
        <w:spacing w:after="240"/>
      </w:pPr>
      <w:bookmarkStart w:id="102" w:name="_Toc9259638"/>
      <w:bookmarkStart w:id="103" w:name="_Toc9259682"/>
      <w:bookmarkStart w:id="104" w:name="_Toc9434265"/>
      <w:bookmarkStart w:id="105" w:name="_Toc9435208"/>
      <w:bookmarkStart w:id="106" w:name="_Toc69992969"/>
      <w:bookmarkStart w:id="107" w:name="_Toc70432300"/>
      <w:bookmarkStart w:id="108" w:name="_Toc70433578"/>
      <w:bookmarkStart w:id="109" w:name="_Toc70433950"/>
      <w:bookmarkStart w:id="110" w:name="_Toc72164488"/>
      <w:bookmarkStart w:id="111" w:name="_Toc72164619"/>
      <w:r w:rsidRPr="001328C6">
        <w:t>2.2.1. Finanční hospodaření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9C7E56" w:rsidRDefault="009C7E56" w:rsidP="00D83C11">
      <w:pPr>
        <w:spacing w:after="240" w:line="276" w:lineRule="auto"/>
      </w:pPr>
      <w:bookmarkStart w:id="112" w:name="_Toc9259639"/>
      <w:bookmarkStart w:id="113" w:name="_Toc9259683"/>
      <w:bookmarkStart w:id="114" w:name="_Toc9434266"/>
      <w:bookmarkStart w:id="115" w:name="_Toc9435209"/>
      <w:r>
        <w:t>Tabulky č. 3, 4 a 10 uvedené v příloze umožňují hodnotit základní ekonomické ukazatele z výkazů zisku a</w:t>
      </w:r>
      <w:r w:rsidR="00DC2851">
        <w:t> </w:t>
      </w:r>
      <w:r>
        <w:t>ztrát kulturních institucí získané zejména z</w:t>
      </w:r>
      <w:r w:rsidR="008A7C3D">
        <w:t> podnikových šetření</w:t>
      </w:r>
      <w:r>
        <w:t xml:space="preserve"> (výkazy P 5 – 01, NI a KULT). Je třeba dodat, že podniky jsou v rámci těchto šetření zařazovány do jednotlivých odvětví či oborů dle zásady převažující části tržeb, a tak jejich veškeré tržby nutně nepocházejí z aktivit kulturního charakteru. Na druhé straně nejsou zahrnuty podniky, které mohou provozovat i kulturní činnosti, avšak převažující část jejich </w:t>
      </w:r>
      <w:r w:rsidR="000634A4">
        <w:t>tržeb souvisí s aktivitami ne-</w:t>
      </w:r>
      <w:r>
        <w:t xml:space="preserve">kulturními. Cenou za úplnější pohled, který tak získáváme, je nižší přesnost (resp. </w:t>
      </w:r>
      <w:r w:rsidR="008A6A11">
        <w:t>čistota) zjištěných dat.</w:t>
      </w:r>
    </w:p>
    <w:p w:rsidR="009C7E56" w:rsidRDefault="009C7E56" w:rsidP="00D83C11">
      <w:pPr>
        <w:spacing w:after="240" w:line="276" w:lineRule="auto"/>
      </w:pPr>
      <w:r>
        <w:t>Jak ukazují tab. č. 3, 4 a 10, hospodaření sektoru kultury skončilo v roce 2019 kladným hospodářským výsledkem ve výši 17,8 mld. Kč. Tato částka zhruba odpovídá ziskové marži</w:t>
      </w:r>
      <w:r w:rsidR="00620888">
        <w:rPr>
          <w:rStyle w:val="Znakapoznpodarou"/>
        </w:rPr>
        <w:footnoteReference w:id="1"/>
      </w:r>
      <w:r w:rsidR="00620888">
        <w:t xml:space="preserve"> </w:t>
      </w:r>
      <w:r w:rsidRPr="00CF4EA8">
        <w:t>ve výši 6,2 % (tj. o 0,2 p. b. méně než v roce 2018).</w:t>
      </w:r>
      <w:r>
        <w:t xml:space="preserve"> Nicméně, také tento výsledek svědčí o tom, že ekonomické oživení pokračující již </w:t>
      </w:r>
      <w:r w:rsidR="00CF4EA8">
        <w:t>šestým</w:t>
      </w:r>
      <w:r>
        <w:t xml:space="preserve"> rokem kulturu </w:t>
      </w:r>
      <w:r w:rsidR="00CF4EA8">
        <w:t>ani v roce 2019 neopustilo.</w:t>
      </w:r>
    </w:p>
    <w:p w:rsidR="009C7E56" w:rsidRPr="00581B88" w:rsidRDefault="009C7E56" w:rsidP="00D83C11">
      <w:pPr>
        <w:spacing w:after="240" w:line="276" w:lineRule="auto"/>
      </w:pPr>
      <w:r w:rsidRPr="00581B88">
        <w:t>V porovnání s rokem 2018 se základní ukazatele finančního hospodaření vyvíjely méně příznivě. Růst celkových příjmů svým tempem předstihl dynamiku výdajů</w:t>
      </w:r>
      <w:r w:rsidR="00581B88" w:rsidRPr="00581B88">
        <w:t xml:space="preserve"> jen o 0,1 p. b.</w:t>
      </w:r>
      <w:r w:rsidRPr="00581B88">
        <w:t xml:space="preserve"> (0,6 % oproti 0,5 %). V roce 2018 dosáhla tato relace 8,5 % oproti 8,2 %.</w:t>
      </w:r>
      <w:r w:rsidR="00581B88" w:rsidRPr="00581B88">
        <w:t xml:space="preserve"> tj. 0.3 p. b.</w:t>
      </w:r>
      <w:r w:rsidRPr="00581B88">
        <w:t xml:space="preserve">  </w:t>
      </w:r>
    </w:p>
    <w:p w:rsidR="009C7E56" w:rsidRDefault="00581B88" w:rsidP="00D83C11">
      <w:pPr>
        <w:spacing w:after="240" w:line="276" w:lineRule="auto"/>
      </w:pPr>
      <w:r w:rsidRPr="00581B88">
        <w:t xml:space="preserve">V rámci meziročního poklesu ziskové marže (z 6,4 % na 6,2 %) došlo k jejímu odlišnému pohybu v různých </w:t>
      </w:r>
      <w:r w:rsidR="00CF4EA8">
        <w:t>sektorech kultury v</w:t>
      </w:r>
      <w:r w:rsidR="008A19DF">
        <w:t xml:space="preserve"> trojsektorovém </w:t>
      </w:r>
      <w:r w:rsidR="00CF4EA8">
        <w:t>členění používaném Evropskou komisí. P</w:t>
      </w:r>
      <w:r w:rsidR="009C7E56">
        <w:t xml:space="preserve">ozitivní vývoj </w:t>
      </w:r>
      <w:r w:rsidR="00CF4EA8">
        <w:t xml:space="preserve">byl </w:t>
      </w:r>
      <w:r w:rsidR="009C7E56">
        <w:t>patrný v</w:t>
      </w:r>
      <w:r w:rsidR="00CF4EA8">
        <w:t> oblasti tradičního umění</w:t>
      </w:r>
      <w:r w:rsidR="009C7E56">
        <w:t xml:space="preserve"> (zvýšení ziskové marže z 5,6 % na 6,1 %) a v menší míře i v kulturních průmyslech, naopak k poklesu uvedeného ukaza</w:t>
      </w:r>
      <w:r w:rsidR="008A19DF">
        <w:t>tele došlo v kreativních průmyslech</w:t>
      </w:r>
      <w:r w:rsidR="009C7E56">
        <w:t xml:space="preserve"> (ze 7,3 % na 6,9 %).   </w:t>
      </w:r>
    </w:p>
    <w:p w:rsidR="009C7E56" w:rsidRDefault="009C7E56" w:rsidP="00D83C11">
      <w:pPr>
        <w:spacing w:after="240" w:line="276" w:lineRule="auto"/>
      </w:pPr>
      <w:r>
        <w:t xml:space="preserve">Úroveň hospodaření jednotlivých oblastí kultury a poskytovatelů kulturních služeb je tradičně značně rozdílná. </w:t>
      </w:r>
      <w:r w:rsidRPr="008A19DF">
        <w:t xml:space="preserve">Zatímco </w:t>
      </w:r>
      <w:r w:rsidR="008A19DF">
        <w:t xml:space="preserve">někteří poskytovatelé </w:t>
      </w:r>
      <w:r w:rsidRPr="008A19DF">
        <w:t>v</w:t>
      </w:r>
      <w:r w:rsidR="00620888" w:rsidRPr="008A19DF">
        <w:t> </w:t>
      </w:r>
      <w:r w:rsidRPr="008A19DF">
        <w:t>k</w:t>
      </w:r>
      <w:r w:rsidR="008A19DF">
        <w:t>ulturním</w:t>
      </w:r>
      <w:r w:rsidRPr="008A19DF">
        <w:t xml:space="preserve"> dědictví</w:t>
      </w:r>
      <w:r w:rsidR="008A19DF">
        <w:t xml:space="preserve"> a </w:t>
      </w:r>
      <w:r>
        <w:t xml:space="preserve">interpretačním umění </w:t>
      </w:r>
      <w:r w:rsidR="008A19DF">
        <w:t xml:space="preserve">dosáhly </w:t>
      </w:r>
      <w:r>
        <w:t>ztráty (knihovny, divadla, festivaly, hudební soubor</w:t>
      </w:r>
      <w:r w:rsidR="008A19DF">
        <w:t>y a kulturní domy), jiné oblasti byly naopak značně ziskové</w:t>
      </w:r>
      <w:r>
        <w:t xml:space="preserve"> (média, reklama, architektura). Také v tisku byl dosažen zisk, v porovnání s rokem 2</w:t>
      </w:r>
      <w:r w:rsidR="00620888">
        <w:t>018 však o více než 12 % nižší.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t xml:space="preserve">Graf </w:t>
      </w:r>
      <w:r w:rsidR="00494A75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494A75">
        <w:rPr>
          <w:rFonts w:ascii="Arial" w:hAnsi="Arial" w:cs="Arial"/>
          <w:color w:val="000000" w:themeColor="text1"/>
        </w:rPr>
        <w:fldChar w:fldCharType="separate"/>
      </w:r>
      <w:r w:rsidR="00864853">
        <w:rPr>
          <w:rFonts w:ascii="Arial" w:hAnsi="Arial" w:cs="Arial"/>
          <w:noProof/>
          <w:color w:val="000000" w:themeColor="text1"/>
        </w:rPr>
        <w:t>4</w:t>
      </w:r>
      <w:r w:rsidR="00494A75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Příjmy a výdaje kulturních institucí podle oblastí v roce 2019</w:t>
      </w:r>
      <w:r w:rsidR="0014678E">
        <w:rPr>
          <w:rFonts w:ascii="Arial" w:hAnsi="Arial" w:cs="Arial"/>
          <w:color w:val="000000" w:themeColor="text1"/>
        </w:rPr>
        <w:t xml:space="preserve"> (v mld. Kč)</w:t>
      </w:r>
    </w:p>
    <w:p w:rsidR="00620888" w:rsidRDefault="0014678E" w:rsidP="001A3531">
      <w:pPr>
        <w:spacing w:line="276" w:lineRule="auto"/>
        <w:jc w:val="center"/>
      </w:pPr>
      <w:r w:rsidRPr="0014678E">
        <w:rPr>
          <w:noProof/>
        </w:rPr>
        <w:drawing>
          <wp:inline distT="0" distB="0" distL="0" distR="0">
            <wp:extent cx="5610225" cy="2771775"/>
            <wp:effectExtent l="0" t="0" r="0" b="0"/>
            <wp:docPr id="8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lastRenderedPageBreak/>
        <w:t xml:space="preserve">Podle stupně ekonomické soběstačnosti lze v rámci sektoru kultury rozlišit </w:t>
      </w:r>
      <w:r w:rsidRPr="008A19DF">
        <w:rPr>
          <w:b/>
        </w:rPr>
        <w:t>dvě</w:t>
      </w:r>
      <w:r>
        <w:t xml:space="preserve"> – dlouhodobě přetrvávající – </w:t>
      </w:r>
      <w:r w:rsidRPr="008A19DF">
        <w:rPr>
          <w:b/>
        </w:rPr>
        <w:t>sféry hospodaření</w:t>
      </w:r>
      <w:r>
        <w:t xml:space="preserve">. Do prvé patří oblasti tradičního umění </w:t>
      </w:r>
      <w:r w:rsidRPr="008A19DF">
        <w:rPr>
          <w:b/>
        </w:rPr>
        <w:t>orientované spíše na publikum a návštěvnost</w:t>
      </w:r>
      <w:r>
        <w:t xml:space="preserve">, pro které je nepostradatelná finanční podpora z veřejných zdrojů (kulturní dědictví, divadla, soubory, festivaly atd.) a do druhé – </w:t>
      </w:r>
      <w:r w:rsidRPr="008A19DF">
        <w:rPr>
          <w:b/>
        </w:rPr>
        <w:t>orientované na trh</w:t>
      </w:r>
      <w:r w:rsidR="008A19DF">
        <w:t xml:space="preserve"> – lze zařadit </w:t>
      </w:r>
      <w:r w:rsidR="006F2898">
        <w:t xml:space="preserve">oblasti </w:t>
      </w:r>
      <w:r w:rsidR="008A19DF">
        <w:t>kreativních průmyslů</w:t>
      </w:r>
      <w:r>
        <w:t xml:space="preserve"> (reklama, architektura, design) a</w:t>
      </w:r>
      <w:r w:rsidR="00DC2851">
        <w:t> </w:t>
      </w:r>
      <w:r>
        <w:t>dále média a tisk</w:t>
      </w:r>
      <w:r w:rsidR="008A19DF">
        <w:t>, které patří mezi kulturní průymsly</w:t>
      </w:r>
      <w:r>
        <w:t>.</w:t>
      </w:r>
    </w:p>
    <w:p w:rsidR="009C7E56" w:rsidRDefault="009C7E56" w:rsidP="00D83C11">
      <w:pPr>
        <w:spacing w:after="240" w:line="276" w:lineRule="auto"/>
      </w:pPr>
      <w:r>
        <w:t>To je zřejmé i na úrovni stupně soběstačnosti (relace tržeb za vlastní výkony k celkovým výdajům) uvedeném v tab. č. 10, který při průměrné výši 90,3 % dosahuje např. v tvorbě videoher 137,4 %, v designu 110,7 % a v architektuře 108,7 %. Na druhé straně v kulturním dědictví jen 49,7 % a v interpretačním umění 35,2 %.</w:t>
      </w:r>
    </w:p>
    <w:p w:rsidR="009C7E56" w:rsidRPr="001328C6" w:rsidRDefault="009C7E56" w:rsidP="001932CD">
      <w:pPr>
        <w:pStyle w:val="Nadpis3"/>
        <w:tabs>
          <w:tab w:val="left" w:pos="5730"/>
        </w:tabs>
        <w:spacing w:after="240"/>
      </w:pPr>
      <w:bookmarkStart w:id="116" w:name="_Toc69992970"/>
      <w:bookmarkStart w:id="117" w:name="_Toc70432301"/>
      <w:bookmarkStart w:id="118" w:name="_Toc70433579"/>
      <w:bookmarkStart w:id="119" w:name="_Toc70433951"/>
      <w:bookmarkStart w:id="120" w:name="_Toc72164489"/>
      <w:bookmarkStart w:id="121" w:name="_Toc72164620"/>
      <w:r w:rsidRPr="001328C6">
        <w:t xml:space="preserve">2.2.2.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8A7C3D">
        <w:t>Zaměstnanost</w:t>
      </w:r>
      <w:bookmarkEnd w:id="120"/>
      <w:bookmarkEnd w:id="121"/>
      <w:r w:rsidR="001932CD">
        <w:tab/>
      </w:r>
    </w:p>
    <w:p w:rsidR="009C7E56" w:rsidRDefault="009C7E56" w:rsidP="00D83C11">
      <w:pPr>
        <w:spacing w:after="240" w:line="276" w:lineRule="auto"/>
      </w:pPr>
      <w:bookmarkStart w:id="122" w:name="_Toc9259640"/>
      <w:bookmarkStart w:id="123" w:name="_Toc9259684"/>
      <w:bookmarkStart w:id="124" w:name="_Toc9434267"/>
      <w:bookmarkStart w:id="125" w:name="_Toc9435210"/>
      <w:r>
        <w:t xml:space="preserve">Kvantifikace rozsahu práce vstupující do kulturních aktivit je poměrně složitá. Pracovní zapojení má více forem, z nichž je relativně nejpřesněji evidován rozsah práce zaměstnanců s pracovní smlouvou. Problematičtější je postižení prací </w:t>
      </w:r>
      <w:r w:rsidR="006F2898">
        <w:t xml:space="preserve">v oblasti kultury </w:t>
      </w:r>
      <w:r>
        <w:t xml:space="preserve">na základě dohod, prací dobrovolníků a také zapojení OSVČ či podnikatelů a jejich rodinných příslušníků. </w:t>
      </w:r>
    </w:p>
    <w:p w:rsidR="009C7E56" w:rsidRDefault="009C7E56" w:rsidP="00D83C11">
      <w:pPr>
        <w:spacing w:after="240" w:line="276" w:lineRule="auto"/>
      </w:pPr>
      <w:r>
        <w:t xml:space="preserve">Počínaje referenčním rokem 2015 je možné využít dvou rozdílných zdrojů dat. Spolu s klasickými statistickými šetřeními v kulturních institucích (KULT, SBS, NI a doplňková zjišťování) přichází v úvahu Výběrové šetření </w:t>
      </w:r>
      <w:r w:rsidR="006F2898">
        <w:t>pracovních sil (dále také VŠPS</w:t>
      </w:r>
      <w:r>
        <w:t>), které má – za cenu nižší přesnosti - širší záběr. Umožňuje tak postihnout různorodé pracovní zapojení v</w:t>
      </w:r>
      <w:r w:rsidR="006F2898">
        <w:t> kulturních organizacích</w:t>
      </w:r>
      <w:r>
        <w:t xml:space="preserve">, i mimo ně. </w:t>
      </w:r>
    </w:p>
    <w:p w:rsidR="009C7E56" w:rsidRDefault="009C7E56" w:rsidP="00D83C11">
      <w:pPr>
        <w:spacing w:after="240" w:line="276" w:lineRule="auto"/>
      </w:pPr>
      <w:r>
        <w:t>Tabulka č. 7a obsahuje údaje o zaměstnanosti a mzdách v kultuře vycházející z klasických šetření podnikového charakteru řady KULT a dalších podnikových šetření. Podle výsledků z těchto šetření pracovalo v kultuře v roce 2019 více než 113 tis. pracovníků, z toho 83,1 tis. zaměstnanců (přepočtený stav) a 29,9 tis. dobrovolníků bez nároku na odměnu. Nad tento počet lze zřejmě předpokládat dalších několik tisíc osob pracujících v</w:t>
      </w:r>
      <w:r w:rsidR="006F2898">
        <w:t> oblasti kultury</w:t>
      </w:r>
      <w:r>
        <w:t xml:space="preserve"> na základě dohod o pracovní činnosti či v postavení osoby samostatně výdělečně činné (jejich počet výše uvedená zjišťování nepostihují). Pokud bychom přepočetli výši vykázaných ostatních osobních výdajů a honorářů v kultuře pomocí průměrných mezd, dojdeme k počtu dalších cca 7,8 tis. pracovníků zapojených na základě dohod a autorských smluv (v</w:t>
      </w:r>
      <w:r w:rsidR="00473BAB">
        <w:t> </w:t>
      </w:r>
      <w:r>
        <w:t>přepočtu na plnou pracovní dobu). To je celkem téměř 91 tis. osob (v přepočtu na plnou pracovní dobu)</w:t>
      </w:r>
      <w:r w:rsidR="009B00A5">
        <w:t>.</w:t>
      </w:r>
      <w:r>
        <w:t xml:space="preserve"> </w:t>
      </w:r>
    </w:p>
    <w:p w:rsidR="00620888" w:rsidRDefault="009C7E56" w:rsidP="00D83C11">
      <w:pPr>
        <w:spacing w:after="240" w:line="276" w:lineRule="auto"/>
      </w:pPr>
      <w:r>
        <w:t>Průměrná hrubá měsíční mzda v kultuře v roce 2019 dosáhla 32 835 Kč. V porovnání s předcházejícím rokem se zvýšila o více než 10,8 % (reálně jen o 7,8 %), avšak ve srovnání s průměrnou mzdou dosaženou v celé ekonomice (34 111 Kč) b</w:t>
      </w:r>
      <w:r w:rsidR="000C476F">
        <w:t>yla o 1 276 Kč (o 3,7 %) nižší.</w:t>
      </w:r>
    </w:p>
    <w:p w:rsidR="000C476F" w:rsidRDefault="00601C10" w:rsidP="000C476F">
      <w:pPr>
        <w:spacing w:after="240" w:line="276" w:lineRule="auto"/>
      </w:pPr>
      <w:r>
        <w:t xml:space="preserve">Od roku 2014 až do roku 2018 klesal podíl průměrné mzdy v kultuře na průměrné mzdě z 99 % na 92%. Zvrat nastal v roce 2019, kdy se přiblížil ke stavu v roce 2015 na úroveň 96 %. </w:t>
      </w:r>
      <w:r w:rsidR="000C476F">
        <w:t>Zejména v případě kultury platí, že průměr (jako charakteristika celého souboru) má velmi nízkou vypovídací schopnost. Také se do oblasti mezd promítají podstatné rozdíly v úrovni hospodaření dvou odlišných sfér sektoru kultury - tradičních odvětví na straně jedné - a médií, tisku a kreativních oborů na straně druhé (viz tab. č. 10). Jestliže v sektoru klasických kulturních odvětví průměrná měsíční mzda stěží dosáhla 26,7 tis. Kč, tak v tisku to bylo téměř 35 tis. Kč, v architektuře téměř 37,2 tis.,v reklamě 37,8 tis. Kč a v médiích až přes 45 tis. Kč.</w:t>
      </w:r>
    </w:p>
    <w:p w:rsidR="00620888" w:rsidRPr="00620888" w:rsidRDefault="00620888" w:rsidP="00620888">
      <w:pPr>
        <w:pStyle w:val="Titulek"/>
        <w:keepNext/>
        <w:rPr>
          <w:rFonts w:ascii="Arial" w:hAnsi="Arial" w:cs="Arial"/>
          <w:color w:val="000000" w:themeColor="text1"/>
        </w:rPr>
      </w:pPr>
      <w:r w:rsidRPr="00620888">
        <w:rPr>
          <w:rFonts w:ascii="Arial" w:hAnsi="Arial" w:cs="Arial"/>
          <w:color w:val="000000" w:themeColor="text1"/>
        </w:rPr>
        <w:lastRenderedPageBreak/>
        <w:t xml:space="preserve">Graf </w:t>
      </w:r>
      <w:r w:rsidR="00494A75">
        <w:rPr>
          <w:rFonts w:ascii="Arial" w:hAnsi="Arial" w:cs="Arial"/>
          <w:color w:val="000000" w:themeColor="text1"/>
        </w:rPr>
        <w:fldChar w:fldCharType="begin"/>
      </w:r>
      <w:r w:rsidR="004F3094">
        <w:rPr>
          <w:rFonts w:ascii="Arial" w:hAnsi="Arial" w:cs="Arial"/>
          <w:color w:val="000000" w:themeColor="text1"/>
        </w:rPr>
        <w:instrText xml:space="preserve"> SEQ Obrázek \* ARABIC </w:instrText>
      </w:r>
      <w:r w:rsidR="00494A75">
        <w:rPr>
          <w:rFonts w:ascii="Arial" w:hAnsi="Arial" w:cs="Arial"/>
          <w:color w:val="000000" w:themeColor="text1"/>
        </w:rPr>
        <w:fldChar w:fldCharType="separate"/>
      </w:r>
      <w:r w:rsidR="00864853">
        <w:rPr>
          <w:rFonts w:ascii="Arial" w:hAnsi="Arial" w:cs="Arial"/>
          <w:noProof/>
          <w:color w:val="000000" w:themeColor="text1"/>
        </w:rPr>
        <w:t>5</w:t>
      </w:r>
      <w:r w:rsidR="00494A75">
        <w:rPr>
          <w:rFonts w:ascii="Arial" w:hAnsi="Arial" w:cs="Arial"/>
          <w:color w:val="000000" w:themeColor="text1"/>
        </w:rPr>
        <w:fldChar w:fldCharType="end"/>
      </w:r>
      <w:r w:rsidRPr="00620888">
        <w:rPr>
          <w:rFonts w:ascii="Arial" w:hAnsi="Arial" w:cs="Arial"/>
          <w:color w:val="000000" w:themeColor="text1"/>
        </w:rPr>
        <w:t xml:space="preserve"> Průměrná hrubá měsíční mzda v kultuře</w:t>
      </w:r>
    </w:p>
    <w:p w:rsidR="009C7E56" w:rsidRDefault="00620888" w:rsidP="001932CD">
      <w:pPr>
        <w:spacing w:line="276" w:lineRule="auto"/>
      </w:pPr>
      <w:r w:rsidRPr="00620888">
        <w:rPr>
          <w:noProof/>
        </w:rPr>
        <w:drawing>
          <wp:inline distT="0" distB="0" distL="0" distR="0">
            <wp:extent cx="6134100" cy="2419350"/>
            <wp:effectExtent l="0" t="0" r="0" b="0"/>
            <wp:docPr id="4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C7E56">
        <w:t xml:space="preserve">  </w:t>
      </w:r>
    </w:p>
    <w:p w:rsidR="000A2002" w:rsidRDefault="000A2002" w:rsidP="000A2002">
      <w:pPr>
        <w:spacing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 xml:space="preserve">Celkově platí, že více než 80 % zaměstnanců v sektoru kultury pracovalo v odvětvích s nižší než celostátní průměrnou mzdou (tab. č. 7 a). Navíc </w:t>
      </w:r>
      <w:r w:rsidR="00601C10">
        <w:t>se rozevírají</w:t>
      </w:r>
      <w:r>
        <w:t xml:space="preserve"> pomyslné nůžky znázorněné úrovní mezd v kultuře a v ekonomice jako celku. V pětiletém období mezi roky 2014 a 2019 rostla nominální průměrná mzda v</w:t>
      </w:r>
      <w:r w:rsidR="00DC2851">
        <w:t> </w:t>
      </w:r>
      <w:r>
        <w:t>kultuře mnohem pomaleji než celostátní průměrná mzda (průměrně ročně o 5,1 % v porovnání s 5,8 %).</w:t>
      </w:r>
    </w:p>
    <w:p w:rsidR="009C7E56" w:rsidRDefault="009C7E56" w:rsidP="00D83C11">
      <w:pPr>
        <w:spacing w:after="240" w:line="276" w:lineRule="auto"/>
      </w:pPr>
      <w:r>
        <w:t>V tomto pětiletém období byla dynamika průměrné mzdy rychlejší než tempo růstu produktivity práce propočtené z hrubé přidané hodnoty (HPH) vytvořené v kultuře (průměrně ročně o 1,2 p. b.). V porovnání s</w:t>
      </w:r>
      <w:r w:rsidR="00DC2851">
        <w:t> </w:t>
      </w:r>
      <w:r>
        <w:t xml:space="preserve">minulým rokem </w:t>
      </w:r>
      <w:r w:rsidR="00601C10">
        <w:t xml:space="preserve">se </w:t>
      </w:r>
      <w:r>
        <w:t>však</w:t>
      </w:r>
      <w:r w:rsidR="00601C10">
        <w:t xml:space="preserve"> v roce 2019</w:t>
      </w:r>
      <w:r>
        <w:t xml:space="preserve"> dynamika průměrné mzdy v kultuře za růstem HPH opozdila (o 4,2 p.</w:t>
      </w:r>
      <w:r w:rsidR="00511226">
        <w:t> </w:t>
      </w:r>
      <w:r>
        <w:t>b.).</w:t>
      </w:r>
    </w:p>
    <w:p w:rsidR="009C7E56" w:rsidRPr="00D86C50" w:rsidRDefault="009C7E56" w:rsidP="00D83C11">
      <w:pPr>
        <w:spacing w:after="240" w:line="276" w:lineRule="auto"/>
      </w:pPr>
      <w:r w:rsidRPr="00D86C50">
        <w:t>Výběrové šetření pracovních sil prováděné ČSÚ rozšiřuje pohled na spotřebu živé práce vynaložené v</w:t>
      </w:r>
      <w:r>
        <w:t> </w:t>
      </w:r>
      <w:r w:rsidRPr="00D86C50">
        <w:t>kulturních aktivitách o instituce s převažující jinou než kulturní činností a dále o zapojení podnikatelů, popř. jejich rodinných příslušníků (viz tab. č. 7 b). Určité omezení spočívá ve skutečnosti, že neposkytuje údaje o</w:t>
      </w:r>
      <w:r>
        <w:t> </w:t>
      </w:r>
      <w:r w:rsidRPr="00D86C50">
        <w:t>finančních nákladech vynaložené práce a o počtu dobrovolných pracovníků.</w:t>
      </w:r>
    </w:p>
    <w:p w:rsidR="009C7E56" w:rsidRPr="00D86C50" w:rsidRDefault="009C7E56" w:rsidP="00D83C11">
      <w:pPr>
        <w:spacing w:after="240" w:line="276" w:lineRule="auto"/>
      </w:pPr>
      <w:r w:rsidRPr="00D86C50">
        <w:t>Celkový rozsah pracovního zapojení v kulturních aktivitách (včetně institucí ne-kulturního zaměření) v</w:t>
      </w:r>
      <w:r>
        <w:t> porovnání s rokem 2018</w:t>
      </w:r>
      <w:r w:rsidRPr="00D86C50">
        <w:t xml:space="preserve"> klesl – přibližně o </w:t>
      </w:r>
      <w:r>
        <w:t>5,5</w:t>
      </w:r>
      <w:r w:rsidRPr="00D86C50">
        <w:t xml:space="preserve"> tis. z</w:t>
      </w:r>
      <w:r>
        <w:t>aměstnaných osob – a v roce 2019 dosahoval výše 208,9</w:t>
      </w:r>
      <w:r w:rsidRPr="00D86C50">
        <w:t xml:space="preserve"> tis. osob. Z tohoto po</w:t>
      </w:r>
      <w:r>
        <w:t>čtu bylo 80,1</w:t>
      </w:r>
      <w:r w:rsidRPr="00D86C50">
        <w:t xml:space="preserve"> tis. podni</w:t>
      </w:r>
      <w:r>
        <w:t>katelů. Ze zbývajícího počtu 128,8 tis. osob bylo 103,1</w:t>
      </w:r>
      <w:r w:rsidRPr="00D86C50">
        <w:t xml:space="preserve"> tis. osob zaměstn</w:t>
      </w:r>
      <w:r>
        <w:t>áno na plný pracovní úvazek a 24,7</w:t>
      </w:r>
      <w:r w:rsidRPr="00D86C50">
        <w:t xml:space="preserve"> tis. osob na úvazek částečný či formou dohody o pracovní činnosti (popř. dohody o provedení práce) nebo pracovalo jako pomáh</w:t>
      </w:r>
      <w:r>
        <w:t>ající rodinní příslušníci (0,9</w:t>
      </w:r>
      <w:r w:rsidRPr="00D86C50">
        <w:t xml:space="preserve"> tis. osob).</w:t>
      </w:r>
    </w:p>
    <w:p w:rsidR="009C7E56" w:rsidRDefault="009C7E56" w:rsidP="00D83C11">
      <w:pPr>
        <w:spacing w:after="240" w:line="276" w:lineRule="auto"/>
      </w:pPr>
      <w:r w:rsidRPr="00D86C50">
        <w:t xml:space="preserve">Výsledky uvedeného šetření umožňují </w:t>
      </w:r>
      <w:r>
        <w:t>rozčlenit osoby zaměstnané v kultuře podle charakteru povolání a typu instituce</w:t>
      </w:r>
      <w:r w:rsidRPr="00D86C50">
        <w:t xml:space="preserve"> (právnické či fyzické osoby) s kulturní a </w:t>
      </w:r>
      <w:r>
        <w:t xml:space="preserve">nebo </w:t>
      </w:r>
      <w:r w:rsidRPr="00D86C50">
        <w:t>s ne-kulturní převažující</w:t>
      </w:r>
      <w:r>
        <w:t xml:space="preserve"> činností. Z celkového počtu 208,9</w:t>
      </w:r>
      <w:r w:rsidRPr="00D86C50">
        <w:t xml:space="preserve"> tis. pracujících osob jich v jiných než kul</w:t>
      </w:r>
      <w:r>
        <w:t>turních institucích pracovalo 38,6 tis., tj. přibližně 18,5 %</w:t>
      </w:r>
      <w:r w:rsidR="00601C10">
        <w:t xml:space="preserve"> (např. designéři v automobilovém průmyslu)</w:t>
      </w:r>
      <w:r>
        <w:t>. Ze zbývajícího počtu 170,3</w:t>
      </w:r>
      <w:r w:rsidRPr="00D86C50">
        <w:t xml:space="preserve"> tis. pracovníků kultur</w:t>
      </w:r>
      <w:r>
        <w:t>ních institucí bylo aktivních 90,2 tis. (53,0</w:t>
      </w:r>
      <w:r w:rsidRPr="00D86C50">
        <w:t xml:space="preserve"> %) v</w:t>
      </w:r>
      <w:r w:rsidR="00DC2851">
        <w:t> </w:t>
      </w:r>
      <w:r w:rsidRPr="00D86C50">
        <w:t>povoláních kulturního charakteru (např. jako zpěváci, herci či designéři). Povolání ne-kulturního zaměření (administrativa, účetnictví, IT profese atd.)</w:t>
      </w:r>
      <w:r>
        <w:t xml:space="preserve"> v kulturních institucích vykonávalo 80,1</w:t>
      </w:r>
      <w:r w:rsidRPr="00D86C50">
        <w:t xml:space="preserve"> t</w:t>
      </w:r>
      <w:r>
        <w:t>is. osob (47,0 %), což je o 4,8 tis. méně než v roce 2018</w:t>
      </w:r>
      <w:r w:rsidRPr="00D86C50">
        <w:t>. Pokles počtu osob vykonávajících administrativní a jinak „ne-kulturně“ zaměřená povolání měl největší podíl na celkově nižším počtu osob pracujících v kultuře v porovnání s</w:t>
      </w:r>
      <w:r>
        <w:t> </w:t>
      </w:r>
      <w:r w:rsidRPr="00D86C50">
        <w:t>předchozím rokem.</w:t>
      </w:r>
    </w:p>
    <w:p w:rsidR="001A3531" w:rsidRPr="001A3531" w:rsidRDefault="001A3531" w:rsidP="001A3531">
      <w:pPr>
        <w:pStyle w:val="Titulek"/>
        <w:keepNext/>
        <w:jc w:val="left"/>
        <w:rPr>
          <w:rFonts w:ascii="Arial" w:hAnsi="Arial" w:cs="Arial"/>
          <w:color w:val="auto"/>
        </w:rPr>
      </w:pPr>
      <w:r w:rsidRPr="001A3531">
        <w:rPr>
          <w:rFonts w:ascii="Arial" w:hAnsi="Arial" w:cs="Arial"/>
          <w:color w:val="auto"/>
        </w:rPr>
        <w:lastRenderedPageBreak/>
        <w:t xml:space="preserve">Graf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6</w:t>
      </w:r>
      <w:r w:rsidR="00494A75">
        <w:rPr>
          <w:rFonts w:ascii="Arial" w:hAnsi="Arial" w:cs="Arial"/>
          <w:color w:val="auto"/>
        </w:rPr>
        <w:fldChar w:fldCharType="end"/>
      </w:r>
      <w:r w:rsidRPr="001A3531">
        <w:rPr>
          <w:rFonts w:ascii="Arial" w:hAnsi="Arial" w:cs="Arial"/>
          <w:color w:val="auto"/>
        </w:rPr>
        <w:t xml:space="preserve"> Počet zaměstnaných osob</w:t>
      </w:r>
      <w:r>
        <w:rPr>
          <w:rFonts w:ascii="Arial" w:hAnsi="Arial" w:cs="Arial"/>
          <w:color w:val="auto"/>
        </w:rPr>
        <w:t xml:space="preserve"> </w:t>
      </w:r>
      <w:r w:rsidRPr="001A3531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> </w:t>
      </w:r>
      <w:r w:rsidRPr="001A3531">
        <w:rPr>
          <w:rFonts w:ascii="Arial" w:hAnsi="Arial" w:cs="Arial"/>
          <w:color w:val="auto"/>
        </w:rPr>
        <w:t>kultuře v roce 2019 (s využitím Výběrového šetření pracovních sil)</w:t>
      </w:r>
    </w:p>
    <w:p w:rsidR="001A3531" w:rsidRDefault="00494A75" w:rsidP="001A3531">
      <w:pPr>
        <w:spacing w:line="276" w:lineRule="auto"/>
        <w:jc w:val="center"/>
      </w:pPr>
      <w:r>
        <w:rPr>
          <w:noProof/>
          <w:lang w:eastAsia="en-US"/>
        </w:rPr>
        <w:pict>
          <v:shape id="_x0000_s1052" type="#_x0000_t202" style="position:absolute;left:0;text-align:left;margin-left:215.65pt;margin-top:121.05pt;width:53.15pt;height:18.75pt;z-index:251663872;mso-width-relative:margin;mso-height-relative:margin" strokecolor="white [3212]">
            <v:textbox style="mso-next-textbox:#_x0000_s1052">
              <w:txbxContent>
                <w:p w:rsidR="009B00A5" w:rsidRDefault="009B00A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208,9 tis.</w:t>
                  </w:r>
                </w:p>
                <w:p w:rsidR="009B00A5" w:rsidRPr="001A3531" w:rsidRDefault="009B00A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23129" w:rsidRPr="00723129">
        <w:rPr>
          <w:noProof/>
        </w:rPr>
        <w:drawing>
          <wp:inline distT="0" distB="0" distL="0" distR="0">
            <wp:extent cx="5772150" cy="2686050"/>
            <wp:effectExtent l="0" t="0" r="0" b="0"/>
            <wp:docPr id="1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2002" w:rsidRPr="00D86C50" w:rsidRDefault="000A2002" w:rsidP="001A3531">
      <w:pPr>
        <w:spacing w:line="276" w:lineRule="auto"/>
        <w:jc w:val="center"/>
      </w:pPr>
      <w:r>
        <w:t>ZDROJ: ČSÚ</w:t>
      </w:r>
    </w:p>
    <w:p w:rsidR="001A3531" w:rsidRDefault="001A3531" w:rsidP="001932CD">
      <w:pPr>
        <w:spacing w:line="276" w:lineRule="auto"/>
      </w:pPr>
    </w:p>
    <w:p w:rsidR="009C7E56" w:rsidRPr="00D86C50" w:rsidRDefault="009C7E56" w:rsidP="00D83C11">
      <w:pPr>
        <w:spacing w:after="240" w:line="276" w:lineRule="auto"/>
      </w:pPr>
      <w:r w:rsidRPr="00D86C50">
        <w:t xml:space="preserve">Jak je zřejmé, kulturní </w:t>
      </w:r>
      <w:r>
        <w:t>povolání</w:t>
      </w:r>
      <w:r w:rsidRPr="00D86C50">
        <w:t xml:space="preserve"> nejsou zvlášť silně centralizovány do institucí, jejichž větší část příjmů je generová</w:t>
      </w:r>
      <w:r>
        <w:t>na kulturními aktivitami. Z cel</w:t>
      </w:r>
      <w:r w:rsidRPr="00D86C50">
        <w:t>kového počtu těch, jejichž náplň práce má kulturní obsah (1</w:t>
      </w:r>
      <w:r>
        <w:t>28,8</w:t>
      </w:r>
      <w:r w:rsidRPr="00D86C50">
        <w:t xml:space="preserve"> tis. osob</w:t>
      </w:r>
      <w:r>
        <w:t xml:space="preserve">) jich patří do </w:t>
      </w:r>
      <w:r w:rsidR="00723129">
        <w:t xml:space="preserve">oblasti </w:t>
      </w:r>
      <w:r>
        <w:t>kul</w:t>
      </w:r>
      <w:r w:rsidR="00723129">
        <w:t>tury</w:t>
      </w:r>
      <w:r w:rsidRPr="00D86C50">
        <w:t xml:space="preserve"> zhruba </w:t>
      </w:r>
      <w:r>
        <w:t>70</w:t>
      </w:r>
      <w:r w:rsidRPr="00D86C50">
        <w:t xml:space="preserve"> %.</w:t>
      </w:r>
    </w:p>
    <w:p w:rsidR="009C7E56" w:rsidRPr="00691AB0" w:rsidRDefault="009C7E56" w:rsidP="00D83C11">
      <w:pPr>
        <w:spacing w:after="240" w:line="276" w:lineRule="auto"/>
      </w:pPr>
      <w:r w:rsidRPr="00D86C50">
        <w:t xml:space="preserve">Přepočtený počet zaměstnanců </w:t>
      </w:r>
      <w:r w:rsidR="00723129">
        <w:t>v oblasti kultury</w:t>
      </w:r>
      <w:r>
        <w:t xml:space="preserve"> představuje 2,0</w:t>
      </w:r>
      <w:r w:rsidRPr="00D86C50">
        <w:t xml:space="preserve"> % z počtu zaměstnanců pracujících v</w:t>
      </w:r>
      <w:r>
        <w:t> </w:t>
      </w:r>
      <w:r w:rsidRPr="00D86C50">
        <w:t>celé ekonomice</w:t>
      </w:r>
      <w:r w:rsidR="00691AB0">
        <w:t xml:space="preserve">. </w:t>
      </w:r>
      <w:r w:rsidRPr="00D86C50">
        <w:t xml:space="preserve">Pokud bychom k institucím s převažující kulturní činností připočetli i zaměstnance kulturních profesí mimo kulturní sektor (z výsledků </w:t>
      </w:r>
      <w:r>
        <w:t>VŠPS), došli bychom k podílu 2,6</w:t>
      </w:r>
      <w:r w:rsidRPr="00D86C50">
        <w:t xml:space="preserve"> %. </w:t>
      </w:r>
      <w:r>
        <w:t>P</w:t>
      </w:r>
      <w:r w:rsidRPr="00D86C50">
        <w:t>o započtení všech os</w:t>
      </w:r>
      <w:r>
        <w:t>ob pracujících</w:t>
      </w:r>
      <w:r w:rsidRPr="00D86C50">
        <w:t xml:space="preserve"> na plný pracovní</w:t>
      </w:r>
      <w:r>
        <w:t xml:space="preserve"> úvazek či na základě dohod, podnikatelů a pomáhajících rodinných příslušníků by podíl osob zaměstnaných v kultuře dosáhl 3,9</w:t>
      </w:r>
      <w:r w:rsidRPr="00D86C50">
        <w:t xml:space="preserve"> %</w:t>
      </w:r>
      <w:r>
        <w:t xml:space="preserve"> celkové zaměstnanosti v ČR</w:t>
      </w:r>
      <w:r w:rsidRPr="00D86C50">
        <w:t>.</w:t>
      </w:r>
    </w:p>
    <w:p w:rsidR="009C7E56" w:rsidRDefault="009C7E56" w:rsidP="009C7E56">
      <w:pPr>
        <w:pStyle w:val="Nadpis3"/>
        <w:spacing w:after="240"/>
      </w:pPr>
      <w:bookmarkStart w:id="126" w:name="_Toc69992971"/>
      <w:bookmarkStart w:id="127" w:name="_Toc70432302"/>
      <w:bookmarkStart w:id="128" w:name="_Toc70433580"/>
      <w:bookmarkStart w:id="129" w:name="_Toc70433952"/>
      <w:bookmarkStart w:id="130" w:name="_Toc72164490"/>
      <w:bookmarkStart w:id="131" w:name="_Toc72164621"/>
      <w:r w:rsidRPr="001328C6">
        <w:t>2.2.3. Investice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9C7E56" w:rsidRDefault="009C7E56" w:rsidP="00D83C11">
      <w:pPr>
        <w:spacing w:after="240" w:line="276" w:lineRule="auto"/>
      </w:pPr>
      <w:r>
        <w:t>V porovnání s rokem 2018 se objem investičních výdajů</w:t>
      </w:r>
      <w:r w:rsidR="00A2551E">
        <w:t xml:space="preserve"> (pořízení dlouhodobého hmotného a nehmotného majetku, tj. např. strojů, vybavení, přístrojů, </w:t>
      </w:r>
      <w:r w:rsidR="00A2551E" w:rsidRPr="00A85D4D">
        <w:t>uměleck</w:t>
      </w:r>
      <w:r w:rsidR="00A2551E">
        <w:t xml:space="preserve">ých děl, softwaru, autorských práv, pozemků, </w:t>
      </w:r>
      <w:r w:rsidR="00A2551E" w:rsidRPr="00A85D4D">
        <w:t>budov</w:t>
      </w:r>
      <w:r>
        <w:t xml:space="preserve"> zvýšil</w:t>
      </w:r>
      <w:r w:rsidR="00A2551E">
        <w:t xml:space="preserve"> aj.)</w:t>
      </w:r>
      <w:r>
        <w:t xml:space="preserve"> o 6,7 % (o 1 mld. Kč) a překročil částku 17,3 mld. Kč, jak je uvedeno v tab. č. 8 v příloze.</w:t>
      </w:r>
    </w:p>
    <w:p w:rsidR="009C7E56" w:rsidRDefault="009C7E56" w:rsidP="00D83C11">
      <w:pPr>
        <w:spacing w:after="240" w:line="276" w:lineRule="auto"/>
      </w:pPr>
      <w:r>
        <w:t>Rozdílné ekonomické podmínky a výsledky kulturních institucí nacházejí svůj odraz také v investiční aktivitě. Při průměrné intenzitě investic v přepočtu 208,6 tis. Kč na zaměstnance v</w:t>
      </w:r>
      <w:r w:rsidR="00A2551E">
        <w:t> celé oblasti kultury</w:t>
      </w:r>
      <w:r>
        <w:t>, to bylo v</w:t>
      </w:r>
      <w:r w:rsidR="00DC2851">
        <w:t> </w:t>
      </w:r>
      <w:r>
        <w:t>oborech tradičního umění jen 122,2 tis. Kč, v kulturních průmyslech (tisk a média) až 400,8 tis. Kč a</w:t>
      </w:r>
      <w:r w:rsidR="00473BAB">
        <w:t> </w:t>
      </w:r>
      <w:r>
        <w:t>v</w:t>
      </w:r>
      <w:r w:rsidR="00DC2851">
        <w:t> </w:t>
      </w:r>
      <w:r>
        <w:t xml:space="preserve">kreativních průmyslech 210,2 tis. Kč.(viz tab. č. 10). Intenzita investic se v porovnání s rokem 2018 zvýšila zejména v </w:t>
      </w:r>
      <w:r w:rsidR="00A2551E">
        <w:t>oblastech</w:t>
      </w:r>
      <w:r>
        <w:t xml:space="preserve"> tradičního umění (o 21,8 %), naopak nejméně v </w:t>
      </w:r>
      <w:r w:rsidR="00A2551E">
        <w:t>tvůrčím</w:t>
      </w:r>
      <w:r>
        <w:t xml:space="preserve"> sektoru (o necelých 12 %). </w:t>
      </w:r>
    </w:p>
    <w:p w:rsidR="009C7E56" w:rsidRDefault="009C7E56" w:rsidP="00D83C11">
      <w:pPr>
        <w:spacing w:after="240" w:line="276" w:lineRule="auto"/>
      </w:pPr>
      <w:r>
        <w:t>Co se týče zdrojového krytí investičních výdajů, veřejné finanční zdroje se na něm v roc</w:t>
      </w:r>
      <w:r w:rsidR="00691AB0">
        <w:t xml:space="preserve">e 2019 podílely zhruba z 18,9 %, </w:t>
      </w:r>
      <w:r>
        <w:t>zahraniční zdroje z 2,5 % a zbývajícím podíle</w:t>
      </w:r>
      <w:r w:rsidR="00691AB0">
        <w:t>m vlastní popř. jiné ze zdroje.</w:t>
      </w:r>
      <w:r w:rsidR="00011428">
        <w:t xml:space="preserve"> Jak je patrné z Grafu 6, podíl investic hrazených z veřejných zdrojů dlouhodobě spíše klesá.</w:t>
      </w:r>
    </w:p>
    <w:p w:rsidR="00543F06" w:rsidRPr="000A2002" w:rsidRDefault="004A7A3F" w:rsidP="00543F06">
      <w:pPr>
        <w:pStyle w:val="Titulek"/>
        <w:keepNext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Graf</w:t>
      </w:r>
      <w:r w:rsidR="00543F06" w:rsidRPr="000A2002">
        <w:rPr>
          <w:rFonts w:ascii="Arial" w:hAnsi="Arial" w:cs="Arial"/>
          <w:color w:val="auto"/>
        </w:rPr>
        <w:t xml:space="preserve"> </w:t>
      </w:r>
      <w:r w:rsidR="00494A75">
        <w:rPr>
          <w:rFonts w:ascii="Arial" w:hAnsi="Arial" w:cs="Arial"/>
          <w:color w:val="auto"/>
        </w:rPr>
        <w:fldChar w:fldCharType="begin"/>
      </w:r>
      <w:r w:rsidR="004F3094">
        <w:rPr>
          <w:rFonts w:ascii="Arial" w:hAnsi="Arial" w:cs="Arial"/>
          <w:color w:val="auto"/>
        </w:rPr>
        <w:instrText xml:space="preserve"> SEQ Obrázek \* ARABIC </w:instrText>
      </w:r>
      <w:r w:rsidR="00494A75">
        <w:rPr>
          <w:rFonts w:ascii="Arial" w:hAnsi="Arial" w:cs="Arial"/>
          <w:color w:val="auto"/>
        </w:rPr>
        <w:fldChar w:fldCharType="separate"/>
      </w:r>
      <w:r w:rsidR="00864853">
        <w:rPr>
          <w:rFonts w:ascii="Arial" w:hAnsi="Arial" w:cs="Arial"/>
          <w:noProof/>
          <w:color w:val="auto"/>
        </w:rPr>
        <w:t>7</w:t>
      </w:r>
      <w:r w:rsidR="00494A75">
        <w:rPr>
          <w:rFonts w:ascii="Arial" w:hAnsi="Arial" w:cs="Arial"/>
          <w:color w:val="auto"/>
        </w:rPr>
        <w:fldChar w:fldCharType="end"/>
      </w:r>
      <w:r w:rsidR="00543F06" w:rsidRPr="000A2002">
        <w:rPr>
          <w:rFonts w:ascii="Arial" w:hAnsi="Arial" w:cs="Arial"/>
          <w:color w:val="auto"/>
        </w:rPr>
        <w:t xml:space="preserve"> Investice v kultuře</w:t>
      </w:r>
    </w:p>
    <w:p w:rsidR="00543F06" w:rsidRDefault="00A2551E" w:rsidP="001932CD">
      <w:pPr>
        <w:spacing w:line="276" w:lineRule="auto"/>
      </w:pPr>
      <w:r w:rsidRPr="00A2551E">
        <w:rPr>
          <w:noProof/>
        </w:rPr>
        <w:drawing>
          <wp:inline distT="0" distB="0" distL="0" distR="0">
            <wp:extent cx="6134100" cy="27432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2002" w:rsidRDefault="000A2002" w:rsidP="00D83C11">
      <w:pPr>
        <w:spacing w:after="240" w:line="276" w:lineRule="auto"/>
        <w:jc w:val="center"/>
      </w:pPr>
      <w:r>
        <w:t>ZDROJ: ČSÚ, NIPOS</w:t>
      </w:r>
    </w:p>
    <w:p w:rsidR="009C7E56" w:rsidRDefault="009C7E56" w:rsidP="00D83C11">
      <w:pPr>
        <w:spacing w:after="240" w:line="276" w:lineRule="auto"/>
      </w:pPr>
      <w:r>
        <w:t>Ve struktuře investic z pohledu hmotného a nehmotného majetku kolísá dlouhodobě podíl vydaných finančních prostředků na nehmotný majetek mezi 20 až 40 % (v roce 2019 činil 33,7 %). V období mezi roky 2012 až 2017 se podíl pořizování nehmotného majetku v porovnání s majetkem hmotným snižoval. Zatímco v roce 2012 dosáhl až 30</w:t>
      </w:r>
      <w:r w:rsidR="00253743">
        <w:t xml:space="preserve"> </w:t>
      </w:r>
      <w:r>
        <w:t>%, v roce 2015 to bylo 28,6% a v roce 2017 jen 22,5 %. V krizovém období po roce 2009 tomu přitom bylo opačně. Bylo preferováno pořizování nehmotného majetku před hmotným. Jak se zdá, vývoj po roce 2017 v tomto směru nasvědčuje vyššímu uspokojování odložených potřeb v oblasti pořizování nehmotného majetku. V roce 2018 se podíl investičních výdajů do nehmotného majetku prudce zvýšil, zejména z důvodu nárůstu tohoto druhu investic v oblasti televizního vysílání, tento vývoj pokračoval i</w:t>
      </w:r>
      <w:r w:rsidR="00DC2851">
        <w:t> </w:t>
      </w:r>
      <w:r>
        <w:t>v roce 2019.</w:t>
      </w:r>
    </w:p>
    <w:p w:rsidR="009C7E56" w:rsidRPr="001D4B71" w:rsidRDefault="009C7E56" w:rsidP="00D83C11">
      <w:pPr>
        <w:spacing w:after="240" w:line="276" w:lineRule="auto"/>
      </w:pPr>
      <w:r>
        <w:t>Nejvyššího podílu výdajů na pořízení nehmotného majetku tak bylo dosaženo v oblasti médií (přes 68 %) a</w:t>
      </w:r>
      <w:r w:rsidR="00DC2851">
        <w:t> </w:t>
      </w:r>
      <w:r>
        <w:t>v</w:t>
      </w:r>
      <w:r w:rsidR="00DC2851">
        <w:t> </w:t>
      </w:r>
      <w:r>
        <w:t>tisku (59,3 %). Naopak podíl pořízení hmotného majetku v oblasti architektury překročil 97 %, v</w:t>
      </w:r>
      <w:r w:rsidR="00DC2851">
        <w:t> </w:t>
      </w:r>
      <w:r>
        <w:t>interpretačním umění 98 % a v kulturním dědictví 91 %.</w:t>
      </w:r>
    </w:p>
    <w:p w:rsidR="009C7E56" w:rsidRDefault="008A6A11" w:rsidP="009C7E56">
      <w:pPr>
        <w:pStyle w:val="Nadpis3"/>
        <w:spacing w:after="240"/>
        <w:jc w:val="both"/>
      </w:pPr>
      <w:bookmarkStart w:id="132" w:name="_Toc9259642"/>
      <w:bookmarkStart w:id="133" w:name="_Toc9259686"/>
      <w:bookmarkStart w:id="134" w:name="_Toc9434269"/>
      <w:bookmarkStart w:id="135" w:name="_Toc9435212"/>
      <w:bookmarkStart w:id="136" w:name="_Toc69992973"/>
      <w:bookmarkStart w:id="137" w:name="_Toc70432304"/>
      <w:bookmarkStart w:id="138" w:name="_Toc70433582"/>
      <w:bookmarkStart w:id="139" w:name="_Toc70433954"/>
      <w:bookmarkStart w:id="140" w:name="_Toc72164491"/>
      <w:bookmarkStart w:id="141" w:name="_Toc72164622"/>
      <w:r>
        <w:t>2.2.4</w:t>
      </w:r>
      <w:r w:rsidR="009C7E56" w:rsidRPr="001328C6">
        <w:t>. Naturální ukazatele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9C7E56" w:rsidRDefault="009C7E56" w:rsidP="00D83C11">
      <w:pPr>
        <w:spacing w:after="240" w:line="276" w:lineRule="auto"/>
      </w:pPr>
      <w:r>
        <w:t xml:space="preserve">V sektoru kultury se můžeme setkat s potížemi spojenými s odpovídajícím oceněním – zejména originálních – kulturních statků či služeb. Netýká se to jen samotného stanovení ceny, ale i jejího vývoje v čase. Také hospodaření některých kulturních institucí se primárně neřídí finančními kritérii a neprobíhá zcela na komerční bázi. Lze proto usuzovat, že působení ekonomických vztahů v kultuře je modifikované, ne-li částečně limitované. </w:t>
      </w:r>
    </w:p>
    <w:p w:rsidR="009C7E56" w:rsidRDefault="009C7E56" w:rsidP="00D83C11">
      <w:pPr>
        <w:spacing w:after="240" w:line="276" w:lineRule="auto"/>
      </w:pPr>
      <w:r>
        <w:t xml:space="preserve">Z omezených možností finančního postižení kulturního dění vyplývá, že bychom měli pohled na kulturu doplnit o vyhodnocení vývoje základních naturálních ukazatelů. Ty jsou v zásadě dvojího druhu. Jako kapacitní ukazatele (počet sedadel v divadlech, počet sbírkových předmětů v muzeích či rozsah knihovního fondu v knihovnách) odrážejí stranu nabídky a jako ukazatele participace (počet diváků, čtenářů či návštěvníků) vyjadřují objem poptávky. </w:t>
      </w:r>
    </w:p>
    <w:p w:rsidR="009C7E56" w:rsidRDefault="009C7E56" w:rsidP="00D83C11">
      <w:pPr>
        <w:spacing w:after="240" w:line="276" w:lineRule="auto"/>
      </w:pPr>
      <w:r>
        <w:t>Nejhrubším ukazatelem nabídkové strany kulturního vyžití je počet vybraných poskytovatelů kulturních služeb (památek, muzeí, knihoven, divadel, držitelů licencí rozhlasového a televizního vysílání atd.). V roce 2019 byla v rámci šetření KULT zjišťována data od 8 899 poskytovatelů (tj. o 0,4 % více než v roce 2018). Největší pokles počtu poskytovatelů zaznamenali vydavatelé neperiodického a periodického tisku a největší nárůst kulturní domy.</w:t>
      </w:r>
    </w:p>
    <w:p w:rsidR="009C7E56" w:rsidRDefault="009C7E56" w:rsidP="00D83C11">
      <w:pPr>
        <w:spacing w:after="240" w:line="276" w:lineRule="auto"/>
      </w:pPr>
      <w:r>
        <w:lastRenderedPageBreak/>
        <w:t>Důvody změny počtu poskytovatelů kulturních služeb však mohou být různé, od reorganizace, integrace a</w:t>
      </w:r>
      <w:r w:rsidR="00DC2851">
        <w:t> </w:t>
      </w:r>
      <w:r>
        <w:t xml:space="preserve">jiných organizačních změn až po ekonomicky opodstatněný vznik či zánik subjektů. V neposlední řadě mohou spočívat také v nedokonalostech registru poskytovatelů obesílaných statistickými dotazníky a v jejich postupném odstraňování. </w:t>
      </w:r>
    </w:p>
    <w:p w:rsidR="009C7E56" w:rsidRDefault="009C7E56" w:rsidP="00D83C11">
      <w:pPr>
        <w:spacing w:after="240" w:line="276" w:lineRule="auto"/>
      </w:pPr>
      <w:r>
        <w:t>Vhodnější pro charakteristiku změn v oblasti kulturních služeb jsou ukazatele na straně poptávky, zejména pak počet návštěvníků, resp. návštěv základních poskytovatelů kulturních služeb. Jak je z tab. č. 13 zřejmé, oproti předcházejícímu roku se v roce 2019 zvýšila návštěvnost o 5,4 %</w:t>
      </w:r>
      <w:r w:rsidR="0038111E">
        <w:t>. Značný nárůst zájmu se týkal</w:t>
      </w:r>
      <w:r>
        <w:t xml:space="preserve"> koncertních sálů, k</w:t>
      </w:r>
      <w:r w:rsidR="0038111E">
        <w:t>in, divadel a kulturních domů</w:t>
      </w:r>
      <w:r>
        <w:t>. Naopak poklesla návštěvnost výstavních sálů a knihoven. Zvýšil se poče</w:t>
      </w:r>
      <w:r w:rsidR="0038111E">
        <w:t>t vydaných titulů na 10 tis. obyvatel</w:t>
      </w:r>
      <w:r>
        <w:t xml:space="preserve"> (o více než 20 %) a počet vysílacích hodin na jednoho držitele licence televizního vysílání (o 5,6 %). Naopak počet hodin rozhlasového vysílání o více než 10 % poklesl.</w:t>
      </w:r>
    </w:p>
    <w:p w:rsidR="00011428" w:rsidRDefault="00011428" w:rsidP="00011428">
      <w:pPr>
        <w:spacing w:line="276" w:lineRule="auto"/>
      </w:pPr>
      <w:r>
        <w:t>Celková úroveň relativní návštěvnosti (91 639 návštěv na 10 tisíc obyvatel) by jinými slovy mohla znamenat, že každý obyvatel ČR v tomto roce navštívil průměrně (více než) devětkrát nějakou kulturní akci či zařízení. Není však tomu zcela tak, protože návštěvnost kulturních akcí ovlivňuje také cestovní ruch a návštěvníci z řad zahraničních hostů (turistů). Jak je vidět z Grafu 8 v průměru na obyvatele byly ze sledovaných zařizení v roce 2019 nejvíce navštěvovány výstavní sály (2,07 návštěv na obyvatele), kina (1,72 návštěv na obyvatele a historické památky (1,4 návštěvy na obyvatele).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8</w:t>
      </w:r>
      <w:r w:rsidRPr="004A7A3F">
        <w:rPr>
          <w:rFonts w:ascii="Arial" w:hAnsi="Arial" w:cs="Arial"/>
          <w:color w:val="auto"/>
        </w:rPr>
        <w:t xml:space="preserve"> Počet návštěv kulturních zařízení podle poskytovatele v roce 2019 (v průměru na obyvatele)</w:t>
      </w:r>
    </w:p>
    <w:p w:rsidR="00F034F4" w:rsidRDefault="00F034F4" w:rsidP="001932CD">
      <w:pPr>
        <w:spacing w:line="276" w:lineRule="auto"/>
      </w:pPr>
      <w:r w:rsidRPr="00F034F4">
        <w:rPr>
          <w:noProof/>
        </w:rPr>
        <w:drawing>
          <wp:inline distT="0" distB="0" distL="0" distR="0">
            <wp:extent cx="5895975" cy="2867025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2002" w:rsidRDefault="000A2002" w:rsidP="000A2002">
      <w:pPr>
        <w:spacing w:line="276" w:lineRule="auto"/>
        <w:jc w:val="center"/>
      </w:pPr>
      <w:r>
        <w:t>ZDROJ: NIPOS</w:t>
      </w:r>
    </w:p>
    <w:p w:rsidR="009C7E56" w:rsidRDefault="009C7E56" w:rsidP="009C7E56">
      <w:pPr>
        <w:pStyle w:val="Nadpis2"/>
      </w:pPr>
      <w:bookmarkStart w:id="142" w:name="_Toc451166916"/>
      <w:bookmarkStart w:id="143" w:name="_Toc451166932"/>
      <w:bookmarkStart w:id="144" w:name="_Toc451175105"/>
      <w:bookmarkStart w:id="145" w:name="_Toc451180161"/>
      <w:bookmarkStart w:id="146" w:name="_Toc9259643"/>
      <w:bookmarkStart w:id="147" w:name="_Toc9259687"/>
      <w:bookmarkStart w:id="148" w:name="_Toc9434270"/>
      <w:bookmarkStart w:id="149" w:name="_Toc9435213"/>
      <w:bookmarkStart w:id="150" w:name="_Toc69992974"/>
      <w:bookmarkStart w:id="151" w:name="_Toc70432305"/>
      <w:bookmarkStart w:id="152" w:name="_Toc70433583"/>
      <w:bookmarkStart w:id="153" w:name="_Toc70433955"/>
      <w:bookmarkStart w:id="154" w:name="_Toc72164492"/>
      <w:bookmarkStart w:id="155" w:name="_Toc72164623"/>
      <w:r w:rsidRPr="001328C6">
        <w:t>2.3. Makroekonomický pohled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8A6A11" w:rsidRPr="008A6A11" w:rsidRDefault="008A6A11" w:rsidP="008A6A11">
      <w:pPr>
        <w:pStyle w:val="Nadpis3"/>
        <w:spacing w:after="240"/>
        <w:jc w:val="both"/>
      </w:pPr>
      <w:bookmarkStart w:id="156" w:name="_Toc72164493"/>
      <w:bookmarkStart w:id="157" w:name="_Toc72164624"/>
      <w:r>
        <w:t>2.3.1. Základní ukazatele</w:t>
      </w:r>
      <w:bookmarkEnd w:id="156"/>
      <w:bookmarkEnd w:id="157"/>
    </w:p>
    <w:p w:rsidR="009C7E56" w:rsidRPr="00066084" w:rsidRDefault="009C7E56" w:rsidP="00483539">
      <w:pPr>
        <w:spacing w:after="240" w:line="276" w:lineRule="auto"/>
      </w:pPr>
      <w:bookmarkStart w:id="158" w:name="page15"/>
      <w:bookmarkStart w:id="159" w:name="page17"/>
      <w:bookmarkStart w:id="160" w:name="_Toc482790848"/>
      <w:bookmarkStart w:id="161" w:name="_Toc514227080"/>
      <w:bookmarkStart w:id="162" w:name="_Toc9259644"/>
      <w:bookmarkStart w:id="163" w:name="_Toc9259688"/>
      <w:bookmarkStart w:id="164" w:name="_Toc9434271"/>
      <w:bookmarkStart w:id="165" w:name="_Toc9435214"/>
      <w:bookmarkEnd w:id="158"/>
      <w:bookmarkEnd w:id="159"/>
      <w:r w:rsidRPr="00066084">
        <w:t>Charakteristiku úrovně hospodaření kultury, jako celku</w:t>
      </w:r>
      <w:r>
        <w:t xml:space="preserve"> i </w:t>
      </w:r>
      <w:r w:rsidRPr="00066084">
        <w:t>jejích jednotlivých částí, zcela při</w:t>
      </w:r>
      <w:r w:rsidRPr="00066084">
        <w:softHyphen/>
        <w:t>rozeně provází otázka místa</w:t>
      </w:r>
      <w:r>
        <w:t xml:space="preserve"> a </w:t>
      </w:r>
      <w:r w:rsidRPr="00066084">
        <w:t>váhy tohoto sektoru v ekonomice. Při hledání odpovědi je třeba využít údajů</w:t>
      </w:r>
      <w:r>
        <w:t xml:space="preserve"> a </w:t>
      </w:r>
      <w:r w:rsidRPr="00066084">
        <w:t>metod národního účetnictví.</w:t>
      </w:r>
    </w:p>
    <w:p w:rsidR="009C7E56" w:rsidRPr="00066084" w:rsidRDefault="009C7E56" w:rsidP="00483539">
      <w:pPr>
        <w:spacing w:after="240" w:line="276" w:lineRule="auto"/>
      </w:pPr>
      <w:r w:rsidRPr="00066084">
        <w:t>S ohledem na disponibilní data o sektoru kultury se jeví jako nejvhodnější pro vyčíslení makroekonomických ukazatelů vý</w:t>
      </w:r>
      <w:r w:rsidRPr="00066084">
        <w:softHyphen/>
        <w:t>robní (odvětvová) metoda výpočtu hrubého domácího produktu (HDP). Podle ní se tento ukazatel rovná součtu hrubé přidané hodnoty zjištěné odpočtem mezispotřeby od hodnoty produkce (HPH)</w:t>
      </w:r>
      <w:r>
        <w:t xml:space="preserve"> a </w:t>
      </w:r>
      <w:r w:rsidRPr="00066084">
        <w:t>čistých daní, tj. daní</w:t>
      </w:r>
      <w:r>
        <w:t xml:space="preserve"> z </w:t>
      </w:r>
      <w:r w:rsidRPr="00066084">
        <w:t>daného od</w:t>
      </w:r>
      <w:r w:rsidRPr="00066084">
        <w:softHyphen/>
        <w:t>větví snížených o dotace poskytnuté tomuto odvětví.</w:t>
      </w:r>
    </w:p>
    <w:p w:rsidR="009C7E56" w:rsidRPr="00066084" w:rsidRDefault="009C7E56" w:rsidP="00483539">
      <w:pPr>
        <w:spacing w:after="240" w:line="276" w:lineRule="auto"/>
      </w:pPr>
      <w:r w:rsidRPr="00066084">
        <w:lastRenderedPageBreak/>
        <w:t>Vstupní data do propočtu by měla vycházet</w:t>
      </w:r>
      <w:r>
        <w:t xml:space="preserve"> z </w:t>
      </w:r>
      <w:r w:rsidRPr="00066084">
        <w:t>údajů národního účetnictví, zejména pak</w:t>
      </w:r>
      <w:r>
        <w:t xml:space="preserve"> z </w:t>
      </w:r>
      <w:r w:rsidRPr="00066084">
        <w:t>ta</w:t>
      </w:r>
      <w:r w:rsidRPr="00066084">
        <w:softHyphen/>
        <w:t>bulek dodávek</w:t>
      </w:r>
      <w:r>
        <w:t xml:space="preserve"> a </w:t>
      </w:r>
      <w:r w:rsidRPr="00066084">
        <w:t>užití. Tyto údaje představují svým způsobem optimální informační sou</w:t>
      </w:r>
      <w:r w:rsidRPr="00066084">
        <w:softHyphen/>
        <w:t>stavu co do své komplexnosti, konzistence</w:t>
      </w:r>
      <w:r>
        <w:t xml:space="preserve"> a </w:t>
      </w:r>
      <w:r w:rsidRPr="00066084">
        <w:t>mezinárodní srov</w:t>
      </w:r>
      <w:r w:rsidRPr="00066084">
        <w:softHyphen/>
        <w:t>natelnosti. Uvedené před</w:t>
      </w:r>
      <w:r w:rsidRPr="00066084">
        <w:softHyphen/>
        <w:t>nosti jsou však vykoupeny vysokou pracností</w:t>
      </w:r>
      <w:r>
        <w:t xml:space="preserve"> a z </w:t>
      </w:r>
      <w:r w:rsidRPr="00066084">
        <w:t>pohledu uživatelů dat dlouhou dobou če</w:t>
      </w:r>
      <w:r w:rsidRPr="00066084">
        <w:softHyphen/>
        <w:t>kání na (postupně upřesňované) výsledky.</w:t>
      </w:r>
    </w:p>
    <w:p w:rsidR="009427E0" w:rsidRPr="00066084" w:rsidRDefault="009C7E56" w:rsidP="009427E0">
      <w:pPr>
        <w:spacing w:after="240" w:line="276" w:lineRule="auto"/>
      </w:pPr>
      <w:r w:rsidRPr="00066084">
        <w:t>Nutno dodat, že na základě těchto údajů lze makroekonomické ukazatele sektoru kultury spíše odhadovat než přesně kal</w:t>
      </w:r>
      <w:r w:rsidRPr="00066084">
        <w:softHyphen/>
        <w:t>kulovat. Je tomu tak zejména pro –</w:t>
      </w:r>
      <w:r>
        <w:t xml:space="preserve"> z </w:t>
      </w:r>
      <w:r w:rsidRPr="00066084">
        <w:t>našeho pohledu – nevhodné členění dat v tabulkách dodávek</w:t>
      </w:r>
      <w:r>
        <w:t xml:space="preserve"> a </w:t>
      </w:r>
      <w:r w:rsidRPr="00066084">
        <w:t xml:space="preserve">užití pouze do úrovně oddílů (na 2 místa </w:t>
      </w:r>
      <w:r w:rsidR="009427E0">
        <w:t>CZ-</w:t>
      </w:r>
      <w:r w:rsidRPr="00066084">
        <w:t>NACE), zatímco kulturní aktivity</w:t>
      </w:r>
      <w:r w:rsidR="009427E0">
        <w:t xml:space="preserve"> jsou</w:t>
      </w:r>
      <w:r w:rsidRPr="00066084">
        <w:t xml:space="preserve"> často až na úrovni tříd (4 místa CZ-NACE). Jedním pří</w:t>
      </w:r>
      <w:r w:rsidRPr="00066084">
        <w:softHyphen/>
        <w:t>kladem za všechny mohou být architektonické činnosti v tabulkách dodávek</w:t>
      </w:r>
      <w:r>
        <w:t xml:space="preserve"> a </w:t>
      </w:r>
      <w:r w:rsidRPr="00066084">
        <w:t xml:space="preserve">užití, které zahrnují celý oddíl 71 CZ-NACE. Za součást kulturního sektoru je však považována pouze třída 71.11. </w:t>
      </w:r>
      <w:r w:rsidR="009427E0" w:rsidRPr="00066084">
        <w:t>Data odpovídající kulturním aktivitám je nutno získávat složitým postupem</w:t>
      </w:r>
      <w:r w:rsidR="009427E0">
        <w:t xml:space="preserve"> </w:t>
      </w:r>
      <w:r w:rsidR="009427E0" w:rsidRPr="00066084">
        <w:t>mezi údaji zjištěnými v rámci sta</w:t>
      </w:r>
      <w:r w:rsidR="009427E0" w:rsidRPr="00066084">
        <w:softHyphen/>
        <w:t>tis</w:t>
      </w:r>
      <w:r w:rsidR="009427E0" w:rsidRPr="00066084">
        <w:softHyphen/>
        <w:t>tických šetření (podniková šetření, KULT, NI).</w:t>
      </w:r>
      <w:r w:rsidR="009427E0">
        <w:t xml:space="preserve"> Je třeba využít znalosti různých vztahů, např. v </w:t>
      </w:r>
      <w:r w:rsidR="009427E0" w:rsidRPr="00066084">
        <w:t>úrovni produktivity práce mezi třídami či podílu spotřeby materiálu, energie</w:t>
      </w:r>
      <w:r w:rsidR="009427E0">
        <w:t xml:space="preserve"> a </w:t>
      </w:r>
      <w:r w:rsidR="009427E0" w:rsidRPr="00066084">
        <w:t>služeb na výnosech atd.</w:t>
      </w:r>
    </w:p>
    <w:p w:rsidR="009C7E56" w:rsidRPr="00066084" w:rsidRDefault="009C7E56" w:rsidP="00483539">
      <w:pPr>
        <w:spacing w:after="240" w:line="276" w:lineRule="auto"/>
      </w:pPr>
      <w:r w:rsidRPr="00066084">
        <w:t>Podíl kulturního sektoru na celkové pro</w:t>
      </w:r>
      <w:r w:rsidRPr="00066084">
        <w:softHyphen/>
        <w:t>du</w:t>
      </w:r>
      <w:r>
        <w:t>kci v roce 2018 lze od</w:t>
      </w:r>
      <w:r>
        <w:softHyphen/>
        <w:t>hadovat na 2,15 % (263,9</w:t>
      </w:r>
      <w:r w:rsidRPr="00066084">
        <w:t> mld. Kč</w:t>
      </w:r>
      <w:r>
        <w:t>), jeho podíl na HPH ve výši 2,3</w:t>
      </w:r>
      <w:r w:rsidRPr="00066084">
        <w:t>0</w:t>
      </w:r>
      <w:r>
        <w:t> % (111,9</w:t>
      </w:r>
      <w:r w:rsidRPr="00066084">
        <w:t> mld. Kč)</w:t>
      </w:r>
      <w:r>
        <w:t xml:space="preserve"> a na HDP v úrovni 1,55 % (84,0</w:t>
      </w:r>
      <w:r w:rsidRPr="00066084">
        <w:t> mld. Kč). Poměrně nižší objem HDP v po</w:t>
      </w:r>
      <w:r w:rsidRPr="00066084">
        <w:softHyphen/>
        <w:t>rovnání s HPH je dán relativně nízkou úrovní daní vztahujících se ke kulturnímu sektoru</w:t>
      </w:r>
      <w:r>
        <w:t xml:space="preserve"> a </w:t>
      </w:r>
      <w:r w:rsidRPr="00066084">
        <w:t>naopak vysokou částkou přijatých provozních dotací.</w:t>
      </w:r>
    </w:p>
    <w:p w:rsidR="009C7E56" w:rsidRDefault="009C7E56" w:rsidP="00483539">
      <w:pPr>
        <w:spacing w:after="240" w:line="276" w:lineRule="auto"/>
      </w:pPr>
      <w:r w:rsidRPr="00066084">
        <w:t>Z</w:t>
      </w:r>
      <w:r>
        <w:t xml:space="preserve"> předběžných dat lze za rok 2019</w:t>
      </w:r>
      <w:r w:rsidRPr="00066084">
        <w:t xml:space="preserve"> předpokládat (odhado</w:t>
      </w:r>
      <w:r>
        <w:t>vat), že objem produkce v kulturním sektoru dosáhl 278,2 mld. Kč (2,03 %</w:t>
      </w:r>
      <w:r w:rsidRPr="00066084">
        <w:t xml:space="preserve"> na celostátní produkci)</w:t>
      </w:r>
      <w:r>
        <w:t xml:space="preserve"> a úroveň HPH 121,1 mld. Kč (tj. 2,33 % z </w:t>
      </w:r>
      <w:r w:rsidRPr="00066084">
        <w:t>celkové HPH vytvořené v ekonomice).</w:t>
      </w:r>
    </w:p>
    <w:p w:rsidR="0014678E" w:rsidRPr="004A7A3F" w:rsidRDefault="004A7A3F" w:rsidP="0014678E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>Graf</w:t>
      </w:r>
      <w:r w:rsidR="0014678E" w:rsidRPr="004A7A3F">
        <w:rPr>
          <w:rFonts w:ascii="Arial" w:hAnsi="Arial" w:cs="Arial"/>
          <w:color w:val="auto"/>
        </w:rPr>
        <w:t xml:space="preserve"> </w:t>
      </w:r>
      <w:r w:rsidR="002367C7">
        <w:rPr>
          <w:rFonts w:ascii="Arial" w:hAnsi="Arial" w:cs="Arial"/>
          <w:color w:val="auto"/>
        </w:rPr>
        <w:t>9</w:t>
      </w:r>
      <w:r w:rsidRPr="004A7A3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Makroekonomický pohled na kulturu</w:t>
      </w:r>
    </w:p>
    <w:p w:rsidR="009C55BB" w:rsidRDefault="00281135" w:rsidP="009C7E56">
      <w:pPr>
        <w:spacing w:line="276" w:lineRule="auto"/>
      </w:pPr>
      <w:r w:rsidRPr="00281135">
        <w:rPr>
          <w:noProof/>
        </w:rPr>
        <w:drawing>
          <wp:inline distT="0" distB="0" distL="0" distR="0">
            <wp:extent cx="6048375" cy="2590800"/>
            <wp:effectExtent l="0" t="0" r="0" b="0"/>
            <wp:docPr id="1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A2002" w:rsidRPr="00066084" w:rsidRDefault="000A2002" w:rsidP="000A2002">
      <w:pPr>
        <w:spacing w:line="276" w:lineRule="auto"/>
        <w:jc w:val="center"/>
      </w:pPr>
      <w:r>
        <w:t>ZDROJ: ČSÚ, VLASTNÍ VÝPOČET</w:t>
      </w:r>
    </w:p>
    <w:p w:rsidR="009C7E56" w:rsidRPr="00066084" w:rsidRDefault="009C7E56" w:rsidP="00483539">
      <w:pPr>
        <w:spacing w:after="240" w:line="276" w:lineRule="auto"/>
      </w:pPr>
      <w:r w:rsidRPr="00066084">
        <w:t>Ze statistiky národních účtů ČSÚ lze získat také údaje o kulturní produkci vytvořené organizacemi s jinou než převažující kulturní činností (např. televizní vysílání poskytovatelů internetových služeb). Celková kulturní produkce těchto o</w:t>
      </w:r>
      <w:r>
        <w:t>rganizací dosahovala v roce 2019 přibližné výše 111,7 mld. </w:t>
      </w:r>
      <w:r w:rsidRPr="00066084">
        <w:t>Kč. Pokud bychom přičetli tento odhad</w:t>
      </w:r>
      <w:r>
        <w:t xml:space="preserve"> k </w:t>
      </w:r>
      <w:r w:rsidRPr="00066084">
        <w:t>celkové produkci kulturních organizací, mohli bychom vyčíslit celk</w:t>
      </w:r>
      <w:r>
        <w:t>ovou kulturní produkci na 389,9 </w:t>
      </w:r>
      <w:r w:rsidRPr="00066084">
        <w:t>mld.</w:t>
      </w:r>
      <w:r>
        <w:t> Kč (3,03 %</w:t>
      </w:r>
      <w:r w:rsidRPr="00066084">
        <w:t xml:space="preserve"> na celostátní produkci).</w:t>
      </w:r>
    </w:p>
    <w:p w:rsidR="009C7E56" w:rsidRPr="00066084" w:rsidRDefault="009C7E56" w:rsidP="00483539">
      <w:pPr>
        <w:spacing w:after="240" w:line="276" w:lineRule="auto"/>
      </w:pPr>
      <w:r w:rsidRPr="00066084">
        <w:t>Objem HDP vytvo</w:t>
      </w:r>
      <w:r>
        <w:t>řeného v kultuře lze v roce 2019 odhadovat v úrovni 91,2 mld. Kč (1,59 % z </w:t>
      </w:r>
      <w:r w:rsidRPr="00066084">
        <w:t xml:space="preserve">celkového </w:t>
      </w:r>
      <w:r>
        <w:t>HDP). Odhad výše HDP v roce 2019</w:t>
      </w:r>
      <w:r w:rsidRPr="00066084">
        <w:t xml:space="preserve"> se v porov</w:t>
      </w:r>
      <w:r>
        <w:t>nání s rokem 2018 navýšil o 7,2 </w:t>
      </w:r>
      <w:r w:rsidRPr="00066084">
        <w:t>mld.</w:t>
      </w:r>
      <w:r>
        <w:t> </w:t>
      </w:r>
      <w:r w:rsidRPr="00066084">
        <w:t>Kč</w:t>
      </w:r>
      <w:r>
        <w:t xml:space="preserve"> a </w:t>
      </w:r>
      <w:r w:rsidRPr="00066084">
        <w:t>podíl na celko</w:t>
      </w:r>
      <w:r>
        <w:t>vém HDP vzrostl přibližně o 0,3 p. b.</w:t>
      </w:r>
    </w:p>
    <w:p w:rsidR="009C7E56" w:rsidRDefault="009C7E56" w:rsidP="00483539">
      <w:pPr>
        <w:spacing w:after="240" w:line="276" w:lineRule="auto"/>
      </w:pPr>
      <w:r w:rsidRPr="00066084">
        <w:lastRenderedPageBreak/>
        <w:t>Výchozí předběžné údaje budou dále zpřesňovány</w:t>
      </w:r>
      <w:r>
        <w:t xml:space="preserve"> a </w:t>
      </w:r>
      <w:r w:rsidRPr="00066084">
        <w:t>výše uvedený odhad se zřejmě mírně pozmění. Zatím však předběžná data nasvědčují tomu, ž</w:t>
      </w:r>
      <w:r>
        <w:t>e nárůst produkce mezi lety 2018 a 2019</w:t>
      </w:r>
      <w:r w:rsidRPr="00066084">
        <w:t xml:space="preserve"> (o</w:t>
      </w:r>
      <w:r>
        <w:t> 5,4 %</w:t>
      </w:r>
      <w:r w:rsidRPr="00066084">
        <w:t>) byl doprovázen o něco mírnějším z</w:t>
      </w:r>
      <w:r>
        <w:t>výšením mezispotřeby (o 3,4 %</w:t>
      </w:r>
      <w:r w:rsidRPr="00066084">
        <w:t>)</w:t>
      </w:r>
      <w:r>
        <w:t xml:space="preserve"> a </w:t>
      </w:r>
      <w:r w:rsidRPr="00066084">
        <w:t>naopak výraznějším růs</w:t>
      </w:r>
      <w:r>
        <w:t>tem HPH (o 8,2 %</w:t>
      </w:r>
      <w:r w:rsidRPr="00066084">
        <w:t>).</w:t>
      </w:r>
    </w:p>
    <w:p w:rsidR="008A6A11" w:rsidRDefault="008A6A11" w:rsidP="008A6A11">
      <w:pPr>
        <w:pStyle w:val="Nadpis3"/>
        <w:spacing w:after="240"/>
        <w:jc w:val="both"/>
      </w:pPr>
      <w:bookmarkStart w:id="166" w:name="_Toc72164494"/>
      <w:bookmarkStart w:id="167" w:name="_Toc72164625"/>
      <w:r>
        <w:t>2.3.2. Zahraniční obchod</w:t>
      </w:r>
      <w:bookmarkEnd w:id="166"/>
      <w:bookmarkEnd w:id="167"/>
    </w:p>
    <w:p w:rsidR="008A6A11" w:rsidRDefault="008A6A11" w:rsidP="008A6A11">
      <w:pPr>
        <w:spacing w:line="276" w:lineRule="auto"/>
      </w:pPr>
      <w:r>
        <w:t xml:space="preserve">Pohled na hospodaření </w:t>
      </w:r>
      <w:r w:rsidR="00253743">
        <w:t>oblasti kultury</w:t>
      </w:r>
      <w:r>
        <w:t xml:space="preserve"> lze částečně doplnit daty o vývozu a dovozu kulturního zboží a služeb (viz tab. č. 9). V zahraničním obchodu se zbožím a službami kulturního charakteru bylo v roce 2019 dosaženo – podobně jako v předcházejících letech – kladného salda (7,5 mld. Kč). V porovnání s rokem 2018 se kladný přebytek obchodní výměny zvýšil o 1,2 mld. Kč, zejména pak v důsledku zlepšení výsledků v</w:t>
      </w:r>
      <w:r w:rsidR="000634A4">
        <w:t> </w:t>
      </w:r>
      <w:r>
        <w:t xml:space="preserve">oblasti periodického a neperiodického tisku. Jak je vidět z Grafu 7, </w:t>
      </w:r>
      <w:r w:rsidR="00253743">
        <w:t>na zahraničním obchodě v oblasti kultury se nejvíce podílela oblast audiovizuálních a interaktivních médií</w:t>
      </w:r>
      <w:r>
        <w:t>, což může být dané do jisté míry působením nadnárodních distribučních řetězců na našem území</w:t>
      </w:r>
      <w:r w:rsidR="00253743">
        <w:t xml:space="preserve"> (a jejich skladů s hudebními nosiči a jinými médii)</w:t>
      </w:r>
      <w:r>
        <w:t>.</w:t>
      </w:r>
    </w:p>
    <w:p w:rsidR="008A6A11" w:rsidRPr="004A7A3F" w:rsidRDefault="008A6A11" w:rsidP="008A6A11">
      <w:pPr>
        <w:pStyle w:val="Titulek"/>
        <w:keepNext/>
        <w:rPr>
          <w:rFonts w:ascii="Arial" w:hAnsi="Arial" w:cs="Arial"/>
          <w:color w:val="auto"/>
        </w:rPr>
      </w:pPr>
      <w:r w:rsidRPr="004A7A3F">
        <w:rPr>
          <w:rFonts w:ascii="Arial" w:hAnsi="Arial" w:cs="Arial"/>
          <w:color w:val="auto"/>
        </w:rPr>
        <w:t xml:space="preserve">Graf </w:t>
      </w:r>
      <w:r w:rsidR="002367C7">
        <w:rPr>
          <w:rFonts w:ascii="Arial" w:hAnsi="Arial" w:cs="Arial"/>
          <w:color w:val="auto"/>
        </w:rPr>
        <w:t>10</w:t>
      </w:r>
      <w:r w:rsidRPr="004A7A3F">
        <w:rPr>
          <w:rFonts w:ascii="Arial" w:hAnsi="Arial" w:cs="Arial"/>
          <w:color w:val="auto"/>
        </w:rPr>
        <w:t xml:space="preserve"> Pohyb </w:t>
      </w:r>
      <w:r>
        <w:rPr>
          <w:rFonts w:ascii="Arial" w:hAnsi="Arial" w:cs="Arial"/>
          <w:color w:val="auto"/>
        </w:rPr>
        <w:t xml:space="preserve">kulturního </w:t>
      </w:r>
      <w:r w:rsidRPr="004A7A3F">
        <w:rPr>
          <w:rFonts w:ascii="Arial" w:hAnsi="Arial" w:cs="Arial"/>
          <w:color w:val="auto"/>
        </w:rPr>
        <w:t xml:space="preserve">zboží </w:t>
      </w:r>
      <w:r>
        <w:rPr>
          <w:rFonts w:ascii="Arial" w:hAnsi="Arial" w:cs="Arial"/>
          <w:color w:val="auto"/>
        </w:rPr>
        <w:t xml:space="preserve">a kulturních služeb </w:t>
      </w:r>
      <w:r w:rsidRPr="004A7A3F">
        <w:rPr>
          <w:rFonts w:ascii="Arial" w:hAnsi="Arial" w:cs="Arial"/>
          <w:color w:val="auto"/>
        </w:rPr>
        <w:t>přes hranice</w:t>
      </w:r>
      <w:r>
        <w:rPr>
          <w:rFonts w:ascii="Arial" w:hAnsi="Arial" w:cs="Arial"/>
          <w:color w:val="auto"/>
        </w:rPr>
        <w:t xml:space="preserve"> podle oblastí</w:t>
      </w:r>
      <w:r w:rsidRPr="004A7A3F">
        <w:rPr>
          <w:rFonts w:ascii="Arial" w:hAnsi="Arial" w:cs="Arial"/>
          <w:color w:val="auto"/>
        </w:rPr>
        <w:t xml:space="preserve"> v roce 2019 (v mld. Kč)</w:t>
      </w:r>
    </w:p>
    <w:p w:rsidR="008A6A11" w:rsidRDefault="008A6A11" w:rsidP="008A6A11">
      <w:pPr>
        <w:spacing w:line="276" w:lineRule="auto"/>
      </w:pPr>
      <w:r w:rsidRPr="0014678E">
        <w:rPr>
          <w:noProof/>
        </w:rPr>
        <w:drawing>
          <wp:inline distT="0" distB="0" distL="0" distR="0">
            <wp:extent cx="6029325" cy="2600325"/>
            <wp:effectExtent l="0" t="0" r="0" b="0"/>
            <wp:docPr id="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A6A11" w:rsidRDefault="008A6A11" w:rsidP="008A6A11">
      <w:pPr>
        <w:spacing w:line="276" w:lineRule="auto"/>
        <w:jc w:val="center"/>
      </w:pPr>
      <w:r>
        <w:t>ZDROJ: ČSÚ</w:t>
      </w:r>
    </w:p>
    <w:p w:rsidR="008A6A11" w:rsidRDefault="00253743" w:rsidP="008A6A11">
      <w:pPr>
        <w:spacing w:after="240" w:line="276" w:lineRule="auto"/>
      </w:pPr>
      <w:r>
        <w:t>K výše uvedeným výsledkům je třeba dodat,</w:t>
      </w:r>
      <w:r w:rsidR="008A6A11">
        <w:t xml:space="preserve"> že údaje neodrážejí celý rozsah obchodní výměny v oblasti kultury (šetření v oblasti služeb jsou výběrová). Údaje o zahraničním obchodu se zbožím vycházejí </w:t>
      </w:r>
      <w:r w:rsidR="008A6A11" w:rsidRPr="002A1CB4">
        <w:rPr>
          <w:b/>
        </w:rPr>
        <w:t>z</w:t>
      </w:r>
      <w:r w:rsidR="00473BAB">
        <w:rPr>
          <w:b/>
        </w:rPr>
        <w:t> </w:t>
      </w:r>
      <w:r w:rsidR="008A6A11" w:rsidRPr="002A1CB4">
        <w:rPr>
          <w:b/>
        </w:rPr>
        <w:t>přeshraničního pojetí zahraničního obchodu</w:t>
      </w:r>
      <w:r w:rsidR="008A6A11">
        <w:t>. Jsou sice mezinárodně srovnatelné a mohou sloužit jako indikátor vývoje obchodu, ale nezohledňují faktickou změnu vlastnictví – zboží může být např. převáženo v</w:t>
      </w:r>
      <w:r w:rsidR="00473BAB">
        <w:t> </w:t>
      </w:r>
      <w:r w:rsidR="008A6A11">
        <w:t>rámci distribučních center jedné společnosti umístěných v různých zemích.</w:t>
      </w:r>
    </w:p>
    <w:p w:rsidR="008A6A11" w:rsidRPr="00E748B8" w:rsidRDefault="008A6A11" w:rsidP="008A6A11">
      <w:pPr>
        <w:spacing w:after="240" w:line="276" w:lineRule="auto"/>
      </w:pPr>
      <w:r>
        <w:t>Případné porovnání s léty předcházejícími roku 2014 je ztíženo navíc tím, že metodika propočtu ukazatelů zahraničního obchodu byla v roce 2014 aktualizována v návaznosti na záměry Eurostatu v této oblasti a dále podle specifikace výrobků uměleckých řemesel provedené Národním ústavem lidové kultury.</w:t>
      </w:r>
    </w:p>
    <w:p w:rsidR="009C7E56" w:rsidRPr="00AE453F" w:rsidRDefault="009C7E56" w:rsidP="009D1495">
      <w:pPr>
        <w:pStyle w:val="Nadpis1"/>
      </w:pPr>
      <w:r>
        <w:br w:type="page"/>
      </w:r>
      <w:bookmarkStart w:id="168" w:name="_Toc69992975"/>
      <w:bookmarkStart w:id="169" w:name="_Toc70432306"/>
      <w:bookmarkStart w:id="170" w:name="_Toc70433584"/>
      <w:bookmarkStart w:id="171" w:name="_Toc70433956"/>
      <w:bookmarkStart w:id="172" w:name="_Toc72164495"/>
      <w:bookmarkStart w:id="173" w:name="_Toc72164626"/>
      <w:r w:rsidRPr="000B70E7">
        <w:lastRenderedPageBreak/>
        <w:t>3. Závěr</w:t>
      </w:r>
      <w:bookmarkEnd w:id="160"/>
      <w:bookmarkEnd w:id="161"/>
      <w:bookmarkEnd w:id="162"/>
      <w:bookmarkEnd w:id="163"/>
      <w:bookmarkEnd w:id="164"/>
      <w:bookmarkEnd w:id="165"/>
      <w:bookmarkEnd w:id="168"/>
      <w:bookmarkEnd w:id="169"/>
      <w:bookmarkEnd w:id="170"/>
      <w:bookmarkEnd w:id="171"/>
      <w:bookmarkEnd w:id="172"/>
      <w:bookmarkEnd w:id="173"/>
    </w:p>
    <w:p w:rsidR="009C7E56" w:rsidRDefault="009C7E56" w:rsidP="00483539">
      <w:pPr>
        <w:spacing w:after="240" w:line="276" w:lineRule="auto"/>
      </w:pPr>
      <w:r>
        <w:t>Hospodářské výsledky kulturních odvětví dosažené v roce 2019 ukazují, že vzestupný vývoj nejvýznamnějších ekonomických ukazatelů po překonaném krizovém období let 2011-2013  pokračoval i</w:t>
      </w:r>
      <w:r w:rsidR="00DC2851">
        <w:t> </w:t>
      </w:r>
      <w:r>
        <w:t xml:space="preserve">nadále. </w:t>
      </w:r>
    </w:p>
    <w:p w:rsidR="009C7E56" w:rsidRDefault="009C7E56" w:rsidP="00483539">
      <w:pPr>
        <w:spacing w:after="240" w:line="276" w:lineRule="auto"/>
      </w:pPr>
      <w:r>
        <w:t xml:space="preserve"> V porovnání s předcházejícím rokem 2018 se v roce 2019 zvýšil celkový objem finančních zdrojů vstupujících do kultury (o necelé procento), zejména pak těch, které pocházely ze sektoru domácností (o více než 10 %). V této souvislosti vzrostly také ukazatele návštěvnosti kulturních zařízení (o 5,4%) a tržeb za vlastní výkony (o 2,4%).</w:t>
      </w:r>
    </w:p>
    <w:p w:rsidR="009C7E56" w:rsidRDefault="009C7E56" w:rsidP="00483539">
      <w:pPr>
        <w:spacing w:after="240" w:line="276" w:lineRule="auto"/>
      </w:pPr>
      <w:r>
        <w:t xml:space="preserve">Celkové výnosy se zvýšily </w:t>
      </w:r>
      <w:r w:rsidR="00F9011F">
        <w:t xml:space="preserve">o desetinu procentního bodu </w:t>
      </w:r>
      <w:r>
        <w:t>více než náklady a dosažený zisk vzrostl o 2 %. V</w:t>
      </w:r>
      <w:r w:rsidR="00473BAB">
        <w:t> </w:t>
      </w:r>
      <w:r>
        <w:t>důsledku vyššího nárůstu tržeb za vlastní výkony vzrostl také stupeň soběstačnosti, který odpovídá relaci mezi tržbami za vlastní výkony a celkovými výdaji (z 88,6 % na 90,3%). Naopak se mírně snížila celková zisková marže odrážející vztah mezi čistým ziskem a tržbami za vlastní výkony. Co se sektorového pohledu týče, zvýšení stupně soběstačnosti a současný pokles ziskové marže se týkal zejména kreativních průmyslů, zatímco nárůst ziskové marže kulturního sektoru a kulturních průmyslů.</w:t>
      </w:r>
    </w:p>
    <w:p w:rsidR="009C7E56" w:rsidRDefault="009C7E56" w:rsidP="00483539">
      <w:pPr>
        <w:spacing w:after="240" w:line="276" w:lineRule="auto"/>
      </w:pPr>
      <w:r>
        <w:t>V porovnání s rokem 2018 se dynamicky vyvíjely makroekonomické ukazatele. Významně vzrostla celková produkce a při pomalejším růstu mezispotřeby se výrazněji zvýšila hrubá přidaná hodnota vytvořená v</w:t>
      </w:r>
      <w:r w:rsidR="00DC2851">
        <w:t> </w:t>
      </w:r>
      <w:r>
        <w:t>kultuře (o 8,2 %). Podíl kultury na vytvořeném HDP dosáhl v roce 2019 zhruba 1,59 %, což je v porovnání s předcházejícím rokem o 0,3 p. b. více.</w:t>
      </w:r>
    </w:p>
    <w:p w:rsidR="009C7E56" w:rsidRDefault="0087759D" w:rsidP="00483539">
      <w:pPr>
        <w:spacing w:after="240" w:line="276" w:lineRule="auto"/>
      </w:pPr>
      <w:r>
        <w:t>Zatímco zaměstnanost meziročně poklaesla příznivě se vyvíjel ukazatel průměrné m</w:t>
      </w:r>
      <w:r w:rsidR="009C7E56">
        <w:t>zd</w:t>
      </w:r>
      <w:r>
        <w:t>y</w:t>
      </w:r>
      <w:r w:rsidR="009C7E56">
        <w:t>. V podmínkách snížení celkového počtu pracujících v kultuře a také přepočtenéh</w:t>
      </w:r>
      <w:r>
        <w:t xml:space="preserve">o počtu zaměstnanců (o 2,5 % a 6,1 </w:t>
      </w:r>
      <w:r w:rsidR="009C7E56">
        <w:t xml:space="preserve">%) došlo k nárůstu průměrné mzdy </w:t>
      </w:r>
      <w:r>
        <w:t>o téměř 11 %</w:t>
      </w:r>
      <w:r w:rsidR="009C7E56">
        <w:t>.</w:t>
      </w:r>
    </w:p>
    <w:p w:rsidR="009C7E56" w:rsidRDefault="009C7E56" w:rsidP="00483539">
      <w:pPr>
        <w:spacing w:after="240" w:line="276" w:lineRule="auto"/>
      </w:pPr>
      <w:r>
        <w:t>Příznivě lze hodnotit také výsledky dosažené v ostatních oblastech hospodaření. Investiční výdaje se meziročně zvýšily o 6,7% a kladné saldo zahraničního obchodu o více než 19 %.</w:t>
      </w:r>
    </w:p>
    <w:p w:rsidR="009C7E56" w:rsidRDefault="009C7E56" w:rsidP="00483539">
      <w:pPr>
        <w:spacing w:after="240" w:line="276" w:lineRule="auto"/>
      </w:pPr>
      <w:r>
        <w:t>V rámci jednotlivých kulturních oblastí je třeba upozornit na pokračování poklesu ekonomického výkonu v</w:t>
      </w:r>
      <w:r w:rsidR="00DC2851">
        <w:t> </w:t>
      </w:r>
      <w:r>
        <w:t xml:space="preserve">periodickém a neperiodickém tisku ve sledovaném roce (pokles ziskové marže i podílu na počtu zaměstnanců v kultuře a na vytvořené HPH). Naopak (zřejmě i v příčinné souvislosti) se dále zlepšila úroveň hospodaření v oblasti audiovizuálních a interaktivních médií a dále v kreativních průmyslech. </w:t>
      </w:r>
    </w:p>
    <w:p w:rsidR="009C7E56" w:rsidRDefault="009C7E56" w:rsidP="00483539">
      <w:pPr>
        <w:spacing w:after="240" w:line="276" w:lineRule="auto"/>
      </w:pPr>
      <w:r>
        <w:t xml:space="preserve">Základní otázkou, na kterou by měl dát satelitní účet kultury odpověď je původ, rozsah a užití finančních zdrojů kultury. Z administrativních dat bylo zjištěno, že veřejný sektor se v roce 2019 podílel na příjmech kulturních institucí částkou 43,0 mld. Kč (tj. 15,7 %) s tím, že tyto prostředky plynuly zejména do kulturního dědictví, živé umělecké tvorby a do uměleckého vzdělávání. Podle výsledků šetření v domácnostech značně vzrostly výdaje směřující z rodinných rozpočtů do kultury, zejména do oblasti médií a živé tvorby a dosáhly 57,4 mld. Kč (20,9 % celkových zdrojů). Na rozdíl od růstu podílu domácností na tvorbě celkových zdrojů poklesl podíl nefinančních podniků i neziskových institucí (o 2,1 p. b.) a zahraničí (o 0,2 p. b.). Celkové finanční zdroje kulturních institucí se však meziročně zvýšily o 1,9 mld. Kč (tj. o 0,7 %). </w:t>
      </w:r>
    </w:p>
    <w:p w:rsidR="009C7E56" w:rsidRDefault="009C7E56" w:rsidP="00483539">
      <w:pPr>
        <w:spacing w:after="240" w:line="276" w:lineRule="auto"/>
      </w:pPr>
      <w:r>
        <w:t>Podobně jako výsledky předcházejících let i data za rok 2019 potvrzují skutečnost, že se jednotlivé kulturní oblasti významně liší stupněm uplatnění tržních principů a v této souvislosti také úrovní hospodaření, s tím související výší průměrných mezd, investiční aktivitou atd. Případné prohlubování této diferenciace bude zřejmě záviset na technickém rozvoji na straně jedné a rozsahem podpory neziskových aktivit (kulturní dědictví a část živé tvorby) z veřejných zdrojů na straně druhé.</w:t>
      </w:r>
    </w:p>
    <w:p w:rsidR="009C7E56" w:rsidRDefault="009C7E56" w:rsidP="00483539">
      <w:pPr>
        <w:spacing w:after="240" w:line="276" w:lineRule="auto"/>
      </w:pPr>
      <w:r>
        <w:t xml:space="preserve">Ekonomické výsledky je namístě – s ohledem na omezené možnosti finančních ukazatelů pro vyjádření rozsahu a kvality výkonu některých činností (např. péče o kulturní dědictví, vzdělávací činnost kulturních institucí, působení kultury a jejích hodnot na jedince i společnost) </w:t>
      </w:r>
      <w:r w:rsidR="0087759D">
        <w:t>–</w:t>
      </w:r>
      <w:r>
        <w:t xml:space="preserve"> doplnit ukazateli naturálními. Jako </w:t>
      </w:r>
      <w:r>
        <w:lastRenderedPageBreak/>
        <w:t>nejvhodnější mezi nimi se pro svou komplexnost jeví ukazatel počtu návštěvníků. Nutno dodat, že celková návštěvnost kulturních institucí v porovnání s rokem 2018 významně vzrostla (o 5,4 %). Zvýšení návštěvnosti se týkalo většiny významných poskytovatelů služeb tradiční kultury (zejména koncertů, kin a</w:t>
      </w:r>
      <w:r w:rsidR="00DC2851">
        <w:t> </w:t>
      </w:r>
      <w:r w:rsidR="0087759D">
        <w:t xml:space="preserve">divadel). Výkonové ukazatele </w:t>
      </w:r>
      <w:r>
        <w:t xml:space="preserve">vzrostly také v oblasti televizního vysílání. V neperiodickém tisku se zvýšily počty nových titulů (o 22,7 %). </w:t>
      </w:r>
    </w:p>
    <w:p w:rsidR="009C7E56" w:rsidRDefault="009C7E56" w:rsidP="00483539">
      <w:pPr>
        <w:spacing w:after="240" w:line="276" w:lineRule="auto"/>
      </w:pPr>
      <w:r>
        <w:t>O postavení kultury v ekonomice jako celku svědčí skutečnost, že její podíl v několika významných ukazatelích osciluje (</w:t>
      </w:r>
      <w:r w:rsidR="00C35CC0">
        <w:t>podíl kultury na celkovém HDP, HPH, produkci či zaměstnanosti</w:t>
      </w:r>
      <w:r>
        <w:t>) zhruba od 1,5 do 3,9 %.</w:t>
      </w:r>
    </w:p>
    <w:p w:rsidR="009C7E56" w:rsidRDefault="009C7E56" w:rsidP="00483539">
      <w:pPr>
        <w:spacing w:after="240" w:line="276" w:lineRule="auto"/>
      </w:pPr>
      <w:r>
        <w:t xml:space="preserve">Veřejné zdroje věnované kultuře představují </w:t>
      </w:r>
      <w:r w:rsidR="00C35CC0">
        <w:t>2</w:t>
      </w:r>
      <w:r>
        <w:t xml:space="preserve"> % celkových konsolidovaných výdajů veřejných rozpočtů a</w:t>
      </w:r>
      <w:r w:rsidR="00DC2851">
        <w:t> </w:t>
      </w:r>
      <w:r>
        <w:t xml:space="preserve">podíl výdajů domácností na kulturu k celkovým výdajům domácností dosahuje 2,15 %. Rozsah vynaložené živé práce v kultuře lze uvažovat v rozmezí od </w:t>
      </w:r>
      <w:r w:rsidRPr="00E34372">
        <w:t>2,0 % (měřeno průměrným evidenčním počtem zaměstnanců)</w:t>
      </w:r>
      <w:r>
        <w:t xml:space="preserve"> až po cca 3,9 % (měřeno počtem všech osob pracujících v kulturních institucích a činnostech).  </w:t>
      </w:r>
    </w:p>
    <w:p w:rsidR="009C7E56" w:rsidRDefault="009C7E56" w:rsidP="00483539">
      <w:pPr>
        <w:spacing w:after="240" w:line="276" w:lineRule="auto"/>
      </w:pPr>
      <w:r>
        <w:t>Konečně předběžně odhadovaný podíl hrubé přidané hodnoty a produkce v kultuře dosáhl 2,33 % a 2,03 %, zatímco podíl odhadované úrovně hrubého domácího produktu kultury svou výší této úrovně nedosahuje (1,59 % celostátního ukazatele). Jak je zřejmé z porovnání podílu kultury na ukazatelích vstupů (rozsahu živé práce) a výstupů (HPH a HDP), tento sektor v úrovni produktivity za ostatními odvětvími zaostává.</w:t>
      </w:r>
    </w:p>
    <w:p w:rsidR="009C7E56" w:rsidRDefault="00432C67" w:rsidP="00483539">
      <w:pPr>
        <w:spacing w:after="240" w:line="276" w:lineRule="auto"/>
      </w:pPr>
      <w:r w:rsidRPr="00432C67">
        <w:t>Ke zvýraznění</w:t>
      </w:r>
      <w:r w:rsidR="00DE64D2">
        <w:t xml:space="preserve"> důležitosti</w:t>
      </w:r>
      <w:r w:rsidR="009C7E56">
        <w:t xml:space="preserve"> kultury v celé naš</w:t>
      </w:r>
      <w:r w:rsidR="00C35CC0">
        <w:t xml:space="preserve">í ekonomice je nutno dodat, </w:t>
      </w:r>
      <w:r w:rsidR="009C7E56">
        <w:t>že mimo resort kultury pracuje v</w:t>
      </w:r>
      <w:r w:rsidR="00473BAB">
        <w:t> </w:t>
      </w:r>
      <w:r w:rsidR="009C7E56">
        <w:t>jiných odvětvích téměř 39 tis. pracovníků, kteří mají povolání kulturního charakteru (viz tab. č. 7b). Pokud bychom považovali jejich produktivitu práce za srovnatelnou s produktivitou 208,9 tis. pracovníků pracujících v kulturních odvětvích, pak by bylo možné předpokládat, že celková HPH vytvořená pracovníky v povoláních kulturního charakteru je ještě o 18,5 % vyšší (</w:t>
      </w:r>
      <w:r w:rsidR="009C7E56" w:rsidRPr="00E34372">
        <w:t>vytvořený HDP by mohl být vyšší o 24,6 %).</w:t>
      </w:r>
      <w:r w:rsidR="00E34372">
        <w:t xml:space="preserve"> Pokud bychom zohlednili </w:t>
      </w:r>
      <w:r w:rsidR="00AB12D8">
        <w:t xml:space="preserve">také </w:t>
      </w:r>
      <w:r w:rsidR="00E34372">
        <w:t xml:space="preserve">veškerou </w:t>
      </w:r>
      <w:r w:rsidR="00AB12D8">
        <w:t xml:space="preserve">kulturní </w:t>
      </w:r>
      <w:r w:rsidR="00E34372">
        <w:t xml:space="preserve">produkci </w:t>
      </w:r>
      <w:r w:rsidR="00AB12D8">
        <w:t xml:space="preserve">zboží a služeb </w:t>
      </w:r>
      <w:r w:rsidR="00E34372">
        <w:t xml:space="preserve">mimo kulturní organizace v přibližné výši 112 mld. Kč mohli bychom podíl kultury na celkovém HDP odhadovat ve výši 2,2 </w:t>
      </w:r>
      <w:r w:rsidR="00E34372" w:rsidRPr="00E34372">
        <w:t>%</w:t>
      </w:r>
      <w:r w:rsidR="00E34372">
        <w:t xml:space="preserve"> (vytvořené HDP by se navýšilo přibližně o 40 </w:t>
      </w:r>
      <w:r w:rsidR="00E34372" w:rsidRPr="00E34372">
        <w:t>%</w:t>
      </w:r>
      <w:r w:rsidR="00E34372">
        <w:t>).</w:t>
      </w:r>
    </w:p>
    <w:p w:rsidR="00811CDF" w:rsidRDefault="009C7E56" w:rsidP="00811CDF">
      <w:pPr>
        <w:spacing w:after="240" w:line="276" w:lineRule="auto"/>
      </w:pPr>
      <w:r>
        <w:t>Pokud bychom však přidali na pomyslnou misku vah neměřitelnou část výkonů a společenského dosahu sektoru kultury, byl by jeho podíl jistě mnohem vyšší. To, co nelze finančně vyjádřit je však mimo naše možnosti. Je třeba se zabývat tím, co dokážeme ovlivnit a provádět žádoucí změny zejména v oblasti statistických zjišťování – která nám umožní postupně zvyšovat rozsah kulturních aktivit zahrnutých do satelitního kulturního účtu a naopak snižovat stupeň jeho nepřesnosti.</w:t>
      </w:r>
    </w:p>
    <w:p w:rsidR="009C7E56" w:rsidRPr="000B70E7" w:rsidRDefault="009C7E56" w:rsidP="009D1495">
      <w:pPr>
        <w:pStyle w:val="Nadpis1"/>
      </w:pPr>
      <w:r w:rsidRPr="00811CDF">
        <w:br w:type="page"/>
      </w:r>
      <w:bookmarkStart w:id="174" w:name="_Toc69992976"/>
      <w:bookmarkStart w:id="175" w:name="_Toc70432307"/>
      <w:bookmarkStart w:id="176" w:name="_Toc70433585"/>
      <w:bookmarkStart w:id="177" w:name="_Toc70433957"/>
      <w:bookmarkStart w:id="178" w:name="_Toc72164496"/>
      <w:bookmarkStart w:id="179" w:name="_Toc72164627"/>
      <w:r w:rsidRPr="009D1495">
        <w:lastRenderedPageBreak/>
        <w:t>4. Použité zdroje a literatura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174"/>
      <w:bookmarkEnd w:id="175"/>
      <w:bookmarkEnd w:id="176"/>
      <w:bookmarkEnd w:id="177"/>
      <w:bookmarkEnd w:id="178"/>
      <w:bookmarkEnd w:id="179"/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bookmarkStart w:id="180" w:name="page18"/>
      <w:bookmarkEnd w:id="180"/>
      <w:r w:rsidRPr="001F0986">
        <w:rPr>
          <w:sz w:val="20"/>
          <w:szCs w:val="20"/>
        </w:rPr>
        <w:t>ESSnet on Culture statistics 2009 – 2011, Task Force 1: Framework and definitions (Final Report 2</w:t>
      </w:r>
      <w:r>
        <w:rPr>
          <w:sz w:val="20"/>
          <w:szCs w:val="20"/>
        </w:rPr>
        <w:t>011).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 xml:space="preserve">Klasifikace ekonomických činností (CZ-NACE). </w:t>
      </w:r>
      <w:r>
        <w:rPr>
          <w:sz w:val="20"/>
          <w:szCs w:val="20"/>
        </w:rPr>
        <w:t>Praha: ČSÚ, 2008.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National report on p</w:t>
      </w:r>
      <w:r>
        <w:rPr>
          <w:sz w:val="20"/>
          <w:szCs w:val="20"/>
        </w:rPr>
        <w:t>ublic expenditure. Eries, 2004.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Statistická zjišťování ČSÚ a NIPOS a administrativní zdroje dat MF, MV, ČSSZ a Unie filmových distributorů a různá doplňková zjišťov</w:t>
      </w:r>
      <w:r>
        <w:rPr>
          <w:sz w:val="20"/>
          <w:szCs w:val="20"/>
        </w:rPr>
        <w:t>ání provedená NIPOS.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>
        <w:rPr>
          <w:sz w:val="20"/>
          <w:szCs w:val="20"/>
        </w:rPr>
        <w:t>Systém účtů kultury. Praha: NIPOS, 2011, 2014, 2017 a 2019.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Tabulky</w:t>
      </w:r>
      <w:r>
        <w:rPr>
          <w:sz w:val="20"/>
          <w:szCs w:val="20"/>
        </w:rPr>
        <w:t xml:space="preserve"> dodáve</w:t>
      </w:r>
      <w:r w:rsidR="00432C67">
        <w:rPr>
          <w:sz w:val="20"/>
          <w:szCs w:val="20"/>
        </w:rPr>
        <w:t>k a užití ČSÚ za rok 2018 a 2019</w:t>
      </w:r>
      <w:r>
        <w:rPr>
          <w:sz w:val="20"/>
          <w:szCs w:val="20"/>
        </w:rPr>
        <w:t>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The Economy of Culture. Studie KEA European Affair</w:t>
      </w:r>
      <w:r>
        <w:rPr>
          <w:sz w:val="20"/>
          <w:szCs w:val="20"/>
        </w:rPr>
        <w:t>s pro Evropskou komisi, (2006).</w:t>
      </w:r>
    </w:p>
    <w:p w:rsidR="009C7E56" w:rsidRPr="001F0986" w:rsidRDefault="009C7E56" w:rsidP="009C7E56">
      <w:pPr>
        <w:pStyle w:val="Default"/>
        <w:spacing w:after="240"/>
        <w:rPr>
          <w:sz w:val="20"/>
          <w:szCs w:val="20"/>
        </w:rPr>
      </w:pPr>
      <w:r w:rsidRPr="001F0986">
        <w:rPr>
          <w:sz w:val="20"/>
          <w:szCs w:val="20"/>
        </w:rPr>
        <w:t>Vyhodnocení časové řady výsledků satelitního účtu kultury ČR z</w:t>
      </w:r>
      <w:r>
        <w:rPr>
          <w:sz w:val="20"/>
          <w:szCs w:val="20"/>
        </w:rPr>
        <w:t>a období let 2010 – 2015. Praha: NIPOS, 2017.</w:t>
      </w:r>
    </w:p>
    <w:p w:rsidR="009C7E56" w:rsidRDefault="009C7E56" w:rsidP="009C7E56">
      <w:pPr>
        <w:pStyle w:val="Default"/>
        <w:spacing w:after="240"/>
        <w:rPr>
          <w:sz w:val="20"/>
          <w:szCs w:val="20"/>
        </w:rPr>
        <w:sectPr w:rsidR="009C7E56" w:rsidSect="00C466D1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 w:code="9"/>
          <w:pgMar w:top="1387" w:right="1134" w:bottom="1418" w:left="1134" w:header="680" w:footer="192" w:gutter="0"/>
          <w:cols w:space="708"/>
          <w:docGrid w:linePitch="360"/>
        </w:sectPr>
      </w:pPr>
      <w:r w:rsidRPr="001F0986">
        <w:rPr>
          <w:sz w:val="20"/>
          <w:szCs w:val="20"/>
        </w:rPr>
        <w:t>Výsledky účtu kultury ČR za rok 2009 –</w:t>
      </w:r>
      <w:r>
        <w:rPr>
          <w:sz w:val="20"/>
          <w:szCs w:val="20"/>
        </w:rPr>
        <w:t xml:space="preserve"> 2018. Praha: NIPOS, 2011 – 2020</w:t>
      </w:r>
      <w:r w:rsidRPr="001F0986">
        <w:rPr>
          <w:sz w:val="20"/>
          <w:szCs w:val="20"/>
        </w:rPr>
        <w:t>.</w:t>
      </w:r>
      <w:bookmarkStart w:id="181" w:name="_Toc9434274"/>
      <w:bookmarkStart w:id="182" w:name="_Toc9435216"/>
    </w:p>
    <w:p w:rsidR="00977DB4" w:rsidRDefault="009C7E56" w:rsidP="001932CD">
      <w:pPr>
        <w:pStyle w:val="Nadpis1"/>
        <w:rPr>
          <w:noProof/>
        </w:rPr>
      </w:pPr>
      <w:bookmarkStart w:id="183" w:name="_Toc69992977"/>
      <w:bookmarkStart w:id="184" w:name="_Toc70432308"/>
      <w:bookmarkStart w:id="185" w:name="_Toc70433586"/>
      <w:bookmarkStart w:id="186" w:name="_Toc70433958"/>
      <w:bookmarkStart w:id="187" w:name="_Toc72164497"/>
      <w:bookmarkStart w:id="188" w:name="_Toc72164628"/>
      <w:r w:rsidRPr="001932CD">
        <w:lastRenderedPageBreak/>
        <w:t>5. Tabulková příloha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="00494A75" w:rsidRPr="00494A75">
        <w:rPr>
          <w:rFonts w:eastAsia="Calibri"/>
        </w:rPr>
        <w:fldChar w:fldCharType="begin"/>
      </w:r>
      <w:r w:rsidRPr="00266532">
        <w:instrText xml:space="preserve"> TOC \o "1-3" \h \z \u </w:instrText>
      </w:r>
      <w:r w:rsidR="00494A75" w:rsidRPr="00494A75">
        <w:rPr>
          <w:rFonts w:eastAsia="Calibri"/>
        </w:rPr>
        <w:fldChar w:fldCharType="separate"/>
      </w:r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29" w:history="1">
        <w:r w:rsidR="00977DB4" w:rsidRPr="00977DB4">
          <w:rPr>
            <w:rStyle w:val="Hypertextovodkaz"/>
            <w:noProof/>
            <w:szCs w:val="20"/>
          </w:rPr>
          <w:t>Tabulka 1 Zdroje financování kultury podle kulturních oblastí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_Toc72164629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23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0" w:history="1">
        <w:r w:rsidR="00977DB4" w:rsidRPr="00977DB4">
          <w:rPr>
            <w:rStyle w:val="Hypertextovodkaz"/>
            <w:noProof/>
            <w:szCs w:val="20"/>
          </w:rPr>
          <w:t>Tabulka 2 Umístění finančních zdrojů podle kulturních oblastí a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_Toc72164630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24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1" w:history="1">
        <w:r w:rsidR="00977DB4" w:rsidRPr="00977DB4">
          <w:rPr>
            <w:rStyle w:val="Hypertextovodkaz"/>
            <w:noProof/>
            <w:szCs w:val="20"/>
          </w:rPr>
          <w:t>Tabulka 3 Příjmy a výdaje kulturních institucí podle kulturních oblastí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_Toc72164631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25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2" w:history="1">
        <w:r w:rsidR="00977DB4" w:rsidRPr="00977DB4">
          <w:rPr>
            <w:rStyle w:val="Hypertextovodkaz"/>
            <w:noProof/>
            <w:szCs w:val="20"/>
          </w:rPr>
          <w:t>Tabulka 4 Příjmy a výdaje kulturních institucí podle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_Toc72164632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26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3" w:history="1">
        <w:r w:rsidR="00977DB4" w:rsidRPr="00977DB4">
          <w:rPr>
            <w:rStyle w:val="Hypertextovodkaz"/>
            <w:noProof/>
            <w:szCs w:val="20"/>
          </w:rPr>
          <w:t>Tabulka 5 Makroekonomické ukazatele podle kultur</w:t>
        </w:r>
        <w:r w:rsidR="00977DB4">
          <w:rPr>
            <w:rStyle w:val="Hypertextovodkaz"/>
            <w:noProof/>
            <w:szCs w:val="20"/>
          </w:rPr>
          <w:t>ních oblastí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_Toc72164633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27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4" w:history="1">
        <w:r w:rsidR="00977DB4" w:rsidRPr="00977DB4">
          <w:rPr>
            <w:rStyle w:val="Hypertextovodkaz"/>
            <w:noProof/>
            <w:szCs w:val="20"/>
          </w:rPr>
          <w:t>Tabulka 6 Vybrané ukazatele v trojsektorovém členění kultu</w:t>
        </w:r>
        <w:r w:rsidR="00977DB4">
          <w:rPr>
            <w:rStyle w:val="Hypertextovodkaz"/>
            <w:noProof/>
            <w:szCs w:val="20"/>
          </w:rPr>
          <w:t>ry za rok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_Toc72164634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28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5" w:history="1">
        <w:r w:rsidR="00977DB4" w:rsidRPr="00977DB4">
          <w:rPr>
            <w:rStyle w:val="Hypertextovodkaz"/>
            <w:noProof/>
            <w:szCs w:val="20"/>
          </w:rPr>
          <w:t>Tabulka 7b Zaměstnanost v kultuře podle kulturních ob</w:t>
        </w:r>
        <w:r w:rsidR="00977DB4">
          <w:rPr>
            <w:rStyle w:val="Hypertextovodkaz"/>
            <w:noProof/>
            <w:szCs w:val="20"/>
          </w:rPr>
          <w:t>lastí v 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_Toc72164635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30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6" w:history="1">
        <w:r w:rsidR="00977DB4" w:rsidRPr="00977DB4">
          <w:rPr>
            <w:rStyle w:val="Hypertextovodkaz"/>
            <w:noProof/>
            <w:szCs w:val="20"/>
          </w:rPr>
          <w:t>Tabulka 8 Zdroje a rozsah investic kulturního sektoru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_Toc72164636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31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7" w:history="1">
        <w:r w:rsidR="00977DB4" w:rsidRPr="00977DB4">
          <w:rPr>
            <w:rStyle w:val="Hypertextovodkaz"/>
            <w:noProof/>
            <w:szCs w:val="20"/>
          </w:rPr>
          <w:t>Tabulka 9 Zahraniční obchod se zbožím a službami kulturního sektoru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_Toc72164637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32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8" w:history="1">
        <w:r w:rsidR="00977DB4" w:rsidRPr="00977DB4">
          <w:rPr>
            <w:rStyle w:val="Hypertextovodkaz"/>
            <w:noProof/>
            <w:szCs w:val="20"/>
          </w:rPr>
          <w:t>Tabulka 10 Analytická tabulka základních ukazatelů sektoru kultury za rok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_Toc72164638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33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39" w:history="1">
        <w:r w:rsidR="00977DB4" w:rsidRPr="00977DB4">
          <w:rPr>
            <w:rStyle w:val="Hypertextovodkaz"/>
            <w:noProof/>
            <w:szCs w:val="20"/>
          </w:rPr>
          <w:t>Tabulka 11 Časové řady vybraných ukazatelů sektoru kultury za roky 2010 –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_Toc72164639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34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40" w:history="1">
        <w:r w:rsidR="00977DB4" w:rsidRPr="00977DB4">
          <w:rPr>
            <w:rStyle w:val="Hypertextovodkaz"/>
            <w:noProof/>
            <w:szCs w:val="20"/>
          </w:rPr>
          <w:t>Tabulka 12 Počet vybraných poskytovatelů kulturních služeb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_Toc72164640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35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77DB4" w:rsidRPr="00977DB4" w:rsidRDefault="00494A75">
      <w:pPr>
        <w:pStyle w:val="Obsah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0"/>
        </w:rPr>
      </w:pPr>
      <w:hyperlink w:anchor="_Toc72164641" w:history="1">
        <w:r w:rsidR="00977DB4" w:rsidRPr="00977DB4">
          <w:rPr>
            <w:rStyle w:val="Hypertextovodkaz"/>
            <w:noProof/>
            <w:szCs w:val="20"/>
          </w:rPr>
          <w:t>Tabulka 13 Relativní vyjádření výkonu poskytovatelů kulturních služeb v naturálních ukazatelích v roce 2019</w:t>
        </w:r>
        <w:r w:rsidR="00977DB4" w:rsidRPr="00977DB4">
          <w:rPr>
            <w:noProof/>
            <w:webHidden/>
            <w:szCs w:val="20"/>
          </w:rPr>
          <w:tab/>
        </w:r>
        <w:r w:rsidRPr="00977DB4">
          <w:rPr>
            <w:noProof/>
            <w:webHidden/>
            <w:szCs w:val="20"/>
          </w:rPr>
          <w:fldChar w:fldCharType="begin"/>
        </w:r>
        <w:r w:rsidR="00977DB4" w:rsidRPr="00977DB4">
          <w:rPr>
            <w:noProof/>
            <w:webHidden/>
            <w:szCs w:val="20"/>
          </w:rPr>
          <w:instrText xml:space="preserve"> PAGEREF _Toc72164641 \h </w:instrText>
        </w:r>
        <w:r w:rsidRPr="00977DB4">
          <w:rPr>
            <w:noProof/>
            <w:webHidden/>
            <w:szCs w:val="20"/>
          </w:rPr>
        </w:r>
        <w:r w:rsidRPr="00977DB4">
          <w:rPr>
            <w:noProof/>
            <w:webHidden/>
            <w:szCs w:val="20"/>
          </w:rPr>
          <w:fldChar w:fldCharType="separate"/>
        </w:r>
        <w:r w:rsidR="00864853">
          <w:rPr>
            <w:noProof/>
            <w:webHidden/>
            <w:szCs w:val="20"/>
          </w:rPr>
          <w:t>36</w:t>
        </w:r>
        <w:r w:rsidRPr="00977DB4">
          <w:rPr>
            <w:noProof/>
            <w:webHidden/>
            <w:szCs w:val="20"/>
          </w:rPr>
          <w:fldChar w:fldCharType="end"/>
        </w:r>
      </w:hyperlink>
    </w:p>
    <w:p w:rsidR="009C7E56" w:rsidRPr="003C2C31" w:rsidRDefault="00494A75" w:rsidP="009C7E56">
      <w:pPr>
        <w:sectPr w:rsidR="009C7E56" w:rsidRPr="003C2C31" w:rsidSect="00811CDF">
          <w:pgSz w:w="11906" w:h="16838" w:code="9"/>
          <w:pgMar w:top="1387" w:right="1134" w:bottom="1418" w:left="1134" w:header="680" w:footer="211" w:gutter="0"/>
          <w:cols w:space="708"/>
          <w:docGrid w:linePitch="360"/>
        </w:sectPr>
      </w:pPr>
      <w:r w:rsidRPr="00266532">
        <w:rPr>
          <w:sz w:val="16"/>
          <w:szCs w:val="16"/>
        </w:rPr>
        <w:fldChar w:fldCharType="end"/>
      </w:r>
    </w:p>
    <w:tbl>
      <w:tblPr>
        <w:tblW w:w="13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071"/>
        <w:gridCol w:w="69"/>
        <w:gridCol w:w="1180"/>
        <w:gridCol w:w="960"/>
        <w:gridCol w:w="1302"/>
        <w:gridCol w:w="1031"/>
        <w:gridCol w:w="1180"/>
        <w:gridCol w:w="1060"/>
        <w:gridCol w:w="1160"/>
      </w:tblGrid>
      <w:tr w:rsidR="009C7E56" w:rsidRPr="00BC3312" w:rsidTr="002D65D3">
        <w:trPr>
          <w:trHeight w:val="315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189" w:name="RANGE!A1"/>
            <w:bookmarkStart w:id="190" w:name="_Toc70433587"/>
            <w:bookmarkStart w:id="191" w:name="_Toc70433959"/>
            <w:bookmarkStart w:id="192" w:name="_Toc70435578"/>
            <w:bookmarkStart w:id="193" w:name="_Toc70435769"/>
            <w:bookmarkStart w:id="194" w:name="_Toc72164498"/>
            <w:bookmarkStart w:id="195" w:name="_Toc72164629"/>
            <w:r w:rsidRPr="00BC3312">
              <w:lastRenderedPageBreak/>
              <w:t>Tabulka 1 Zdroje financování kultury podle kulturních oblastí v roce 2019</w:t>
            </w:r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2D65D3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9C7E56" w:rsidRPr="00BC3312" w:rsidTr="002D65D3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Nefinanční a finanční podniky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Nevládní neziskové instituce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6 397 991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10 051 727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16 449 718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4 748 394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3 535 532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252 972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8 536 898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494 299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511 280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25 497 896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2 102 321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4 693 907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6 796 228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4 153 697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6 691 783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194 267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11 039 747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27 134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68 619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95 753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17 931 728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42 075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57 739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99 814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4 705 294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6 301 205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8 801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11 015 300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7 106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3 947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11 053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11 126 167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36 171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21 875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58 046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13 090 892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20 016 489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2 112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33 109 493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33 171 919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1 779 878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941 481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2 721 359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27 385 604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22 863 912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1 168 382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51 417 898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7 230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1 361 326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1 368 556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55 507 813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259 284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30 511 770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30 771 247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30 772 705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210 773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79 560 251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79 771 024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  <w:r w:rsidR="002D65D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BC3312">
              <w:rPr>
                <w:rFonts w:cs="Arial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79 772 593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38 352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6 656 092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6 694 444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1 403 775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1 403 775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8 098 220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2 331 673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21 361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2 353 034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188 774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780 855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327 138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1 296 767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3 649 898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344 044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7 528 827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7 872 871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1 250 000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1 250 000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9 122 871</w:t>
            </w:r>
          </w:p>
        </w:tc>
      </w:tr>
      <w:tr w:rsidR="009C7E56" w:rsidRPr="00BC3312" w:rsidTr="002D65D3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13 072 505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29 973 009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43 045 514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57 396 487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170 261 797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1 953 865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229 612 149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543 254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1 450 893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1 994 147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274 651 810</w:t>
            </w:r>
          </w:p>
        </w:tc>
      </w:tr>
      <w:tr w:rsidR="009C7E56" w:rsidRPr="00BC3312" w:rsidTr="000B70E7">
        <w:trPr>
          <w:trHeight w:val="300"/>
        </w:trPr>
        <w:tc>
          <w:tcPr>
            <w:tcW w:w="12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8D5E2F">
            <w:pPr>
              <w:spacing w:after="0" w:line="240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8D5E2F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70E7" w:rsidRDefault="000B70E7">
      <w:r>
        <w:rPr>
          <w:b/>
          <w:bCs/>
        </w:rPr>
        <w:br w:type="page"/>
      </w:r>
    </w:p>
    <w:tbl>
      <w:tblPr>
        <w:tblW w:w="1843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0"/>
        <w:gridCol w:w="1680"/>
        <w:gridCol w:w="1680"/>
        <w:gridCol w:w="1680"/>
        <w:gridCol w:w="1680"/>
        <w:gridCol w:w="1680"/>
        <w:gridCol w:w="1680"/>
        <w:gridCol w:w="1680"/>
        <w:gridCol w:w="1454"/>
        <w:gridCol w:w="1640"/>
        <w:gridCol w:w="1900"/>
      </w:tblGrid>
      <w:tr w:rsidR="009C7E56" w:rsidRPr="00407D42" w:rsidTr="002D65D3">
        <w:trPr>
          <w:trHeight w:val="315"/>
        </w:trPr>
        <w:tc>
          <w:tcPr>
            <w:tcW w:w="1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tblpY="-435"/>
              <w:tblOverlap w:val="never"/>
              <w:tblW w:w="1432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00"/>
              <w:gridCol w:w="952"/>
              <w:gridCol w:w="943"/>
              <w:gridCol w:w="871"/>
              <w:gridCol w:w="973"/>
              <w:gridCol w:w="871"/>
              <w:gridCol w:w="871"/>
              <w:gridCol w:w="850"/>
              <w:gridCol w:w="892"/>
              <w:gridCol w:w="841"/>
              <w:gridCol w:w="891"/>
              <w:gridCol w:w="871"/>
              <w:gridCol w:w="851"/>
              <w:gridCol w:w="1012"/>
              <w:gridCol w:w="1033"/>
            </w:tblGrid>
            <w:tr w:rsidR="009C7E56" w:rsidRPr="00BC3312" w:rsidTr="002D65D3">
              <w:trPr>
                <w:trHeight w:val="375"/>
              </w:trPr>
              <w:tc>
                <w:tcPr>
                  <w:tcW w:w="1328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pStyle w:val="Nadpis3"/>
                  </w:pPr>
                  <w:bookmarkStart w:id="196" w:name="_Toc70433588"/>
                  <w:bookmarkStart w:id="197" w:name="_Toc70433960"/>
                  <w:bookmarkStart w:id="198" w:name="_Toc70435579"/>
                  <w:bookmarkStart w:id="199" w:name="_Toc70435770"/>
                  <w:bookmarkStart w:id="200" w:name="_Toc72164499"/>
                  <w:bookmarkStart w:id="201" w:name="_Toc72164630"/>
                  <w:r w:rsidRPr="00BC3312">
                    <w:lastRenderedPageBreak/>
                    <w:t>Tabulka 2 Umístění finančních zdrojů podle kulturních oblastí a poskytovatelů kulturních služeb v roce 2019</w:t>
                  </w:r>
                  <w:r w:rsidRPr="00BC3312">
                    <w:rPr>
                      <w:vertAlign w:val="superscript"/>
                    </w:rPr>
                    <w:t>1)</w:t>
                  </w:r>
                  <w:bookmarkEnd w:id="196"/>
                  <w:bookmarkEnd w:id="197"/>
                  <w:bookmarkEnd w:id="198"/>
                  <w:bookmarkEnd w:id="199"/>
                  <w:bookmarkEnd w:id="200"/>
                  <w:bookmarkEnd w:id="201"/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7E56" w:rsidRPr="00BC3312" w:rsidTr="002D65D3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C331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7E56" w:rsidRPr="00BC3312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C3312">
                    <w:rPr>
                      <w:rFonts w:cs="Arial"/>
                      <w:color w:val="000000"/>
                      <w:sz w:val="18"/>
                      <w:szCs w:val="18"/>
                    </w:rPr>
                    <w:t>v tis. Kč</w:t>
                  </w:r>
                </w:p>
              </w:tc>
            </w:tr>
            <w:tr w:rsidR="009C7E56" w:rsidRPr="00BC3312" w:rsidTr="002D65D3">
              <w:trPr>
                <w:trHeight w:val="1185"/>
              </w:trPr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OBLAST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Historické památky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Muzeum a galerie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Archivy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Knihovny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Divadla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Hudební soubory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Kulturní domy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Výstavní sály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Rozhlas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Televize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Školy umělec. vzděl.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Organ. ochrany autor. práv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Ostatní poskyto-vatelé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BDB"/>
                  <w:vAlign w:val="center"/>
                  <w:hideMark/>
                </w:tcPr>
                <w:p w:rsidR="009C7E56" w:rsidRPr="002D65D3" w:rsidRDefault="009C7E56" w:rsidP="009C7E56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CELKEM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Kulturní dědictví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4 092 457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9 075 341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1 679 098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4 131 866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6 519 134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25 497 896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Interpretační umění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8 146 192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1 854 579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4 639 609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3 291 348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17 931 728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Výtvarné umění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825 642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10 300 525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11 126 167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Audiovizuální a interaktivní média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4 360 875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22 947 946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28 198 992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55 507 813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Umělecké vzdělávání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1 151 855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6 946 365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8 098 220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Správa a podpora kulturní činnosti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443 899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3 205 999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3 649 898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Neznámá oblast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152 840 088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152 840 088</w:t>
                  </w:r>
                </w:p>
              </w:tc>
            </w:tr>
            <w:tr w:rsidR="009C7E56" w:rsidRPr="00BC3312" w:rsidTr="002D65D3">
              <w:trPr>
                <w:trHeight w:val="84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2D65D3" w:rsidRDefault="009C7E56" w:rsidP="00511226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2D65D3">
                    <w:rPr>
                      <w:rFonts w:cs="Arial"/>
                      <w:color w:val="000000"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4 092 457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9 075 341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1 679 098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4 131 866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8 146 192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1 854 579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4 639 609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825 642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4 360 875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22 947 946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1 151 855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443 899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211 302 451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BF3F3"/>
                  <w:vAlign w:val="center"/>
                  <w:hideMark/>
                </w:tcPr>
                <w:p w:rsidR="009C7E56" w:rsidRPr="0069544F" w:rsidRDefault="009C7E56" w:rsidP="009C7E56">
                  <w:pPr>
                    <w:spacing w:after="0" w:line="240" w:lineRule="auto"/>
                    <w:jc w:val="righ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69544F">
                    <w:rPr>
                      <w:rFonts w:cs="Arial"/>
                      <w:color w:val="000000"/>
                      <w:sz w:val="14"/>
                      <w:szCs w:val="14"/>
                    </w:rPr>
                    <w:t>274 651 810</w:t>
                  </w:r>
                </w:p>
              </w:tc>
            </w:tr>
            <w:tr w:rsidR="009C7E56" w:rsidRPr="00BC3312" w:rsidTr="002D65D3">
              <w:trPr>
                <w:trHeight w:val="525"/>
              </w:trPr>
              <w:tc>
                <w:tcPr>
                  <w:tcW w:w="1432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7E56" w:rsidRDefault="009C7E56" w:rsidP="008D5E2F">
                  <w:pPr>
                    <w:spacing w:after="0" w:line="240" w:lineRule="auto"/>
                    <w:jc w:val="left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>1) Zdroje dle poskytovatelů jsou propočteny z celkový</w:t>
                  </w:r>
                  <w:r w:rsidR="008D5E2F">
                    <w:rPr>
                      <w:rFonts w:cs="Arial"/>
                      <w:color w:val="000000"/>
                      <w:sz w:val="16"/>
                      <w:szCs w:val="16"/>
                    </w:rPr>
                    <w:t>ch příjmů zvýšených o dotace na</w:t>
                  </w: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inve</w:t>
                  </w:r>
                  <w:r w:rsidR="008D5E2F">
                    <w:rPr>
                      <w:rFonts w:cs="Arial"/>
                      <w:color w:val="000000"/>
                      <w:sz w:val="16"/>
                      <w:szCs w:val="16"/>
                    </w:rPr>
                    <w:t>stice a vlastní vklady a</w:t>
                  </w:r>
                  <w:r w:rsidRPr="00BC3312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zvýšených či snížených o změnu stavu úvěrů a půjček a snížených o zaplacené daně z příjmů.</w:t>
                  </w:r>
                </w:p>
                <w:p w:rsidR="009C7E56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tbl>
                  <w:tblPr>
                    <w:tblW w:w="1418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180"/>
                    <w:gridCol w:w="1620"/>
                    <w:gridCol w:w="1640"/>
                    <w:gridCol w:w="1700"/>
                    <w:gridCol w:w="1780"/>
                    <w:gridCol w:w="1720"/>
                    <w:gridCol w:w="1640"/>
                    <w:gridCol w:w="1900"/>
                  </w:tblGrid>
                  <w:tr w:rsidR="009C7E56" w:rsidRPr="00BC3312" w:rsidTr="002D65D3">
                    <w:trPr>
                      <w:trHeight w:val="315"/>
                    </w:trPr>
                    <w:tc>
                      <w:tcPr>
                        <w:tcW w:w="1064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0E7" w:rsidRPr="000B70E7" w:rsidRDefault="000B70E7" w:rsidP="009C7E56">
                        <w:pPr>
                          <w:pStyle w:val="Nadpis3"/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9C7E56" w:rsidRPr="00BC3312" w:rsidRDefault="009C7E56" w:rsidP="009C7E56">
                        <w:pPr>
                          <w:pStyle w:val="Nadpis3"/>
                        </w:pPr>
                        <w:bookmarkStart w:id="202" w:name="_Toc70433589"/>
                        <w:bookmarkStart w:id="203" w:name="_Toc70433961"/>
                        <w:bookmarkStart w:id="204" w:name="_Toc70435580"/>
                        <w:bookmarkStart w:id="205" w:name="_Toc70435771"/>
                        <w:bookmarkStart w:id="206" w:name="_Toc72164500"/>
                        <w:bookmarkStart w:id="207" w:name="_Toc72164631"/>
                        <w:r w:rsidRPr="00BC3312">
                          <w:lastRenderedPageBreak/>
                          <w:t>Tabulka 3 Příjmy a výdaje kulturních institucí podle kulturních oblastí v roce 2019</w:t>
                        </w:r>
                        <w:bookmarkEnd w:id="202"/>
                        <w:bookmarkEnd w:id="203"/>
                        <w:bookmarkEnd w:id="204"/>
                        <w:bookmarkEnd w:id="205"/>
                        <w:bookmarkEnd w:id="206"/>
                        <w:bookmarkEnd w:id="207"/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C7E56" w:rsidRPr="00BC3312" w:rsidTr="002D65D3">
                    <w:trPr>
                      <w:trHeight w:val="30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C3312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v tis. Kč</w:t>
                        </w:r>
                      </w:p>
                    </w:tc>
                  </w:tr>
                  <w:tr w:rsidR="009C7E56" w:rsidRPr="00BC3312" w:rsidTr="002D65D3">
                    <w:trPr>
                      <w:trHeight w:val="300"/>
                    </w:trPr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OBLAST</w:t>
                        </w:r>
                      </w:p>
                    </w:tc>
                    <w:tc>
                      <w:tcPr>
                        <w:tcW w:w="162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Příjmy (výnosy) celkem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z toho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Výdaje (náklady) celkem</w:t>
                        </w:r>
                      </w:p>
                    </w:tc>
                    <w:tc>
                      <w:tcPr>
                        <w:tcW w:w="514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 tom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Rozdíl příjmů (výnosů) a výdajů (nákladů)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tržby za vlastní výkony</w:t>
                        </w: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spotřeba materiálu, energie, zboží a služeb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osobní náklady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2DBDB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ostatní výdaje (náklady)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rPr>
                            <w:rFonts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Kulturní dědictví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24 392 891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11 822 790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23 765 036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6 999 302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9 497 067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7 268 667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627 855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Interpretační umění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15 675 267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5 611 117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15 928 209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6 401 820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7 203 103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2 323 286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FF0000"/>
                            <w:sz w:val="18"/>
                            <w:szCs w:val="18"/>
                          </w:rPr>
                          <w:t>-252 942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Výtvarné umění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11 596 744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10 851 026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9 725 356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6 491 151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1 354 799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1 879 406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1 871 388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Periodický a neperiodický tisk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40 302 174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38 844 218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37 742 872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18 379 015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7 125 551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12 238 306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2 559 302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Audiovizuální a interaktivní média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54 513 842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44 762 546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50 621 485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33 585 562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7 092 402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9 943 521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3 892 357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Architektura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30 692 162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29 410 003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27 046 570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17 032 614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4 921 478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5 092 478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3 645 592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Reklama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80 752 346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77 487 238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75 426 979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52 081 339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9 382 573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13 963 067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5 325 367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Umělecké vzdělávání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1 076 871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635 141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907 488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385 973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424 232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97 283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169 383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Správa a podpora kulturní činnosti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3 115 773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1 160 476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3 104 601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1 040 074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1 703 968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360 559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11 172</w:t>
                        </w:r>
                      </w:p>
                    </w:tc>
                  </w:tr>
                  <w:tr w:rsidR="009C7E56" w:rsidRPr="00BC3312" w:rsidTr="002D65D3">
                    <w:trPr>
                      <w:trHeight w:val="720"/>
                    </w:trPr>
                    <w:tc>
                      <w:tcPr>
                        <w:tcW w:w="2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511226">
                        <w:pPr>
                          <w:spacing w:after="0" w:line="240" w:lineRule="auto"/>
                          <w:jc w:val="lef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CELKEM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262 118 070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220 584 555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244 268 596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142 396 850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48 705 173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53 166 573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BF3F3"/>
                        <w:vAlign w:val="center"/>
                        <w:hideMark/>
                      </w:tcPr>
                      <w:p w:rsidR="009C7E56" w:rsidRPr="00BC3312" w:rsidRDefault="009C7E56" w:rsidP="009C7E56">
                        <w:pPr>
                          <w:spacing w:after="0" w:line="240" w:lineRule="auto"/>
                          <w:jc w:val="right"/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</w:pPr>
                        <w:r w:rsidRPr="00BC3312">
                          <w:rPr>
                            <w:rFonts w:cs="Arial"/>
                            <w:color w:val="000000"/>
                            <w:sz w:val="18"/>
                            <w:szCs w:val="18"/>
                          </w:rPr>
                          <w:t>17 849 474</w:t>
                        </w:r>
                      </w:p>
                    </w:tc>
                  </w:tr>
                </w:tbl>
                <w:p w:rsidR="009C7E56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9C7E56" w:rsidRPr="00BC3312" w:rsidRDefault="009C7E56" w:rsidP="009C7E56">
                  <w:pPr>
                    <w:spacing w:after="0" w:line="240" w:lineRule="auto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C7E56" w:rsidRPr="00407D42" w:rsidRDefault="009C7E56" w:rsidP="009C7E56">
            <w:pPr>
              <w:pStyle w:val="Nadpis3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407D4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407D4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315"/>
        </w:trPr>
        <w:tc>
          <w:tcPr>
            <w:tcW w:w="11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208" w:name="_Toc70433590"/>
            <w:bookmarkStart w:id="209" w:name="_Toc70433962"/>
            <w:bookmarkStart w:id="210" w:name="_Toc70435581"/>
            <w:bookmarkStart w:id="211" w:name="_Toc70435772"/>
            <w:bookmarkStart w:id="212" w:name="_Toc72164501"/>
            <w:bookmarkStart w:id="213" w:name="_Toc72164632"/>
            <w:r w:rsidRPr="00BC3312">
              <w:lastRenderedPageBreak/>
              <w:t>Tabulka 4 Příjmy a výdaje kulturních institucí podle poskytovatelů kulturních služeb v roce 2019</w:t>
            </w:r>
            <w:bookmarkEnd w:id="208"/>
            <w:bookmarkEnd w:id="209"/>
            <w:bookmarkEnd w:id="210"/>
            <w:bookmarkEnd w:id="211"/>
            <w:bookmarkEnd w:id="212"/>
            <w:bookmarkEnd w:id="213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2D65D3">
        <w:trPr>
          <w:gridAfter w:val="3"/>
          <w:wAfter w:w="4994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Příjmy (výnosy) celkem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Výdaje (náklady) celkem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Rozdíl příjmů (výnosů) a výdajů (nákladů)</w:t>
            </w:r>
          </w:p>
        </w:tc>
      </w:tr>
      <w:tr w:rsidR="009C7E56" w:rsidRPr="00BC3312" w:rsidTr="002D65D3">
        <w:trPr>
          <w:gridAfter w:val="3"/>
          <w:wAfter w:w="4994" w:type="dxa"/>
          <w:trHeight w:val="960"/>
        </w:trPr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tržby za vlastní výkony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spotřeba materiálu, energie, zboží a služeb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osobní náklady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výdaje (náklady)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3 610 787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2 319 548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3 368 573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1 086 297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1 224 727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1 057 549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242 214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7 405 697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1 641 972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7 194 832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2 612 481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3 559 450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1 022 901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210 865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1 728 568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141 672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1 672 016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492 191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1 138 583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41 242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56 552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3 807 030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193 723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4 184 654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1 143 709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2 677 234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363 711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-377 624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7 344 474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2 604 735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7 406 162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2 240 086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3 696 282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1 469 794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-61 688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Hudební soubory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1 717 539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487 724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1 835 731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668 948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1 037 773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129 010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-118 192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1 556 144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668 970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1 609 517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967 546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486 592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155 379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-53 373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4 214 519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1 490 240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4 274 952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2 095 440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164 653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2 014 859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-60 433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778 509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394 643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796 241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432 276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255 677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108 288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 xml:space="preserve">-17 732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4 393 524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2 928 085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4 372 243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2 562 650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1 501 386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308 207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21 281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23 496 526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17 038 095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22 373 535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11 211 290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3 758 145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7 404 100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1 122 991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202 064 753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190 675 148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185 180 140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116 883 936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29 204 671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39 091 533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16 884 613 </w:t>
            </w:r>
          </w:p>
        </w:tc>
      </w:tr>
      <w:tr w:rsidR="009C7E56" w:rsidRPr="00BC3312" w:rsidTr="002D65D3">
        <w:trPr>
          <w:gridAfter w:val="3"/>
          <w:wAfter w:w="4994" w:type="dxa"/>
          <w:trHeight w:val="48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262 118 070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220 584 555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244 268 596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142 396 850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48 705 173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53 166 573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17 849 474</w:t>
            </w:r>
          </w:p>
        </w:tc>
      </w:tr>
    </w:tbl>
    <w:p w:rsidR="000B70E7" w:rsidRDefault="000B70E7">
      <w:r>
        <w:rPr>
          <w:b/>
          <w:bCs/>
        </w:rPr>
        <w:br w:type="page"/>
      </w:r>
    </w:p>
    <w:tbl>
      <w:tblPr>
        <w:tblW w:w="14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2380"/>
        <w:gridCol w:w="2380"/>
        <w:gridCol w:w="2380"/>
        <w:gridCol w:w="2380"/>
        <w:gridCol w:w="2380"/>
      </w:tblGrid>
      <w:tr w:rsidR="009C7E56" w:rsidRPr="00BC3312" w:rsidTr="002D65D3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14" w:name="_Toc70433591"/>
            <w:bookmarkStart w:id="215" w:name="_Toc70433963"/>
            <w:bookmarkStart w:id="216" w:name="_Toc70435582"/>
            <w:bookmarkStart w:id="217" w:name="_Toc70435773"/>
            <w:bookmarkStart w:id="218" w:name="_Toc72164502"/>
            <w:bookmarkStart w:id="219" w:name="_Toc72164633"/>
            <w:r w:rsidRPr="00BC3312">
              <w:lastRenderedPageBreak/>
              <w:t>Tabulka 5 Makroekonomické ukazatele podle kulturních oblastí v roce 2019 (odhad)</w:t>
            </w:r>
            <w:bookmarkEnd w:id="214"/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483539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                        </w:t>
            </w: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2D65D3" w:rsidRPr="00BC3312" w:rsidTr="002D65D3">
        <w:trPr>
          <w:trHeight w:val="505"/>
        </w:trPr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9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kulturního zboží a služeb organizací s převažující ne-kulturní činností (v z.c.)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2D65D3" w:rsidRPr="00BC3312" w:rsidTr="002D65D3">
        <w:trPr>
          <w:trHeight w:val="1110"/>
        </w:trPr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Produkce (v z.c.)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Mezispotřeba  (v  k.c.)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2) 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2D65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jednotlivých oblastí na celkové hrubé přidané hodnotě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(v %)</w:t>
            </w:r>
          </w:p>
        </w:tc>
        <w:tc>
          <w:tcPr>
            <w:tcW w:w="23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19 882 916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7 863 954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12 018 962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19 506 119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9 385 131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10 120 988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12 825 154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8 430 751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4 394 403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34 203 767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19 535 342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14 668 425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69 228 739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39 000 799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30 227 940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31 886 289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17 909 876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13 976 413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75 235 338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51 266 110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23 969 227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10 778 352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2 119 845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8 658 507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2D65D3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4 650 735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1 559 438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3 091 297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5D3" w:rsidRDefault="002D65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5D3" w:rsidRPr="00BC3312" w:rsidRDefault="002D65D3" w:rsidP="009C7E56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9C7E56" w:rsidRPr="00BC3312" w:rsidTr="002D65D3">
        <w:trPr>
          <w:trHeight w:val="624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278 197 409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157 071 246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121 126 163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111 683 479</w:t>
            </w:r>
          </w:p>
        </w:tc>
      </w:tr>
      <w:tr w:rsidR="009C7E56" w:rsidRPr="00BC3312" w:rsidTr="002D65D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základní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2D65D3">
        <w:trPr>
          <w:trHeight w:val="16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2) kupní ceny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70E7" w:rsidRDefault="000B70E7"/>
    <w:tbl>
      <w:tblPr>
        <w:tblW w:w="1464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433"/>
        <w:gridCol w:w="607"/>
        <w:gridCol w:w="1040"/>
        <w:gridCol w:w="73"/>
        <w:gridCol w:w="142"/>
        <w:gridCol w:w="785"/>
        <w:gridCol w:w="980"/>
        <w:gridCol w:w="78"/>
        <w:gridCol w:w="982"/>
        <w:gridCol w:w="577"/>
        <w:gridCol w:w="383"/>
        <w:gridCol w:w="893"/>
        <w:gridCol w:w="67"/>
        <w:gridCol w:w="925"/>
        <w:gridCol w:w="35"/>
        <w:gridCol w:w="1055"/>
        <w:gridCol w:w="328"/>
        <w:gridCol w:w="73"/>
        <w:gridCol w:w="705"/>
        <w:gridCol w:w="334"/>
        <w:gridCol w:w="101"/>
        <w:gridCol w:w="525"/>
        <w:gridCol w:w="535"/>
        <w:gridCol w:w="705"/>
      </w:tblGrid>
      <w:tr w:rsidR="009C7E56" w:rsidRPr="00BC3312" w:rsidTr="007C1883">
        <w:trPr>
          <w:trHeight w:val="315"/>
        </w:trPr>
        <w:tc>
          <w:tcPr>
            <w:tcW w:w="113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pStyle w:val="Nadpis3"/>
            </w:pPr>
            <w:bookmarkStart w:id="220" w:name="_Toc70433592"/>
            <w:bookmarkStart w:id="221" w:name="_Toc70433964"/>
            <w:bookmarkStart w:id="222" w:name="_Toc70435583"/>
            <w:bookmarkStart w:id="223" w:name="_Toc70435774"/>
            <w:bookmarkStart w:id="224" w:name="_Toc72164503"/>
            <w:bookmarkStart w:id="225" w:name="_Toc72164634"/>
            <w:r w:rsidRPr="00BC3312">
              <w:lastRenderedPageBreak/>
              <w:t>Tabulka 6 Vybrané ukazatele v trojsektorovém členění kultury za rok 2019 (sl. 3 – 5 odhad)</w:t>
            </w:r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C7E56" w:rsidRPr="00BC3312" w:rsidTr="007C1883">
        <w:trPr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Mezi-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Počet zaměstn. (přepoč.)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1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9C7E56" w:rsidRPr="00BC3312" w:rsidTr="007C1883">
        <w:trPr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E56" w:rsidRPr="00BC3312" w:rsidTr="007C1883">
        <w:trPr>
          <w:trHeight w:val="184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9C7E56" w:rsidRPr="00BC3312" w:rsidTr="007C1883">
        <w:trPr>
          <w:trHeight w:val="37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177A1E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A19DF" w:rsidRPr="00BC3312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24 392 891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23 765 036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19 882 916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7 863 954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12 018 962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19 182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2 786 218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761 223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1 108 103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10 301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91.01, 02, 03, 72.20 (část), 47.78, 79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Interpretační umění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15 675 267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15 928 209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19 506 119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9 385 131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10 120 988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1 437 893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1 513 480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2 091 465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8 828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Výtvarné umění</w:t>
            </w:r>
            <w:r w:rsidRPr="00BC3312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6 220 791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5 071 602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7 157 390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4 507 323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2 650 067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1 783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283 696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769 337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787 617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10 193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9C7E56" w:rsidRPr="00BC3312" w:rsidTr="007C1883">
        <w:trPr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Umělecké vzdělávání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1 076 871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907 488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10 778 352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2 119 845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8 658 507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50 586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1 054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9C7E56" w:rsidRPr="00BC3312" w:rsidTr="007C1883">
        <w:trPr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606 862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526 651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546 454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261 852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284 603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29 039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1 630 527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2 815 689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839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47 972 682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46 198 986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57 871 231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24 138 104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33 733 126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37 835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4 587 432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4 674 567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6 802 874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31 215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9C7E56" w:rsidP="00177A1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21 473 163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20 022 895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27 549 437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18 365 938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9 183 499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1 335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1 205 485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21 906 192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13 248 147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1 369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2 194 360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1 787 415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2 749 866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1 203 913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1 545 953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101 351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7 732 419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4 930 068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1 987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4 393 524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4 372 243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5 674 079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3 447 518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2 226 561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1 940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164 720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31 680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23 496 526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22 373 535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30 344 921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15 082 482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15 262 439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3 520 721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99 563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3 106 591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9C7E56" w:rsidRPr="00BC3312" w:rsidTr="007C1883">
        <w:trPr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40 302 174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37 742 872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34 203 767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19 535 342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14 668 425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11 723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2 534 183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15 062 852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13 024 476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39 008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BC3312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BC3312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2 956 269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2 065 397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2 910 436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900 947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2 009 488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478 949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94 816 016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88 364 357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103 432 506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58 536 141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44 896 365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19 976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8 005 409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44 801 025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34 340 961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42 800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E56" w:rsidRPr="00BC3312" w:rsidRDefault="009C7E56" w:rsidP="00177A1E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KREATIVNÍ PRŮMYSL</w:t>
            </w:r>
            <w:r w:rsidR="00432C67"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30 692 162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27 046 570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31 886 289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17 909 876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13 976 413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7 734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1 693 114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314 555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91 859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23 450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80 752 346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75 426 979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75 235 338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51 266 110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23 969 227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13 684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2 879 541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13 035 243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14 137 990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18 833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4 769 091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4 127 103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5 121 310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3 661 577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1 459 733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926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123 628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355 376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327 563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3 959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9C7E56" w:rsidRPr="00BC3312" w:rsidTr="007C1883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116 213 599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106 600 652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112 242 937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72 837 563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39 405 374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22 344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4 696 283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13 705 174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14 557 412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46 242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9C7E56" w:rsidRPr="00BC3312" w:rsidTr="007C1883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3 115 773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3 104 601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4 650 735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1 559 438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3 091 297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2 958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45 030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1268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9C7E56" w:rsidRPr="00BC3312" w:rsidTr="007C1883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262 118 070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244 268 596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278 197 409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157 071 246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121 126 163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83 113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17 334 154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63 180 766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55 701 247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427B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B427B2">
              <w:rPr>
                <w:rFonts w:cs="Arial"/>
                <w:color w:val="000000"/>
                <w:sz w:val="14"/>
                <w:szCs w:val="14"/>
              </w:rPr>
              <w:t>121 525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BC3312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9C7E56" w:rsidRPr="00BC3312" w:rsidTr="007C1883">
        <w:trPr>
          <w:trHeight w:val="210"/>
        </w:trPr>
        <w:tc>
          <w:tcPr>
            <w:tcW w:w="5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odhad na základě vlastních propočtů z údajů národního účetnictví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3) údaje za maloobchod se vztahují jen ke sloupcům 1 až 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7C1883">
        <w:trPr>
          <w:trHeight w:val="195"/>
        </w:trPr>
        <w:tc>
          <w:tcPr>
            <w:tcW w:w="74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2) za rozhlasové vysílání (export) jsou k dispozici pouze individuální data, která nelze zveřejnit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4) bez designu a uměleckých řemesel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57707" w:rsidRPr="00BC3312" w:rsidTr="007C1883">
        <w:trPr>
          <w:gridAfter w:val="1"/>
          <w:wAfter w:w="705" w:type="dxa"/>
          <w:trHeight w:val="315"/>
        </w:trPr>
        <w:tc>
          <w:tcPr>
            <w:tcW w:w="1394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07" w:rsidRPr="00D57707" w:rsidRDefault="00D57707" w:rsidP="009C7E56">
            <w:pPr>
              <w:spacing w:after="0" w:line="240" w:lineRule="auto"/>
              <w:rPr>
                <w:rFonts w:eastAsia="MS Gothic"/>
                <w:b/>
                <w:bCs/>
                <w:color w:val="BC091B"/>
                <w:sz w:val="16"/>
                <w:szCs w:val="16"/>
              </w:rPr>
            </w:pPr>
            <w:bookmarkStart w:id="226" w:name="_Toc70433593"/>
            <w:bookmarkStart w:id="227" w:name="_Toc70433965"/>
            <w:bookmarkStart w:id="228" w:name="_Toc70435584"/>
            <w:bookmarkStart w:id="229" w:name="_Toc70435775"/>
          </w:p>
          <w:p w:rsidR="00B427B2" w:rsidRDefault="00B427B2" w:rsidP="009C7E56">
            <w:pPr>
              <w:spacing w:after="0" w:line="240" w:lineRule="auto"/>
              <w:rPr>
                <w:rFonts w:eastAsia="MS Gothic"/>
                <w:b/>
                <w:bCs/>
                <w:color w:val="BC091B"/>
                <w:sz w:val="24"/>
              </w:rPr>
            </w:pPr>
          </w:p>
          <w:p w:rsidR="00D57707" w:rsidRPr="00BC3312" w:rsidRDefault="00D57707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7707">
              <w:rPr>
                <w:rFonts w:eastAsia="MS Gothic"/>
                <w:b/>
                <w:bCs/>
                <w:color w:val="BC091B"/>
                <w:sz w:val="24"/>
              </w:rPr>
              <w:lastRenderedPageBreak/>
              <w:t>Tabulka 7a Zaměstnanost a mzdy v kultuře podle poskytovatelů kulturních služeb v roce 2019</w:t>
            </w:r>
            <w:bookmarkEnd w:id="226"/>
            <w:bookmarkEnd w:id="227"/>
            <w:bookmarkEnd w:id="228"/>
            <w:bookmarkEnd w:id="229"/>
          </w:p>
        </w:tc>
      </w:tr>
      <w:tr w:rsidR="009C7E56" w:rsidRPr="00BC3312" w:rsidTr="007C1883">
        <w:trPr>
          <w:gridAfter w:val="1"/>
          <w:wAfter w:w="705" w:type="dxa"/>
          <w:trHeight w:val="210"/>
        </w:trPr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lastRenderedPageBreak/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1883" w:rsidRPr="00BC3312" w:rsidTr="007C1883">
        <w:trPr>
          <w:gridAfter w:val="1"/>
          <w:wAfter w:w="705" w:type="dxa"/>
          <w:trHeight w:val="39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7C1883" w:rsidRPr="00BC3312" w:rsidTr="007C1883">
        <w:trPr>
          <w:gridAfter w:val="1"/>
          <w:wAfter w:w="705" w:type="dxa"/>
          <w:trHeight w:val="1671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„ne-kulturního“ charakteru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7C1883" w:rsidRPr="00BC3312" w:rsidRDefault="007C1883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1 951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2 326</w:t>
            </w:r>
          </w:p>
        </w:tc>
        <w:tc>
          <w:tcPr>
            <w:tcW w:w="11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837 183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29 994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3 452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6 772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2 451 518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30 167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2 236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823 618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30 695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4 735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3 303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5 422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1 853 177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28 482</w:t>
            </w:r>
          </w:p>
        </w:tc>
      </w:tr>
      <w:tr w:rsidR="009C7E56" w:rsidRPr="00BC3312" w:rsidTr="007C1883">
        <w:trPr>
          <w:gridAfter w:val="1"/>
          <w:wAfter w:w="705" w:type="dxa"/>
          <w:trHeight w:val="450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2 888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9 872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7 511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2 589 762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28 733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3 770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1 079 519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23 862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1 857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5 323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7 198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3 561 625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41 234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1 334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519 168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32 432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1 940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910 087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39 093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4 066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2 346 489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48 092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165 245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31 296</w:t>
            </w:r>
          </w:p>
        </w:tc>
      </w:tr>
      <w:tr w:rsidR="009C7E56" w:rsidRPr="00BC3312" w:rsidTr="007C1883">
        <w:trPr>
          <w:gridAfter w:val="1"/>
          <w:wAfter w:w="705" w:type="dxa"/>
          <w:trHeight w:val="46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2 055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10 861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38 061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40 098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15 610 367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32 442</w:t>
            </w:r>
          </w:p>
        </w:tc>
      </w:tr>
      <w:tr w:rsidR="009C7E56" w:rsidRPr="00BC3312" w:rsidTr="007C1883">
        <w:trPr>
          <w:gridAfter w:val="1"/>
          <w:wAfter w:w="705" w:type="dxa"/>
          <w:trHeight w:val="405"/>
        </w:trPr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21 689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61 424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32 747 758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</w:tr>
    </w:tbl>
    <w:p w:rsidR="009C7E56" w:rsidRDefault="009C7E56" w:rsidP="009C7E56"/>
    <w:p w:rsidR="009C7E56" w:rsidRDefault="009C7E56" w:rsidP="009C7E56"/>
    <w:tbl>
      <w:tblPr>
        <w:tblW w:w="14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0"/>
        <w:gridCol w:w="340"/>
        <w:gridCol w:w="240"/>
        <w:gridCol w:w="1240"/>
        <w:gridCol w:w="120"/>
        <w:gridCol w:w="140"/>
        <w:gridCol w:w="980"/>
        <w:gridCol w:w="440"/>
        <w:gridCol w:w="680"/>
        <w:gridCol w:w="120"/>
        <w:gridCol w:w="660"/>
        <w:gridCol w:w="580"/>
        <w:gridCol w:w="640"/>
        <w:gridCol w:w="220"/>
        <w:gridCol w:w="380"/>
        <w:gridCol w:w="1140"/>
        <w:gridCol w:w="100"/>
        <w:gridCol w:w="80"/>
        <w:gridCol w:w="1160"/>
        <w:gridCol w:w="200"/>
        <w:gridCol w:w="20"/>
        <w:gridCol w:w="160"/>
        <w:gridCol w:w="860"/>
        <w:gridCol w:w="380"/>
        <w:gridCol w:w="500"/>
        <w:gridCol w:w="360"/>
        <w:gridCol w:w="500"/>
      </w:tblGrid>
      <w:tr w:rsidR="009C7E56" w:rsidRPr="00BC3312" w:rsidTr="00811CDF">
        <w:trPr>
          <w:trHeight w:val="31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E56" w:rsidRPr="00BC3312" w:rsidRDefault="009C7E56" w:rsidP="00D57707">
            <w:pPr>
              <w:pStyle w:val="Nadpis3"/>
            </w:pPr>
            <w:bookmarkStart w:id="230" w:name="_Toc70433594"/>
            <w:bookmarkStart w:id="231" w:name="_Toc70433966"/>
            <w:bookmarkStart w:id="232" w:name="_Toc70435585"/>
            <w:bookmarkStart w:id="233" w:name="_Toc70435776"/>
            <w:bookmarkStart w:id="234" w:name="_Toc72164504"/>
            <w:bookmarkStart w:id="235" w:name="_Toc72164635"/>
            <w:r w:rsidRPr="00BC3312">
              <w:lastRenderedPageBreak/>
              <w:t xml:space="preserve">Tabulka 7b Zaměstnanost v kultuře podle </w:t>
            </w:r>
            <w:r w:rsidR="00D57707">
              <w:t xml:space="preserve">kulturních </w:t>
            </w:r>
            <w:r w:rsidRPr="00BC3312">
              <w:t>oblastí v roce 2019 (s využitím Výběrového šetření pracovních sil)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</w:tr>
      <w:tr w:rsidR="009C7E56" w:rsidRPr="00BC3312" w:rsidTr="00811CDF">
        <w:trPr>
          <w:trHeight w:val="21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1883" w:rsidRPr="00BC3312" w:rsidTr="00811CDF">
        <w:trPr>
          <w:trHeight w:val="406"/>
        </w:trPr>
        <w:tc>
          <w:tcPr>
            <w:tcW w:w="2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Organizace s převažující kulturní činností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pracujících osob celkem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7C1883" w:rsidRPr="00BC3312" w:rsidRDefault="007C1883" w:rsidP="007C188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</w:tr>
      <w:tr w:rsidR="00B427B2" w:rsidRPr="00BC3312" w:rsidTr="00811CDF">
        <w:trPr>
          <w:trHeight w:val="1585"/>
        </w:trPr>
        <w:tc>
          <w:tcPr>
            <w:tcW w:w="2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kulturního charakteru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Povolání „ne-kulturního“ charakteru </w:t>
            </w:r>
          </w:p>
        </w:tc>
        <w:tc>
          <w:tcPr>
            <w:tcW w:w="20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podnikatelé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B427B2" w:rsidRPr="00BC3312" w:rsidRDefault="00B427B2" w:rsidP="007C1883">
            <w:pPr>
              <w:spacing w:after="0"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zaměstnanci na prac. smlouvu či  dohodu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B427B2" w:rsidRPr="00BC3312" w:rsidRDefault="00B427B2" w:rsidP="007C1883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 na plný úvazek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11 280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11 902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23 182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21 031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16 909</w:t>
            </w:r>
          </w:p>
        </w:tc>
      </w:tr>
      <w:tr w:rsidR="009C7E56" w:rsidRPr="00BC3312" w:rsidTr="00811CDF">
        <w:trPr>
          <w:trHeight w:val="49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13 772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8 640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22 412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7 659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14 753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11 150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14 584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2 758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13 568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2 151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 neperiodický tisk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16 483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12 257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28 740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14 363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13 239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 interaktivní média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10 865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6 176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17 041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4 642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12 398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10 087</w:t>
            </w:r>
          </w:p>
        </w:tc>
      </w:tr>
      <w:tr w:rsidR="009C7E56" w:rsidRPr="00BC3312" w:rsidTr="00811CDF">
        <w:trPr>
          <w:trHeight w:val="46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8 577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15 125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23 702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14 749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8 873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7 550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6 070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20 241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26 311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10 329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15 683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12 121</w:t>
            </w:r>
          </w:p>
        </w:tc>
      </w:tr>
      <w:tr w:rsidR="009C7E56" w:rsidRPr="00BC3312" w:rsidTr="00811CDF">
        <w:trPr>
          <w:trHeight w:val="48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8 547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2 974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11 521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1 233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10 287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6 325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Správa a podpora kult. činnosti 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trHeight w:val="510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Nezařazeno do žádné oblasti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11 558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26 897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23 614</w:t>
            </w:r>
          </w:p>
        </w:tc>
      </w:tr>
      <w:tr w:rsidR="009C7E56" w:rsidRPr="00BC3312" w:rsidTr="00811CDF">
        <w:trPr>
          <w:trHeight w:val="55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90 178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80 073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38 633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208 884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80 111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127 849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103 146</w:t>
            </w:r>
          </w:p>
        </w:tc>
      </w:tr>
      <w:tr w:rsidR="009C7E56" w:rsidRPr="00BC3312" w:rsidTr="00811CDF">
        <w:trPr>
          <w:trHeight w:val="64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Část vybraných povolání se prolíná různými kulturními oblastmi a není proto možné s jistotou určit, do které oblasti spadají (např. herci mohou spadat jak do oblasti interpretačního umění v rámci svých divadelních aktivit, tak do oblasti audiovizuálních a interaktivních médií v rámci aktivit spojených s filmem či do oblasti reklamy). Proto nejsou kulturní povolání mimo kulturní organizace zařazena do konkrétní oblasti a jsou analyzována pouze jako celek.</w:t>
            </w:r>
          </w:p>
        </w:tc>
      </w:tr>
      <w:tr w:rsidR="009C7E56" w:rsidRPr="00BC3312" w:rsidTr="00811CDF">
        <w:trPr>
          <w:trHeight w:val="495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2) Počet pracujících osob zahrnuje zaměstnance (na základě pracovní smlouvy či dohody), podnikatele (se zaměstnanci či bez zaměstnanců) a pomáhající rodinné příslušníky. Pomáhající rodinní příslušníci nejsou zahrnuti v podrobnějším členění.</w:t>
            </w:r>
          </w:p>
        </w:tc>
      </w:tr>
      <w:tr w:rsidR="009C7E56" w:rsidRPr="00BC3312" w:rsidTr="00811CDF">
        <w:trPr>
          <w:trHeight w:val="270"/>
        </w:trPr>
        <w:tc>
          <w:tcPr>
            <w:tcW w:w="145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3) Údaje o zaměstnanosti v rámci správních činností spojených s kulturou a činností organizací na podporu kultury nelze v čtyřmístném členění NACE z Výběrového šetření pracovních sil získat.</w:t>
            </w:r>
          </w:p>
        </w:tc>
      </w:tr>
      <w:tr w:rsidR="009C7E56" w:rsidRPr="00BC3312" w:rsidTr="00811CDF">
        <w:trPr>
          <w:gridAfter w:val="2"/>
          <w:wAfter w:w="860" w:type="dxa"/>
          <w:trHeight w:val="315"/>
        </w:trPr>
        <w:tc>
          <w:tcPr>
            <w:tcW w:w="8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36" w:name="_Toc70433595"/>
            <w:bookmarkStart w:id="237" w:name="_Toc70433967"/>
            <w:bookmarkStart w:id="238" w:name="_Toc70435586"/>
            <w:bookmarkStart w:id="239" w:name="_Toc70435777"/>
            <w:bookmarkStart w:id="240" w:name="_Toc72164505"/>
            <w:bookmarkStart w:id="241" w:name="_Toc72164636"/>
            <w:r w:rsidRPr="00BC3312">
              <w:lastRenderedPageBreak/>
              <w:t>Tabulka 8 Zdroje a rozsah investic kulturního sektoru v roce 2019</w:t>
            </w:r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9C7E56" w:rsidRPr="00BC3312" w:rsidTr="00811CDF">
        <w:trPr>
          <w:gridAfter w:val="2"/>
          <w:wAfter w:w="860" w:type="dxa"/>
          <w:trHeight w:val="300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607 525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251 297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154 569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154 869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201 659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568 463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39 062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1 222 870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1 394 157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189 157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189 078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1 171 879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50 991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80 520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64 664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15 856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69 216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11 304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643 031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266 612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54 062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54 062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322 357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522 667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120 364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1 159 758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785 850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373 461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1 148 329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11 429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55 019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109 526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54 660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359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199 999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300 097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1 115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190 981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9 018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17 382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16 862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31 126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3 118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164 720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164 720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112 600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52 120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3 520 721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17826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3 502 895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876 458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2 644 263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9 645 747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78 524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12 352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12 052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9 038 707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6 750 100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2 895 647</w:t>
            </w:r>
          </w:p>
        </w:tc>
      </w:tr>
      <w:tr w:rsidR="009C7E56" w:rsidRPr="00BC3312" w:rsidTr="00811CDF">
        <w:trPr>
          <w:gridAfter w:val="2"/>
          <w:wAfter w:w="860" w:type="dxa"/>
          <w:trHeight w:val="64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17 334 154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3 268 109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429 528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411 042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13 636 517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11 496 479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5 837 675</w:t>
            </w:r>
          </w:p>
        </w:tc>
      </w:tr>
      <w:tr w:rsidR="009C7E56" w:rsidRPr="00BC3312" w:rsidTr="00811CDF">
        <w:trPr>
          <w:gridAfter w:val="1"/>
          <w:wAfter w:w="500" w:type="dxa"/>
          <w:trHeight w:val="315"/>
        </w:trPr>
        <w:tc>
          <w:tcPr>
            <w:tcW w:w="10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42" w:name="_Toc70433596"/>
            <w:bookmarkStart w:id="243" w:name="_Toc70433968"/>
            <w:bookmarkStart w:id="244" w:name="_Toc70435587"/>
            <w:bookmarkStart w:id="245" w:name="_Toc70435778"/>
            <w:bookmarkStart w:id="246" w:name="_Toc72164506"/>
            <w:bookmarkStart w:id="247" w:name="_Toc72164637"/>
            <w:r w:rsidRPr="00BC3312">
              <w:lastRenderedPageBreak/>
              <w:t>Tabulka 9 Zahraniční obchod se zbožím a službami kulturního sektoru v roce 2019</w:t>
            </w:r>
            <w:bookmarkEnd w:id="242"/>
            <w:bookmarkEnd w:id="243"/>
            <w:bookmarkEnd w:id="244"/>
            <w:bookmarkEnd w:id="245"/>
            <w:bookmarkEnd w:id="246"/>
            <w:bookmarkEnd w:id="247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811CDF">
        <w:trPr>
          <w:gridAfter w:val="1"/>
          <w:wAfter w:w="500" w:type="dxa"/>
          <w:trHeight w:val="33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9C7E56" w:rsidRPr="00BC3312" w:rsidTr="00811CDF">
        <w:trPr>
          <w:gridAfter w:val="1"/>
          <w:wAfter w:w="500" w:type="dxa"/>
          <w:trHeight w:val="510"/>
        </w:trPr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USA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9C7E56" w:rsidRPr="00BC3312" w:rsidTr="00811CDF">
        <w:trPr>
          <w:gridAfter w:val="1"/>
          <w:wAfter w:w="500" w:type="dxa"/>
          <w:trHeight w:val="510"/>
        </w:trPr>
        <w:tc>
          <w:tcPr>
            <w:tcW w:w="2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737 204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830 239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10 605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115 086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13 414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162 778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761 223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1 108 103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-346 880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930 578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679 190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72 981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451 100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509 921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961 175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1 513 480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2 091 465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-577 985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2 010 408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2 483 308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239 027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207 263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505 805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1 240 298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2 755 240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3 930 869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-1 175 629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12 949 964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9 765 879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1 514 276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305 833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598 612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2 952 764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15 062 852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13 024 476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2 038 376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25 297 632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16 267 012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1 965 078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1 840 435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2 475 463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3 209 038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29 738 173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21 316 485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8 421 688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170 338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89 235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128270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15 947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314 555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91 859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222 696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9 596 496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9 614 742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3 153 890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482 867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284 857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4 040 381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13 035 243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14 137 990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 w:rsidRPr="00BC3312">
              <w:rPr>
                <w:rFonts w:cs="Arial"/>
                <w:color w:val="FF0000"/>
                <w:sz w:val="18"/>
                <w:szCs w:val="18"/>
              </w:rPr>
              <w:t>-1 102 747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9C7E56" w:rsidRPr="00BC3312" w:rsidTr="00811CDF">
        <w:trPr>
          <w:gridAfter w:val="1"/>
          <w:wAfter w:w="500" w:type="dxa"/>
          <w:trHeight w:val="720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51 692 620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39 729 605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7 084 127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3 402 629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4 404 019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12 569 013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63 180 766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55 701 247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7 479 519</w:t>
            </w:r>
          </w:p>
        </w:tc>
      </w:tr>
    </w:tbl>
    <w:p w:rsidR="009C7E56" w:rsidRDefault="009C7E56" w:rsidP="009C7E56"/>
    <w:tbl>
      <w:tblPr>
        <w:tblW w:w="14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1860"/>
        <w:gridCol w:w="1060"/>
        <w:gridCol w:w="1000"/>
        <w:gridCol w:w="1020"/>
        <w:gridCol w:w="860"/>
        <w:gridCol w:w="980"/>
        <w:gridCol w:w="940"/>
        <w:gridCol w:w="960"/>
        <w:gridCol w:w="960"/>
        <w:gridCol w:w="1120"/>
        <w:gridCol w:w="1280"/>
        <w:gridCol w:w="1040"/>
        <w:gridCol w:w="174"/>
        <w:gridCol w:w="1106"/>
      </w:tblGrid>
      <w:tr w:rsidR="009C7E56" w:rsidRPr="00BC3312" w:rsidTr="009C7E56">
        <w:trPr>
          <w:trHeight w:val="315"/>
        </w:trPr>
        <w:tc>
          <w:tcPr>
            <w:tcW w:w="10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48" w:name="_Toc70433597"/>
            <w:bookmarkStart w:id="249" w:name="_Toc70433969"/>
            <w:bookmarkStart w:id="250" w:name="_Toc70435588"/>
            <w:bookmarkStart w:id="251" w:name="_Toc70435779"/>
            <w:bookmarkStart w:id="252" w:name="_Toc72164507"/>
            <w:bookmarkStart w:id="253" w:name="_Toc72164638"/>
            <w:r w:rsidRPr="00BC3312">
              <w:lastRenderedPageBreak/>
              <w:t>Tabulka 10 Analytická tabulka základních ukazatelů sektoru kultury za rok 2019</w:t>
            </w:r>
            <w:bookmarkEnd w:id="248"/>
            <w:bookmarkEnd w:id="249"/>
            <w:bookmarkEnd w:id="250"/>
            <w:bookmarkEnd w:id="251"/>
            <w:bookmarkEnd w:id="252"/>
            <w:bookmarkEnd w:id="253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C0504D"/>
                <w:sz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480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Veřejné zdroje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Úroveň hospodaření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Hrubá přidaná hodnota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Zaměstnanci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Mzdy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Investice</w:t>
            </w:r>
          </w:p>
        </w:tc>
      </w:tr>
      <w:tr w:rsidR="009C7E56" w:rsidRPr="00BC3312" w:rsidTr="00866A99">
        <w:trPr>
          <w:trHeight w:val="30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stupeň soběstač-nosti (%)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zisková marže (%)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mil. Kč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na sektoru (%)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měsíční mzda v Kč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Index k </w:t>
            </w:r>
          </w:p>
        </w:tc>
        <w:tc>
          <w:tcPr>
            <w:tcW w:w="1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Podíl krytý dotacemi a granty (%)</w:t>
            </w:r>
          </w:p>
        </w:tc>
      </w:tr>
      <w:tr w:rsidR="009C7E56" w:rsidRPr="00BC3312" w:rsidTr="00866A99">
        <w:trPr>
          <w:trHeight w:val="480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průměrné mzdě sektoru</w:t>
            </w: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16 449 718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12 019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28 533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86,9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2 786 218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85,5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6 796 228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15 295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25 477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1 437 893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99 814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21 806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436 363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58 046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14 668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34 966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2 534 183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2 721 359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137,2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5 471 226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13 976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7 734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37 166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1 693 114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23 969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37 837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2 879 541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6 694 444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70</w:t>
            </w:r>
            <w:r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8 659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31 471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50 586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</w:tr>
      <w:tr w:rsidR="00866A99" w:rsidRPr="00BC3312" w:rsidTr="00866A99">
        <w:trPr>
          <w:trHeight w:val="51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A99" w:rsidRPr="00BC3312" w:rsidRDefault="00866A99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 a neznámá oblast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10 225 905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35 410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  <w:tr w:rsidR="009C7E56" w:rsidRPr="00BC3312" w:rsidTr="00866A99">
        <w:trPr>
          <w:trHeight w:val="42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43 045 514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121 126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17 334 154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21,4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177A1E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30 037 522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33 733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27,84958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26 767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4 587 432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79,8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2 779 405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44 896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37,06579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19 976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39 133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119,2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8 005 409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0,4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Kreativní průmysl</w:t>
            </w:r>
            <w:r w:rsidR="00432C67">
              <w:rPr>
                <w:rFonts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2 682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39 405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32,5325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22 344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37 138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113,1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4 696 283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0,3</w:t>
            </w:r>
          </w:p>
        </w:tc>
      </w:tr>
      <w:tr w:rsidR="00866A99" w:rsidRPr="00BC3312" w:rsidTr="00866A99">
        <w:trPr>
          <w:trHeight w:val="45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2 353 034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3 091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2,55213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866A99" w:rsidRDefault="00866A99" w:rsidP="00866A99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66A99">
              <w:rPr>
                <w:rFonts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35 410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45 030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A99" w:rsidRPr="00BC3312" w:rsidRDefault="00866A99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9C7E56" w:rsidRDefault="009C7E56" w:rsidP="009C7E56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340"/>
        <w:gridCol w:w="1340"/>
        <w:gridCol w:w="1340"/>
        <w:gridCol w:w="1340"/>
        <w:gridCol w:w="1340"/>
        <w:gridCol w:w="1340"/>
        <w:gridCol w:w="1400"/>
        <w:gridCol w:w="1420"/>
      </w:tblGrid>
      <w:tr w:rsidR="009C7E56" w:rsidRPr="00BC3312" w:rsidTr="009C7E56">
        <w:trPr>
          <w:trHeight w:val="48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D57707">
            <w:pPr>
              <w:pStyle w:val="Nadpis3"/>
            </w:pPr>
            <w:bookmarkStart w:id="254" w:name="_Toc70433598"/>
            <w:bookmarkStart w:id="255" w:name="_Toc70433970"/>
            <w:bookmarkStart w:id="256" w:name="_Toc70435589"/>
            <w:bookmarkStart w:id="257" w:name="_Toc70435780"/>
            <w:bookmarkStart w:id="258" w:name="_Toc72164508"/>
            <w:bookmarkStart w:id="259" w:name="_Toc72164639"/>
            <w:r w:rsidRPr="00BC3312">
              <w:lastRenderedPageBreak/>
              <w:t xml:space="preserve">Tabulka 11 Časové řady vybraných ukazatelů sektoru kultury za </w:t>
            </w:r>
            <w:r w:rsidR="00D57707">
              <w:t>roky</w:t>
            </w:r>
            <w:r w:rsidRPr="00BC3312">
              <w:t xml:space="preserve"> 2010 – 2019</w:t>
            </w:r>
            <w:bookmarkEnd w:id="254"/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78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Ind</w:t>
            </w:r>
            <w:r w:rsidR="006954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ex 2019/2018 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69544F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Index 2019/2010 </w:t>
            </w:r>
            <w:r w:rsidR="009C7E56"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%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Veřejné zdroje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36 283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34 644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34 282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35 789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41 429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43 046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118,6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Náklady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219 816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198 111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201 846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224 664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243 161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244 269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Výnosy celkem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229 110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206 727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218 448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240 273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260 655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262 119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114,4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Stupeň soběstačnosti (v 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90,3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103,7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Počet zaměstnanců v osobách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87 018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81 417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84 622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88 527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83 113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95,5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Průměrná hrubá měsíční mzda v 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24 406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24 431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27 643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29 618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32 835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134,5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Investice v mil.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10 676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13 578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16 253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126,1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Hrubá přidaná hodnota v mld. Kč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140,7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Hrubý domácí produkt v mld. Kč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84</w:t>
            </w:r>
            <w:r w:rsidR="00866A99">
              <w:rPr>
                <w:rFonts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153,3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Podíl kultury na hrubé přidané hodnotě (v %)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97,1</w:t>
            </w:r>
          </w:p>
        </w:tc>
      </w:tr>
      <w:tr w:rsidR="009C7E56" w:rsidRPr="00BC3312" w:rsidTr="009C7E56">
        <w:trPr>
          <w:trHeight w:val="660"/>
        </w:trPr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Podíl kultury na HDP (v %)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D92640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106,0</w:t>
            </w:r>
          </w:p>
        </w:tc>
      </w:tr>
      <w:tr w:rsidR="009C7E56" w:rsidRPr="00BC3312" w:rsidTr="009C7E56">
        <w:trPr>
          <w:trHeight w:val="345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</w:t>
            </w:r>
            <w:r w:rsidRPr="00BC3312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BC3312">
              <w:rPr>
                <w:rFonts w:cs="Arial"/>
                <w:color w:val="000000"/>
                <w:sz w:val="16"/>
                <w:szCs w:val="16"/>
              </w:rPr>
              <w:t>využita výrobní metoda propočtu HDP; za rok 2019 odhad z předběžných dat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C7E56" w:rsidRDefault="009C7E56" w:rsidP="009C7E56"/>
    <w:tbl>
      <w:tblPr>
        <w:tblW w:w="12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40"/>
        <w:gridCol w:w="2180"/>
        <w:gridCol w:w="2180"/>
        <w:gridCol w:w="2180"/>
        <w:gridCol w:w="2180"/>
      </w:tblGrid>
      <w:tr w:rsidR="009C7E56" w:rsidRPr="00BC3312" w:rsidTr="009C7E56">
        <w:trPr>
          <w:trHeight w:val="315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60" w:name="_Toc70433599"/>
            <w:bookmarkStart w:id="261" w:name="_Toc70433971"/>
            <w:bookmarkStart w:id="262" w:name="_Toc70435590"/>
            <w:bookmarkStart w:id="263" w:name="_Toc70435781"/>
            <w:bookmarkStart w:id="264" w:name="_Toc72164509"/>
            <w:bookmarkStart w:id="265" w:name="_Toc72164640"/>
            <w:r w:rsidRPr="00BC3312">
              <w:lastRenderedPageBreak/>
              <w:t>Tabulka 12 Počet vybraných poskytovatelů kulturních služeb v roce 2019</w:t>
            </w:r>
            <w:bookmarkEnd w:id="260"/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7E56" w:rsidRPr="00BC3312" w:rsidTr="009C7E56">
        <w:trPr>
          <w:trHeight w:val="36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315"/>
        </w:trPr>
        <w:tc>
          <w:tcPr>
            <w:tcW w:w="4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Kulturní podniky a instituce celkem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v tom</w:t>
            </w:r>
          </w:p>
        </w:tc>
      </w:tr>
      <w:tr w:rsidR="009C7E56" w:rsidRPr="00BC3312" w:rsidTr="009C7E56">
        <w:trPr>
          <w:trHeight w:val="630"/>
        </w:trPr>
        <w:tc>
          <w:tcPr>
            <w:tcW w:w="4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soukromé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ostatní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Památkový objekt zpřístupněný za vstupné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Muzeum a galerie (muzea výtvarných umění)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45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síň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69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Knihovna veřejná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5 307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5 307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120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Hudební těleso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Festivaly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471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243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Vydavatelé neperiodického a periodického tisku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90</w:t>
            </w:r>
          </w:p>
        </w:tc>
      </w:tr>
      <w:tr w:rsidR="009C7E56" w:rsidRPr="00BC3312" w:rsidTr="009C7E56">
        <w:trPr>
          <w:trHeight w:val="600"/>
        </w:trPr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8 899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6 940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1 259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BC3312">
              <w:rPr>
                <w:rFonts w:cs="Arial"/>
                <w:color w:val="000000"/>
                <w:szCs w:val="20"/>
              </w:rPr>
              <w:t>700</w:t>
            </w:r>
          </w:p>
        </w:tc>
      </w:tr>
    </w:tbl>
    <w:p w:rsidR="009C7E56" w:rsidRDefault="009C7E56" w:rsidP="009C7E56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2780"/>
        <w:gridCol w:w="2980"/>
        <w:gridCol w:w="2680"/>
        <w:gridCol w:w="2480"/>
      </w:tblGrid>
      <w:tr w:rsidR="009C7E56" w:rsidRPr="00BC3312" w:rsidTr="009C7E56">
        <w:trPr>
          <w:trHeight w:val="315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pStyle w:val="Nadpis3"/>
            </w:pPr>
            <w:bookmarkStart w:id="266" w:name="_Toc70433600"/>
            <w:bookmarkStart w:id="267" w:name="_Toc70433972"/>
            <w:bookmarkStart w:id="268" w:name="_Toc70435591"/>
            <w:bookmarkStart w:id="269" w:name="_Toc70435782"/>
            <w:bookmarkStart w:id="270" w:name="_Toc72164510"/>
            <w:bookmarkStart w:id="271" w:name="_Toc72164641"/>
            <w:r w:rsidRPr="00BC3312">
              <w:lastRenderedPageBreak/>
              <w:t>Tabulka 13 Relativní vyjádření výkonu poskytovatelů kulturních služeb v naturálních ukazatelích v roce 2019</w:t>
            </w:r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</w:tr>
      <w:tr w:rsidR="009C7E56" w:rsidRPr="00BC3312" w:rsidTr="009C7E5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BC3312">
              <w:rPr>
                <w:rFonts w:cs="Arial"/>
                <w:b/>
                <w:bCs/>
                <w:color w:val="BC091B"/>
                <w:sz w:val="24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331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7E56" w:rsidRPr="00BC3312" w:rsidTr="009C7E56">
        <w:trPr>
          <w:trHeight w:val="118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návštěv kulturních zařízení na 10 tis. obyvatel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Počet </w:t>
            </w:r>
            <w:r w:rsidR="006954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vydaných titulů </w:t>
            </w:r>
            <w:r w:rsidR="00D92640">
              <w:rPr>
                <w:rFonts w:cs="Arial"/>
                <w:b/>
                <w:bCs/>
                <w:color w:val="000000"/>
                <w:sz w:val="18"/>
                <w:szCs w:val="18"/>
              </w:rPr>
              <w:t>/ náklad neperiodických publikací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, audioknih, e-knih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Počet vysílacích hodin</w:t>
            </w: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na 1 držitele vysílací licence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9C7E56" w:rsidRPr="00BC3312" w:rsidRDefault="009C7E56" w:rsidP="00D926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b/>
                <w:bCs/>
                <w:color w:val="000000"/>
                <w:sz w:val="18"/>
                <w:szCs w:val="18"/>
              </w:rPr>
              <w:t>Index 2019/2018 (v %)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Historické památky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14 038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102,9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Muzea a galerie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13 781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102,3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Výstavní sály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20 715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99,8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Knihovny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2 254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93,5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Kina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17 170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111,6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8 136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106,2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Koncertní sály (soubory a festivaly)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4 365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133,8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Nakladatelství a vydavatelství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17 330 /                                                  38 066 856, 293 260, 274 240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 xml:space="preserve">       122,7 (tituly)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14 346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89,7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105,6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Kulturní domy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11 180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107,5</w:t>
            </w:r>
          </w:p>
        </w:tc>
      </w:tr>
      <w:tr w:rsidR="009C7E56" w:rsidRPr="00BC3312" w:rsidTr="009C7E56">
        <w:trPr>
          <w:trHeight w:val="585"/>
        </w:trPr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511226">
            <w:pPr>
              <w:spacing w:after="0" w:line="240" w:lineRule="auto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91 639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17 330 /                                                   38 066 856, 293 260, 274 240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25 696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BC3312">
              <w:rPr>
                <w:rFonts w:cs="Arial"/>
                <w:color w:val="000000"/>
                <w:sz w:val="18"/>
                <w:szCs w:val="18"/>
              </w:rPr>
              <w:t>105,4</w:t>
            </w:r>
            <w:r w:rsidRPr="00BC3312">
              <w:rPr>
                <w:rFonts w:cs="Arial"/>
                <w:color w:val="000000"/>
                <w:sz w:val="18"/>
                <w:szCs w:val="18"/>
                <w:vertAlign w:val="superscript"/>
              </w:rPr>
              <w:t>1)</w:t>
            </w:r>
          </w:p>
        </w:tc>
      </w:tr>
      <w:tr w:rsidR="009C7E56" w:rsidRPr="00BC3312" w:rsidTr="009C7E56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BC3312">
              <w:rPr>
                <w:rFonts w:cs="Arial"/>
                <w:color w:val="000000"/>
                <w:sz w:val="16"/>
                <w:szCs w:val="16"/>
              </w:rPr>
              <w:t>1) zahrnuje pouze návštěvnost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E56" w:rsidRPr="00BC3312" w:rsidRDefault="009C7E56" w:rsidP="009C7E56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0D87" w:rsidRPr="00EB2612" w:rsidRDefault="00750D87" w:rsidP="00FA6A70">
      <w:pPr>
        <w:ind w:left="284" w:hanging="284"/>
      </w:pPr>
    </w:p>
    <w:sectPr w:rsidR="00750D87" w:rsidRPr="00EB2612" w:rsidSect="00811CDF">
      <w:headerReference w:type="even" r:id="rId24"/>
      <w:headerReference w:type="default" r:id="rId25"/>
      <w:footerReference w:type="even" r:id="rId26"/>
      <w:footerReference w:type="default" r:id="rId27"/>
      <w:pgSz w:w="16838" w:h="11906" w:orient="landscape" w:code="9"/>
      <w:pgMar w:top="985" w:right="1387" w:bottom="1134" w:left="1418" w:header="567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D5" w:rsidRDefault="00BF13D5" w:rsidP="00E71A58">
      <w:r>
        <w:separator/>
      </w:r>
    </w:p>
  </w:endnote>
  <w:endnote w:type="continuationSeparator" w:id="0">
    <w:p w:rsidR="00BF13D5" w:rsidRDefault="00BF13D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Default="009B00A5" w:rsidP="00811CDF">
    <w:pPr>
      <w:pStyle w:val="Zpat"/>
      <w:spacing w:after="60"/>
      <w:rPr>
        <w:rFonts w:ascii="Arial" w:hAnsi="Arial" w:cs="Arial"/>
        <w:sz w:val="18"/>
        <w:szCs w:val="18"/>
      </w:rPr>
    </w:pPr>
  </w:p>
  <w:p w:rsidR="009B00A5" w:rsidRDefault="009B00A5" w:rsidP="00811CDF">
    <w:pPr>
      <w:pStyle w:val="Zpat"/>
      <w:spacing w:after="60"/>
      <w:rPr>
        <w:rFonts w:ascii="Arial" w:hAnsi="Arial" w:cs="Arial"/>
        <w:sz w:val="18"/>
        <w:szCs w:val="18"/>
      </w:rPr>
    </w:pPr>
  </w:p>
  <w:p w:rsidR="009B00A5" w:rsidRPr="00811CDF" w:rsidRDefault="00494A75" w:rsidP="009C7E56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99332" type="#_x0000_t75" alt="CSU RGB CZ logo-01" style="position:absolute;left:0;text-align:left;margin-left:-175pt;margin-top:-5.1pt;width:33.75pt;height:15.85pt;z-index:251658240;visibility:visible;mso-position-horizontal:right">
          <v:imagedata r:id="rId1" o:title="CSU RGB CZ logo-01"/>
        </v:shape>
      </w:pict>
    </w:r>
    <w:r w:rsidRPr="00811CDF">
      <w:rPr>
        <w:rFonts w:ascii="Arial" w:hAnsi="Arial" w:cs="Arial"/>
        <w:sz w:val="18"/>
        <w:szCs w:val="18"/>
      </w:rPr>
      <w:fldChar w:fldCharType="begin"/>
    </w:r>
    <w:r w:rsidR="009B00A5" w:rsidRPr="00811CDF">
      <w:rPr>
        <w:rFonts w:ascii="Arial" w:hAnsi="Arial" w:cs="Arial"/>
        <w:sz w:val="18"/>
        <w:szCs w:val="18"/>
      </w:rPr>
      <w:instrText>PAGE   \* MERGEFORMAT</w:instrText>
    </w:r>
    <w:r w:rsidRPr="00811CDF">
      <w:rPr>
        <w:rFonts w:ascii="Arial" w:hAnsi="Arial" w:cs="Arial"/>
        <w:sz w:val="18"/>
        <w:szCs w:val="18"/>
      </w:rPr>
      <w:fldChar w:fldCharType="separate"/>
    </w:r>
    <w:r w:rsidR="00EE19AD">
      <w:rPr>
        <w:rFonts w:ascii="Arial" w:hAnsi="Arial" w:cs="Arial"/>
        <w:noProof/>
        <w:sz w:val="18"/>
        <w:szCs w:val="18"/>
      </w:rPr>
      <w:t>4</w:t>
    </w:r>
    <w:r w:rsidRPr="00811CDF">
      <w:rPr>
        <w:rFonts w:ascii="Arial" w:hAnsi="Arial" w:cs="Arial"/>
        <w:sz w:val="18"/>
        <w:szCs w:val="18"/>
      </w:rPr>
      <w:fldChar w:fldCharType="end"/>
    </w:r>
    <w:r w:rsidR="009B00A5" w:rsidRPr="00811CDF">
      <w:rPr>
        <w:rFonts w:ascii="Arial" w:hAnsi="Arial" w:cs="Arial"/>
        <w:sz w:val="18"/>
        <w:szCs w:val="18"/>
      </w:rPr>
      <w:tab/>
      <w:t>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Default="009B00A5" w:rsidP="009C7E56">
    <w:pPr>
      <w:pStyle w:val="Zpat"/>
      <w:tabs>
        <w:tab w:val="left" w:pos="4253"/>
        <w:tab w:val="left" w:pos="4536"/>
        <w:tab w:val="left" w:pos="9356"/>
        <w:tab w:val="left" w:pos="13750"/>
      </w:tabs>
      <w:rPr>
        <w:szCs w:val="16"/>
      </w:rPr>
    </w:pPr>
  </w:p>
  <w:p w:rsidR="009B00A5" w:rsidRPr="00811CDF" w:rsidRDefault="00494A75" w:rsidP="00F44547">
    <w:pPr>
      <w:pStyle w:val="Zpat"/>
      <w:tabs>
        <w:tab w:val="clear" w:pos="9072"/>
        <w:tab w:val="left" w:pos="4253"/>
        <w:tab w:val="left" w:pos="4536"/>
        <w:tab w:val="left" w:pos="9356"/>
        <w:tab w:val="right" w:pos="9639"/>
        <w:tab w:val="left" w:pos="13750"/>
      </w:tabs>
      <w:rPr>
        <w:rFonts w:ascii="Arial" w:hAnsi="Arial" w:cs="Arial"/>
        <w:sz w:val="18"/>
        <w:szCs w:val="18"/>
      </w:rPr>
    </w:pPr>
    <w:r w:rsidRPr="00494A75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99331" type="#_x0000_t75" alt="CSU RGB CZ logo-02" style="position:absolute;left:0;text-align:left;margin-left:0;margin-top:-9.65pt;width:40.2pt;height:21.45pt;z-index:251656192;visibility:visible;mso-position-horizontal:left">
          <v:imagedata r:id="rId1" o:title="CSU RGB CZ logo-02"/>
        </v:shape>
      </w:pict>
    </w:r>
    <w:r w:rsidR="009B00A5" w:rsidRPr="00811CDF">
      <w:rPr>
        <w:rFonts w:ascii="Arial" w:hAnsi="Arial" w:cs="Arial"/>
        <w:sz w:val="20"/>
        <w:szCs w:val="20"/>
      </w:rPr>
      <w:tab/>
    </w:r>
    <w:r w:rsidR="009B00A5" w:rsidRPr="00811CDF">
      <w:rPr>
        <w:rFonts w:ascii="Arial" w:hAnsi="Arial" w:cs="Arial"/>
        <w:sz w:val="18"/>
        <w:szCs w:val="18"/>
      </w:rPr>
      <w:tab/>
    </w:r>
    <w:r w:rsidR="009B00A5" w:rsidRPr="00811CDF">
      <w:rPr>
        <w:rStyle w:val="ZpatChar"/>
        <w:rFonts w:ascii="Arial" w:hAnsi="Arial" w:cs="Arial"/>
        <w:sz w:val="18"/>
        <w:szCs w:val="18"/>
      </w:rPr>
      <w:t>2019</w:t>
    </w:r>
    <w:r w:rsidR="009B00A5" w:rsidRPr="00811CDF">
      <w:rPr>
        <w:rFonts w:ascii="Arial" w:hAnsi="Arial" w:cs="Arial"/>
        <w:sz w:val="20"/>
        <w:szCs w:val="20"/>
      </w:rPr>
      <w:tab/>
    </w:r>
    <w:r w:rsidRPr="00811CDF">
      <w:rPr>
        <w:rStyle w:val="ZpatChar"/>
        <w:rFonts w:ascii="Arial" w:hAnsi="Arial" w:cs="Arial"/>
        <w:sz w:val="18"/>
        <w:szCs w:val="18"/>
      </w:rPr>
      <w:fldChar w:fldCharType="begin"/>
    </w:r>
    <w:r w:rsidR="009B00A5" w:rsidRPr="00811CDF">
      <w:rPr>
        <w:rStyle w:val="ZpatChar"/>
        <w:rFonts w:ascii="Arial" w:hAnsi="Arial" w:cs="Arial"/>
        <w:sz w:val="18"/>
        <w:szCs w:val="18"/>
      </w:rPr>
      <w:instrText>PAGE   \* MERGEFORMAT</w:instrText>
    </w:r>
    <w:r w:rsidRPr="00811CDF">
      <w:rPr>
        <w:rStyle w:val="ZpatChar"/>
        <w:rFonts w:ascii="Arial" w:hAnsi="Arial" w:cs="Arial"/>
        <w:sz w:val="18"/>
        <w:szCs w:val="18"/>
      </w:rPr>
      <w:fldChar w:fldCharType="separate"/>
    </w:r>
    <w:r w:rsidR="00EE19AD">
      <w:rPr>
        <w:rStyle w:val="ZpatChar"/>
        <w:rFonts w:ascii="Arial" w:hAnsi="Arial" w:cs="Arial"/>
        <w:noProof/>
        <w:sz w:val="18"/>
        <w:szCs w:val="18"/>
      </w:rPr>
      <w:t>3</w:t>
    </w:r>
    <w:r w:rsidRPr="00811CDF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Pr="00811CDF" w:rsidRDefault="00494A75" w:rsidP="009C7E56">
    <w:pPr>
      <w:pStyle w:val="Zpat"/>
      <w:tabs>
        <w:tab w:val="center" w:pos="68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4" type="#_x0000_t75" style="position:absolute;left:0;text-align:left;margin-left:-323.7pt;margin-top:-5.1pt;width:33.75pt;height:15.85pt;z-index:251659264;mso-position-horizontal:right">
          <v:imagedata r:id="rId1" o:title="CSU RGB CZ logo-01"/>
        </v:shape>
      </w:pict>
    </w:r>
    <w:r w:rsidRPr="00811CDF">
      <w:rPr>
        <w:rFonts w:ascii="Arial" w:hAnsi="Arial" w:cs="Arial"/>
        <w:sz w:val="18"/>
        <w:szCs w:val="18"/>
      </w:rPr>
      <w:fldChar w:fldCharType="begin"/>
    </w:r>
    <w:r w:rsidR="009B00A5" w:rsidRPr="00811CDF">
      <w:rPr>
        <w:rFonts w:ascii="Arial" w:hAnsi="Arial" w:cs="Arial"/>
        <w:sz w:val="18"/>
        <w:szCs w:val="18"/>
      </w:rPr>
      <w:instrText>PAGE   \* MERGEFORMAT</w:instrText>
    </w:r>
    <w:r w:rsidRPr="00811CDF">
      <w:rPr>
        <w:rFonts w:ascii="Arial" w:hAnsi="Arial" w:cs="Arial"/>
        <w:sz w:val="18"/>
        <w:szCs w:val="18"/>
      </w:rPr>
      <w:fldChar w:fldCharType="separate"/>
    </w:r>
    <w:r w:rsidR="00EE19AD">
      <w:rPr>
        <w:rFonts w:ascii="Arial" w:hAnsi="Arial" w:cs="Arial"/>
        <w:noProof/>
        <w:sz w:val="18"/>
        <w:szCs w:val="18"/>
      </w:rPr>
      <w:t>36</w:t>
    </w:r>
    <w:r w:rsidRPr="00811CDF">
      <w:rPr>
        <w:rFonts w:ascii="Arial" w:hAnsi="Arial" w:cs="Arial"/>
        <w:sz w:val="18"/>
        <w:szCs w:val="18"/>
      </w:rPr>
      <w:fldChar w:fldCharType="end"/>
    </w:r>
    <w:r w:rsidR="009B00A5" w:rsidRPr="00811CDF">
      <w:rPr>
        <w:rFonts w:ascii="Arial" w:hAnsi="Arial" w:cs="Arial"/>
        <w:sz w:val="18"/>
        <w:szCs w:val="18"/>
      </w:rPr>
      <w:tab/>
    </w:r>
    <w:r w:rsidR="009B00A5" w:rsidRPr="00811CDF">
      <w:rPr>
        <w:rFonts w:ascii="Arial" w:hAnsi="Arial" w:cs="Arial"/>
        <w:sz w:val="18"/>
        <w:szCs w:val="18"/>
      </w:rPr>
      <w:tab/>
      <w:t>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Default="00494A75" w:rsidP="00691AB0">
    <w:pPr>
      <w:pStyle w:val="Zpat"/>
      <w:tabs>
        <w:tab w:val="left" w:pos="6804"/>
        <w:tab w:val="left" w:pos="14034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9333" type="#_x0000_t75" style="position:absolute;left:0;text-align:left;margin-left:0;margin-top:15.85pt;width:40.2pt;height:21.45pt;z-index:251657216">
          <v:imagedata r:id="rId1" o:title="CSU RGB CZ logo-02"/>
        </v:shape>
      </w:pict>
    </w:r>
  </w:p>
  <w:p w:rsidR="009B00A5" w:rsidRPr="00811CDF" w:rsidRDefault="009B00A5" w:rsidP="00691AB0">
    <w:pPr>
      <w:pStyle w:val="Zpat"/>
      <w:tabs>
        <w:tab w:val="left" w:pos="6804"/>
        <w:tab w:val="left" w:pos="14034"/>
      </w:tabs>
      <w:rPr>
        <w:rFonts w:ascii="Arial" w:hAnsi="Arial" w:cs="Arial"/>
        <w:sz w:val="18"/>
        <w:szCs w:val="18"/>
      </w:rPr>
    </w:pPr>
    <w:r w:rsidRPr="00932443">
      <w:rPr>
        <w:szCs w:val="16"/>
      </w:rPr>
      <w:tab/>
    </w:r>
    <w:r>
      <w:rPr>
        <w:szCs w:val="16"/>
      </w:rPr>
      <w:tab/>
    </w:r>
    <w:r w:rsidRPr="00811CDF">
      <w:rPr>
        <w:rStyle w:val="ZpatChar"/>
        <w:rFonts w:ascii="Arial" w:hAnsi="Arial" w:cs="Arial"/>
        <w:sz w:val="18"/>
        <w:szCs w:val="18"/>
      </w:rPr>
      <w:t>2019</w:t>
    </w:r>
    <w:r w:rsidRPr="00811CDF">
      <w:rPr>
        <w:rFonts w:ascii="Arial" w:hAnsi="Arial" w:cs="Arial"/>
        <w:sz w:val="18"/>
        <w:szCs w:val="18"/>
      </w:rPr>
      <w:tab/>
    </w:r>
    <w:r w:rsidRPr="00811CDF">
      <w:rPr>
        <w:rFonts w:ascii="Arial" w:hAnsi="Arial" w:cs="Arial"/>
        <w:sz w:val="18"/>
        <w:szCs w:val="18"/>
      </w:rPr>
      <w:tab/>
    </w:r>
    <w:r w:rsidRPr="00811CDF">
      <w:rPr>
        <w:rFonts w:ascii="Arial" w:hAnsi="Arial" w:cs="Arial"/>
        <w:sz w:val="18"/>
        <w:szCs w:val="18"/>
      </w:rPr>
      <w:tab/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begin"/>
    </w:r>
    <w:r w:rsidRPr="00811CDF">
      <w:rPr>
        <w:rStyle w:val="ZpatChar"/>
        <w:rFonts w:ascii="Arial" w:hAnsi="Arial" w:cs="Arial"/>
        <w:sz w:val="18"/>
        <w:szCs w:val="18"/>
      </w:rPr>
      <w:instrText>PAGE   \* MERGEFORMAT</w:instrTex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separate"/>
    </w:r>
    <w:r w:rsidR="00EE19AD">
      <w:rPr>
        <w:rStyle w:val="ZpatChar"/>
        <w:rFonts w:ascii="Arial" w:hAnsi="Arial" w:cs="Arial"/>
        <w:noProof/>
        <w:sz w:val="18"/>
        <w:szCs w:val="18"/>
      </w:rPr>
      <w:t>35</w:t>
    </w:r>
    <w:r w:rsidR="00494A75" w:rsidRPr="00811CDF">
      <w:rPr>
        <w:rStyle w:val="ZpatCha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D5" w:rsidRDefault="00BF13D5" w:rsidP="00E71A58">
      <w:r>
        <w:separator/>
      </w:r>
    </w:p>
  </w:footnote>
  <w:footnote w:type="continuationSeparator" w:id="0">
    <w:p w:rsidR="00BF13D5" w:rsidRDefault="00BF13D5" w:rsidP="00E71A58">
      <w:r>
        <w:continuationSeparator/>
      </w:r>
    </w:p>
  </w:footnote>
  <w:footnote w:id="1">
    <w:p w:rsidR="009B00A5" w:rsidRPr="00620888" w:rsidRDefault="009B00A5">
      <w:pPr>
        <w:pStyle w:val="Textpoznpodarou"/>
        <w:rPr>
          <w:rFonts w:ascii="Arial" w:hAnsi="Arial" w:cs="Arial"/>
          <w:sz w:val="18"/>
          <w:szCs w:val="18"/>
        </w:rPr>
      </w:pPr>
      <w:r w:rsidRPr="00620888">
        <w:rPr>
          <w:rStyle w:val="Znakapoznpodarou"/>
          <w:rFonts w:ascii="Arial" w:hAnsi="Arial" w:cs="Arial"/>
          <w:sz w:val="18"/>
          <w:szCs w:val="18"/>
        </w:rPr>
        <w:footnoteRef/>
      </w:r>
      <w:r w:rsidRPr="00620888">
        <w:rPr>
          <w:rFonts w:ascii="Arial" w:hAnsi="Arial" w:cs="Arial"/>
          <w:sz w:val="18"/>
          <w:szCs w:val="18"/>
        </w:rPr>
        <w:t xml:space="preserve"> zisk po zdanění dělený tržbami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  <w:p w:rsidR="009B00A5" w:rsidRDefault="009B00A5" w:rsidP="009C7E56">
    <w:pPr>
      <w:pStyle w:val="Zhlav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  <w:p w:rsidR="009B00A5" w:rsidRPr="009C7E56" w:rsidRDefault="009B00A5">
    <w:pPr>
      <w:pStyle w:val="Zhlav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0A5" w:rsidRPr="009C7E56" w:rsidRDefault="009B00A5" w:rsidP="009C7E56">
    <w:pPr>
      <w:pStyle w:val="Zhlav"/>
      <w:spacing w:after="0"/>
      <w:rPr>
        <w:rFonts w:ascii="Arial" w:hAnsi="Arial" w:cs="Arial"/>
        <w:sz w:val="16"/>
        <w:szCs w:val="16"/>
      </w:rPr>
    </w:pPr>
    <w:r w:rsidRPr="009C7E56">
      <w:rPr>
        <w:rFonts w:ascii="Arial" w:hAnsi="Arial" w:cs="Arial"/>
        <w:sz w:val="16"/>
        <w:szCs w:val="16"/>
      </w:rPr>
      <w:t>Výsledky účtu kultury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8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4"/>
  </w:num>
  <w:num w:numId="5">
    <w:abstractNumId w:val="42"/>
  </w:num>
  <w:num w:numId="6">
    <w:abstractNumId w:val="18"/>
  </w:num>
  <w:num w:numId="7">
    <w:abstractNumId w:val="15"/>
  </w:num>
  <w:num w:numId="8">
    <w:abstractNumId w:val="40"/>
  </w:num>
  <w:num w:numId="9">
    <w:abstractNumId w:val="41"/>
  </w:num>
  <w:num w:numId="10">
    <w:abstractNumId w:val="28"/>
  </w:num>
  <w:num w:numId="11">
    <w:abstractNumId w:val="25"/>
  </w:num>
  <w:num w:numId="12">
    <w:abstractNumId w:val="35"/>
  </w:num>
  <w:num w:numId="13">
    <w:abstractNumId w:val="38"/>
  </w:num>
  <w:num w:numId="14">
    <w:abstractNumId w:val="36"/>
  </w:num>
  <w:num w:numId="15">
    <w:abstractNumId w:val="32"/>
  </w:num>
  <w:num w:numId="16">
    <w:abstractNumId w:val="21"/>
  </w:num>
  <w:num w:numId="17">
    <w:abstractNumId w:val="3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3"/>
  </w:num>
  <w:num w:numId="29">
    <w:abstractNumId w:val="33"/>
  </w:num>
  <w:num w:numId="30">
    <w:abstractNumId w:val="10"/>
  </w:num>
  <w:num w:numId="31">
    <w:abstractNumId w:val="12"/>
  </w:num>
  <w:num w:numId="32">
    <w:abstractNumId w:val="11"/>
  </w:num>
  <w:num w:numId="33">
    <w:abstractNumId w:val="26"/>
  </w:num>
  <w:num w:numId="34">
    <w:abstractNumId w:val="29"/>
  </w:num>
  <w:num w:numId="35">
    <w:abstractNumId w:val="34"/>
  </w:num>
  <w:num w:numId="36">
    <w:abstractNumId w:val="20"/>
  </w:num>
  <w:num w:numId="37">
    <w:abstractNumId w:val="27"/>
  </w:num>
  <w:num w:numId="38">
    <w:abstractNumId w:val="16"/>
  </w:num>
  <w:num w:numId="39">
    <w:abstractNumId w:val="17"/>
  </w:num>
  <w:num w:numId="40">
    <w:abstractNumId w:val="43"/>
  </w:num>
  <w:num w:numId="41">
    <w:abstractNumId w:val="22"/>
  </w:num>
  <w:num w:numId="42">
    <w:abstractNumId w:val="19"/>
  </w:num>
  <w:num w:numId="43">
    <w:abstractNumId w:val="24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62">
      <o:colormru v:ext="edit" colors="#ecf4dd,#eaecee,#fcec0a,#fcecdb,#f1daf5"/>
    </o:shapedefaults>
    <o:shapelayout v:ext="edit">
      <o:idmap v:ext="edit" data="97"/>
    </o:shapelayout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172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28"/>
    <w:rsid w:val="000114A4"/>
    <w:rsid w:val="00011DA8"/>
    <w:rsid w:val="00011F3D"/>
    <w:rsid w:val="00012C46"/>
    <w:rsid w:val="0001315B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2E5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4A4"/>
    <w:rsid w:val="000636B3"/>
    <w:rsid w:val="00063FC1"/>
    <w:rsid w:val="00065A43"/>
    <w:rsid w:val="000665F4"/>
    <w:rsid w:val="0006780C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EA"/>
    <w:rsid w:val="00093340"/>
    <w:rsid w:val="00096D5E"/>
    <w:rsid w:val="000A0B24"/>
    <w:rsid w:val="000A0F0E"/>
    <w:rsid w:val="000A0FF8"/>
    <w:rsid w:val="000A1183"/>
    <w:rsid w:val="000A1A9F"/>
    <w:rsid w:val="000A1C9C"/>
    <w:rsid w:val="000A1FC4"/>
    <w:rsid w:val="000A2002"/>
    <w:rsid w:val="000A344D"/>
    <w:rsid w:val="000A36DA"/>
    <w:rsid w:val="000A72DF"/>
    <w:rsid w:val="000B2D38"/>
    <w:rsid w:val="000B3393"/>
    <w:rsid w:val="000B3817"/>
    <w:rsid w:val="000B3E9E"/>
    <w:rsid w:val="000B3FA5"/>
    <w:rsid w:val="000B6EF8"/>
    <w:rsid w:val="000B70E7"/>
    <w:rsid w:val="000C0391"/>
    <w:rsid w:val="000C27A2"/>
    <w:rsid w:val="000C3408"/>
    <w:rsid w:val="000C3D1A"/>
    <w:rsid w:val="000C43C6"/>
    <w:rsid w:val="000C476F"/>
    <w:rsid w:val="000C4BCE"/>
    <w:rsid w:val="000C53B3"/>
    <w:rsid w:val="000C5653"/>
    <w:rsid w:val="000C62DD"/>
    <w:rsid w:val="000C7B44"/>
    <w:rsid w:val="000D0A66"/>
    <w:rsid w:val="000D21E1"/>
    <w:rsid w:val="000D2214"/>
    <w:rsid w:val="000D3256"/>
    <w:rsid w:val="000D3FD9"/>
    <w:rsid w:val="000D3FEF"/>
    <w:rsid w:val="000D41C4"/>
    <w:rsid w:val="000D4C2D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64E9"/>
    <w:rsid w:val="000E7074"/>
    <w:rsid w:val="000F0B50"/>
    <w:rsid w:val="000F1C7C"/>
    <w:rsid w:val="000F1F8C"/>
    <w:rsid w:val="000F4B0F"/>
    <w:rsid w:val="000F6B80"/>
    <w:rsid w:val="000F6FFD"/>
    <w:rsid w:val="000F73BB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B17"/>
    <w:rsid w:val="00130F4A"/>
    <w:rsid w:val="00132090"/>
    <w:rsid w:val="00134285"/>
    <w:rsid w:val="001342F6"/>
    <w:rsid w:val="00134579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EE4"/>
    <w:rsid w:val="0014678E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C09"/>
    <w:rsid w:val="00154C75"/>
    <w:rsid w:val="00155FA2"/>
    <w:rsid w:val="001577FA"/>
    <w:rsid w:val="00157EB6"/>
    <w:rsid w:val="0016269D"/>
    <w:rsid w:val="00162FCB"/>
    <w:rsid w:val="00163793"/>
    <w:rsid w:val="001661C5"/>
    <w:rsid w:val="001665E5"/>
    <w:rsid w:val="00166697"/>
    <w:rsid w:val="001670A1"/>
    <w:rsid w:val="00167C65"/>
    <w:rsid w:val="0017016E"/>
    <w:rsid w:val="00170BF2"/>
    <w:rsid w:val="00170E8B"/>
    <w:rsid w:val="001714F2"/>
    <w:rsid w:val="00171D41"/>
    <w:rsid w:val="00172569"/>
    <w:rsid w:val="00173531"/>
    <w:rsid w:val="00173703"/>
    <w:rsid w:val="001741A2"/>
    <w:rsid w:val="001760CA"/>
    <w:rsid w:val="00177A1E"/>
    <w:rsid w:val="001801FE"/>
    <w:rsid w:val="00180F64"/>
    <w:rsid w:val="00182456"/>
    <w:rsid w:val="00182CF3"/>
    <w:rsid w:val="0018356F"/>
    <w:rsid w:val="00184AD2"/>
    <w:rsid w:val="00184B71"/>
    <w:rsid w:val="00184C98"/>
    <w:rsid w:val="00185010"/>
    <w:rsid w:val="001857FC"/>
    <w:rsid w:val="001858F2"/>
    <w:rsid w:val="00185C4B"/>
    <w:rsid w:val="001874FC"/>
    <w:rsid w:val="001918B2"/>
    <w:rsid w:val="001919CC"/>
    <w:rsid w:val="00191AF3"/>
    <w:rsid w:val="00192EBA"/>
    <w:rsid w:val="0019310E"/>
    <w:rsid w:val="001932CD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1AF1"/>
    <w:rsid w:val="001A3531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13C4"/>
    <w:rsid w:val="001B1812"/>
    <w:rsid w:val="001B2077"/>
    <w:rsid w:val="001B23C7"/>
    <w:rsid w:val="001B3110"/>
    <w:rsid w:val="001B368B"/>
    <w:rsid w:val="001B55B6"/>
    <w:rsid w:val="001B5EAE"/>
    <w:rsid w:val="001B6DBF"/>
    <w:rsid w:val="001B721C"/>
    <w:rsid w:val="001B7827"/>
    <w:rsid w:val="001B7C88"/>
    <w:rsid w:val="001C01F3"/>
    <w:rsid w:val="001C11CA"/>
    <w:rsid w:val="001C36A4"/>
    <w:rsid w:val="001C378C"/>
    <w:rsid w:val="001C3E02"/>
    <w:rsid w:val="001C4417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D6A6F"/>
    <w:rsid w:val="001E020A"/>
    <w:rsid w:val="001E0AA5"/>
    <w:rsid w:val="001E0B54"/>
    <w:rsid w:val="001E12BB"/>
    <w:rsid w:val="001E342E"/>
    <w:rsid w:val="001E3995"/>
    <w:rsid w:val="001E4F12"/>
    <w:rsid w:val="001E554C"/>
    <w:rsid w:val="001E56F0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68C9"/>
    <w:rsid w:val="002169D5"/>
    <w:rsid w:val="0021730B"/>
    <w:rsid w:val="002203BA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67C7"/>
    <w:rsid w:val="00237048"/>
    <w:rsid w:val="00237E0D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47D44"/>
    <w:rsid w:val="00250807"/>
    <w:rsid w:val="0025314C"/>
    <w:rsid w:val="00253743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135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3CF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32C9"/>
    <w:rsid w:val="002B37BD"/>
    <w:rsid w:val="002B38C6"/>
    <w:rsid w:val="002B6FCF"/>
    <w:rsid w:val="002B71DD"/>
    <w:rsid w:val="002B7E46"/>
    <w:rsid w:val="002C1C2C"/>
    <w:rsid w:val="002C3743"/>
    <w:rsid w:val="002C38AD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65D3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111E"/>
    <w:rsid w:val="00382400"/>
    <w:rsid w:val="00384F4B"/>
    <w:rsid w:val="00385D98"/>
    <w:rsid w:val="0039067F"/>
    <w:rsid w:val="003920A5"/>
    <w:rsid w:val="00393CDB"/>
    <w:rsid w:val="00394009"/>
    <w:rsid w:val="0039428D"/>
    <w:rsid w:val="00394A56"/>
    <w:rsid w:val="0039617D"/>
    <w:rsid w:val="0039690A"/>
    <w:rsid w:val="0039720C"/>
    <w:rsid w:val="003A004A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44CA"/>
    <w:rsid w:val="003D5037"/>
    <w:rsid w:val="003D58AA"/>
    <w:rsid w:val="003D5D57"/>
    <w:rsid w:val="003E1BC7"/>
    <w:rsid w:val="003E247A"/>
    <w:rsid w:val="003E444C"/>
    <w:rsid w:val="003E47B8"/>
    <w:rsid w:val="003E6436"/>
    <w:rsid w:val="003E6610"/>
    <w:rsid w:val="003E6F0D"/>
    <w:rsid w:val="003E74F1"/>
    <w:rsid w:val="003F1562"/>
    <w:rsid w:val="003F2215"/>
    <w:rsid w:val="003F29B7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C67"/>
    <w:rsid w:val="00432D49"/>
    <w:rsid w:val="004333B9"/>
    <w:rsid w:val="00435122"/>
    <w:rsid w:val="0043575F"/>
    <w:rsid w:val="00436C81"/>
    <w:rsid w:val="004409F9"/>
    <w:rsid w:val="00441419"/>
    <w:rsid w:val="00442C72"/>
    <w:rsid w:val="0044303F"/>
    <w:rsid w:val="00444296"/>
    <w:rsid w:val="004443D7"/>
    <w:rsid w:val="004451D7"/>
    <w:rsid w:val="0044704A"/>
    <w:rsid w:val="004512B7"/>
    <w:rsid w:val="00453AD7"/>
    <w:rsid w:val="00456315"/>
    <w:rsid w:val="00456BBA"/>
    <w:rsid w:val="004571B5"/>
    <w:rsid w:val="004600F3"/>
    <w:rsid w:val="00461546"/>
    <w:rsid w:val="00461B09"/>
    <w:rsid w:val="00461F62"/>
    <w:rsid w:val="004637FC"/>
    <w:rsid w:val="00463DF0"/>
    <w:rsid w:val="00465DDB"/>
    <w:rsid w:val="004702DC"/>
    <w:rsid w:val="00470AC3"/>
    <w:rsid w:val="00471102"/>
    <w:rsid w:val="0047223A"/>
    <w:rsid w:val="00472C6B"/>
    <w:rsid w:val="00472CC3"/>
    <w:rsid w:val="00473BAB"/>
    <w:rsid w:val="00476265"/>
    <w:rsid w:val="00477774"/>
    <w:rsid w:val="00477AEF"/>
    <w:rsid w:val="0048086F"/>
    <w:rsid w:val="0048139F"/>
    <w:rsid w:val="00483539"/>
    <w:rsid w:val="00484A8E"/>
    <w:rsid w:val="00486E03"/>
    <w:rsid w:val="00487513"/>
    <w:rsid w:val="00493CD1"/>
    <w:rsid w:val="00494A75"/>
    <w:rsid w:val="00494EAC"/>
    <w:rsid w:val="004970D1"/>
    <w:rsid w:val="004A156B"/>
    <w:rsid w:val="004A2B92"/>
    <w:rsid w:val="004A30B2"/>
    <w:rsid w:val="004A545B"/>
    <w:rsid w:val="004A65EE"/>
    <w:rsid w:val="004A6936"/>
    <w:rsid w:val="004A6D3A"/>
    <w:rsid w:val="004A77DF"/>
    <w:rsid w:val="004A7A3F"/>
    <w:rsid w:val="004B13C0"/>
    <w:rsid w:val="004B16DF"/>
    <w:rsid w:val="004B288C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3094"/>
    <w:rsid w:val="004F4DFA"/>
    <w:rsid w:val="004F5E3A"/>
    <w:rsid w:val="004F690F"/>
    <w:rsid w:val="004F78AD"/>
    <w:rsid w:val="004F7E67"/>
    <w:rsid w:val="0050025B"/>
    <w:rsid w:val="005006E4"/>
    <w:rsid w:val="00501567"/>
    <w:rsid w:val="00506689"/>
    <w:rsid w:val="005101BF"/>
    <w:rsid w:val="005108B9"/>
    <w:rsid w:val="005108C0"/>
    <w:rsid w:val="00510991"/>
    <w:rsid w:val="0051113D"/>
    <w:rsid w:val="00511226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DAE"/>
    <w:rsid w:val="00543340"/>
    <w:rsid w:val="00543F06"/>
    <w:rsid w:val="0054686F"/>
    <w:rsid w:val="00546EF1"/>
    <w:rsid w:val="00546FDC"/>
    <w:rsid w:val="00551171"/>
    <w:rsid w:val="0056006C"/>
    <w:rsid w:val="00560108"/>
    <w:rsid w:val="0056037F"/>
    <w:rsid w:val="005609E5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77F49"/>
    <w:rsid w:val="00581347"/>
    <w:rsid w:val="00581B88"/>
    <w:rsid w:val="00583523"/>
    <w:rsid w:val="00583872"/>
    <w:rsid w:val="00583FFD"/>
    <w:rsid w:val="005843E4"/>
    <w:rsid w:val="00585C5C"/>
    <w:rsid w:val="0058677A"/>
    <w:rsid w:val="00586F5C"/>
    <w:rsid w:val="005902CB"/>
    <w:rsid w:val="005915B4"/>
    <w:rsid w:val="00593152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A7C70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3C37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C8A"/>
    <w:rsid w:val="005E47BF"/>
    <w:rsid w:val="005E50D7"/>
    <w:rsid w:val="005E6744"/>
    <w:rsid w:val="005E6AEE"/>
    <w:rsid w:val="005E7F4D"/>
    <w:rsid w:val="005F0301"/>
    <w:rsid w:val="005F035C"/>
    <w:rsid w:val="005F2E69"/>
    <w:rsid w:val="005F4950"/>
    <w:rsid w:val="005F4FDA"/>
    <w:rsid w:val="005F646F"/>
    <w:rsid w:val="005F71A6"/>
    <w:rsid w:val="005F721F"/>
    <w:rsid w:val="005F7971"/>
    <w:rsid w:val="00600CDB"/>
    <w:rsid w:val="00601C10"/>
    <w:rsid w:val="00602F8C"/>
    <w:rsid w:val="00604307"/>
    <w:rsid w:val="006046AE"/>
    <w:rsid w:val="0060487F"/>
    <w:rsid w:val="00604C8E"/>
    <w:rsid w:val="00604CF9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888"/>
    <w:rsid w:val="00620906"/>
    <w:rsid w:val="0062339D"/>
    <w:rsid w:val="00623611"/>
    <w:rsid w:val="00623821"/>
    <w:rsid w:val="00624093"/>
    <w:rsid w:val="00624D4E"/>
    <w:rsid w:val="00625534"/>
    <w:rsid w:val="00634729"/>
    <w:rsid w:val="006350A5"/>
    <w:rsid w:val="006360F1"/>
    <w:rsid w:val="006367EA"/>
    <w:rsid w:val="006404A7"/>
    <w:rsid w:val="006405DE"/>
    <w:rsid w:val="006411D8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529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11F"/>
    <w:rsid w:val="00660B8E"/>
    <w:rsid w:val="0066141D"/>
    <w:rsid w:val="00661E03"/>
    <w:rsid w:val="00661E15"/>
    <w:rsid w:val="006640AC"/>
    <w:rsid w:val="00664507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1AB0"/>
    <w:rsid w:val="00694914"/>
    <w:rsid w:val="006950C3"/>
    <w:rsid w:val="0069544F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6C2B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E633B"/>
    <w:rsid w:val="006F2898"/>
    <w:rsid w:val="006F31E4"/>
    <w:rsid w:val="006F5063"/>
    <w:rsid w:val="006F78BB"/>
    <w:rsid w:val="00700384"/>
    <w:rsid w:val="00701523"/>
    <w:rsid w:val="00701EC5"/>
    <w:rsid w:val="00701EFF"/>
    <w:rsid w:val="00702042"/>
    <w:rsid w:val="00702C7D"/>
    <w:rsid w:val="00702F00"/>
    <w:rsid w:val="00704803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2C28"/>
    <w:rsid w:val="00714826"/>
    <w:rsid w:val="007148A5"/>
    <w:rsid w:val="007210D6"/>
    <w:rsid w:val="007211F5"/>
    <w:rsid w:val="00722350"/>
    <w:rsid w:val="00722EF9"/>
    <w:rsid w:val="00723129"/>
    <w:rsid w:val="007233A2"/>
    <w:rsid w:val="00726115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47A72"/>
    <w:rsid w:val="00750D87"/>
    <w:rsid w:val="00751DC5"/>
    <w:rsid w:val="00752180"/>
    <w:rsid w:val="00752E59"/>
    <w:rsid w:val="0075310E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12BC"/>
    <w:rsid w:val="00772B59"/>
    <w:rsid w:val="00772D56"/>
    <w:rsid w:val="00772DA1"/>
    <w:rsid w:val="007738C7"/>
    <w:rsid w:val="007764CA"/>
    <w:rsid w:val="00776527"/>
    <w:rsid w:val="00781D20"/>
    <w:rsid w:val="00783501"/>
    <w:rsid w:val="00784EA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6124"/>
    <w:rsid w:val="007B7D35"/>
    <w:rsid w:val="007C0993"/>
    <w:rsid w:val="007C188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1CDF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5F4F"/>
    <w:rsid w:val="00846194"/>
    <w:rsid w:val="00847143"/>
    <w:rsid w:val="00847347"/>
    <w:rsid w:val="00850BFC"/>
    <w:rsid w:val="008512E7"/>
    <w:rsid w:val="00851419"/>
    <w:rsid w:val="00852103"/>
    <w:rsid w:val="00852FD8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44B8"/>
    <w:rsid w:val="00864853"/>
    <w:rsid w:val="00866A99"/>
    <w:rsid w:val="0086745D"/>
    <w:rsid w:val="00870D69"/>
    <w:rsid w:val="00871A6E"/>
    <w:rsid w:val="008725B4"/>
    <w:rsid w:val="00875C9E"/>
    <w:rsid w:val="00876086"/>
    <w:rsid w:val="00876A3A"/>
    <w:rsid w:val="0087759D"/>
    <w:rsid w:val="00877C01"/>
    <w:rsid w:val="008820A6"/>
    <w:rsid w:val="0088284D"/>
    <w:rsid w:val="00882967"/>
    <w:rsid w:val="00884286"/>
    <w:rsid w:val="0088482B"/>
    <w:rsid w:val="0088598B"/>
    <w:rsid w:val="008862D3"/>
    <w:rsid w:val="00890155"/>
    <w:rsid w:val="008905EC"/>
    <w:rsid w:val="0089266D"/>
    <w:rsid w:val="008927E1"/>
    <w:rsid w:val="00894302"/>
    <w:rsid w:val="00895548"/>
    <w:rsid w:val="008964FF"/>
    <w:rsid w:val="008979C4"/>
    <w:rsid w:val="008A07D3"/>
    <w:rsid w:val="008A09ED"/>
    <w:rsid w:val="008A0AD4"/>
    <w:rsid w:val="008A19DF"/>
    <w:rsid w:val="008A31C1"/>
    <w:rsid w:val="008A3E33"/>
    <w:rsid w:val="008A5146"/>
    <w:rsid w:val="008A53CB"/>
    <w:rsid w:val="008A6A11"/>
    <w:rsid w:val="008A7C3D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5E2F"/>
    <w:rsid w:val="008D6513"/>
    <w:rsid w:val="008D6B5F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E782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CCF"/>
    <w:rsid w:val="00911F2E"/>
    <w:rsid w:val="009124F1"/>
    <w:rsid w:val="00913CB6"/>
    <w:rsid w:val="00914126"/>
    <w:rsid w:val="009148D6"/>
    <w:rsid w:val="009150C0"/>
    <w:rsid w:val="00916F66"/>
    <w:rsid w:val="00917A68"/>
    <w:rsid w:val="00921349"/>
    <w:rsid w:val="00921B50"/>
    <w:rsid w:val="00921B97"/>
    <w:rsid w:val="00921F14"/>
    <w:rsid w:val="009227FE"/>
    <w:rsid w:val="00922E0F"/>
    <w:rsid w:val="009233B2"/>
    <w:rsid w:val="00924E33"/>
    <w:rsid w:val="009253A5"/>
    <w:rsid w:val="00927143"/>
    <w:rsid w:val="00927598"/>
    <w:rsid w:val="00931012"/>
    <w:rsid w:val="00932900"/>
    <w:rsid w:val="00934E40"/>
    <w:rsid w:val="00935A0D"/>
    <w:rsid w:val="00936824"/>
    <w:rsid w:val="0093714D"/>
    <w:rsid w:val="009421B4"/>
    <w:rsid w:val="0094244C"/>
    <w:rsid w:val="009427E0"/>
    <w:rsid w:val="00942F60"/>
    <w:rsid w:val="00943909"/>
    <w:rsid w:val="0094427A"/>
    <w:rsid w:val="00946D80"/>
    <w:rsid w:val="00947140"/>
    <w:rsid w:val="0095070B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22A9"/>
    <w:rsid w:val="00972FC7"/>
    <w:rsid w:val="009733D8"/>
    <w:rsid w:val="00973454"/>
    <w:rsid w:val="0097432A"/>
    <w:rsid w:val="00974923"/>
    <w:rsid w:val="00976385"/>
    <w:rsid w:val="00977DB4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6027"/>
    <w:rsid w:val="009A66C6"/>
    <w:rsid w:val="009A6971"/>
    <w:rsid w:val="009A75F3"/>
    <w:rsid w:val="009A7A3F"/>
    <w:rsid w:val="009B00A5"/>
    <w:rsid w:val="009B1045"/>
    <w:rsid w:val="009B195C"/>
    <w:rsid w:val="009B2F33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5BB"/>
    <w:rsid w:val="009C5639"/>
    <w:rsid w:val="009C62A4"/>
    <w:rsid w:val="009C64E1"/>
    <w:rsid w:val="009C6CB3"/>
    <w:rsid w:val="009C7E56"/>
    <w:rsid w:val="009C7F11"/>
    <w:rsid w:val="009D09CB"/>
    <w:rsid w:val="009D1443"/>
    <w:rsid w:val="009D1495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34B8"/>
    <w:rsid w:val="009E3950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5F2B"/>
    <w:rsid w:val="00A20AC3"/>
    <w:rsid w:val="00A2331B"/>
    <w:rsid w:val="00A2347A"/>
    <w:rsid w:val="00A23E43"/>
    <w:rsid w:val="00A24289"/>
    <w:rsid w:val="00A242B0"/>
    <w:rsid w:val="00A2551E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6DE0"/>
    <w:rsid w:val="00A47539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C52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F96"/>
    <w:rsid w:val="00AA632A"/>
    <w:rsid w:val="00AA781E"/>
    <w:rsid w:val="00AB12D8"/>
    <w:rsid w:val="00AB2949"/>
    <w:rsid w:val="00AB2AF1"/>
    <w:rsid w:val="00AB32A2"/>
    <w:rsid w:val="00AB395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1943"/>
    <w:rsid w:val="00AD20E8"/>
    <w:rsid w:val="00AD306C"/>
    <w:rsid w:val="00AD473A"/>
    <w:rsid w:val="00AD5932"/>
    <w:rsid w:val="00AD617C"/>
    <w:rsid w:val="00AD648B"/>
    <w:rsid w:val="00AE1B59"/>
    <w:rsid w:val="00AE42D9"/>
    <w:rsid w:val="00AE562A"/>
    <w:rsid w:val="00AF026E"/>
    <w:rsid w:val="00AF1D7D"/>
    <w:rsid w:val="00AF21F2"/>
    <w:rsid w:val="00AF36B3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6DD7"/>
    <w:rsid w:val="00B07800"/>
    <w:rsid w:val="00B10C48"/>
    <w:rsid w:val="00B11CD3"/>
    <w:rsid w:val="00B11CDD"/>
    <w:rsid w:val="00B134BB"/>
    <w:rsid w:val="00B14DF9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6210"/>
    <w:rsid w:val="00B374C5"/>
    <w:rsid w:val="00B41036"/>
    <w:rsid w:val="00B41304"/>
    <w:rsid w:val="00B414F8"/>
    <w:rsid w:val="00B41BE5"/>
    <w:rsid w:val="00B42372"/>
    <w:rsid w:val="00B427B2"/>
    <w:rsid w:val="00B44D79"/>
    <w:rsid w:val="00B45232"/>
    <w:rsid w:val="00B45422"/>
    <w:rsid w:val="00B508F7"/>
    <w:rsid w:val="00B51FC3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0C0B"/>
    <w:rsid w:val="00BD1D56"/>
    <w:rsid w:val="00BD2F1E"/>
    <w:rsid w:val="00BD366B"/>
    <w:rsid w:val="00BD3CB7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3D5"/>
    <w:rsid w:val="00BF199B"/>
    <w:rsid w:val="00BF33BA"/>
    <w:rsid w:val="00BF3A86"/>
    <w:rsid w:val="00BF4864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9BA"/>
    <w:rsid w:val="00C22D52"/>
    <w:rsid w:val="00C22FBD"/>
    <w:rsid w:val="00C26558"/>
    <w:rsid w:val="00C30140"/>
    <w:rsid w:val="00C30C52"/>
    <w:rsid w:val="00C30DFA"/>
    <w:rsid w:val="00C32DCF"/>
    <w:rsid w:val="00C35CC0"/>
    <w:rsid w:val="00C37C2F"/>
    <w:rsid w:val="00C430FD"/>
    <w:rsid w:val="00C4315C"/>
    <w:rsid w:val="00C43825"/>
    <w:rsid w:val="00C44D39"/>
    <w:rsid w:val="00C466D1"/>
    <w:rsid w:val="00C47F27"/>
    <w:rsid w:val="00C5141B"/>
    <w:rsid w:val="00C515BF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67B80"/>
    <w:rsid w:val="00C716DF"/>
    <w:rsid w:val="00C7180D"/>
    <w:rsid w:val="00C71DEC"/>
    <w:rsid w:val="00C720AF"/>
    <w:rsid w:val="00C73886"/>
    <w:rsid w:val="00C76A44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8A8"/>
    <w:rsid w:val="00CC15C7"/>
    <w:rsid w:val="00CC1BCB"/>
    <w:rsid w:val="00CC31D3"/>
    <w:rsid w:val="00CC6AC0"/>
    <w:rsid w:val="00CC6CE2"/>
    <w:rsid w:val="00CD073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4EA8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AE0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57F7"/>
    <w:rsid w:val="00D36CF5"/>
    <w:rsid w:val="00D37936"/>
    <w:rsid w:val="00D40648"/>
    <w:rsid w:val="00D41139"/>
    <w:rsid w:val="00D424F7"/>
    <w:rsid w:val="00D42E39"/>
    <w:rsid w:val="00D43557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57707"/>
    <w:rsid w:val="00D61FFA"/>
    <w:rsid w:val="00D645B6"/>
    <w:rsid w:val="00D64DAC"/>
    <w:rsid w:val="00D66A96"/>
    <w:rsid w:val="00D7252F"/>
    <w:rsid w:val="00D72956"/>
    <w:rsid w:val="00D739E9"/>
    <w:rsid w:val="00D73DDD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3C11"/>
    <w:rsid w:val="00D85311"/>
    <w:rsid w:val="00D86177"/>
    <w:rsid w:val="00D862DB"/>
    <w:rsid w:val="00D862E2"/>
    <w:rsid w:val="00D870FA"/>
    <w:rsid w:val="00D8721D"/>
    <w:rsid w:val="00D90902"/>
    <w:rsid w:val="00D92640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B0AFA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5B65"/>
    <w:rsid w:val="00DB63A5"/>
    <w:rsid w:val="00DC2851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95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E64D2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5339"/>
    <w:rsid w:val="00E26F9A"/>
    <w:rsid w:val="00E27145"/>
    <w:rsid w:val="00E302A2"/>
    <w:rsid w:val="00E313C9"/>
    <w:rsid w:val="00E32007"/>
    <w:rsid w:val="00E32551"/>
    <w:rsid w:val="00E32F67"/>
    <w:rsid w:val="00E336FD"/>
    <w:rsid w:val="00E34129"/>
    <w:rsid w:val="00E34334"/>
    <w:rsid w:val="00E34372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5EF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1CFB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1BA9"/>
    <w:rsid w:val="00EB248A"/>
    <w:rsid w:val="00EB2612"/>
    <w:rsid w:val="00EB34FD"/>
    <w:rsid w:val="00EB62C4"/>
    <w:rsid w:val="00EB6691"/>
    <w:rsid w:val="00EB7708"/>
    <w:rsid w:val="00EC224D"/>
    <w:rsid w:val="00EC276B"/>
    <w:rsid w:val="00EC491F"/>
    <w:rsid w:val="00EC5902"/>
    <w:rsid w:val="00EC5D3C"/>
    <w:rsid w:val="00EC74C1"/>
    <w:rsid w:val="00ED0206"/>
    <w:rsid w:val="00ED0329"/>
    <w:rsid w:val="00ED286F"/>
    <w:rsid w:val="00ED437A"/>
    <w:rsid w:val="00ED59A5"/>
    <w:rsid w:val="00ED7FC7"/>
    <w:rsid w:val="00EE01FF"/>
    <w:rsid w:val="00EE05ED"/>
    <w:rsid w:val="00EE0FF9"/>
    <w:rsid w:val="00EE19A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3B7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34F4"/>
    <w:rsid w:val="00F0445F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4547"/>
    <w:rsid w:val="00F4638E"/>
    <w:rsid w:val="00F46391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021"/>
    <w:rsid w:val="00F823B2"/>
    <w:rsid w:val="00F824F1"/>
    <w:rsid w:val="00F82744"/>
    <w:rsid w:val="00F85F9A"/>
    <w:rsid w:val="00F9011F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87E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0803"/>
    <w:rsid w:val="00FD1391"/>
    <w:rsid w:val="00FD15DF"/>
    <w:rsid w:val="00FD3B1F"/>
    <w:rsid w:val="00FD3E28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F49"/>
    <w:rsid w:val="00FF3DCC"/>
    <w:rsid w:val="00FF475F"/>
    <w:rsid w:val="00FF5022"/>
    <w:rsid w:val="00FF5039"/>
    <w:rsid w:val="00FF526E"/>
    <w:rsid w:val="00FF5771"/>
    <w:rsid w:val="00FF66DD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E56"/>
    <w:pPr>
      <w:spacing w:before="240" w:after="60" w:line="288" w:lineRule="auto"/>
      <w:jc w:val="left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qFormat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aliases w:val="Tučné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66011F"/>
    <w:pPr>
      <w:tabs>
        <w:tab w:val="left" w:pos="440"/>
        <w:tab w:val="right" w:leader="dot" w:pos="9639"/>
      </w:tabs>
      <w:spacing w:after="100" w:line="276" w:lineRule="auto"/>
    </w:pPr>
    <w:rPr>
      <w:rFonts w:cs="Arial"/>
      <w:noProof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qFormat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E56"/>
    <w:rPr>
      <w:rFonts w:ascii="Cambria" w:eastAsia="Times New Roman" w:hAnsi="Cambria"/>
      <w:sz w:val="22"/>
      <w:szCs w:val="22"/>
    </w:rPr>
  </w:style>
  <w:style w:type="paragraph" w:customStyle="1" w:styleId="TLIdentifikace-sted">
    <w:name w:val="TL Identifikace - střed"/>
    <w:qFormat/>
    <w:rsid w:val="009C7E56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poloky">
    <w:name w:val="Obsah položky"/>
    <w:qFormat/>
    <w:rsid w:val="009C7E56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styleId="Seznam">
    <w:name w:val="List"/>
    <w:basedOn w:val="Normln"/>
    <w:uiPriority w:val="99"/>
    <w:unhideWhenUsed/>
    <w:qFormat/>
    <w:rsid w:val="009C7E56"/>
    <w:pPr>
      <w:spacing w:after="240" w:line="288" w:lineRule="auto"/>
      <w:contextualSpacing/>
      <w:jc w:val="left"/>
    </w:pPr>
  </w:style>
  <w:style w:type="paragraph" w:customStyle="1" w:styleId="TLKontaktyerven">
    <w:name w:val="TL Kontakty červené"/>
    <w:basedOn w:val="Normln"/>
    <w:qFormat/>
    <w:rsid w:val="009C7E56"/>
    <w:pPr>
      <w:spacing w:after="40" w:line="288" w:lineRule="auto"/>
      <w:contextualSpacing/>
      <w:jc w:val="left"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9C7E5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Obsah4">
    <w:name w:val="toc 4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C7E56"/>
    <w:pPr>
      <w:tabs>
        <w:tab w:val="clear" w:pos="9639"/>
      </w:tabs>
      <w:ind w:left="1600"/>
    </w:pPr>
    <w:rPr>
      <w:rFonts w:ascii="Calibri" w:hAnsi="Calibri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7E56"/>
    <w:pPr>
      <w:spacing w:line="480" w:lineRule="auto"/>
      <w:ind w:left="283"/>
      <w:jc w:val="left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7E56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9C7E56"/>
    <w:pPr>
      <w:spacing w:after="0" w:line="240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9C7E5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file:///C:\Users\Milan\Desktop\home%20office%20CSU\publikace\090004-20_pracovni_verze.docx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1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an\Desktop\home%20office%20CSU\Sat.%20&#250;&#269;et%20kultury\S&#218;K%202019\Final\posledn&#237;\SUK2019\Final\S&#218;K%202019\Graf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Grafy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at.%20&#250;&#269;et%20kultury\SUK2019\Final\S&#218;K%202019\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1169844733263991"/>
          <c:y val="0.13506154753911576"/>
          <c:w val="0.66018910286816945"/>
          <c:h val="0.8644908339945957"/>
        </c:manualLayout>
      </c:layout>
      <c:barChart>
        <c:barDir val="bar"/>
        <c:grouping val="percentStacked"/>
        <c:ser>
          <c:idx val="0"/>
          <c:order val="0"/>
          <c:tx>
            <c:strRef>
              <c:f>List1!$B$26</c:f>
              <c:strCache>
                <c:ptCount val="1"/>
                <c:pt idx="0">
                  <c:v>Veřejné rozpočty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List1!$B$27:$B$35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1.7498535432936603E-3</c:v>
                </c:pt>
                <c:pt idx="3">
                  <c:v>8.9711038851025705E-3</c:v>
                </c:pt>
                <c:pt idx="4">
                  <c:v>4.9026593787797064E-2</c:v>
                </c:pt>
                <c:pt idx="5">
                  <c:v>0.37900574891611116</c:v>
                </c:pt>
                <c:pt idx="6">
                  <c:v>0.64468486516609924</c:v>
                </c:pt>
                <c:pt idx="7">
                  <c:v>0.64514021078445516</c:v>
                </c:pt>
                <c:pt idx="8">
                  <c:v>0.82665622815878526</c:v>
                </c:pt>
              </c:numCache>
            </c:numRef>
          </c:val>
        </c:ser>
        <c:ser>
          <c:idx val="1"/>
          <c:order val="1"/>
          <c:tx>
            <c:strRef>
              <c:f>List1!$C$26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List1!$C$27:$C$35</c:f>
              <c:numCache>
                <c:formatCode>General</c:formatCode>
                <c:ptCount val="9"/>
                <c:pt idx="0">
                  <c:v>8.4257786242710811E-3</c:v>
                </c:pt>
                <c:pt idx="1">
                  <c:v>2.642173108250379E-3</c:v>
                </c:pt>
                <c:pt idx="2">
                  <c:v>0.39463776575603032</c:v>
                </c:pt>
                <c:pt idx="3">
                  <c:v>0.42290341318802782</c:v>
                </c:pt>
                <c:pt idx="4">
                  <c:v>0.49336485298025046</c:v>
                </c:pt>
                <c:pt idx="5">
                  <c:v>0.23163952743427738</c:v>
                </c:pt>
                <c:pt idx="6">
                  <c:v>5.1720349445381772E-2</c:v>
                </c:pt>
                <c:pt idx="7">
                  <c:v>0.18622689495635344</c:v>
                </c:pt>
                <c:pt idx="8">
                  <c:v>0.17334364835729482</c:v>
                </c:pt>
              </c:numCache>
            </c:numRef>
          </c:val>
        </c:ser>
        <c:ser>
          <c:idx val="2"/>
          <c:order val="2"/>
          <c:tx>
            <c:strRef>
              <c:f>List1!$D$26</c:f>
              <c:strCache>
                <c:ptCount val="1"/>
                <c:pt idx="0">
                  <c:v>Podniky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List1!$D$27:$D$35</c:f>
              <c:numCache>
                <c:formatCode>General</c:formatCode>
                <c:ptCount val="9"/>
                <c:pt idx="0">
                  <c:v>0.99152056993364068</c:v>
                </c:pt>
                <c:pt idx="1">
                  <c:v>0.99733815848257568</c:v>
                </c:pt>
                <c:pt idx="2">
                  <c:v>0.6034166729998347</c:v>
                </c:pt>
                <c:pt idx="3">
                  <c:v>0.56634104089935011</c:v>
                </c:pt>
                <c:pt idx="4">
                  <c:v>0.41190439263027917</c:v>
                </c:pt>
                <c:pt idx="5">
                  <c:v>0.37318115688571685</c:v>
                </c:pt>
                <c:pt idx="6">
                  <c:v>0.21393885527760076</c:v>
                </c:pt>
                <c:pt idx="7">
                  <c:v>0.13865975451464702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List1!$E$26</c:f>
              <c:strCache>
                <c:ptCount val="1"/>
                <c:pt idx="0">
                  <c:v>Neziskové instituce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List1!$E$27:$E$35</c:f>
              <c:numCache>
                <c:formatCode>General</c:formatCode>
                <c:ptCount val="9"/>
                <c:pt idx="0">
                  <c:v>6.2717918363043756E-6</c:v>
                </c:pt>
                <c:pt idx="1">
                  <c:v>0</c:v>
                </c:pt>
                <c:pt idx="2">
                  <c:v>6.3668309331154469E-5</c:v>
                </c:pt>
                <c:pt idx="3">
                  <c:v>7.9101814668070393E-4</c:v>
                </c:pt>
                <c:pt idx="4">
                  <c:v>2.1048964764654052E-2</c:v>
                </c:pt>
                <c:pt idx="5">
                  <c:v>1.0833702139581859E-2</c:v>
                </c:pt>
                <c:pt idx="6">
                  <c:v>8.9629354025783745E-2</c:v>
                </c:pt>
                <c:pt idx="7">
                  <c:v>9.9212891918611726E-3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List1!$F$26</c:f>
              <c:strCache>
                <c:ptCount val="1"/>
                <c:pt idx="0">
                  <c:v>Ostatní svět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List1!$A$27:$A$35</c:f>
              <c:strCache>
                <c:ptCount val="9"/>
                <c:pt idx="0">
                  <c:v>Architektura</c:v>
                </c:pt>
                <c:pt idx="1">
                  <c:v>Reklama</c:v>
                </c:pt>
                <c:pt idx="2">
                  <c:v>Periodický a neperiodický tisk</c:v>
                </c:pt>
                <c:pt idx="3">
                  <c:v>Výtvarné umění</c:v>
                </c:pt>
                <c:pt idx="4">
                  <c:v>Audiovizuální a interaktivní média</c:v>
                </c:pt>
                <c:pt idx="5">
                  <c:v>Interpretační umění</c:v>
                </c:pt>
                <c:pt idx="6">
                  <c:v>Správa a podpora kulturní činnosti</c:v>
                </c:pt>
                <c:pt idx="7">
                  <c:v>Kulturní dědictví</c:v>
                </c:pt>
                <c:pt idx="8">
                  <c:v>Umělecké vzdělávání</c:v>
                </c:pt>
              </c:strCache>
            </c:strRef>
          </c:cat>
          <c:val>
            <c:numRef>
              <c:f>List1!$F$27:$F$35</c:f>
              <c:numCache>
                <c:formatCode>General</c:formatCode>
                <c:ptCount val="9"/>
                <c:pt idx="0">
                  <c:v>4.7379650245242357E-5</c:v>
                </c:pt>
                <c:pt idx="1">
                  <c:v>1.9668409174063313E-5</c:v>
                </c:pt>
                <c:pt idx="2">
                  <c:v>1.3203939151063384E-4</c:v>
                </c:pt>
                <c:pt idx="3">
                  <c:v>9.9342388083874743E-4</c:v>
                </c:pt>
                <c:pt idx="4">
                  <c:v>2.4655195837025811E-2</c:v>
                </c:pt>
                <c:pt idx="5">
                  <c:v>5.3398646243128971E-3</c:v>
                </c:pt>
                <c:pt idx="6">
                  <c:v>2.6576085139913753E-5</c:v>
                </c:pt>
                <c:pt idx="7">
                  <c:v>2.0051850552688742E-2</c:v>
                </c:pt>
                <c:pt idx="8">
                  <c:v>1.2348392609734091E-7</c:v>
                </c:pt>
              </c:numCache>
            </c:numRef>
          </c:val>
        </c:ser>
        <c:overlap val="100"/>
        <c:axId val="104451072"/>
        <c:axId val="104456960"/>
      </c:barChart>
      <c:catAx>
        <c:axId val="104451072"/>
        <c:scaling>
          <c:orientation val="minMax"/>
        </c:scaling>
        <c:axPos val="l"/>
        <c:tickLblPos val="nextTo"/>
        <c:crossAx val="104456960"/>
        <c:crosses val="autoZero"/>
        <c:auto val="1"/>
        <c:lblAlgn val="ctr"/>
        <c:lblOffset val="100"/>
      </c:catAx>
      <c:valAx>
        <c:axId val="104456960"/>
        <c:scaling>
          <c:orientation val="minMax"/>
        </c:scaling>
        <c:delete val="1"/>
        <c:axPos val="b"/>
        <c:numFmt formatCode="0%" sourceLinked="1"/>
        <c:tickLblPos val="none"/>
        <c:crossAx val="104451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30420896183226"/>
          <c:y val="0"/>
          <c:w val="0.79939142396357743"/>
          <c:h val="9.3451748763963491E-2"/>
        </c:manualLayout>
      </c:layout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2450262259214713"/>
          <c:y val="0.11279641225949119"/>
          <c:w val="0.65859296024015945"/>
          <c:h val="0.88720358774050856"/>
        </c:manualLayout>
      </c:layout>
      <c:barChart>
        <c:barDir val="bar"/>
        <c:grouping val="clustered"/>
        <c:ser>
          <c:idx val="1"/>
          <c:order val="0"/>
          <c:tx>
            <c:strRef>
              <c:f>'zahr. obchod'!$C$1</c:f>
              <c:strCache>
                <c:ptCount val="1"/>
                <c:pt idx="0">
                  <c:v>Dovoz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obchod'!$C$2:$C$8</c:f>
              <c:numCache>
                <c:formatCode>#,##0.0</c:formatCode>
                <c:ptCount val="7"/>
                <c:pt idx="0">
                  <c:v>9.1859000000000024E-2</c:v>
                </c:pt>
                <c:pt idx="1">
                  <c:v>1.1081030000000001</c:v>
                </c:pt>
                <c:pt idx="2">
                  <c:v>2.0914649999999977</c:v>
                </c:pt>
                <c:pt idx="3">
                  <c:v>3.9308689999999706</c:v>
                </c:pt>
                <c:pt idx="4">
                  <c:v>14.13799</c:v>
                </c:pt>
                <c:pt idx="5">
                  <c:v>13.024476</c:v>
                </c:pt>
                <c:pt idx="6">
                  <c:v>21.316485000000135</c:v>
                </c:pt>
              </c:numCache>
            </c:numRef>
          </c:val>
        </c:ser>
        <c:ser>
          <c:idx val="0"/>
          <c:order val="1"/>
          <c:tx>
            <c:strRef>
              <c:f>'zahr. obchod'!$B$1</c:f>
              <c:strCache>
                <c:ptCount val="1"/>
                <c:pt idx="0">
                  <c:v>Vývoz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'zahr. obchod'!$A$2:$A$8</c:f>
              <c:strCache>
                <c:ptCount val="7"/>
                <c:pt idx="0">
                  <c:v>Architektura</c:v>
                </c:pt>
                <c:pt idx="1">
                  <c:v>Kulturní dědictví</c:v>
                </c:pt>
                <c:pt idx="2">
                  <c:v>Interpretační umění</c:v>
                </c:pt>
                <c:pt idx="3">
                  <c:v>Výtvarné umění</c:v>
                </c:pt>
                <c:pt idx="4">
                  <c:v>Reklama</c:v>
                </c:pt>
                <c:pt idx="5">
                  <c:v>Periodický a neperiodický tisk</c:v>
                </c:pt>
                <c:pt idx="6">
                  <c:v>Audiovizuální a interaktivní média</c:v>
                </c:pt>
              </c:strCache>
            </c:strRef>
          </c:cat>
          <c:val>
            <c:numRef>
              <c:f>'zahr. obchod'!$B$2:$B$8</c:f>
              <c:numCache>
                <c:formatCode>#,##0.0</c:formatCode>
                <c:ptCount val="7"/>
                <c:pt idx="0">
                  <c:v>0.31455500000000008</c:v>
                </c:pt>
                <c:pt idx="1">
                  <c:v>0.76122299999999998</c:v>
                </c:pt>
                <c:pt idx="2">
                  <c:v>1.5134799999999908</c:v>
                </c:pt>
                <c:pt idx="3">
                  <c:v>2.7552399999999997</c:v>
                </c:pt>
                <c:pt idx="4">
                  <c:v>13.035243000000001</c:v>
                </c:pt>
                <c:pt idx="5">
                  <c:v>15.062852000000024</c:v>
                </c:pt>
                <c:pt idx="6">
                  <c:v>29.738173</c:v>
                </c:pt>
              </c:numCache>
            </c:numRef>
          </c:val>
        </c:ser>
        <c:gapWidth val="101"/>
        <c:axId val="125494016"/>
        <c:axId val="125495552"/>
      </c:barChart>
      <c:catAx>
        <c:axId val="125494016"/>
        <c:scaling>
          <c:orientation val="minMax"/>
        </c:scaling>
        <c:axPos val="l"/>
        <c:tickLblPos val="nextTo"/>
        <c:crossAx val="125495552"/>
        <c:crosses val="autoZero"/>
        <c:auto val="1"/>
        <c:lblAlgn val="ctr"/>
        <c:lblOffset val="100"/>
      </c:catAx>
      <c:valAx>
        <c:axId val="125495552"/>
        <c:scaling>
          <c:orientation val="minMax"/>
        </c:scaling>
        <c:delete val="1"/>
        <c:axPos val="b"/>
        <c:numFmt formatCode="#,##0.0" sourceLinked="1"/>
        <c:tickLblPos val="none"/>
        <c:crossAx val="125494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017493666372284"/>
          <c:y val="0"/>
          <c:w val="0.17964996081650941"/>
          <c:h val="9.4923429846859766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0831325301204818"/>
          <c:y val="0.15322353054492194"/>
          <c:w val="0.75736789678398664"/>
          <c:h val="0.71053817814057663"/>
        </c:manualLayout>
      </c:layout>
      <c:barChart>
        <c:barDir val="col"/>
        <c:grouping val="stacked"/>
        <c:ser>
          <c:idx val="0"/>
          <c:order val="0"/>
          <c:tx>
            <c:strRef>
              <c:f>'veřejné výdaje'!$A$9</c:f>
              <c:strCache>
                <c:ptCount val="1"/>
                <c:pt idx="0">
                  <c:v>Provozní</c:v>
                </c:pt>
              </c:strCache>
            </c:strRef>
          </c:tx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výdaje'!$B$9:$G$9</c:f>
              <c:numCache>
                <c:formatCode>General</c:formatCode>
                <c:ptCount val="6"/>
                <c:pt idx="0">
                  <c:v>30.1</c:v>
                </c:pt>
                <c:pt idx="1">
                  <c:v>28.2</c:v>
                </c:pt>
                <c:pt idx="2">
                  <c:v>28.2</c:v>
                </c:pt>
                <c:pt idx="3">
                  <c:v>29.7</c:v>
                </c:pt>
                <c:pt idx="4">
                  <c:v>31.7</c:v>
                </c:pt>
                <c:pt idx="5">
                  <c:v>33.300000000000004</c:v>
                </c:pt>
              </c:numCache>
            </c:numRef>
          </c:val>
        </c:ser>
        <c:ser>
          <c:idx val="1"/>
          <c:order val="1"/>
          <c:tx>
            <c:strRef>
              <c:f>'veřejné výdaje'!$A$10</c:f>
              <c:strCache>
                <c:ptCount val="1"/>
                <c:pt idx="0">
                  <c:v>Investiční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výdaje'!$B$10:$G$10</c:f>
              <c:numCache>
                <c:formatCode>General</c:formatCode>
                <c:ptCount val="6"/>
                <c:pt idx="0">
                  <c:v>5.8</c:v>
                </c:pt>
                <c:pt idx="1">
                  <c:v>6.1</c:v>
                </c:pt>
                <c:pt idx="2">
                  <c:v>6.1</c:v>
                </c:pt>
                <c:pt idx="3">
                  <c:v>3.9</c:v>
                </c:pt>
                <c:pt idx="4">
                  <c:v>4.0999999999999996</c:v>
                </c:pt>
                <c:pt idx="5">
                  <c:v>8.1</c:v>
                </c:pt>
              </c:numCache>
            </c:numRef>
          </c:val>
        </c:ser>
        <c:overlap val="100"/>
        <c:axId val="104583168"/>
        <c:axId val="104584704"/>
      </c:barChart>
      <c:lineChart>
        <c:grouping val="standard"/>
        <c:ser>
          <c:idx val="2"/>
          <c:order val="2"/>
          <c:tx>
            <c:strRef>
              <c:f>'veřejné výdaje'!$A$11</c:f>
              <c:strCache>
                <c:ptCount val="1"/>
                <c:pt idx="0">
                  <c:v>Podíl na celkových veřejných výdajích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'veřejné výdaje'!$B$8:$G$8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'veřejné výdaje'!$B$11:$G$11</c:f>
              <c:numCache>
                <c:formatCode>General</c:formatCode>
                <c:ptCount val="6"/>
                <c:pt idx="0">
                  <c:v>2.1500000000000002E-2</c:v>
                </c:pt>
                <c:pt idx="1">
                  <c:v>1.9300000000000126E-2</c:v>
                </c:pt>
                <c:pt idx="2">
                  <c:v>1.9699999999999999E-2</c:v>
                </c:pt>
                <c:pt idx="3">
                  <c:v>1.9900000000000147E-2</c:v>
                </c:pt>
                <c:pt idx="4">
                  <c:v>2.0600000000000011E-2</c:v>
                </c:pt>
                <c:pt idx="5">
                  <c:v>1.9900000000000147E-2</c:v>
                </c:pt>
              </c:numCache>
            </c:numRef>
          </c:val>
        </c:ser>
        <c:marker val="1"/>
        <c:axId val="104592896"/>
        <c:axId val="104586624"/>
      </c:lineChart>
      <c:catAx>
        <c:axId val="1045831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4584704"/>
        <c:crosses val="autoZero"/>
        <c:auto val="1"/>
        <c:lblAlgn val="ctr"/>
        <c:lblOffset val="100"/>
      </c:catAx>
      <c:valAx>
        <c:axId val="1045847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Veřejné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výdaje na kulturu     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8.1799591002044997E-3"/>
              <c:y val="0.1569051209024417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4583168"/>
        <c:crosses val="autoZero"/>
        <c:crossBetween val="between"/>
      </c:valAx>
      <c:valAx>
        <c:axId val="104586624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 b="0" i="0" baseline="0">
                    <a:latin typeface="Arial" pitchFamily="34" charset="0"/>
                    <a:cs typeface="Arial" pitchFamily="34" charset="0"/>
                  </a:rPr>
                  <a:t>Podíl kultury na celkových veř. výdajích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96117578860924591"/>
              <c:y val="0.14272072373931977"/>
            </c:manualLayout>
          </c:layout>
        </c:title>
        <c:numFmt formatCode="0.0%" sourceLinked="0"/>
        <c:tickLblPos val="nextTo"/>
        <c:crossAx val="104592896"/>
        <c:crosses val="max"/>
        <c:crossBetween val="between"/>
        <c:majorUnit val="4.0000000000000114E-3"/>
      </c:valAx>
      <c:catAx>
        <c:axId val="104592896"/>
        <c:scaling>
          <c:orientation val="minMax"/>
        </c:scaling>
        <c:delete val="1"/>
        <c:axPos val="b"/>
        <c:numFmt formatCode="General" sourceLinked="1"/>
        <c:tickLblPos val="none"/>
        <c:crossAx val="10458662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14204803465831894"/>
          <c:y val="0"/>
          <c:w val="0.71590377257060256"/>
          <c:h val="9.755062727250835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'výdaje domácností'!$A$2</c:f>
              <c:strCache>
                <c:ptCount val="1"/>
                <c:pt idx="0">
                  <c:v>Výdaje na kulturu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domácností'!$B$2:$G$2</c:f>
              <c:numCache>
                <c:formatCode>#,##0</c:formatCode>
                <c:ptCount val="6"/>
                <c:pt idx="0">
                  <c:v>45.579056000000008</c:v>
                </c:pt>
                <c:pt idx="1">
                  <c:v>44.886162999999996</c:v>
                </c:pt>
                <c:pt idx="2">
                  <c:v>47.903888999999999</c:v>
                </c:pt>
                <c:pt idx="3">
                  <c:v>49.754665999999993</c:v>
                </c:pt>
                <c:pt idx="4">
                  <c:v>51.992427000000006</c:v>
                </c:pt>
                <c:pt idx="5">
                  <c:v>57.396486999999993</c:v>
                </c:pt>
              </c:numCache>
            </c:numRef>
          </c:val>
        </c:ser>
        <c:axId val="125311616"/>
        <c:axId val="125317504"/>
      </c:barChart>
      <c:lineChart>
        <c:grouping val="standard"/>
        <c:ser>
          <c:idx val="1"/>
          <c:order val="1"/>
          <c:tx>
            <c:strRef>
              <c:f>'výdaje domácností'!$A$3</c:f>
              <c:strCache>
                <c:ptCount val="1"/>
                <c:pt idx="0">
                  <c:v>Podíl na celkových výdajích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'výdaje domácností'!$B$1:$G$1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'výdaje domácností'!$B$3:$G$3</c:f>
              <c:numCache>
                <c:formatCode>0.0%</c:formatCode>
                <c:ptCount val="6"/>
                <c:pt idx="0">
                  <c:v>2.1999025999255746E-2</c:v>
                </c:pt>
                <c:pt idx="1">
                  <c:v>2.085750444113699E-2</c:v>
                </c:pt>
                <c:pt idx="2">
                  <c:v>2.1376446139745087E-2</c:v>
                </c:pt>
                <c:pt idx="3">
                  <c:v>2.0876393132541551E-2</c:v>
                </c:pt>
                <c:pt idx="4">
                  <c:v>2.0597447446079574E-2</c:v>
                </c:pt>
                <c:pt idx="5">
                  <c:v>2.1492199239638778E-2</c:v>
                </c:pt>
              </c:numCache>
            </c:numRef>
          </c:val>
        </c:ser>
        <c:marker val="1"/>
        <c:axId val="125321600"/>
        <c:axId val="125319424"/>
      </c:lineChart>
      <c:catAx>
        <c:axId val="125311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17504"/>
        <c:crosses val="autoZero"/>
        <c:auto val="1"/>
        <c:lblAlgn val="ctr"/>
        <c:lblOffset val="100"/>
      </c:catAx>
      <c:valAx>
        <c:axId val="125317504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Výdaje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kulturu (v 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6.1919504643962852E-3"/>
              <c:y val="0.22467847769028867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11616"/>
        <c:crosses val="autoZero"/>
        <c:crossBetween val="between"/>
      </c:valAx>
      <c:valAx>
        <c:axId val="125319424"/>
        <c:scaling>
          <c:orientation val="minMax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kultury na celkových výdajích domácností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3665634674922549"/>
              <c:y val="0.17247761309248141"/>
            </c:manualLayout>
          </c:layout>
        </c:title>
        <c:numFmt formatCode="0.0%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21600"/>
        <c:crosses val="max"/>
        <c:crossBetween val="between"/>
        <c:majorUnit val="4.0000000000000114E-3"/>
      </c:valAx>
      <c:catAx>
        <c:axId val="125321600"/>
        <c:scaling>
          <c:orientation val="minMax"/>
        </c:scaling>
        <c:delete val="1"/>
        <c:axPos val="b"/>
        <c:numFmt formatCode="General" sourceLinked="1"/>
        <c:tickLblPos val="none"/>
        <c:crossAx val="125319424"/>
        <c:crosses val="autoZero"/>
        <c:auto val="1"/>
        <c:lblAlgn val="ctr"/>
        <c:lblOffset val="100"/>
      </c:catAx>
    </c:plotArea>
    <c:legend>
      <c:legendPos val="t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5079282886249391"/>
          <c:y val="0.10229298624738226"/>
          <c:w val="0.6366314059227447"/>
          <c:h val="0.86804706194060133"/>
        </c:manualLayout>
      </c:layout>
      <c:barChart>
        <c:barDir val="bar"/>
        <c:grouping val="clustered"/>
        <c:ser>
          <c:idx val="1"/>
          <c:order val="0"/>
          <c:tx>
            <c:strRef>
              <c:f>'příjmy a výdaje'!$C$1</c:f>
              <c:strCache>
                <c:ptCount val="1"/>
                <c:pt idx="0">
                  <c:v>Výdaje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výdaje'!$C$2:$C$10</c:f>
              <c:numCache>
                <c:formatCode>General</c:formatCode>
                <c:ptCount val="9"/>
                <c:pt idx="0">
                  <c:v>0.9074879999999943</c:v>
                </c:pt>
                <c:pt idx="1">
                  <c:v>3.1046009999999997</c:v>
                </c:pt>
                <c:pt idx="2">
                  <c:v>9.7253559999999997</c:v>
                </c:pt>
                <c:pt idx="3">
                  <c:v>15.928208999999999</c:v>
                </c:pt>
                <c:pt idx="4">
                  <c:v>23.765035999999839</c:v>
                </c:pt>
                <c:pt idx="5">
                  <c:v>27.046569999999889</c:v>
                </c:pt>
                <c:pt idx="6">
                  <c:v>37.742872000000013</c:v>
                </c:pt>
                <c:pt idx="7">
                  <c:v>50.621485</c:v>
                </c:pt>
                <c:pt idx="8">
                  <c:v>75.426979000000003</c:v>
                </c:pt>
              </c:numCache>
            </c:numRef>
          </c:val>
        </c:ser>
        <c:ser>
          <c:idx val="0"/>
          <c:order val="1"/>
          <c:tx>
            <c:strRef>
              <c:f>'příjmy a výdaje'!$B$1</c:f>
              <c:strCache>
                <c:ptCount val="1"/>
                <c:pt idx="0">
                  <c:v>Příjmy</c:v>
                </c:pt>
              </c:strCache>
            </c:strRef>
          </c:tx>
          <c:spPr>
            <a:solidFill>
              <a:schemeClr val="accent1"/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</c:dLbls>
          <c:cat>
            <c:strRef>
              <c:f>'příjmy a výdaje'!$A$2:$A$10</c:f>
              <c:strCache>
                <c:ptCount val="9"/>
                <c:pt idx="0">
                  <c:v>Umělecké vzdělávání</c:v>
                </c:pt>
                <c:pt idx="1">
                  <c:v>Správa a podpora kulturní činnosti</c:v>
                </c:pt>
                <c:pt idx="2">
                  <c:v>Výtvarné umění</c:v>
                </c:pt>
                <c:pt idx="3">
                  <c:v>Interpretační umění</c:v>
                </c:pt>
                <c:pt idx="4">
                  <c:v>Kulturní dědictví</c:v>
                </c:pt>
                <c:pt idx="5">
                  <c:v>Architektura</c:v>
                </c:pt>
                <c:pt idx="6">
                  <c:v>Periodický a neperiodický tisk</c:v>
                </c:pt>
                <c:pt idx="7">
                  <c:v>Audiovizuální a interaktivní média</c:v>
                </c:pt>
                <c:pt idx="8">
                  <c:v>Reklama</c:v>
                </c:pt>
              </c:strCache>
            </c:strRef>
          </c:cat>
          <c:val>
            <c:numRef>
              <c:f>'příjmy a výdaje'!$B$2:$B$10</c:f>
              <c:numCache>
                <c:formatCode>General</c:formatCode>
                <c:ptCount val="9"/>
                <c:pt idx="0">
                  <c:v>1.0768709999999999</c:v>
                </c:pt>
                <c:pt idx="1">
                  <c:v>3.1157729999999977</c:v>
                </c:pt>
                <c:pt idx="2">
                  <c:v>11.596744000000006</c:v>
                </c:pt>
                <c:pt idx="3">
                  <c:v>15.675267</c:v>
                </c:pt>
                <c:pt idx="4">
                  <c:v>24.392890999999999</c:v>
                </c:pt>
                <c:pt idx="5">
                  <c:v>30.692162</c:v>
                </c:pt>
                <c:pt idx="6">
                  <c:v>40.302174000000001</c:v>
                </c:pt>
                <c:pt idx="7">
                  <c:v>54.513841999999997</c:v>
                </c:pt>
                <c:pt idx="8">
                  <c:v>80.752345999999989</c:v>
                </c:pt>
              </c:numCache>
            </c:numRef>
          </c:val>
        </c:ser>
        <c:gapWidth val="101"/>
        <c:axId val="125346944"/>
        <c:axId val="125348480"/>
      </c:barChart>
      <c:catAx>
        <c:axId val="12534694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348480"/>
        <c:crosses val="autoZero"/>
        <c:auto val="1"/>
        <c:lblAlgn val="ctr"/>
        <c:lblOffset val="100"/>
      </c:catAx>
      <c:valAx>
        <c:axId val="125348480"/>
        <c:scaling>
          <c:orientation val="minMax"/>
        </c:scaling>
        <c:delete val="1"/>
        <c:axPos val="b"/>
        <c:numFmt formatCode="General" sourceLinked="1"/>
        <c:tickLblPos val="none"/>
        <c:crossAx val="125346944"/>
        <c:crosses val="autoZero"/>
        <c:crossBetween val="between"/>
      </c:valAx>
    </c:plotArea>
    <c:legend>
      <c:legendPos val="t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8.7814023247094225E-2"/>
          <c:y val="0.12142607174103365"/>
          <c:w val="0.79265597235128671"/>
          <c:h val="0.75546779093558192"/>
        </c:manualLayout>
      </c:layout>
      <c:barChart>
        <c:barDir val="col"/>
        <c:grouping val="clustered"/>
        <c:ser>
          <c:idx val="0"/>
          <c:order val="0"/>
          <c:tx>
            <c:strRef>
              <c:f>List2!$A$8</c:f>
              <c:strCache>
                <c:ptCount val="1"/>
                <c:pt idx="0">
                  <c:v>Průměrná mzda v kultuře</c:v>
                </c:pt>
              </c:strCache>
            </c:strRef>
          </c:tx>
          <c:spPr>
            <a:solidFill>
              <a:schemeClr val="accent1"/>
            </a:solidFill>
          </c:spPr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List2!$B$8:$G$8</c:f>
              <c:numCache>
                <c:formatCode>General</c:formatCode>
                <c:ptCount val="6"/>
                <c:pt idx="0">
                  <c:v>25.587999999999987</c:v>
                </c:pt>
                <c:pt idx="1">
                  <c:v>25.965999999999806</c:v>
                </c:pt>
                <c:pt idx="2">
                  <c:v>26.279</c:v>
                </c:pt>
                <c:pt idx="3">
                  <c:v>27.643000000000001</c:v>
                </c:pt>
                <c:pt idx="4">
                  <c:v>29.618000000000031</c:v>
                </c:pt>
                <c:pt idx="5">
                  <c:v>32.835000000000001</c:v>
                </c:pt>
              </c:numCache>
            </c:numRef>
          </c:val>
        </c:ser>
        <c:axId val="125059072"/>
        <c:axId val="125060608"/>
      </c:barChart>
      <c:lineChart>
        <c:grouping val="standard"/>
        <c:ser>
          <c:idx val="1"/>
          <c:order val="1"/>
          <c:tx>
            <c:strRef>
              <c:f>List2!$A$9</c:f>
              <c:strCache>
                <c:ptCount val="1"/>
                <c:pt idx="0">
                  <c:v>Podíl na celostátní průměrné mzdě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List2!$B$7:$G$7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List2!$B$9:$G$9</c:f>
              <c:numCache>
                <c:formatCode>General</c:formatCode>
                <c:ptCount val="6"/>
                <c:pt idx="0">
                  <c:v>0.99301459174168827</c:v>
                </c:pt>
                <c:pt idx="1">
                  <c:v>0.9764958068519427</c:v>
                </c:pt>
                <c:pt idx="2">
                  <c:v>0.94651347068145797</c:v>
                </c:pt>
                <c:pt idx="3">
                  <c:v>0.9326877657061875</c:v>
                </c:pt>
                <c:pt idx="4">
                  <c:v>0.92408973198964151</c:v>
                </c:pt>
                <c:pt idx="5">
                  <c:v>0.96259271202838381</c:v>
                </c:pt>
              </c:numCache>
            </c:numRef>
          </c:val>
        </c:ser>
        <c:marker val="1"/>
        <c:axId val="125064704"/>
        <c:axId val="125062528"/>
      </c:lineChart>
      <c:catAx>
        <c:axId val="1250590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060608"/>
        <c:crosses val="autoZero"/>
        <c:auto val="1"/>
        <c:lblAlgn val="ctr"/>
        <c:lblOffset val="100"/>
      </c:catAx>
      <c:valAx>
        <c:axId val="12506060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Průměrná mzda v kultuře (v tis. Kč) 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0683760683760774E-2"/>
              <c:y val="0.1040523281046560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25059072"/>
        <c:crosses val="autoZero"/>
        <c:crossBetween val="between"/>
      </c:valAx>
      <c:valAx>
        <c:axId val="125062528"/>
        <c:scaling>
          <c:orientation val="minMax"/>
          <c:max val="1"/>
          <c:min val="0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Podíl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na celostátní průměrné mzdě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6409364694797761"/>
              <c:y val="0.12142600285200572"/>
            </c:manualLayout>
          </c:layout>
        </c:title>
        <c:numFmt formatCode="0%" sourceLinked="0"/>
        <c:tickLblPos val="nextTo"/>
        <c:crossAx val="125064704"/>
        <c:crosses val="max"/>
        <c:crossBetween val="between"/>
        <c:majorUnit val="0.2"/>
      </c:valAx>
      <c:catAx>
        <c:axId val="125064704"/>
        <c:scaling>
          <c:orientation val="minMax"/>
        </c:scaling>
        <c:delete val="1"/>
        <c:axPos val="b"/>
        <c:numFmt formatCode="General" sourceLinked="1"/>
        <c:tickLblPos val="none"/>
        <c:crossAx val="125062528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0.1306602059357965"/>
          <c:y val="0"/>
          <c:w val="0.73867958812841295"/>
          <c:h val="8.4389034703994684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33335533553355523"/>
          <c:y val="0.24748422404646403"/>
          <c:w val="0.33988998899890493"/>
          <c:h val="0.73040189125295496"/>
        </c:manualLayout>
      </c:layout>
      <c:doughnut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2"/>
            <c:explosion val="1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  <c:numFmt formatCode="#,##0.0&quot; tis.&quot;" sourceLinked="0"/>
          </c:dLbls>
          <c:cat>
            <c:strRef>
              <c:f>zaměstnanost!$A$1:$C$1</c:f>
              <c:strCache>
                <c:ptCount val="3"/>
                <c:pt idx="0">
                  <c:v>Kulturní povolání v kulturní organizaci</c:v>
                </c:pt>
                <c:pt idx="1">
                  <c:v>"Ne-kulturní" povolání v kulturní organizaci</c:v>
                </c:pt>
                <c:pt idx="2">
                  <c:v>Kulturní povolání mimo kulturní organizaci</c:v>
                </c:pt>
              </c:strCache>
            </c:strRef>
          </c:cat>
          <c:val>
            <c:numRef>
              <c:f>zaměstnanost!$A$2:$C$2</c:f>
              <c:numCache>
                <c:formatCode>General</c:formatCode>
                <c:ptCount val="3"/>
                <c:pt idx="0">
                  <c:v>90.177999999999983</c:v>
                </c:pt>
                <c:pt idx="1">
                  <c:v>80.073000000000008</c:v>
                </c:pt>
                <c:pt idx="2">
                  <c:v>38.633000000000003</c:v>
                </c:pt>
              </c:numCache>
            </c:numRef>
          </c:val>
        </c:ser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1.0354768153980764E-2"/>
          <c:y val="2.7777777777778141E-2"/>
          <c:w val="0.9896452318460196"/>
          <c:h val="0.1176310939855922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7.5529580541562738E-2"/>
          <c:y val="0.1814140419947515"/>
          <c:w val="0.8125328899104971"/>
          <c:h val="0.68871719160104949"/>
        </c:manualLayout>
      </c:layout>
      <c:barChart>
        <c:barDir val="col"/>
        <c:grouping val="clustered"/>
        <c:ser>
          <c:idx val="0"/>
          <c:order val="0"/>
          <c:tx>
            <c:strRef>
              <c:f>investice!$B$1</c:f>
              <c:strCache>
                <c:ptCount val="1"/>
                <c:pt idx="0">
                  <c:v>Investice v kultuře</c:v>
                </c:pt>
              </c:strCache>
            </c:strRef>
          </c:tx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investice!$B$2:$B$7</c:f>
              <c:numCache>
                <c:formatCode>#,##0.0</c:formatCode>
                <c:ptCount val="6"/>
                <c:pt idx="0">
                  <c:v>12.066084000000059</c:v>
                </c:pt>
                <c:pt idx="1">
                  <c:v>13.578255</c:v>
                </c:pt>
                <c:pt idx="2">
                  <c:v>14.266064</c:v>
                </c:pt>
                <c:pt idx="3">
                  <c:v>13.702703</c:v>
                </c:pt>
                <c:pt idx="4">
                  <c:v>16.252578</c:v>
                </c:pt>
                <c:pt idx="5">
                  <c:v>17.334153999999998</c:v>
                </c:pt>
              </c:numCache>
            </c:numRef>
          </c:val>
        </c:ser>
        <c:axId val="125239296"/>
        <c:axId val="125240832"/>
      </c:barChart>
      <c:lineChart>
        <c:grouping val="standard"/>
        <c:ser>
          <c:idx val="1"/>
          <c:order val="1"/>
          <c:tx>
            <c:strRef>
              <c:f>investice!$C$1</c:f>
              <c:strCache>
                <c:ptCount val="1"/>
                <c:pt idx="0">
                  <c:v>Podíl investic hrazených z veřejných zdrojů</c:v>
                </c:pt>
              </c:strCache>
            </c:strRef>
          </c:tx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investice!$A$2:$A$7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investice!$C$2:$C$7</c:f>
              <c:numCache>
                <c:formatCode>General</c:formatCode>
                <c:ptCount val="6"/>
                <c:pt idx="0">
                  <c:v>0.47841188574520405</c:v>
                </c:pt>
                <c:pt idx="1">
                  <c:v>0.44750986043493807</c:v>
                </c:pt>
                <c:pt idx="2">
                  <c:v>0.27269441662395461</c:v>
                </c:pt>
                <c:pt idx="3">
                  <c:v>0.13595981756300199</c:v>
                </c:pt>
                <c:pt idx="4">
                  <c:v>0.21536195673080299</c:v>
                </c:pt>
                <c:pt idx="5">
                  <c:v>0.18853582355389348</c:v>
                </c:pt>
              </c:numCache>
            </c:numRef>
          </c:val>
        </c:ser>
        <c:marker val="1"/>
        <c:axId val="125244928"/>
        <c:axId val="125242752"/>
      </c:lineChart>
      <c:catAx>
        <c:axId val="125239296"/>
        <c:scaling>
          <c:orientation val="minMax"/>
        </c:scaling>
        <c:axPos val="b"/>
        <c:numFmt formatCode="General" sourceLinked="1"/>
        <c:tickLblPos val="nextTo"/>
        <c:crossAx val="125240832"/>
        <c:crosses val="autoZero"/>
        <c:auto val="1"/>
        <c:lblAlgn val="ctr"/>
        <c:lblOffset val="100"/>
      </c:catAx>
      <c:valAx>
        <c:axId val="12524083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900" b="0">
                    <a:latin typeface="Arial" pitchFamily="34" charset="0"/>
                    <a:cs typeface="Arial" pitchFamily="34" charset="0"/>
                  </a:rPr>
                  <a:t>Investice</a:t>
                </a:r>
                <a:r>
                  <a:rPr lang="cs-CZ" sz="900" b="0" baseline="0">
                    <a:latin typeface="Arial" pitchFamily="34" charset="0"/>
                    <a:cs typeface="Arial" pitchFamily="34" charset="0"/>
                  </a:rPr>
                  <a:t> v kultuře v (mld. Kč)</a:t>
                </a:r>
                <a:endParaRPr lang="cs-CZ" sz="9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7.5672062731289005E-3"/>
              <c:y val="0.23521689997083783"/>
            </c:manualLayout>
          </c:layout>
        </c:title>
        <c:numFmt formatCode="#,##0" sourceLinked="0"/>
        <c:tickLblPos val="nextTo"/>
        <c:crossAx val="125239296"/>
        <c:crosses val="autoZero"/>
        <c:crossBetween val="between"/>
      </c:valAx>
      <c:valAx>
        <c:axId val="125242752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investic hrazených z veř. zdrojů</a:t>
                </a:r>
                <a:endParaRPr lang="cs-CZ" b="0"/>
              </a:p>
            </c:rich>
          </c:tx>
        </c:title>
        <c:numFmt formatCode="0%" sourceLinked="0"/>
        <c:tickLblPos val="nextTo"/>
        <c:crossAx val="125244928"/>
        <c:crosses val="max"/>
        <c:crossBetween val="between"/>
      </c:valAx>
      <c:catAx>
        <c:axId val="125244928"/>
        <c:scaling>
          <c:orientation val="minMax"/>
        </c:scaling>
        <c:delete val="1"/>
        <c:axPos val="b"/>
        <c:numFmt formatCode="General" sourceLinked="1"/>
        <c:tickLblPos val="none"/>
        <c:crossAx val="125242752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návštěvnost!$B$14</c:f>
              <c:strCache>
                <c:ptCount val="1"/>
                <c:pt idx="0">
                  <c:v>návštěvy</c:v>
                </c:pt>
              </c:strCache>
            </c:strRef>
          </c:tx>
          <c:spPr>
            <a:solidFill>
              <a:schemeClr val="accent1"/>
            </a:solidFill>
          </c:spPr>
          <c:dLbls>
            <c:numFmt formatCode="#,##0.00" sourceLinked="0"/>
            <c:showVal val="1"/>
          </c:dLbls>
          <c:cat>
            <c:strRef>
              <c:f>návštěvnost!$A$15:$A$22</c:f>
              <c:strCache>
                <c:ptCount val="8"/>
                <c:pt idx="0">
                  <c:v>Knihovny</c:v>
                </c:pt>
                <c:pt idx="1">
                  <c:v>Koncertní sály (soubory a festivaly)</c:v>
                </c:pt>
                <c:pt idx="2">
                  <c:v>Divadlo</c:v>
                </c:pt>
                <c:pt idx="3">
                  <c:v>Kulturní domy</c:v>
                </c:pt>
                <c:pt idx="4">
                  <c:v>Muzea a galerie</c:v>
                </c:pt>
                <c:pt idx="5">
                  <c:v>Historické památky</c:v>
                </c:pt>
                <c:pt idx="6">
                  <c:v>Kina</c:v>
                </c:pt>
                <c:pt idx="7">
                  <c:v>Výstavní sály</c:v>
                </c:pt>
              </c:strCache>
            </c:strRef>
          </c:cat>
          <c:val>
            <c:numRef>
              <c:f>návštěvnost!$B$15:$B$22</c:f>
              <c:numCache>
                <c:formatCode>#,##0</c:formatCode>
                <c:ptCount val="8"/>
                <c:pt idx="0">
                  <c:v>0.22540000000000004</c:v>
                </c:pt>
                <c:pt idx="1">
                  <c:v>0.43650000000000216</c:v>
                </c:pt>
                <c:pt idx="2">
                  <c:v>0.81359999999999999</c:v>
                </c:pt>
                <c:pt idx="3">
                  <c:v>1.1180000000000001</c:v>
                </c:pt>
                <c:pt idx="4">
                  <c:v>1.3781000000000001</c:v>
                </c:pt>
                <c:pt idx="5">
                  <c:v>1.4037999999999831</c:v>
                </c:pt>
                <c:pt idx="6">
                  <c:v>1.7169999999999892</c:v>
                </c:pt>
                <c:pt idx="7">
                  <c:v>2.0714999999999977</c:v>
                </c:pt>
              </c:numCache>
            </c:numRef>
          </c:val>
        </c:ser>
        <c:axId val="125265024"/>
        <c:axId val="125266560"/>
      </c:barChart>
      <c:catAx>
        <c:axId val="125265024"/>
        <c:scaling>
          <c:orientation val="minMax"/>
        </c:scaling>
        <c:axPos val="l"/>
        <c:tickLblPos val="nextTo"/>
        <c:crossAx val="125266560"/>
        <c:crosses val="autoZero"/>
        <c:auto val="1"/>
        <c:lblAlgn val="ctr"/>
        <c:lblOffset val="100"/>
      </c:catAx>
      <c:valAx>
        <c:axId val="125266560"/>
        <c:scaling>
          <c:orientation val="minMax"/>
        </c:scaling>
        <c:delete val="1"/>
        <c:axPos val="b"/>
        <c:numFmt formatCode="#,##0" sourceLinked="1"/>
        <c:tickLblPos val="none"/>
        <c:crossAx val="12526502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stacked"/>
        <c:ser>
          <c:idx val="0"/>
          <c:order val="0"/>
          <c:tx>
            <c:strRef>
              <c:f>makro!$A$2</c:f>
              <c:strCache>
                <c:ptCount val="1"/>
                <c:pt idx="0">
                  <c:v>Mezispotřeba v kultuře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makro!$B$2:$G$2</c:f>
              <c:numCache>
                <c:formatCode>General</c:formatCode>
                <c:ptCount val="6"/>
                <c:pt idx="0">
                  <c:v>122.4</c:v>
                </c:pt>
                <c:pt idx="1">
                  <c:v>124.4</c:v>
                </c:pt>
                <c:pt idx="2">
                  <c:v>133.1</c:v>
                </c:pt>
                <c:pt idx="3" formatCode="0.0">
                  <c:v>139.291</c:v>
                </c:pt>
                <c:pt idx="4" formatCode="0.0">
                  <c:v>151.93068329745498</c:v>
                </c:pt>
                <c:pt idx="5" formatCode="0.0">
                  <c:v>157.07124600000085</c:v>
                </c:pt>
              </c:numCache>
            </c:numRef>
          </c:val>
        </c:ser>
        <c:ser>
          <c:idx val="1"/>
          <c:order val="1"/>
          <c:tx>
            <c:strRef>
              <c:f>makro!$A$3</c:f>
              <c:strCache>
                <c:ptCount val="1"/>
                <c:pt idx="0">
                  <c:v>HPH v kultuře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makro!$B$3:$G$3</c:f>
              <c:numCache>
                <c:formatCode>General</c:formatCode>
                <c:ptCount val="6"/>
                <c:pt idx="0">
                  <c:v>82</c:v>
                </c:pt>
                <c:pt idx="1">
                  <c:v>89.5</c:v>
                </c:pt>
                <c:pt idx="2">
                  <c:v>92.7</c:v>
                </c:pt>
                <c:pt idx="3">
                  <c:v>95.1</c:v>
                </c:pt>
                <c:pt idx="4">
                  <c:v>111.9</c:v>
                </c:pt>
                <c:pt idx="5">
                  <c:v>121.1</c:v>
                </c:pt>
              </c:numCache>
            </c:numRef>
          </c:val>
        </c:ser>
        <c:overlap val="100"/>
        <c:axId val="125457536"/>
        <c:axId val="125459072"/>
      </c:barChart>
      <c:lineChart>
        <c:grouping val="standard"/>
        <c:ser>
          <c:idx val="2"/>
          <c:order val="2"/>
          <c:tx>
            <c:strRef>
              <c:f>makro!$A$4</c:f>
              <c:strCache>
                <c:ptCount val="1"/>
                <c:pt idx="0">
                  <c:v>Podíl kultury na celkovém HPH</c:v>
                </c:pt>
              </c:strCache>
            </c:strRef>
          </c:tx>
          <c:spPr>
            <a:ln>
              <a:solidFill>
                <a:srgbClr val="C0504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makro!$B$4:$G$4</c:f>
              <c:numCache>
                <c:formatCode>General</c:formatCode>
                <c:ptCount val="6"/>
                <c:pt idx="0">
                  <c:v>2.1000000000000012E-2</c:v>
                </c:pt>
                <c:pt idx="1">
                  <c:v>2.1600000000000012E-2</c:v>
                </c:pt>
                <c:pt idx="2">
                  <c:v>2.1600000000000012E-2</c:v>
                </c:pt>
                <c:pt idx="3">
                  <c:v>2.1000000000000012E-2</c:v>
                </c:pt>
                <c:pt idx="4">
                  <c:v>2.3E-2</c:v>
                </c:pt>
                <c:pt idx="5">
                  <c:v>2.3299999999999998E-2</c:v>
                </c:pt>
              </c:numCache>
            </c:numRef>
          </c:val>
        </c:ser>
        <c:ser>
          <c:idx val="3"/>
          <c:order val="3"/>
          <c:tx>
            <c:strRef>
              <c:f>makro!$A$5</c:f>
              <c:strCache>
                <c:ptCount val="1"/>
                <c:pt idx="0">
                  <c:v>Podíl kultury na celkovém HDP</c:v>
                </c:pt>
              </c:strCache>
            </c:strRef>
          </c:tx>
          <c:spPr>
            <a:ln>
              <a:solidFill>
                <a:schemeClr val="accent2">
                  <a:lumMod val="20000"/>
                  <a:lumOff val="80000"/>
                </a:schemeClr>
              </a:solidFill>
            </a:ln>
          </c:spPr>
          <c:marker>
            <c:symbol val="none"/>
          </c:marker>
          <c:cat>
            <c:numRef>
              <c:f>makro!$B$1:$G$1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makro!$B$5:$G$5</c:f>
              <c:numCache>
                <c:formatCode>General</c:formatCode>
                <c:ptCount val="6"/>
                <c:pt idx="0">
                  <c:v>1.350000000000008E-2</c:v>
                </c:pt>
                <c:pt idx="1">
                  <c:v>1.3600000000000083E-2</c:v>
                </c:pt>
                <c:pt idx="2">
                  <c:v>1.350000000000008E-2</c:v>
                </c:pt>
                <c:pt idx="3">
                  <c:v>1.3700000000000087E-2</c:v>
                </c:pt>
                <c:pt idx="4">
                  <c:v>1.5500000000000073E-2</c:v>
                </c:pt>
                <c:pt idx="5">
                  <c:v>1.5900000000000001E-2</c:v>
                </c:pt>
              </c:numCache>
            </c:numRef>
          </c:val>
        </c:ser>
        <c:marker val="1"/>
        <c:axId val="125471360"/>
        <c:axId val="125469440"/>
      </c:lineChart>
      <c:catAx>
        <c:axId val="125457536"/>
        <c:scaling>
          <c:orientation val="minMax"/>
        </c:scaling>
        <c:axPos val="b"/>
        <c:numFmt formatCode="General" sourceLinked="1"/>
        <c:tickLblPos val="nextTo"/>
        <c:crossAx val="125459072"/>
        <c:crosses val="autoZero"/>
        <c:auto val="1"/>
        <c:lblAlgn val="ctr"/>
        <c:lblOffset val="100"/>
      </c:catAx>
      <c:valAx>
        <c:axId val="1254590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HPH</a:t>
                </a:r>
                <a:r>
                  <a:rPr lang="cs-CZ" b="0" baseline="0"/>
                  <a:t> a mezispotřeba (v mld. Kč)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1.0498687664041988E-2"/>
              <c:y val="0.2390605218465339"/>
            </c:manualLayout>
          </c:layout>
        </c:title>
        <c:numFmt formatCode="#,##0" sourceLinked="0"/>
        <c:tickLblPos val="nextTo"/>
        <c:crossAx val="125457536"/>
        <c:crosses val="autoZero"/>
        <c:crossBetween val="between"/>
      </c:valAx>
      <c:valAx>
        <c:axId val="125469440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b="0"/>
                  <a:t>Podíl</a:t>
                </a:r>
                <a:r>
                  <a:rPr lang="cs-CZ" b="0" baseline="0"/>
                  <a:t> na celostátním ukazateli</a:t>
                </a:r>
                <a:endParaRPr lang="cs-CZ" b="0"/>
              </a:p>
            </c:rich>
          </c:tx>
          <c:layout>
            <c:manualLayout>
              <c:xMode val="edge"/>
              <c:yMode val="edge"/>
              <c:x val="0.95127550788434911"/>
              <c:y val="0.25403581905203027"/>
            </c:manualLayout>
          </c:layout>
        </c:title>
        <c:numFmt formatCode="0.0%" sourceLinked="0"/>
        <c:tickLblPos val="nextTo"/>
        <c:crossAx val="125471360"/>
        <c:crosses val="max"/>
        <c:crossBetween val="between"/>
      </c:valAx>
      <c:catAx>
        <c:axId val="125471360"/>
        <c:scaling>
          <c:orientation val="minMax"/>
        </c:scaling>
        <c:delete val="1"/>
        <c:axPos val="b"/>
        <c:numFmt formatCode="General" sourceLinked="1"/>
        <c:tickLblPos val="none"/>
        <c:crossAx val="125469440"/>
        <c:crosses val="autoZero"/>
        <c:auto val="1"/>
        <c:lblAlgn val="ctr"/>
        <c:lblOffset val="100"/>
      </c:cat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8AB0-EA62-4084-89F0-7F8E9A58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14</TotalTime>
  <Pages>36</Pages>
  <Words>10494</Words>
  <Characters>61918</Characters>
  <Application>Microsoft Office Word</Application>
  <DocSecurity>0</DocSecurity>
  <Lines>515</Lines>
  <Paragraphs>144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Výsledky účtu kultury</vt:lpstr>
      <vt:lpstr/>
    </vt:vector>
  </TitlesOfParts>
  <Company>CSU</Company>
  <LinksUpToDate>false</LinksUpToDate>
  <CharactersWithSpaces>72268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účtu kultury</dc:title>
  <dc:creator>Milan Dedera</dc:creator>
  <cp:lastModifiedBy>Milan Dedera</cp:lastModifiedBy>
  <cp:revision>5</cp:revision>
  <cp:lastPrinted>2021-05-27T13:33:00Z</cp:lastPrinted>
  <dcterms:created xsi:type="dcterms:W3CDTF">2021-05-27T13:18:00Z</dcterms:created>
  <dcterms:modified xsi:type="dcterms:W3CDTF">2021-05-27T13:33:00Z</dcterms:modified>
</cp:coreProperties>
</file>