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E82489" w14:textId="77777777" w:rsidR="00A75E40" w:rsidRPr="00360DE3" w:rsidRDefault="00DD0AE9" w:rsidP="00E67696">
      <w:pPr>
        <w:rPr>
          <w:lang w:eastAsia="ar-SA"/>
        </w:rPr>
        <w:sectPr w:rsidR="00A75E40" w:rsidRPr="00360DE3"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11AFDD2" wp14:editId="538813CA">
                <wp:simplePos x="0" y="0"/>
                <wp:positionH relativeFrom="page">
                  <wp:posOffset>571500</wp:posOffset>
                </wp:positionH>
                <wp:positionV relativeFrom="page">
                  <wp:posOffset>466725</wp:posOffset>
                </wp:positionV>
                <wp:extent cx="2249805" cy="554355"/>
                <wp:effectExtent l="0" t="0" r="0" b="0"/>
                <wp:wrapSquare wrapText="bothSides"/>
                <wp:docPr id="10"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20"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BB49F7"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266C168F" wp14:editId="1BAA2E30">
                <wp:simplePos x="0" y="0"/>
                <wp:positionH relativeFrom="page">
                  <wp:posOffset>1705610</wp:posOffset>
                </wp:positionH>
                <wp:positionV relativeFrom="page">
                  <wp:posOffset>8173085</wp:posOffset>
                </wp:positionV>
                <wp:extent cx="5130165" cy="92519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935C5EC" w14:textId="77777777" w:rsidR="00B606BE" w:rsidRDefault="00B606BE" w:rsidP="004924DC">
                            <w:r>
                              <w:t>Zpracoval: o</w:t>
                            </w:r>
                            <w:r w:rsidRPr="006C5577">
                              <w:t>dbor</w:t>
                            </w:r>
                            <w:r>
                              <w:t xml:space="preserve"> Kancelář předsedy, oddělení svodných analýz</w:t>
                            </w:r>
                          </w:p>
                          <w:p w14:paraId="0EF6B026" w14:textId="77777777" w:rsidR="00B606BE" w:rsidRPr="006C5577" w:rsidRDefault="00B606BE" w:rsidP="004924DC">
                            <w:r w:rsidRPr="006C5577">
                              <w:t xml:space="preserve">Ředitel odboru: </w:t>
                            </w:r>
                            <w:r>
                              <w:t>Egor Sidorov, Ph.D.</w:t>
                            </w:r>
                          </w:p>
                          <w:p w14:paraId="28D06B3C" w14:textId="77777777" w:rsidR="00B606BE" w:rsidRPr="006C5577" w:rsidRDefault="00B606BE"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C168F"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fPSAIAADo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c&#10;95fPSAIAADoEAAAOAAAAAAAAAAAAAAAAAC4CAABkcnMvZTJvRG9jLnhtbFBLAQItABQABgAIAAAA&#10;IQBU965p4gAAAA4BAAAPAAAAAAAAAAAAAAAAAKIEAABkcnMvZG93bnJldi54bWxQSwUGAAAAAAQA&#10;BADzAAAAsQUAAAAA&#10;" filled="f" stroked="f">
                <v:textbox inset="0,0,0,0">
                  <w:txbxContent>
                    <w:p w14:paraId="2935C5EC" w14:textId="77777777" w:rsidR="00B606BE" w:rsidRDefault="00B606BE" w:rsidP="004924DC">
                      <w:r>
                        <w:t>Zpracoval: o</w:t>
                      </w:r>
                      <w:r w:rsidRPr="006C5577">
                        <w:t>dbor</w:t>
                      </w:r>
                      <w:r>
                        <w:t xml:space="preserve"> Kancelář předsedy, oddělení svodných analýz</w:t>
                      </w:r>
                    </w:p>
                    <w:p w14:paraId="0EF6B026" w14:textId="77777777" w:rsidR="00B606BE" w:rsidRPr="006C5577" w:rsidRDefault="00B606BE" w:rsidP="004924DC">
                      <w:r w:rsidRPr="006C5577">
                        <w:t xml:space="preserve">Ředitel odboru: </w:t>
                      </w:r>
                      <w:proofErr w:type="spellStart"/>
                      <w:r>
                        <w:t>Egor</w:t>
                      </w:r>
                      <w:proofErr w:type="spellEnd"/>
                      <w:r>
                        <w:t xml:space="preserve"> </w:t>
                      </w:r>
                      <w:proofErr w:type="spellStart"/>
                      <w:r>
                        <w:t>Sidorov</w:t>
                      </w:r>
                      <w:proofErr w:type="spellEnd"/>
                      <w:r>
                        <w:t>, Ph.D.</w:t>
                      </w:r>
                    </w:p>
                    <w:p w14:paraId="28D06B3C" w14:textId="77777777" w:rsidR="00B606BE" w:rsidRPr="006C5577" w:rsidRDefault="00B606BE"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BAB0CA" wp14:editId="171D2EEB">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FACDC5E" w14:textId="08EFEEC7" w:rsidR="00B606BE" w:rsidRPr="004924DC" w:rsidRDefault="00B606BE" w:rsidP="004924DC">
                            <w:pPr>
                              <w:pStyle w:val="TLIdentifikace-sted"/>
                            </w:pPr>
                            <w:r>
                              <w:t>Souhrnná data o České republice</w:t>
                            </w:r>
                          </w:p>
                          <w:p w14:paraId="558EF16A" w14:textId="4CF58398" w:rsidR="00B606BE" w:rsidRPr="004924DC" w:rsidRDefault="00B606BE" w:rsidP="004924DC">
                            <w:pPr>
                              <w:pStyle w:val="TLIdentifikace-sted"/>
                            </w:pPr>
                            <w:r w:rsidRPr="004B1B28">
                              <w:t>Praha, 1</w:t>
                            </w:r>
                            <w:r w:rsidR="004B1B28" w:rsidRPr="004B1B28">
                              <w:t>9</w:t>
                            </w:r>
                            <w:r w:rsidRPr="004B1B28">
                              <w:t>. 8. </w:t>
                            </w:r>
                            <w:r>
                              <w:t>2020</w:t>
                            </w:r>
                          </w:p>
                          <w:p w14:paraId="67D065AB" w14:textId="77777777" w:rsidR="00B606BE" w:rsidRPr="004924DC" w:rsidRDefault="00B606BE" w:rsidP="004924DC">
                            <w:pPr>
                              <w:pStyle w:val="TLIdentifikace-sted"/>
                            </w:pPr>
                            <w:r w:rsidRPr="004924DC">
                              <w:t xml:space="preserve">Kód publikace: </w:t>
                            </w:r>
                            <w:r w:rsidRPr="003C4BE8">
                              <w:rPr>
                                <w:rStyle w:val="content"/>
                                <w:rFonts w:eastAsia="MS Gothic" w:cs="Arial"/>
                              </w:rPr>
                              <w:t>320305-</w:t>
                            </w:r>
                            <w:r>
                              <w:rPr>
                                <w:rStyle w:val="content"/>
                                <w:rFonts w:eastAsia="MS Gothic" w:cs="Arial"/>
                              </w:rPr>
                              <w:t>20</w:t>
                            </w:r>
                          </w:p>
                          <w:p w14:paraId="40D93C1E" w14:textId="3CD5DD67" w:rsidR="00B606BE" w:rsidRPr="004924DC" w:rsidRDefault="00B606BE" w:rsidP="004924DC">
                            <w:pPr>
                              <w:pStyle w:val="TLIdentifikace-sted"/>
                            </w:pPr>
                            <w:r>
                              <w:t xml:space="preserve">Č. j.: </w:t>
                            </w:r>
                            <w:r w:rsidR="00791728">
                              <w:t>CSU-010988/2020-01</w:t>
                            </w:r>
                          </w:p>
                          <w:p w14:paraId="68E4336C" w14:textId="320ADB78" w:rsidR="00B606BE" w:rsidRPr="004924DC" w:rsidRDefault="00B606BE"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ABAB0CA" id="_x0000_t202" coordsize="21600,21600" o:spt="202" path="m,l,21600r21600,l21600,xe">
                <v:stroke joinstyle="miter"/>
                <v:path gradientshapeok="t" o:connecttype="rect"/>
              </v:shapetype>
              <v:shape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6FACDC5E" w14:textId="08EFEEC7" w:rsidR="00B606BE" w:rsidRPr="004924DC" w:rsidRDefault="00B606BE" w:rsidP="004924DC">
                      <w:pPr>
                        <w:pStyle w:val="TLIdentifikace-sted"/>
                      </w:pPr>
                      <w:r>
                        <w:t>Souhrnná data o České republice</w:t>
                      </w:r>
                    </w:p>
                    <w:p w14:paraId="558EF16A" w14:textId="4CF58398" w:rsidR="00B606BE" w:rsidRPr="004924DC" w:rsidRDefault="00B606BE" w:rsidP="004924DC">
                      <w:pPr>
                        <w:pStyle w:val="TLIdentifikace-sted"/>
                      </w:pPr>
                      <w:r w:rsidRPr="004B1B28">
                        <w:t>Praha, 1</w:t>
                      </w:r>
                      <w:r w:rsidR="004B1B28" w:rsidRPr="004B1B28">
                        <w:t>9</w:t>
                      </w:r>
                      <w:r w:rsidRPr="004B1B28">
                        <w:t>. 8. </w:t>
                      </w:r>
                      <w:r>
                        <w:t>2020</w:t>
                      </w:r>
                    </w:p>
                    <w:p w14:paraId="67D065AB" w14:textId="77777777" w:rsidR="00B606BE" w:rsidRPr="004924DC" w:rsidRDefault="00B606BE" w:rsidP="004924DC">
                      <w:pPr>
                        <w:pStyle w:val="TLIdentifikace-sted"/>
                      </w:pPr>
                      <w:r w:rsidRPr="004924DC">
                        <w:t xml:space="preserve">Kód publikace: </w:t>
                      </w:r>
                      <w:r w:rsidRPr="003C4BE8">
                        <w:rPr>
                          <w:rStyle w:val="content"/>
                          <w:rFonts w:eastAsia="MS Gothic" w:cs="Arial"/>
                        </w:rPr>
                        <w:t>320305-</w:t>
                      </w:r>
                      <w:r>
                        <w:rPr>
                          <w:rStyle w:val="content"/>
                          <w:rFonts w:eastAsia="MS Gothic" w:cs="Arial"/>
                        </w:rPr>
                        <w:t>20</w:t>
                      </w:r>
                    </w:p>
                    <w:p w14:paraId="40D93C1E" w14:textId="3CD5DD67" w:rsidR="00B606BE" w:rsidRPr="004924DC" w:rsidRDefault="00B606BE" w:rsidP="004924DC">
                      <w:pPr>
                        <w:pStyle w:val="TLIdentifikace-sted"/>
                      </w:pPr>
                      <w:r>
                        <w:t xml:space="preserve">Č. j.: </w:t>
                      </w:r>
                      <w:r w:rsidR="00791728">
                        <w:t>CSU-010988/2020-01</w:t>
                      </w:r>
                    </w:p>
                    <w:p w14:paraId="68E4336C" w14:textId="320ADB78" w:rsidR="00B606BE" w:rsidRPr="004924DC" w:rsidRDefault="00B606BE"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559DB8AC" wp14:editId="1EC28D61">
                <wp:simplePos x="0" y="0"/>
                <wp:positionH relativeFrom="page">
                  <wp:posOffset>1710055</wp:posOffset>
                </wp:positionH>
                <wp:positionV relativeFrom="page">
                  <wp:posOffset>1476375</wp:posOffset>
                </wp:positionV>
                <wp:extent cx="5129530" cy="1506855"/>
                <wp:effectExtent l="0" t="0" r="0" b="0"/>
                <wp:wrapNone/>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5068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E3CC28" w14:textId="77777777" w:rsidR="00B606BE" w:rsidRDefault="00B606BE" w:rsidP="000E6FBD">
                            <w:pPr>
                              <w:pStyle w:val="Nzev"/>
                            </w:pPr>
                            <w:r>
                              <w:t>Analýza ekonomického vývoje</w:t>
                            </w:r>
                          </w:p>
                          <w:p w14:paraId="498A0309" w14:textId="04EE0FE1" w:rsidR="00B606BE" w:rsidRPr="00745BC3" w:rsidRDefault="00B606BE" w:rsidP="000E6FBD">
                            <w:pPr>
                              <w:pStyle w:val="Nzev"/>
                              <w:rPr>
                                <w:sz w:val="32"/>
                              </w:rPr>
                            </w:pPr>
                            <w:r w:rsidRPr="00745BC3">
                              <w:rPr>
                                <w:sz w:val="32"/>
                              </w:rPr>
                              <w:t>v roce 201</w:t>
                            </w:r>
                            <w:r>
                              <w:rPr>
                                <w:sz w:val="32"/>
                              </w:rPr>
                              <w:t>9</w:t>
                            </w:r>
                          </w:p>
                          <w:p w14:paraId="4EA33C52" w14:textId="77777777" w:rsidR="00B606BE" w:rsidRPr="0012192F" w:rsidRDefault="00B606BE" w:rsidP="0012192F">
                            <w:pPr>
                              <w:pStyle w:val="Podnadpi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59DB8AC" id="_x0000_s1028" type="#_x0000_t202" style="position:absolute;left:0;text-align:left;margin-left:134.65pt;margin-top:116.25pt;width:403.9pt;height:118.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" filled="f" stroked="f">
                <v:textbox style="mso-fit-shape-to-text:t" inset="0,0,0,0">
                  <w:txbxContent>
                    <w:p w14:paraId="3BE3CC28" w14:textId="77777777" w:rsidR="00B606BE" w:rsidRDefault="00B606BE" w:rsidP="000E6FBD">
                      <w:pPr>
                        <w:pStyle w:val="Nzev"/>
                      </w:pPr>
                      <w:r>
                        <w:t>Analýza ekonomického vývoje</w:t>
                      </w:r>
                    </w:p>
                    <w:p w14:paraId="498A0309" w14:textId="04EE0FE1" w:rsidR="00B606BE" w:rsidRPr="00745BC3" w:rsidRDefault="00B606BE" w:rsidP="000E6FBD">
                      <w:pPr>
                        <w:pStyle w:val="Nzev"/>
                        <w:rPr>
                          <w:sz w:val="32"/>
                        </w:rPr>
                      </w:pPr>
                      <w:r w:rsidRPr="00745BC3">
                        <w:rPr>
                          <w:sz w:val="32"/>
                        </w:rPr>
                        <w:t>v roce 201</w:t>
                      </w:r>
                      <w:r>
                        <w:rPr>
                          <w:sz w:val="32"/>
                        </w:rPr>
                        <w:t>9</w:t>
                      </w:r>
                    </w:p>
                    <w:p w14:paraId="4EA33C52" w14:textId="77777777" w:rsidR="00B606BE" w:rsidRPr="0012192F" w:rsidRDefault="00B606BE" w:rsidP="0012192F">
                      <w:pPr>
                        <w:pStyle w:val="Podnadpis"/>
                      </w:pP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8B6957C" wp14:editId="7F918851">
                <wp:simplePos x="0" y="0"/>
                <wp:positionH relativeFrom="page">
                  <wp:posOffset>1710055</wp:posOffset>
                </wp:positionH>
                <wp:positionV relativeFrom="page">
                  <wp:posOffset>9649460</wp:posOffset>
                </wp:positionV>
                <wp:extent cx="5130165" cy="17970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6084CFA" w14:textId="77777777" w:rsidR="00B606BE" w:rsidRPr="004924DC" w:rsidRDefault="00B606BE" w:rsidP="004924DC">
                            <w:r w:rsidRPr="004924DC">
                              <w:t xml:space="preserve">© Český statistický úřad, </w:t>
                            </w:r>
                            <w:r>
                              <w:t>Praha</w:t>
                            </w:r>
                            <w:r w:rsidRPr="004924DC">
                              <w:t xml:space="preserve">, </w:t>
                            </w:r>
                            <w:r>
                              <w:t>2020</w:t>
                            </w:r>
                          </w:p>
                          <w:p w14:paraId="777DE8D6" w14:textId="77777777" w:rsidR="00B606BE" w:rsidRPr="005251DD" w:rsidRDefault="00B606BE" w:rsidP="00665BA4"/>
                          <w:p w14:paraId="345A47AA" w14:textId="77777777" w:rsidR="00B606BE" w:rsidRPr="005251DD" w:rsidRDefault="00B606BE" w:rsidP="00FC684B"/>
                          <w:p w14:paraId="067C0A38" w14:textId="77777777" w:rsidR="00B606BE" w:rsidRDefault="00B606BE"/>
                          <w:p w14:paraId="5FA0C86E" w14:textId="77777777" w:rsidR="00B606BE" w:rsidRPr="00097407" w:rsidRDefault="00B606BE"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363605BE" w14:textId="77777777" w:rsidR="00B606BE" w:rsidRPr="005251DD" w:rsidRDefault="00B606BE" w:rsidP="00665BA4"/>
                          <w:p w14:paraId="5187256F" w14:textId="77777777" w:rsidR="00B606BE" w:rsidRPr="005251DD" w:rsidRDefault="00B606BE"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6957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" filled="f" stroked="f">
                <v:textbox inset="0,0,0,0">
                  <w:txbxContent>
                    <w:p w14:paraId="36084CFA" w14:textId="77777777" w:rsidR="00B606BE" w:rsidRPr="004924DC" w:rsidRDefault="00B606BE" w:rsidP="004924DC">
                      <w:r w:rsidRPr="004924DC">
                        <w:t xml:space="preserve">© Český statistický úřad, </w:t>
                      </w:r>
                      <w:r>
                        <w:t>Praha</w:t>
                      </w:r>
                      <w:r w:rsidRPr="004924DC">
                        <w:t xml:space="preserve">, </w:t>
                      </w:r>
                      <w:r>
                        <w:t>2020</w:t>
                      </w:r>
                    </w:p>
                    <w:p w14:paraId="777DE8D6" w14:textId="77777777" w:rsidR="00B606BE" w:rsidRPr="005251DD" w:rsidRDefault="00B606BE" w:rsidP="00665BA4"/>
                    <w:p w14:paraId="345A47AA" w14:textId="77777777" w:rsidR="00B606BE" w:rsidRPr="005251DD" w:rsidRDefault="00B606BE" w:rsidP="00FC684B"/>
                    <w:p w14:paraId="067C0A38" w14:textId="77777777" w:rsidR="00B606BE" w:rsidRDefault="00B606BE"/>
                    <w:p w14:paraId="5FA0C86E" w14:textId="77777777" w:rsidR="00B606BE" w:rsidRPr="00097407" w:rsidRDefault="00B606BE"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63605BE" w14:textId="77777777" w:rsidR="00B606BE" w:rsidRPr="005251DD" w:rsidRDefault="00B606BE" w:rsidP="00665BA4"/>
                    <w:p w14:paraId="5187256F" w14:textId="77777777" w:rsidR="00B606BE" w:rsidRPr="005251DD" w:rsidRDefault="00B606BE"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0D277634" wp14:editId="3DEE5639">
                <wp:simplePos x="0" y="0"/>
                <wp:positionH relativeFrom="page">
                  <wp:posOffset>1710055</wp:posOffset>
                </wp:positionH>
                <wp:positionV relativeFrom="page">
                  <wp:posOffset>9361169</wp:posOffset>
                </wp:positionV>
                <wp:extent cx="5130165" cy="0"/>
                <wp:effectExtent l="0" t="0" r="13335" b="0"/>
                <wp:wrapNone/>
                <wp:docPr id="33"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D2EC50"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360DE3">
        <w:br w:type="page"/>
      </w:r>
      <w:r w:rsidR="00D57677" w:rsidRPr="00360DE3">
        <w:lastRenderedPageBreak/>
        <w:br w:type="page"/>
      </w:r>
      <w:r>
        <w:rPr>
          <w:noProof/>
        </w:rPr>
        <mc:AlternateContent>
          <mc:Choice Requires="wps">
            <w:drawing>
              <wp:anchor distT="0" distB="0" distL="114300" distR="114300" simplePos="0" relativeHeight="251659776" behindDoc="0" locked="1" layoutInCell="1" allowOverlap="1" wp14:anchorId="7B6E9E6C" wp14:editId="5DC08DA5">
                <wp:simplePos x="0" y="0"/>
                <wp:positionH relativeFrom="page">
                  <wp:posOffset>723900</wp:posOffset>
                </wp:positionH>
                <wp:positionV relativeFrom="page">
                  <wp:posOffset>1440180</wp:posOffset>
                </wp:positionV>
                <wp:extent cx="6119495" cy="76733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D138E19" w14:textId="77777777" w:rsidR="00B606BE" w:rsidRPr="006F5416" w:rsidRDefault="00B606BE" w:rsidP="006F5416">
                            <w:pPr>
                              <w:pStyle w:val="TLKontaktyerven"/>
                            </w:pPr>
                            <w:r w:rsidRPr="006F5416">
                              <w:t>KONTAKTY V ÚSTŘEDÍ</w:t>
                            </w:r>
                          </w:p>
                          <w:p w14:paraId="323F2B2D" w14:textId="30495667" w:rsidR="00B606BE" w:rsidRPr="007D40DF" w:rsidRDefault="00B606B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C682BE0" w14:textId="11DBFD38" w:rsidR="00B606BE" w:rsidRPr="00D235B7" w:rsidRDefault="00B606B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0367F1A4" w14:textId="75DBA502" w:rsidR="00B606BE" w:rsidRPr="00D235B7" w:rsidRDefault="00B606B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45ADDC12" w14:textId="65052924" w:rsidR="00B606BE" w:rsidRPr="00D235B7" w:rsidRDefault="00B606B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39E080EC" w14:textId="018FAE12" w:rsidR="00B606BE" w:rsidRPr="00D235B7" w:rsidRDefault="00B606B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74BEA42A" w14:textId="77777777" w:rsidR="00B606BE" w:rsidRPr="004A61C5" w:rsidRDefault="00B606BE" w:rsidP="00825C4D">
                            <w:pPr>
                              <w:pStyle w:val="TLKontakty"/>
                              <w:spacing w:after="80" w:line="240" w:lineRule="auto"/>
                              <w:contextualSpacing w:val="0"/>
                              <w:rPr>
                                <w:color w:val="auto"/>
                              </w:rPr>
                            </w:pPr>
                          </w:p>
                          <w:p w14:paraId="50ACD592" w14:textId="77777777" w:rsidR="00B606BE" w:rsidRPr="00D66223" w:rsidRDefault="00B606BE" w:rsidP="00D66223">
                            <w:pPr>
                              <w:pStyle w:val="TLKontaktyerven"/>
                            </w:pPr>
                            <w:r w:rsidRPr="00D66223">
                              <w:t>INFORMAČNÍ SLUŽBY V REGIONECH</w:t>
                            </w:r>
                          </w:p>
                          <w:p w14:paraId="118A14B0" w14:textId="5F5793D1" w:rsidR="00B606BE" w:rsidRPr="00992CF3" w:rsidRDefault="00B606B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794864D2" w14:textId="77777777" w:rsidR="00B606BE" w:rsidRPr="00992CF3" w:rsidRDefault="00B606B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6950D807" w14:textId="77777777" w:rsidR="00B606BE" w:rsidRPr="004A61C5" w:rsidRDefault="00B606BE" w:rsidP="00825C4D">
                            <w:pPr>
                              <w:pStyle w:val="TLKontakty"/>
                              <w:spacing w:after="80" w:line="240" w:lineRule="auto"/>
                              <w:rPr>
                                <w:color w:val="auto"/>
                              </w:rPr>
                            </w:pPr>
                          </w:p>
                          <w:p w14:paraId="5D7C7B9A" w14:textId="12BF2123" w:rsidR="00B606BE" w:rsidRPr="00992CF3" w:rsidRDefault="00B606B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0B9EB4D7" w14:textId="77777777" w:rsidR="00B606BE" w:rsidRPr="00992CF3" w:rsidRDefault="00B606B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628C532D" w14:textId="77777777" w:rsidR="00B606BE" w:rsidRPr="004A61C5" w:rsidRDefault="00B606BE" w:rsidP="00825C4D">
                            <w:pPr>
                              <w:pStyle w:val="TLKontakty"/>
                              <w:spacing w:after="80" w:line="240" w:lineRule="auto"/>
                              <w:rPr>
                                <w:color w:val="auto"/>
                              </w:rPr>
                            </w:pPr>
                          </w:p>
                          <w:p w14:paraId="3C5FD298" w14:textId="0DC7B2E8" w:rsidR="00B606BE" w:rsidRPr="00992CF3" w:rsidRDefault="00B606B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31EE49D" w14:textId="77777777" w:rsidR="00B606BE" w:rsidRPr="00992CF3" w:rsidRDefault="00B606B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13353B3F" w14:textId="77777777" w:rsidR="00B606BE" w:rsidRPr="004A61C5" w:rsidRDefault="00B606BE" w:rsidP="00825C4D">
                            <w:pPr>
                              <w:pStyle w:val="TLKontakty"/>
                              <w:spacing w:after="80" w:line="240" w:lineRule="auto"/>
                              <w:rPr>
                                <w:color w:val="auto"/>
                              </w:rPr>
                            </w:pPr>
                          </w:p>
                          <w:p w14:paraId="7C2E9C0D" w14:textId="15805E91" w:rsidR="00B606BE" w:rsidRPr="00BC731E" w:rsidRDefault="00B606B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23259975"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747CE55B" w14:textId="77777777" w:rsidR="00B606BE" w:rsidRPr="004A61C5" w:rsidRDefault="00B606BE" w:rsidP="00825C4D">
                            <w:pPr>
                              <w:pStyle w:val="TLKontakty"/>
                              <w:spacing w:after="80" w:line="240" w:lineRule="auto"/>
                              <w:rPr>
                                <w:color w:val="auto"/>
                              </w:rPr>
                            </w:pPr>
                          </w:p>
                          <w:p w14:paraId="7677DBAD" w14:textId="5B2CB871" w:rsidR="00B606BE" w:rsidRPr="004A61C5" w:rsidRDefault="00B606B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6F33735B"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23DD5F79" w14:textId="77777777" w:rsidR="00B606BE" w:rsidRPr="004A61C5" w:rsidRDefault="00B606BE" w:rsidP="00825C4D">
                            <w:pPr>
                              <w:pStyle w:val="TLKontakty"/>
                              <w:spacing w:after="80" w:line="240" w:lineRule="auto"/>
                              <w:rPr>
                                <w:color w:val="auto"/>
                              </w:rPr>
                            </w:pPr>
                          </w:p>
                          <w:p w14:paraId="7EA470B5" w14:textId="4739E7BC" w:rsidR="00B606BE" w:rsidRPr="004A61C5" w:rsidRDefault="00B606B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0584C219"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116F3C0" w14:textId="77777777" w:rsidR="00B606BE" w:rsidRPr="004A61C5" w:rsidRDefault="00B606BE" w:rsidP="00825C4D">
                            <w:pPr>
                              <w:pStyle w:val="TLKontakty"/>
                              <w:spacing w:after="80" w:line="240" w:lineRule="auto"/>
                              <w:rPr>
                                <w:color w:val="auto"/>
                              </w:rPr>
                            </w:pPr>
                          </w:p>
                          <w:p w14:paraId="7891EF34" w14:textId="45186F31" w:rsidR="00B606BE" w:rsidRPr="004A61C5" w:rsidRDefault="00B606B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119291A8"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3EEAA5EF" w14:textId="77777777" w:rsidR="00B606BE" w:rsidRPr="00CB390A" w:rsidRDefault="00B606BE" w:rsidP="00825C4D">
                            <w:pPr>
                              <w:pStyle w:val="TLKontakty"/>
                              <w:spacing w:after="80" w:line="240" w:lineRule="auto"/>
                              <w:rPr>
                                <w:bCs/>
                                <w:color w:val="auto"/>
                              </w:rPr>
                            </w:pPr>
                          </w:p>
                          <w:p w14:paraId="4AEC9BBD" w14:textId="5C96F20C" w:rsidR="00B606BE" w:rsidRPr="004A61C5" w:rsidRDefault="00B606B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721F7A4C"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3CA3B13E" w14:textId="77777777" w:rsidR="00B606BE" w:rsidRPr="004A61C5" w:rsidRDefault="00B606BE" w:rsidP="00825C4D">
                            <w:pPr>
                              <w:pStyle w:val="TLKontakty"/>
                              <w:spacing w:after="80" w:line="240" w:lineRule="auto"/>
                              <w:rPr>
                                <w:color w:val="auto"/>
                              </w:rPr>
                            </w:pPr>
                          </w:p>
                          <w:p w14:paraId="6ED36645" w14:textId="5E340DF1" w:rsidR="00B606BE" w:rsidRPr="004A61C5" w:rsidRDefault="00B606B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3F076199"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1938003A" w14:textId="77777777" w:rsidR="00B606BE" w:rsidRPr="00CB390A" w:rsidRDefault="00B606BE" w:rsidP="00825C4D">
                            <w:pPr>
                              <w:pStyle w:val="TLKontakty"/>
                              <w:spacing w:after="80" w:line="240" w:lineRule="auto"/>
                              <w:rPr>
                                <w:bCs/>
                                <w:color w:val="auto"/>
                              </w:rPr>
                            </w:pPr>
                          </w:p>
                          <w:p w14:paraId="146D7C27" w14:textId="58F27365" w:rsidR="00B606BE" w:rsidRPr="004A61C5" w:rsidRDefault="00B606BE" w:rsidP="00825C4D">
                            <w:pPr>
                              <w:pStyle w:val="TLKontakty"/>
                              <w:spacing w:after="80" w:line="240" w:lineRule="auto"/>
                              <w:rPr>
                                <w:b w:val="0"/>
                                <w:color w:val="auto"/>
                              </w:rPr>
                            </w:pPr>
                            <w:r w:rsidRPr="00D66223">
                              <w:t>Jihlava</w:t>
                            </w:r>
                            <w:r w:rsidRPr="004A61C5">
                              <w:rPr>
                                <w:b w:val="0"/>
                                <w:color w:val="auto"/>
                              </w:rPr>
                              <w:t xml:space="preserve"> | Ke 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474097CB"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0C265C" w14:textId="77777777" w:rsidR="00B606BE" w:rsidRPr="00CB390A" w:rsidRDefault="00B606BE" w:rsidP="00825C4D">
                            <w:pPr>
                              <w:pStyle w:val="TLKontakty"/>
                              <w:spacing w:after="80" w:line="240" w:lineRule="auto"/>
                              <w:rPr>
                                <w:color w:val="auto"/>
                              </w:rPr>
                            </w:pPr>
                          </w:p>
                          <w:p w14:paraId="31284235" w14:textId="60CCC10F" w:rsidR="00B606BE" w:rsidRPr="00BC731E" w:rsidRDefault="00B606B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080BA3A" w14:textId="77777777" w:rsidR="00B606BE" w:rsidRPr="004A61C5" w:rsidRDefault="00B606B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15752E25" w14:textId="77777777" w:rsidR="00B606BE" w:rsidRPr="00CB390A" w:rsidRDefault="00B606BE" w:rsidP="00825C4D">
                            <w:pPr>
                              <w:pStyle w:val="TLKontakty"/>
                              <w:spacing w:after="80" w:line="240" w:lineRule="auto"/>
                              <w:rPr>
                                <w:bCs/>
                                <w:color w:val="auto"/>
                              </w:rPr>
                            </w:pPr>
                          </w:p>
                          <w:p w14:paraId="4B780AA5" w14:textId="58D7F78D" w:rsidR="00B606BE" w:rsidRPr="005E7C78" w:rsidRDefault="00B606B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573D478A" w14:textId="77777777" w:rsidR="00B606BE" w:rsidRPr="005E7C78" w:rsidRDefault="00B606B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64EE4CAD" w14:textId="77777777" w:rsidR="00B606BE" w:rsidRPr="00CB390A" w:rsidRDefault="00B606BE" w:rsidP="00825C4D">
                            <w:pPr>
                              <w:pStyle w:val="TLKontakty"/>
                              <w:spacing w:after="80" w:line="240" w:lineRule="auto"/>
                              <w:rPr>
                                <w:bCs/>
                                <w:color w:val="auto"/>
                              </w:rPr>
                            </w:pPr>
                          </w:p>
                          <w:p w14:paraId="250076FF" w14:textId="5F59E0A9" w:rsidR="00B606BE" w:rsidRPr="005E7C78" w:rsidRDefault="00B606B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1DE1C890" w14:textId="77777777" w:rsidR="00B606BE" w:rsidRDefault="00B606B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9D8116E" w14:textId="77777777" w:rsidR="00B606BE" w:rsidRPr="00CB390A" w:rsidRDefault="00B606BE" w:rsidP="00095135">
                            <w:pPr>
                              <w:pStyle w:val="TLKontakty"/>
                              <w:spacing w:after="80" w:line="240" w:lineRule="auto"/>
                              <w:rPr>
                                <w:bCs/>
                                <w:color w:val="auto"/>
                              </w:rPr>
                            </w:pPr>
                          </w:p>
                          <w:p w14:paraId="71218FFC" w14:textId="7B6C0EBD" w:rsidR="00B606BE" w:rsidRPr="005E7C78" w:rsidRDefault="00B606B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2F9DAD76" w14:textId="77777777" w:rsidR="00B606BE" w:rsidRPr="00095135" w:rsidRDefault="00B606B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B6E9E6C"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uKSgIAAEI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" filled="f" stroked="f">
                <v:textbox style="mso-fit-shape-to-text:t" inset="0,0,0,0">
                  <w:txbxContent>
                    <w:p w14:paraId="3D138E19" w14:textId="77777777" w:rsidR="00B606BE" w:rsidRPr="006F5416" w:rsidRDefault="00B606BE" w:rsidP="006F5416">
                      <w:pPr>
                        <w:pStyle w:val="TLKontaktyerven"/>
                      </w:pPr>
                      <w:r w:rsidRPr="006F5416">
                        <w:t>KONTAKTY V ÚSTŘEDÍ</w:t>
                      </w:r>
                    </w:p>
                    <w:p w14:paraId="323F2B2D" w14:textId="30495667" w:rsidR="00B606BE" w:rsidRPr="007D40DF" w:rsidRDefault="00B606BE"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3C682BE0" w14:textId="11DBFD38" w:rsidR="00B606BE" w:rsidRPr="00D235B7" w:rsidRDefault="00B606BE"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0367F1A4" w14:textId="75DBA502" w:rsidR="00B606BE" w:rsidRPr="00D235B7" w:rsidRDefault="00B606BE"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45ADDC12" w14:textId="65052924" w:rsidR="00B606BE" w:rsidRPr="00D235B7" w:rsidRDefault="00B606BE"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39E080EC" w14:textId="018FAE12" w:rsidR="00B606BE" w:rsidRPr="00D235B7" w:rsidRDefault="00B606BE"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74BEA42A" w14:textId="77777777" w:rsidR="00B606BE" w:rsidRPr="004A61C5" w:rsidRDefault="00B606BE" w:rsidP="00825C4D">
                      <w:pPr>
                        <w:pStyle w:val="TLKontakty"/>
                        <w:spacing w:after="80" w:line="240" w:lineRule="auto"/>
                        <w:contextualSpacing w:val="0"/>
                        <w:rPr>
                          <w:color w:val="auto"/>
                        </w:rPr>
                      </w:pPr>
                    </w:p>
                    <w:p w14:paraId="50ACD592" w14:textId="77777777" w:rsidR="00B606BE" w:rsidRPr="00D66223" w:rsidRDefault="00B606BE" w:rsidP="00D66223">
                      <w:pPr>
                        <w:pStyle w:val="TLKontaktyerven"/>
                      </w:pPr>
                      <w:r w:rsidRPr="00D66223">
                        <w:t>INFORMAČNÍ SLUŽBY V REGIONECH</w:t>
                      </w:r>
                    </w:p>
                    <w:p w14:paraId="118A14B0" w14:textId="5F5793D1" w:rsidR="00B606BE" w:rsidRPr="00992CF3" w:rsidRDefault="00B606BE"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794864D2" w14:textId="77777777" w:rsidR="00B606BE" w:rsidRPr="00992CF3" w:rsidRDefault="00B606BE"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6950D807" w14:textId="77777777" w:rsidR="00B606BE" w:rsidRPr="004A61C5" w:rsidRDefault="00B606BE" w:rsidP="00825C4D">
                      <w:pPr>
                        <w:pStyle w:val="TLKontakty"/>
                        <w:spacing w:after="80" w:line="240" w:lineRule="auto"/>
                        <w:rPr>
                          <w:color w:val="auto"/>
                        </w:rPr>
                      </w:pPr>
                    </w:p>
                    <w:p w14:paraId="5D7C7B9A" w14:textId="12BF2123" w:rsidR="00B606BE" w:rsidRPr="00992CF3" w:rsidRDefault="00B606BE"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0B9EB4D7" w14:textId="77777777" w:rsidR="00B606BE" w:rsidRPr="00992CF3" w:rsidRDefault="00B606BE"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628C532D" w14:textId="77777777" w:rsidR="00B606BE" w:rsidRPr="004A61C5" w:rsidRDefault="00B606BE" w:rsidP="00825C4D">
                      <w:pPr>
                        <w:pStyle w:val="TLKontakty"/>
                        <w:spacing w:after="80" w:line="240" w:lineRule="auto"/>
                        <w:rPr>
                          <w:color w:val="auto"/>
                        </w:rPr>
                      </w:pPr>
                    </w:p>
                    <w:p w14:paraId="3C5FD298" w14:textId="0DC7B2E8" w:rsidR="00B606BE" w:rsidRPr="00992CF3" w:rsidRDefault="00B606BE"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31EE49D" w14:textId="77777777" w:rsidR="00B606BE" w:rsidRPr="00992CF3" w:rsidRDefault="00B606BE"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13353B3F" w14:textId="77777777" w:rsidR="00B606BE" w:rsidRPr="004A61C5" w:rsidRDefault="00B606BE" w:rsidP="00825C4D">
                      <w:pPr>
                        <w:pStyle w:val="TLKontakty"/>
                        <w:spacing w:after="80" w:line="240" w:lineRule="auto"/>
                        <w:rPr>
                          <w:color w:val="auto"/>
                        </w:rPr>
                      </w:pPr>
                    </w:p>
                    <w:p w14:paraId="7C2E9C0D" w14:textId="15805E91" w:rsidR="00B606BE" w:rsidRPr="00BC731E" w:rsidRDefault="00B606BE"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23259975"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747CE55B" w14:textId="77777777" w:rsidR="00B606BE" w:rsidRPr="004A61C5" w:rsidRDefault="00B606BE" w:rsidP="00825C4D">
                      <w:pPr>
                        <w:pStyle w:val="TLKontakty"/>
                        <w:spacing w:after="80" w:line="240" w:lineRule="auto"/>
                        <w:rPr>
                          <w:color w:val="auto"/>
                        </w:rPr>
                      </w:pPr>
                    </w:p>
                    <w:p w14:paraId="7677DBAD" w14:textId="5B2CB871" w:rsidR="00B606BE" w:rsidRPr="004A61C5" w:rsidRDefault="00B606BE"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6F33735B"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23DD5F79" w14:textId="77777777" w:rsidR="00B606BE" w:rsidRPr="004A61C5" w:rsidRDefault="00B606BE" w:rsidP="00825C4D">
                      <w:pPr>
                        <w:pStyle w:val="TLKontakty"/>
                        <w:spacing w:after="80" w:line="240" w:lineRule="auto"/>
                        <w:rPr>
                          <w:color w:val="auto"/>
                        </w:rPr>
                      </w:pPr>
                    </w:p>
                    <w:p w14:paraId="7EA470B5" w14:textId="4739E7BC" w:rsidR="00B606BE" w:rsidRPr="004A61C5" w:rsidRDefault="00B606BE"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0584C219"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116F3C0" w14:textId="77777777" w:rsidR="00B606BE" w:rsidRPr="004A61C5" w:rsidRDefault="00B606BE" w:rsidP="00825C4D">
                      <w:pPr>
                        <w:pStyle w:val="TLKontakty"/>
                        <w:spacing w:after="80" w:line="240" w:lineRule="auto"/>
                        <w:rPr>
                          <w:color w:val="auto"/>
                        </w:rPr>
                      </w:pPr>
                    </w:p>
                    <w:p w14:paraId="7891EF34" w14:textId="45186F31" w:rsidR="00B606BE" w:rsidRPr="004A61C5" w:rsidRDefault="00B606BE"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119291A8"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3EEAA5EF" w14:textId="77777777" w:rsidR="00B606BE" w:rsidRPr="00CB390A" w:rsidRDefault="00B606BE" w:rsidP="00825C4D">
                      <w:pPr>
                        <w:pStyle w:val="TLKontakty"/>
                        <w:spacing w:after="80" w:line="240" w:lineRule="auto"/>
                        <w:rPr>
                          <w:bCs/>
                          <w:color w:val="auto"/>
                        </w:rPr>
                      </w:pPr>
                    </w:p>
                    <w:p w14:paraId="4AEC9BBD" w14:textId="5C96F20C" w:rsidR="00B606BE" w:rsidRPr="004A61C5" w:rsidRDefault="00B606BE"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721F7A4C"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3CA3B13E" w14:textId="77777777" w:rsidR="00B606BE" w:rsidRPr="004A61C5" w:rsidRDefault="00B606BE" w:rsidP="00825C4D">
                      <w:pPr>
                        <w:pStyle w:val="TLKontakty"/>
                        <w:spacing w:after="80" w:line="240" w:lineRule="auto"/>
                        <w:rPr>
                          <w:color w:val="auto"/>
                        </w:rPr>
                      </w:pPr>
                    </w:p>
                    <w:p w14:paraId="6ED36645" w14:textId="5E340DF1" w:rsidR="00B606BE" w:rsidRPr="004A61C5" w:rsidRDefault="00B606BE"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3F076199"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1938003A" w14:textId="77777777" w:rsidR="00B606BE" w:rsidRPr="00CB390A" w:rsidRDefault="00B606BE" w:rsidP="00825C4D">
                      <w:pPr>
                        <w:pStyle w:val="TLKontakty"/>
                        <w:spacing w:after="80" w:line="240" w:lineRule="auto"/>
                        <w:rPr>
                          <w:bCs/>
                          <w:color w:val="auto"/>
                        </w:rPr>
                      </w:pPr>
                    </w:p>
                    <w:p w14:paraId="146D7C27" w14:textId="58F27365" w:rsidR="00B606BE" w:rsidRPr="004A61C5" w:rsidRDefault="00B606BE" w:rsidP="00825C4D">
                      <w:pPr>
                        <w:pStyle w:val="TLKontakty"/>
                        <w:spacing w:after="80" w:line="240" w:lineRule="auto"/>
                        <w:rPr>
                          <w:b w:val="0"/>
                          <w:color w:val="auto"/>
                        </w:rPr>
                      </w:pPr>
                      <w:r w:rsidRPr="00D66223">
                        <w:t>Jihlava</w:t>
                      </w:r>
                      <w:r w:rsidRPr="004A61C5">
                        <w:rPr>
                          <w:b w:val="0"/>
                          <w:color w:val="auto"/>
                        </w:rPr>
                        <w:t xml:space="preserve"> | Ke 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474097CB" w14:textId="77777777" w:rsidR="00B606BE" w:rsidRPr="004A61C5" w:rsidRDefault="00B606BE"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0C265C" w14:textId="77777777" w:rsidR="00B606BE" w:rsidRPr="00CB390A" w:rsidRDefault="00B606BE" w:rsidP="00825C4D">
                      <w:pPr>
                        <w:pStyle w:val="TLKontakty"/>
                        <w:spacing w:after="80" w:line="240" w:lineRule="auto"/>
                        <w:rPr>
                          <w:color w:val="auto"/>
                        </w:rPr>
                      </w:pPr>
                    </w:p>
                    <w:p w14:paraId="31284235" w14:textId="60CCC10F" w:rsidR="00B606BE" w:rsidRPr="00BC731E" w:rsidRDefault="00B606BE"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080BA3A" w14:textId="77777777" w:rsidR="00B606BE" w:rsidRPr="004A61C5" w:rsidRDefault="00B606BE"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15752E25" w14:textId="77777777" w:rsidR="00B606BE" w:rsidRPr="00CB390A" w:rsidRDefault="00B606BE" w:rsidP="00825C4D">
                      <w:pPr>
                        <w:pStyle w:val="TLKontakty"/>
                        <w:spacing w:after="80" w:line="240" w:lineRule="auto"/>
                        <w:rPr>
                          <w:bCs/>
                          <w:color w:val="auto"/>
                        </w:rPr>
                      </w:pPr>
                    </w:p>
                    <w:p w14:paraId="4B780AA5" w14:textId="58D7F78D" w:rsidR="00B606BE" w:rsidRPr="005E7C78" w:rsidRDefault="00B606BE"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573D478A" w14:textId="77777777" w:rsidR="00B606BE" w:rsidRPr="005E7C78" w:rsidRDefault="00B606BE"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64EE4CAD" w14:textId="77777777" w:rsidR="00B606BE" w:rsidRPr="00CB390A" w:rsidRDefault="00B606BE" w:rsidP="00825C4D">
                      <w:pPr>
                        <w:pStyle w:val="TLKontakty"/>
                        <w:spacing w:after="80" w:line="240" w:lineRule="auto"/>
                        <w:rPr>
                          <w:bCs/>
                          <w:color w:val="auto"/>
                        </w:rPr>
                      </w:pPr>
                    </w:p>
                    <w:p w14:paraId="250076FF" w14:textId="5F59E0A9" w:rsidR="00B606BE" w:rsidRPr="005E7C78" w:rsidRDefault="00B606BE"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1DE1C890" w14:textId="77777777" w:rsidR="00B606BE" w:rsidRDefault="00B606BE"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79D8116E" w14:textId="77777777" w:rsidR="00B606BE" w:rsidRPr="00CB390A" w:rsidRDefault="00B606BE" w:rsidP="00095135">
                      <w:pPr>
                        <w:pStyle w:val="TLKontakty"/>
                        <w:spacing w:after="80" w:line="240" w:lineRule="auto"/>
                        <w:rPr>
                          <w:bCs/>
                          <w:color w:val="auto"/>
                        </w:rPr>
                      </w:pPr>
                    </w:p>
                    <w:p w14:paraId="71218FFC" w14:textId="7B6C0EBD" w:rsidR="00B606BE" w:rsidRPr="005E7C78" w:rsidRDefault="00B606BE"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2F9DAD76" w14:textId="77777777" w:rsidR="00B606BE" w:rsidRPr="00095135" w:rsidRDefault="00B606BE"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F06C8E2" wp14:editId="02556D0F">
                <wp:simplePos x="0" y="0"/>
                <wp:positionH relativeFrom="page">
                  <wp:posOffset>720090</wp:posOffset>
                </wp:positionH>
                <wp:positionV relativeFrom="page">
                  <wp:posOffset>9486900</wp:posOffset>
                </wp:positionV>
                <wp:extent cx="6120130" cy="36004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7BC5F0D" w14:textId="17124E7A" w:rsidR="00B606BE" w:rsidRPr="00321924" w:rsidRDefault="00B606BE" w:rsidP="00A16E1D">
                            <w:pPr>
                              <w:jc w:val="left"/>
                            </w:pPr>
                            <w:r w:rsidRPr="00321924">
                              <w:br/>
                              <w:t xml:space="preserve">© Český statistický úřad, </w:t>
                            </w:r>
                            <w:r>
                              <w:t>Praha, 2020</w:t>
                            </w:r>
                          </w:p>
                          <w:p w14:paraId="70975E18" w14:textId="77777777" w:rsidR="00B606BE" w:rsidRDefault="00B606BE"/>
                          <w:p w14:paraId="7A01BFE4" w14:textId="5AA54A7D" w:rsidR="00B606BE" w:rsidRPr="00841D9F" w:rsidRDefault="00B606B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302B93BA" w14:textId="77777777" w:rsidR="00B606BE" w:rsidRPr="00AF2852" w:rsidRDefault="00B606BE"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6C8E2"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q/qsdUkCAABCBAAADgAAAAAAAAAAAAAAAAAuAgAAZHJzL2Uyb0RvYy54bWxQSwECLQAUAAYACAAA&#10;ACEA1duK+uIAAAAOAQAADwAAAAAAAAAAAAAAAACjBAAAZHJzL2Rvd25yZXYueG1sUEsFBgAAAAAE&#10;AAQA8wAAALIFAAAAAA==&#10;" filled="f" stroked="f">
                <v:textbox inset="0,0,0,0">
                  <w:txbxContent>
                    <w:p w14:paraId="57BC5F0D" w14:textId="17124E7A" w:rsidR="00B606BE" w:rsidRPr="00321924" w:rsidRDefault="00B606BE" w:rsidP="00A16E1D">
                      <w:pPr>
                        <w:jc w:val="left"/>
                      </w:pPr>
                      <w:r w:rsidRPr="00321924">
                        <w:br/>
                        <w:t xml:space="preserve">© Český statistický úřad, </w:t>
                      </w:r>
                      <w:r>
                        <w:t>Praha, 2020</w:t>
                      </w:r>
                    </w:p>
                    <w:p w14:paraId="70975E18" w14:textId="77777777" w:rsidR="00B606BE" w:rsidRDefault="00B606BE"/>
                    <w:p w14:paraId="7A01BFE4" w14:textId="5AA54A7D" w:rsidR="00B606BE" w:rsidRPr="00841D9F" w:rsidRDefault="00B606BE"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302B93BA" w14:textId="77777777" w:rsidR="00B606BE" w:rsidRPr="00AF2852" w:rsidRDefault="00B606BE"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22457B98" wp14:editId="5EA330F7">
                <wp:simplePos x="0" y="0"/>
                <wp:positionH relativeFrom="page">
                  <wp:posOffset>723265</wp:posOffset>
                </wp:positionH>
                <wp:positionV relativeFrom="page">
                  <wp:posOffset>723265</wp:posOffset>
                </wp:positionV>
                <wp:extent cx="6119495" cy="55562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CC548B8" w14:textId="7F1552C3" w:rsidR="00B606BE" w:rsidRPr="009A1902" w:rsidRDefault="00B606B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r w:rsidRPr="00D64F56">
                              <w:rPr>
                                <w:b/>
                                <w:color w:val="0071BC"/>
                                <w:sz w:val="24"/>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457B98"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y/SAIAAEE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nh7Mv0gC&#10;AABBBAAADgAAAAAAAAAAAAAAAAAuAgAAZHJzL2Uyb0RvYy54bWxQSwECLQAUAAYACAAAACEAgpbu&#10;4N0AAAAMAQAADwAAAAAAAAAAAAAAAACiBAAAZHJzL2Rvd25yZXYueG1sUEsFBgAAAAAEAAQA8wAA&#10;AKwFAAAAAA==&#10;" filled="f" stroked="f">
                <v:textbox style="mso-fit-shape-to-text:t" inset="0,0,0,0">
                  <w:txbxContent>
                    <w:p w14:paraId="2CC548B8" w14:textId="7F1552C3" w:rsidR="00B606BE" w:rsidRPr="009A1902" w:rsidRDefault="00B606BE"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r w:rsidRPr="00D64F56">
                        <w:rPr>
                          <w:b/>
                          <w:color w:val="0071BC"/>
                          <w:sz w:val="24"/>
                        </w:rPr>
                        <w:t>.</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4ACE4C40" w14:textId="77777777" w:rsidR="00F46502" w:rsidRPr="00360DE3" w:rsidRDefault="00F46502" w:rsidP="00F46502">
          <w:pPr>
            <w:pStyle w:val="Obsah"/>
          </w:pPr>
          <w:r w:rsidRPr="00360DE3">
            <w:t>Obsah</w:t>
          </w:r>
        </w:p>
        <w:p w14:paraId="675011BC" w14:textId="77777777" w:rsidR="00EA0840" w:rsidRDefault="00EA0840" w:rsidP="00EA0840">
          <w:pPr>
            <w:pStyle w:val="Obsah1"/>
          </w:pPr>
        </w:p>
        <w:p w14:paraId="371957FD" w14:textId="41A3976C" w:rsidR="00B54294" w:rsidRDefault="00A20028">
          <w:pPr>
            <w:pStyle w:val="Obsah1"/>
            <w:rPr>
              <w:rFonts w:asciiTheme="minorHAnsi" w:eastAsiaTheme="minorEastAsia" w:hAnsiTheme="minorHAnsi" w:cstheme="minorBidi"/>
              <w:sz w:val="22"/>
              <w:szCs w:val="22"/>
              <w:lang w:eastAsia="cs-CZ"/>
            </w:rPr>
          </w:pPr>
          <w:r w:rsidRPr="00360DE3">
            <w:fldChar w:fldCharType="begin"/>
          </w:r>
          <w:r w:rsidR="00F46502" w:rsidRPr="00360DE3">
            <w:instrText xml:space="preserve"> TOC \o "1-3" \h \z \u </w:instrText>
          </w:r>
          <w:r w:rsidRPr="00360DE3">
            <w:fldChar w:fldCharType="separate"/>
          </w:r>
          <w:hyperlink w:anchor="_Toc48549429" w:history="1">
            <w:r w:rsidR="00B54294" w:rsidRPr="006E4A11">
              <w:rPr>
                <w:rStyle w:val="Hypertextovodkaz"/>
              </w:rPr>
              <w:t>1. Shrnutí</w:t>
            </w:r>
            <w:r w:rsidR="00B54294">
              <w:rPr>
                <w:webHidden/>
              </w:rPr>
              <w:tab/>
            </w:r>
            <w:r w:rsidR="00B54294">
              <w:rPr>
                <w:webHidden/>
              </w:rPr>
              <w:fldChar w:fldCharType="begin"/>
            </w:r>
            <w:r w:rsidR="00B54294">
              <w:rPr>
                <w:webHidden/>
              </w:rPr>
              <w:instrText xml:space="preserve"> PAGEREF _Toc48549429 \h </w:instrText>
            </w:r>
            <w:r w:rsidR="00B54294">
              <w:rPr>
                <w:webHidden/>
              </w:rPr>
            </w:r>
            <w:r w:rsidR="00B54294">
              <w:rPr>
                <w:webHidden/>
              </w:rPr>
              <w:fldChar w:fldCharType="separate"/>
            </w:r>
            <w:r w:rsidR="00B54294">
              <w:rPr>
                <w:webHidden/>
              </w:rPr>
              <w:t>4</w:t>
            </w:r>
            <w:r w:rsidR="00B54294">
              <w:rPr>
                <w:webHidden/>
              </w:rPr>
              <w:fldChar w:fldCharType="end"/>
            </w:r>
          </w:hyperlink>
        </w:p>
        <w:p w14:paraId="625154DB" w14:textId="60521644" w:rsidR="00B54294" w:rsidRDefault="00002B85">
          <w:pPr>
            <w:pStyle w:val="Obsah1"/>
            <w:rPr>
              <w:rFonts w:asciiTheme="minorHAnsi" w:eastAsiaTheme="minorEastAsia" w:hAnsiTheme="minorHAnsi" w:cstheme="minorBidi"/>
              <w:sz w:val="22"/>
              <w:szCs w:val="22"/>
              <w:lang w:eastAsia="cs-CZ"/>
            </w:rPr>
          </w:pPr>
          <w:hyperlink w:anchor="_Toc48549430" w:history="1">
            <w:r w:rsidR="00B54294" w:rsidRPr="006E4A11">
              <w:rPr>
                <w:rStyle w:val="Hypertextovodkaz"/>
              </w:rPr>
              <w:t>Souhrnná výkonnost ekonomiky</w:t>
            </w:r>
            <w:r w:rsidR="00B54294">
              <w:rPr>
                <w:webHidden/>
              </w:rPr>
              <w:tab/>
            </w:r>
            <w:r w:rsidR="00B54294">
              <w:rPr>
                <w:webHidden/>
              </w:rPr>
              <w:fldChar w:fldCharType="begin"/>
            </w:r>
            <w:r w:rsidR="00B54294">
              <w:rPr>
                <w:webHidden/>
              </w:rPr>
              <w:instrText xml:space="preserve"> PAGEREF _Toc48549430 \h </w:instrText>
            </w:r>
            <w:r w:rsidR="00B54294">
              <w:rPr>
                <w:webHidden/>
              </w:rPr>
            </w:r>
            <w:r w:rsidR="00B54294">
              <w:rPr>
                <w:webHidden/>
              </w:rPr>
              <w:fldChar w:fldCharType="separate"/>
            </w:r>
            <w:r w:rsidR="00B54294">
              <w:rPr>
                <w:webHidden/>
              </w:rPr>
              <w:t>5</w:t>
            </w:r>
            <w:r w:rsidR="00B54294">
              <w:rPr>
                <w:webHidden/>
              </w:rPr>
              <w:fldChar w:fldCharType="end"/>
            </w:r>
          </w:hyperlink>
        </w:p>
        <w:p w14:paraId="65314E7E" w14:textId="51B23DA6" w:rsidR="00B54294" w:rsidRDefault="00002B85">
          <w:pPr>
            <w:pStyle w:val="Obsah1"/>
            <w:rPr>
              <w:rFonts w:asciiTheme="minorHAnsi" w:eastAsiaTheme="minorEastAsia" w:hAnsiTheme="minorHAnsi" w:cstheme="minorBidi"/>
              <w:sz w:val="22"/>
              <w:szCs w:val="22"/>
              <w:lang w:eastAsia="cs-CZ"/>
            </w:rPr>
          </w:pPr>
          <w:hyperlink w:anchor="_Toc48549431" w:history="1">
            <w:r w:rsidR="00B54294" w:rsidRPr="006E4A11">
              <w:rPr>
                <w:rStyle w:val="Hypertextovodkaz"/>
              </w:rPr>
              <w:t>2. Hrubý domácí produkt</w:t>
            </w:r>
            <w:r w:rsidR="00B54294">
              <w:rPr>
                <w:webHidden/>
              </w:rPr>
              <w:tab/>
            </w:r>
            <w:r w:rsidR="00B54294">
              <w:rPr>
                <w:webHidden/>
              </w:rPr>
              <w:fldChar w:fldCharType="begin"/>
            </w:r>
            <w:r w:rsidR="00B54294">
              <w:rPr>
                <w:webHidden/>
              </w:rPr>
              <w:instrText xml:space="preserve"> PAGEREF _Toc48549431 \h </w:instrText>
            </w:r>
            <w:r w:rsidR="00B54294">
              <w:rPr>
                <w:webHidden/>
              </w:rPr>
            </w:r>
            <w:r w:rsidR="00B54294">
              <w:rPr>
                <w:webHidden/>
              </w:rPr>
              <w:fldChar w:fldCharType="separate"/>
            </w:r>
            <w:r w:rsidR="00B54294">
              <w:rPr>
                <w:webHidden/>
              </w:rPr>
              <w:t>5</w:t>
            </w:r>
            <w:r w:rsidR="00B54294">
              <w:rPr>
                <w:webHidden/>
              </w:rPr>
              <w:fldChar w:fldCharType="end"/>
            </w:r>
          </w:hyperlink>
        </w:p>
        <w:p w14:paraId="2F9D180F" w14:textId="35F55263" w:rsidR="00B54294" w:rsidRDefault="00002B85">
          <w:pPr>
            <w:pStyle w:val="Obsah1"/>
            <w:rPr>
              <w:rFonts w:asciiTheme="minorHAnsi" w:eastAsiaTheme="minorEastAsia" w:hAnsiTheme="minorHAnsi" w:cstheme="minorBidi"/>
              <w:sz w:val="22"/>
              <w:szCs w:val="22"/>
              <w:lang w:eastAsia="cs-CZ"/>
            </w:rPr>
          </w:pPr>
          <w:hyperlink w:anchor="_Toc48549432" w:history="1">
            <w:r w:rsidR="00B54294" w:rsidRPr="006E4A11">
              <w:rPr>
                <w:rStyle w:val="Hypertextovodkaz"/>
              </w:rPr>
              <w:t>3. Vnější ekonomické vztahy</w:t>
            </w:r>
            <w:r w:rsidR="00B54294">
              <w:rPr>
                <w:webHidden/>
              </w:rPr>
              <w:tab/>
            </w:r>
            <w:r w:rsidR="00B54294">
              <w:rPr>
                <w:webHidden/>
              </w:rPr>
              <w:fldChar w:fldCharType="begin"/>
            </w:r>
            <w:r w:rsidR="00B54294">
              <w:rPr>
                <w:webHidden/>
              </w:rPr>
              <w:instrText xml:space="preserve"> PAGEREF _Toc48549432 \h </w:instrText>
            </w:r>
            <w:r w:rsidR="00B54294">
              <w:rPr>
                <w:webHidden/>
              </w:rPr>
            </w:r>
            <w:r w:rsidR="00B54294">
              <w:rPr>
                <w:webHidden/>
              </w:rPr>
              <w:fldChar w:fldCharType="separate"/>
            </w:r>
            <w:r w:rsidR="00B54294">
              <w:rPr>
                <w:webHidden/>
              </w:rPr>
              <w:t>8</w:t>
            </w:r>
            <w:r w:rsidR="00B54294">
              <w:rPr>
                <w:webHidden/>
              </w:rPr>
              <w:fldChar w:fldCharType="end"/>
            </w:r>
          </w:hyperlink>
        </w:p>
        <w:p w14:paraId="38B0BA96" w14:textId="5628535F" w:rsidR="00B54294" w:rsidRDefault="00002B85">
          <w:pPr>
            <w:pStyle w:val="Obsah1"/>
            <w:rPr>
              <w:rFonts w:asciiTheme="minorHAnsi" w:eastAsiaTheme="minorEastAsia" w:hAnsiTheme="minorHAnsi" w:cstheme="minorBidi"/>
              <w:sz w:val="22"/>
              <w:szCs w:val="22"/>
              <w:lang w:eastAsia="cs-CZ"/>
            </w:rPr>
          </w:pPr>
          <w:hyperlink w:anchor="_Toc48549433" w:history="1">
            <w:r w:rsidR="00B54294" w:rsidRPr="006E4A11">
              <w:rPr>
                <w:rStyle w:val="Hypertextovodkaz"/>
              </w:rPr>
              <w:t>4. Investice</w:t>
            </w:r>
            <w:r w:rsidR="00B54294">
              <w:rPr>
                <w:webHidden/>
              </w:rPr>
              <w:tab/>
            </w:r>
            <w:r w:rsidR="00B54294">
              <w:rPr>
                <w:webHidden/>
              </w:rPr>
              <w:fldChar w:fldCharType="begin"/>
            </w:r>
            <w:r w:rsidR="00B54294">
              <w:rPr>
                <w:webHidden/>
              </w:rPr>
              <w:instrText xml:space="preserve"> PAGEREF _Toc48549433 \h </w:instrText>
            </w:r>
            <w:r w:rsidR="00B54294">
              <w:rPr>
                <w:webHidden/>
              </w:rPr>
            </w:r>
            <w:r w:rsidR="00B54294">
              <w:rPr>
                <w:webHidden/>
              </w:rPr>
              <w:fldChar w:fldCharType="separate"/>
            </w:r>
            <w:r w:rsidR="00B54294">
              <w:rPr>
                <w:webHidden/>
              </w:rPr>
              <w:t>9</w:t>
            </w:r>
            <w:r w:rsidR="00B54294">
              <w:rPr>
                <w:webHidden/>
              </w:rPr>
              <w:fldChar w:fldCharType="end"/>
            </w:r>
          </w:hyperlink>
        </w:p>
        <w:p w14:paraId="6EF2DCBD" w14:textId="4EC6F06D" w:rsidR="00B54294" w:rsidRDefault="00002B85">
          <w:pPr>
            <w:pStyle w:val="Obsah1"/>
            <w:rPr>
              <w:rFonts w:asciiTheme="minorHAnsi" w:eastAsiaTheme="minorEastAsia" w:hAnsiTheme="minorHAnsi" w:cstheme="minorBidi"/>
              <w:sz w:val="22"/>
              <w:szCs w:val="22"/>
              <w:lang w:eastAsia="cs-CZ"/>
            </w:rPr>
          </w:pPr>
          <w:hyperlink w:anchor="_Toc48549434" w:history="1">
            <w:r w:rsidR="00B54294" w:rsidRPr="006E4A11">
              <w:rPr>
                <w:rStyle w:val="Hypertextovodkaz"/>
              </w:rPr>
              <w:t>Institucionální sektory</w:t>
            </w:r>
            <w:r w:rsidR="00B54294">
              <w:rPr>
                <w:webHidden/>
              </w:rPr>
              <w:tab/>
            </w:r>
            <w:r w:rsidR="00B54294">
              <w:rPr>
                <w:webHidden/>
              </w:rPr>
              <w:fldChar w:fldCharType="begin"/>
            </w:r>
            <w:r w:rsidR="00B54294">
              <w:rPr>
                <w:webHidden/>
              </w:rPr>
              <w:instrText xml:space="preserve"> PAGEREF _Toc48549434 \h </w:instrText>
            </w:r>
            <w:r w:rsidR="00B54294">
              <w:rPr>
                <w:webHidden/>
              </w:rPr>
            </w:r>
            <w:r w:rsidR="00B54294">
              <w:rPr>
                <w:webHidden/>
              </w:rPr>
              <w:fldChar w:fldCharType="separate"/>
            </w:r>
            <w:r w:rsidR="00B54294">
              <w:rPr>
                <w:webHidden/>
              </w:rPr>
              <w:t>13</w:t>
            </w:r>
            <w:r w:rsidR="00B54294">
              <w:rPr>
                <w:webHidden/>
              </w:rPr>
              <w:fldChar w:fldCharType="end"/>
            </w:r>
          </w:hyperlink>
        </w:p>
        <w:p w14:paraId="760B2D1A" w14:textId="3746F3CA" w:rsidR="00B54294" w:rsidRDefault="00002B85">
          <w:pPr>
            <w:pStyle w:val="Obsah1"/>
            <w:rPr>
              <w:rFonts w:asciiTheme="minorHAnsi" w:eastAsiaTheme="minorEastAsia" w:hAnsiTheme="minorHAnsi" w:cstheme="minorBidi"/>
              <w:sz w:val="22"/>
              <w:szCs w:val="22"/>
              <w:lang w:eastAsia="cs-CZ"/>
            </w:rPr>
          </w:pPr>
          <w:hyperlink w:anchor="_Toc48549435" w:history="1">
            <w:r w:rsidR="00B54294" w:rsidRPr="006E4A11">
              <w:rPr>
                <w:rStyle w:val="Hypertextovodkaz"/>
              </w:rPr>
              <w:t>5. Nefinanční podniky</w:t>
            </w:r>
            <w:r w:rsidR="00B54294">
              <w:rPr>
                <w:webHidden/>
              </w:rPr>
              <w:tab/>
            </w:r>
            <w:r w:rsidR="00B54294">
              <w:rPr>
                <w:webHidden/>
              </w:rPr>
              <w:fldChar w:fldCharType="begin"/>
            </w:r>
            <w:r w:rsidR="00B54294">
              <w:rPr>
                <w:webHidden/>
              </w:rPr>
              <w:instrText xml:space="preserve"> PAGEREF _Toc48549435 \h </w:instrText>
            </w:r>
            <w:r w:rsidR="00B54294">
              <w:rPr>
                <w:webHidden/>
              </w:rPr>
            </w:r>
            <w:r w:rsidR="00B54294">
              <w:rPr>
                <w:webHidden/>
              </w:rPr>
              <w:fldChar w:fldCharType="separate"/>
            </w:r>
            <w:r w:rsidR="00B54294">
              <w:rPr>
                <w:webHidden/>
              </w:rPr>
              <w:t>13</w:t>
            </w:r>
            <w:r w:rsidR="00B54294">
              <w:rPr>
                <w:webHidden/>
              </w:rPr>
              <w:fldChar w:fldCharType="end"/>
            </w:r>
          </w:hyperlink>
        </w:p>
        <w:p w14:paraId="25CE34C2" w14:textId="217E6836" w:rsidR="00B54294" w:rsidRDefault="00002B85">
          <w:pPr>
            <w:pStyle w:val="Obsah1"/>
            <w:rPr>
              <w:rFonts w:asciiTheme="minorHAnsi" w:eastAsiaTheme="minorEastAsia" w:hAnsiTheme="minorHAnsi" w:cstheme="minorBidi"/>
              <w:sz w:val="22"/>
              <w:szCs w:val="22"/>
              <w:lang w:eastAsia="cs-CZ"/>
            </w:rPr>
          </w:pPr>
          <w:hyperlink w:anchor="_Toc48549436" w:history="1">
            <w:r w:rsidR="00B54294" w:rsidRPr="006E4A11">
              <w:rPr>
                <w:rStyle w:val="Hypertextovodkaz"/>
              </w:rPr>
              <w:t>6. Finanční instituce</w:t>
            </w:r>
            <w:r w:rsidR="00B54294">
              <w:rPr>
                <w:webHidden/>
              </w:rPr>
              <w:tab/>
            </w:r>
            <w:r w:rsidR="00B54294">
              <w:rPr>
                <w:webHidden/>
              </w:rPr>
              <w:fldChar w:fldCharType="begin"/>
            </w:r>
            <w:r w:rsidR="00B54294">
              <w:rPr>
                <w:webHidden/>
              </w:rPr>
              <w:instrText xml:space="preserve"> PAGEREF _Toc48549436 \h </w:instrText>
            </w:r>
            <w:r w:rsidR="00B54294">
              <w:rPr>
                <w:webHidden/>
              </w:rPr>
            </w:r>
            <w:r w:rsidR="00B54294">
              <w:rPr>
                <w:webHidden/>
              </w:rPr>
              <w:fldChar w:fldCharType="separate"/>
            </w:r>
            <w:r w:rsidR="00B54294">
              <w:rPr>
                <w:webHidden/>
              </w:rPr>
              <w:t>16</w:t>
            </w:r>
            <w:r w:rsidR="00B54294">
              <w:rPr>
                <w:webHidden/>
              </w:rPr>
              <w:fldChar w:fldCharType="end"/>
            </w:r>
          </w:hyperlink>
        </w:p>
        <w:p w14:paraId="72CAC91F" w14:textId="487D5F8A" w:rsidR="00B54294" w:rsidRDefault="00002B85">
          <w:pPr>
            <w:pStyle w:val="Obsah1"/>
            <w:rPr>
              <w:rFonts w:asciiTheme="minorHAnsi" w:eastAsiaTheme="minorEastAsia" w:hAnsiTheme="minorHAnsi" w:cstheme="minorBidi"/>
              <w:sz w:val="22"/>
              <w:szCs w:val="22"/>
              <w:lang w:eastAsia="cs-CZ"/>
            </w:rPr>
          </w:pPr>
          <w:hyperlink w:anchor="_Toc48549437" w:history="1">
            <w:r w:rsidR="00B54294" w:rsidRPr="006E4A11">
              <w:rPr>
                <w:rStyle w:val="Hypertextovodkaz"/>
              </w:rPr>
              <w:t>7. Hospodaření vládních institucí</w:t>
            </w:r>
            <w:r w:rsidR="00B54294">
              <w:rPr>
                <w:webHidden/>
              </w:rPr>
              <w:tab/>
            </w:r>
            <w:r w:rsidR="00B54294">
              <w:rPr>
                <w:webHidden/>
              </w:rPr>
              <w:fldChar w:fldCharType="begin"/>
            </w:r>
            <w:r w:rsidR="00B54294">
              <w:rPr>
                <w:webHidden/>
              </w:rPr>
              <w:instrText xml:space="preserve"> PAGEREF _Toc48549437 \h </w:instrText>
            </w:r>
            <w:r w:rsidR="00B54294">
              <w:rPr>
                <w:webHidden/>
              </w:rPr>
            </w:r>
            <w:r w:rsidR="00B54294">
              <w:rPr>
                <w:webHidden/>
              </w:rPr>
              <w:fldChar w:fldCharType="separate"/>
            </w:r>
            <w:r w:rsidR="00B54294">
              <w:rPr>
                <w:webHidden/>
              </w:rPr>
              <w:t>18</w:t>
            </w:r>
            <w:r w:rsidR="00B54294">
              <w:rPr>
                <w:webHidden/>
              </w:rPr>
              <w:fldChar w:fldCharType="end"/>
            </w:r>
          </w:hyperlink>
        </w:p>
        <w:p w14:paraId="68929183" w14:textId="221A1640" w:rsidR="00B54294" w:rsidRDefault="00002B85">
          <w:pPr>
            <w:pStyle w:val="Obsah1"/>
            <w:rPr>
              <w:rFonts w:asciiTheme="minorHAnsi" w:eastAsiaTheme="minorEastAsia" w:hAnsiTheme="minorHAnsi" w:cstheme="minorBidi"/>
              <w:sz w:val="22"/>
              <w:szCs w:val="22"/>
              <w:lang w:eastAsia="cs-CZ"/>
            </w:rPr>
          </w:pPr>
          <w:hyperlink w:anchor="_Toc48549438" w:history="1">
            <w:r w:rsidR="00B54294" w:rsidRPr="006E4A11">
              <w:rPr>
                <w:rStyle w:val="Hypertextovodkaz"/>
              </w:rPr>
              <w:t>8. Domácnosti</w:t>
            </w:r>
            <w:r w:rsidR="00B54294">
              <w:rPr>
                <w:webHidden/>
              </w:rPr>
              <w:tab/>
            </w:r>
            <w:r w:rsidR="00B54294">
              <w:rPr>
                <w:webHidden/>
              </w:rPr>
              <w:fldChar w:fldCharType="begin"/>
            </w:r>
            <w:r w:rsidR="00B54294">
              <w:rPr>
                <w:webHidden/>
              </w:rPr>
              <w:instrText xml:space="preserve"> PAGEREF _Toc48549438 \h </w:instrText>
            </w:r>
            <w:r w:rsidR="00B54294">
              <w:rPr>
                <w:webHidden/>
              </w:rPr>
            </w:r>
            <w:r w:rsidR="00B54294">
              <w:rPr>
                <w:webHidden/>
              </w:rPr>
              <w:fldChar w:fldCharType="separate"/>
            </w:r>
            <w:r w:rsidR="00B54294">
              <w:rPr>
                <w:webHidden/>
              </w:rPr>
              <w:t>22</w:t>
            </w:r>
            <w:r w:rsidR="00B54294">
              <w:rPr>
                <w:webHidden/>
              </w:rPr>
              <w:fldChar w:fldCharType="end"/>
            </w:r>
          </w:hyperlink>
        </w:p>
        <w:p w14:paraId="59E5341E" w14:textId="281C4C36" w:rsidR="00B54294" w:rsidRDefault="00002B85">
          <w:pPr>
            <w:pStyle w:val="Obsah2"/>
            <w:rPr>
              <w:rFonts w:asciiTheme="minorHAnsi" w:eastAsiaTheme="minorEastAsia" w:hAnsiTheme="minorHAnsi" w:cstheme="minorBidi"/>
              <w:noProof/>
              <w:sz w:val="22"/>
              <w:szCs w:val="22"/>
            </w:rPr>
          </w:pPr>
          <w:hyperlink w:anchor="_Toc48549439" w:history="1">
            <w:r w:rsidR="00B54294" w:rsidRPr="006E4A11">
              <w:rPr>
                <w:rStyle w:val="Hypertextovodkaz"/>
                <w:noProof/>
              </w:rPr>
              <w:t>8.1 Příjmy domácností</w:t>
            </w:r>
            <w:r w:rsidR="00B54294">
              <w:rPr>
                <w:noProof/>
                <w:webHidden/>
              </w:rPr>
              <w:tab/>
            </w:r>
            <w:r w:rsidR="00B54294">
              <w:rPr>
                <w:noProof/>
                <w:webHidden/>
              </w:rPr>
              <w:fldChar w:fldCharType="begin"/>
            </w:r>
            <w:r w:rsidR="00B54294">
              <w:rPr>
                <w:noProof/>
                <w:webHidden/>
              </w:rPr>
              <w:instrText xml:space="preserve"> PAGEREF _Toc48549439 \h </w:instrText>
            </w:r>
            <w:r w:rsidR="00B54294">
              <w:rPr>
                <w:noProof/>
                <w:webHidden/>
              </w:rPr>
            </w:r>
            <w:r w:rsidR="00B54294">
              <w:rPr>
                <w:noProof/>
                <w:webHidden/>
              </w:rPr>
              <w:fldChar w:fldCharType="separate"/>
            </w:r>
            <w:r w:rsidR="00B54294">
              <w:rPr>
                <w:noProof/>
                <w:webHidden/>
              </w:rPr>
              <w:t>22</w:t>
            </w:r>
            <w:r w:rsidR="00B54294">
              <w:rPr>
                <w:noProof/>
                <w:webHidden/>
              </w:rPr>
              <w:fldChar w:fldCharType="end"/>
            </w:r>
          </w:hyperlink>
        </w:p>
        <w:p w14:paraId="490D4175" w14:textId="4246F16C" w:rsidR="00B54294" w:rsidRDefault="00002B85">
          <w:pPr>
            <w:pStyle w:val="Obsah2"/>
            <w:rPr>
              <w:rFonts w:asciiTheme="minorHAnsi" w:eastAsiaTheme="minorEastAsia" w:hAnsiTheme="minorHAnsi" w:cstheme="minorBidi"/>
              <w:noProof/>
              <w:sz w:val="22"/>
              <w:szCs w:val="22"/>
            </w:rPr>
          </w:pPr>
          <w:hyperlink w:anchor="_Toc48549440" w:history="1">
            <w:r w:rsidR="00B54294" w:rsidRPr="006E4A11">
              <w:rPr>
                <w:rStyle w:val="Hypertextovodkaz"/>
                <w:noProof/>
              </w:rPr>
              <w:t>8.2 Výdaje domácností</w:t>
            </w:r>
            <w:r w:rsidR="00B54294">
              <w:rPr>
                <w:noProof/>
                <w:webHidden/>
              </w:rPr>
              <w:tab/>
            </w:r>
            <w:r w:rsidR="00B54294">
              <w:rPr>
                <w:noProof/>
                <w:webHidden/>
              </w:rPr>
              <w:fldChar w:fldCharType="begin"/>
            </w:r>
            <w:r w:rsidR="00B54294">
              <w:rPr>
                <w:noProof/>
                <w:webHidden/>
              </w:rPr>
              <w:instrText xml:space="preserve"> PAGEREF _Toc48549440 \h </w:instrText>
            </w:r>
            <w:r w:rsidR="00B54294">
              <w:rPr>
                <w:noProof/>
                <w:webHidden/>
              </w:rPr>
            </w:r>
            <w:r w:rsidR="00B54294">
              <w:rPr>
                <w:noProof/>
                <w:webHidden/>
              </w:rPr>
              <w:fldChar w:fldCharType="separate"/>
            </w:r>
            <w:r w:rsidR="00B54294">
              <w:rPr>
                <w:noProof/>
                <w:webHidden/>
              </w:rPr>
              <w:t>24</w:t>
            </w:r>
            <w:r w:rsidR="00B54294">
              <w:rPr>
                <w:noProof/>
                <w:webHidden/>
              </w:rPr>
              <w:fldChar w:fldCharType="end"/>
            </w:r>
          </w:hyperlink>
        </w:p>
        <w:p w14:paraId="47FD4BEE" w14:textId="7E30F44E" w:rsidR="00F46502" w:rsidRPr="00360DE3" w:rsidRDefault="00A20028" w:rsidP="00F46502">
          <w:r w:rsidRPr="00360DE3">
            <w:fldChar w:fldCharType="end"/>
          </w:r>
        </w:p>
      </w:sdtContent>
    </w:sdt>
    <w:p w14:paraId="5B56B8BC" w14:textId="77777777" w:rsidR="00F46502" w:rsidRPr="00360DE3" w:rsidRDefault="00F46502" w:rsidP="00F46502">
      <w:pPr>
        <w:pStyle w:val="Textpoznpodarou"/>
        <w:jc w:val="both"/>
        <w:rPr>
          <w:rFonts w:cs="Arial"/>
          <w:color w:val="000000"/>
        </w:rPr>
      </w:pPr>
    </w:p>
    <w:p w14:paraId="28F9E4E2" w14:textId="77777777" w:rsidR="00F46502" w:rsidRPr="00360DE3" w:rsidRDefault="00F46502" w:rsidP="00F46502">
      <w:pPr>
        <w:pStyle w:val="Textpoznpodarou"/>
        <w:jc w:val="both"/>
        <w:rPr>
          <w:rFonts w:cs="Arial"/>
          <w:color w:val="000000"/>
        </w:rPr>
      </w:pPr>
    </w:p>
    <w:p w14:paraId="15CE6AC0" w14:textId="77777777" w:rsidR="00F46502" w:rsidRPr="00360DE3" w:rsidRDefault="00F46502" w:rsidP="00F46502">
      <w:pPr>
        <w:pStyle w:val="Textpoznpodarou"/>
        <w:jc w:val="both"/>
        <w:rPr>
          <w:rFonts w:cs="Arial"/>
          <w:color w:val="000000"/>
        </w:rPr>
      </w:pPr>
    </w:p>
    <w:p w14:paraId="2AE20784" w14:textId="77777777" w:rsidR="00F46502" w:rsidRPr="00360DE3" w:rsidRDefault="00F46502" w:rsidP="00F46502">
      <w:pPr>
        <w:pStyle w:val="Textpoznpodarou"/>
        <w:jc w:val="both"/>
        <w:rPr>
          <w:rFonts w:cs="Arial"/>
          <w:color w:val="000000"/>
        </w:rPr>
      </w:pPr>
    </w:p>
    <w:p w14:paraId="3C471C89" w14:textId="77777777" w:rsidR="00F46502" w:rsidRPr="00360DE3" w:rsidRDefault="00F46502" w:rsidP="00F46502">
      <w:pPr>
        <w:pStyle w:val="Textpoznpodarou"/>
        <w:jc w:val="both"/>
        <w:rPr>
          <w:rFonts w:cs="Arial"/>
          <w:color w:val="000000"/>
        </w:rPr>
      </w:pPr>
    </w:p>
    <w:p w14:paraId="0F1E757C" w14:textId="77777777" w:rsidR="00F46502" w:rsidRPr="00360DE3" w:rsidRDefault="00F46502" w:rsidP="00F46502">
      <w:pPr>
        <w:pStyle w:val="Textpoznpodarou"/>
        <w:jc w:val="both"/>
        <w:rPr>
          <w:rFonts w:cs="Arial"/>
          <w:color w:val="000000"/>
        </w:rPr>
      </w:pPr>
    </w:p>
    <w:p w14:paraId="1E8DD4FD" w14:textId="77777777" w:rsidR="00F46502" w:rsidRPr="00360DE3" w:rsidRDefault="00241035" w:rsidP="00F46502">
      <w:pPr>
        <w:pStyle w:val="Textpoznpodarou"/>
        <w:jc w:val="both"/>
        <w:rPr>
          <w:rFonts w:cs="Arial"/>
          <w:color w:val="000000"/>
        </w:rPr>
      </w:pPr>
      <w:r>
        <w:rPr>
          <w:rFonts w:cs="Arial"/>
          <w:color w:val="000000"/>
        </w:rPr>
        <w:t>Zdroje dat v celé analýze: ČSÚ,</w:t>
      </w:r>
      <w:r w:rsidR="00F46502" w:rsidRPr="00360DE3">
        <w:rPr>
          <w:rFonts w:cs="Arial"/>
          <w:color w:val="000000"/>
        </w:rPr>
        <w:t xml:space="preserve"> Eurostat, propočty ČSÚ.</w:t>
      </w:r>
    </w:p>
    <w:p w14:paraId="4230B791" w14:textId="77777777" w:rsidR="00F46502" w:rsidRPr="00360DE3" w:rsidRDefault="00F46502" w:rsidP="00F46502">
      <w:pPr>
        <w:pStyle w:val="Textpoznpodarou"/>
        <w:jc w:val="both"/>
        <w:rPr>
          <w:rFonts w:cs="Arial"/>
          <w:color w:val="000000"/>
        </w:rPr>
      </w:pPr>
      <w:r w:rsidRPr="00360DE3">
        <w:rPr>
          <w:rFonts w:cs="Arial"/>
          <w:color w:val="000000"/>
        </w:rPr>
        <w:t xml:space="preserve">Poslední informace uváděné v této publikaci pocházejí </w:t>
      </w:r>
      <w:r w:rsidR="00BC0E31">
        <w:rPr>
          <w:rFonts w:cs="Arial"/>
          <w:color w:val="000000"/>
        </w:rPr>
        <w:t>z</w:t>
      </w:r>
      <w:r w:rsidR="00B97434">
        <w:rPr>
          <w:rFonts w:cs="Arial"/>
          <w:color w:val="000000"/>
        </w:rPr>
        <w:t> 1.</w:t>
      </w:r>
      <w:r w:rsidR="00833BF2" w:rsidRPr="00833BF2">
        <w:rPr>
          <w:rFonts w:cs="Arial"/>
          <w:color w:val="000000"/>
        </w:rPr>
        <w:t> </w:t>
      </w:r>
      <w:r w:rsidR="00B97434">
        <w:rPr>
          <w:rFonts w:cs="Arial"/>
          <w:color w:val="000000"/>
        </w:rPr>
        <w:t>července</w:t>
      </w:r>
      <w:r w:rsidRPr="00833BF2">
        <w:rPr>
          <w:rFonts w:cs="Arial"/>
          <w:color w:val="000000"/>
        </w:rPr>
        <w:t xml:space="preserve"> 20</w:t>
      </w:r>
      <w:r w:rsidR="00E503A5">
        <w:rPr>
          <w:rFonts w:cs="Arial"/>
          <w:color w:val="000000"/>
        </w:rPr>
        <w:t>20</w:t>
      </w:r>
      <w:r w:rsidRPr="00833BF2">
        <w:rPr>
          <w:rFonts w:cs="Arial"/>
          <w:color w:val="000000"/>
        </w:rPr>
        <w:t>.</w:t>
      </w:r>
    </w:p>
    <w:p w14:paraId="61FEFE5B" w14:textId="2D227535" w:rsidR="00EE4B1B" w:rsidRPr="00360DE3" w:rsidRDefault="00F46502" w:rsidP="00F46502">
      <w:pPr>
        <w:pStyle w:val="Nadpis11"/>
      </w:pPr>
      <w:r w:rsidRPr="00360DE3">
        <w:br w:type="page"/>
      </w:r>
      <w:bookmarkStart w:id="1" w:name="_Toc48549429"/>
      <w:r w:rsidR="00A21624">
        <w:lastRenderedPageBreak/>
        <w:t>1. </w:t>
      </w:r>
      <w:r w:rsidRPr="00360DE3">
        <w:t>Shrnutí</w:t>
      </w:r>
      <w:bookmarkEnd w:id="1"/>
    </w:p>
    <w:p w14:paraId="0E70CA3E" w14:textId="5CDD4AAB" w:rsidR="00C609C9" w:rsidRDefault="00C609C9" w:rsidP="00067A82">
      <w:pPr>
        <w:pStyle w:val="Normalodrka"/>
        <w:spacing w:after="160"/>
        <w:rPr>
          <w:spacing w:val="-4"/>
        </w:rPr>
      </w:pPr>
      <w:r>
        <w:rPr>
          <w:spacing w:val="-4"/>
        </w:rPr>
        <w:t>Reálný přírůstek hrubého domácího produktu (HDP) v roce 2019 dosáhl 2,3</w:t>
      </w:r>
      <w:r w:rsidR="00F118D5">
        <w:rPr>
          <w:spacing w:val="-4"/>
        </w:rPr>
        <w:t> %</w:t>
      </w:r>
      <w:r>
        <w:rPr>
          <w:spacing w:val="-4"/>
        </w:rPr>
        <w:t xml:space="preserve">. Dynamika tak oproti předchozímu roku zpomalovala. Domácí spotřeba zůstala pátým rokem pevnou oporou meziroční dynamiky HDP. Mírně růst podpořila </w:t>
      </w:r>
      <w:r w:rsidR="001A33A3">
        <w:rPr>
          <w:spacing w:val="-4"/>
        </w:rPr>
        <w:t>i </w:t>
      </w:r>
      <w:r>
        <w:rPr>
          <w:spacing w:val="-4"/>
        </w:rPr>
        <w:t xml:space="preserve">bilance zahraničního obchodu. Výdaje na tvorbu hrubého kapitálu si ale silný růst neudržely. V rámci EU byl český hospodářský růst stále nadprůměrný. </w:t>
      </w:r>
      <w:r w:rsidR="001A33A3">
        <w:rPr>
          <w:spacing w:val="-4"/>
        </w:rPr>
        <w:t>U </w:t>
      </w:r>
      <w:r>
        <w:rPr>
          <w:spacing w:val="-4"/>
        </w:rPr>
        <w:t>většiny zemí</w:t>
      </w:r>
      <w:r w:rsidR="007A3F0C">
        <w:rPr>
          <w:spacing w:val="-4"/>
        </w:rPr>
        <w:t xml:space="preserve"> EU</w:t>
      </w:r>
      <w:r>
        <w:rPr>
          <w:spacing w:val="-4"/>
        </w:rPr>
        <w:t xml:space="preserve"> došlo ke zpomalení.</w:t>
      </w:r>
    </w:p>
    <w:p w14:paraId="4FC8AAB5" w14:textId="77777777" w:rsidR="00E364BB" w:rsidRDefault="007A3F0C" w:rsidP="00067A82">
      <w:pPr>
        <w:pStyle w:val="Normalodrka"/>
        <w:spacing w:after="160"/>
        <w:rPr>
          <w:spacing w:val="-4"/>
        </w:rPr>
      </w:pPr>
      <w:r>
        <w:rPr>
          <w:spacing w:val="-4"/>
        </w:rPr>
        <w:t>Hodnota vývozu loni rostla podstatně rychleji než dovoz, což vedlo ke zlepš</w:t>
      </w:r>
      <w:r w:rsidR="00DD0AE9">
        <w:rPr>
          <w:spacing w:val="-4"/>
        </w:rPr>
        <w:t>e</w:t>
      </w:r>
      <w:r>
        <w:rPr>
          <w:spacing w:val="-4"/>
        </w:rPr>
        <w:t xml:space="preserve">ní přebytku zahraničního obchodu se zbožím </w:t>
      </w:r>
      <w:r w:rsidR="001A33A3">
        <w:rPr>
          <w:spacing w:val="-4"/>
        </w:rPr>
        <w:t>a </w:t>
      </w:r>
      <w:r>
        <w:rPr>
          <w:spacing w:val="-4"/>
        </w:rPr>
        <w:t>službami na 346,4</w:t>
      </w:r>
      <w:r w:rsidR="00A21624">
        <w:rPr>
          <w:spacing w:val="-4"/>
        </w:rPr>
        <w:t> mld.</w:t>
      </w:r>
      <w:r>
        <w:rPr>
          <w:spacing w:val="-4"/>
        </w:rPr>
        <w:t xml:space="preserve"> korun. Naopak záporné saldo prvotních důchodů se prohloubilo </w:t>
      </w:r>
      <w:r w:rsidR="001A33A3">
        <w:rPr>
          <w:spacing w:val="-4"/>
        </w:rPr>
        <w:t>o </w:t>
      </w:r>
      <w:r>
        <w:rPr>
          <w:spacing w:val="-4"/>
        </w:rPr>
        <w:t>47,0 mld. korun na 353,4</w:t>
      </w:r>
      <w:r w:rsidR="00A21624">
        <w:rPr>
          <w:spacing w:val="-4"/>
        </w:rPr>
        <w:t> mld.</w:t>
      </w:r>
      <w:r>
        <w:rPr>
          <w:spacing w:val="-4"/>
        </w:rPr>
        <w:t xml:space="preserve"> To </w:t>
      </w:r>
      <w:r w:rsidR="00DD0AE9">
        <w:rPr>
          <w:spacing w:val="-4"/>
        </w:rPr>
        <w:t xml:space="preserve">ve svém důsledku </w:t>
      </w:r>
      <w:r w:rsidR="00BF6EE6">
        <w:rPr>
          <w:spacing w:val="-4"/>
        </w:rPr>
        <w:t>vedlo ke</w:t>
      </w:r>
      <w:r>
        <w:rPr>
          <w:spacing w:val="-4"/>
        </w:rPr>
        <w:t xml:space="preserve"> zhoršení deficitu běžných transakcí rezidentů s nerezidenty na 58,0</w:t>
      </w:r>
      <w:r w:rsidR="00A21624">
        <w:rPr>
          <w:spacing w:val="-4"/>
        </w:rPr>
        <w:t> mld.</w:t>
      </w:r>
      <w:r>
        <w:rPr>
          <w:spacing w:val="-4"/>
        </w:rPr>
        <w:t xml:space="preserve"> korun. Čistý příliv kapitálových transferů dosáhl 53,9</w:t>
      </w:r>
      <w:r w:rsidR="00A21624">
        <w:rPr>
          <w:spacing w:val="-4"/>
        </w:rPr>
        <w:t> mld.</w:t>
      </w:r>
      <w:r>
        <w:rPr>
          <w:spacing w:val="-4"/>
        </w:rPr>
        <w:t xml:space="preserve"> korun, nicméně meziročně klesl. Výsledné čisté výpůjčky činily 20,8</w:t>
      </w:r>
      <w:r w:rsidR="00A21624">
        <w:rPr>
          <w:spacing w:val="-4"/>
        </w:rPr>
        <w:t> mld.</w:t>
      </w:r>
      <w:r>
        <w:rPr>
          <w:spacing w:val="-4"/>
        </w:rPr>
        <w:t xml:space="preserve"> korun.</w:t>
      </w:r>
    </w:p>
    <w:p w14:paraId="0ACFEAC0" w14:textId="63F264F1" w:rsidR="007A3F0C" w:rsidRDefault="001969D1" w:rsidP="00067A82">
      <w:pPr>
        <w:pStyle w:val="Normalodrka"/>
        <w:spacing w:after="160"/>
        <w:rPr>
          <w:spacing w:val="-4"/>
        </w:rPr>
      </w:pPr>
      <w:r>
        <w:rPr>
          <w:spacing w:val="-4"/>
        </w:rPr>
        <w:t xml:space="preserve">Výdaje na tvorbu hrubého fixního kapitálu loni vzrostly </w:t>
      </w:r>
      <w:r w:rsidR="001A33A3">
        <w:rPr>
          <w:spacing w:val="-4"/>
        </w:rPr>
        <w:t>o </w:t>
      </w:r>
      <w:r>
        <w:rPr>
          <w:spacing w:val="-4"/>
        </w:rPr>
        <w:t>83,9</w:t>
      </w:r>
      <w:r w:rsidR="00A21624">
        <w:rPr>
          <w:spacing w:val="-4"/>
        </w:rPr>
        <w:t> mld.</w:t>
      </w:r>
      <w:r>
        <w:rPr>
          <w:spacing w:val="-4"/>
        </w:rPr>
        <w:t xml:space="preserve"> korun. Reálně se investice zvýšily </w:t>
      </w:r>
      <w:r w:rsidR="001A33A3">
        <w:rPr>
          <w:spacing w:val="-4"/>
        </w:rPr>
        <w:t>o </w:t>
      </w:r>
      <w:r>
        <w:rPr>
          <w:spacing w:val="-4"/>
        </w:rPr>
        <w:t>2,2</w:t>
      </w:r>
      <w:r w:rsidR="00F118D5">
        <w:rPr>
          <w:spacing w:val="-4"/>
        </w:rPr>
        <w:t> %</w:t>
      </w:r>
      <w:r>
        <w:rPr>
          <w:spacing w:val="-4"/>
        </w:rPr>
        <w:t>. Podíl investic na</w:t>
      </w:r>
      <w:r w:rsidR="006C6AF4">
        <w:rPr>
          <w:spacing w:val="-4"/>
        </w:rPr>
        <w:t> </w:t>
      </w:r>
      <w:r>
        <w:rPr>
          <w:spacing w:val="-4"/>
        </w:rPr>
        <w:t>HDP v Česku činil 26,2</w:t>
      </w:r>
      <w:r w:rsidR="00F118D5">
        <w:rPr>
          <w:spacing w:val="-4"/>
        </w:rPr>
        <w:t> %</w:t>
      </w:r>
      <w:r>
        <w:rPr>
          <w:spacing w:val="-4"/>
        </w:rPr>
        <w:t xml:space="preserve"> </w:t>
      </w:r>
      <w:r w:rsidR="001A33A3">
        <w:rPr>
          <w:spacing w:val="-4"/>
        </w:rPr>
        <w:t>a </w:t>
      </w:r>
      <w:r>
        <w:rPr>
          <w:spacing w:val="-4"/>
        </w:rPr>
        <w:t xml:space="preserve">byl třetí nejvyšší v EU. Z hlediska reálné dynamiky investic ale byla domácí ekonomika pod průměrem Unie. Největší podíl na přírůstku investiční aktivity měly nefinanční podniky, což se také promítlo do výsledné věcné struktury, kde posilovaly zejména výdaje na stroje </w:t>
      </w:r>
      <w:r w:rsidR="001A33A3">
        <w:rPr>
          <w:spacing w:val="-4"/>
        </w:rPr>
        <w:t>a </w:t>
      </w:r>
      <w:r>
        <w:rPr>
          <w:spacing w:val="-4"/>
        </w:rPr>
        <w:t xml:space="preserve">zařízení. Investice vládních institucí </w:t>
      </w:r>
      <w:r w:rsidR="001A33A3">
        <w:rPr>
          <w:spacing w:val="-4"/>
        </w:rPr>
        <w:t>i </w:t>
      </w:r>
      <w:r>
        <w:rPr>
          <w:spacing w:val="-4"/>
        </w:rPr>
        <w:t>domácností loni rostly, ale méně než v roce 2018.</w:t>
      </w:r>
    </w:p>
    <w:p w14:paraId="088BDDF0" w14:textId="1883C579" w:rsidR="00E364BB" w:rsidRDefault="002F550B" w:rsidP="00067A82">
      <w:pPr>
        <w:pStyle w:val="Normalodrka"/>
        <w:spacing w:after="160"/>
        <w:rPr>
          <w:spacing w:val="-4"/>
        </w:rPr>
      </w:pPr>
      <w:r>
        <w:rPr>
          <w:spacing w:val="-4"/>
        </w:rPr>
        <w:t xml:space="preserve">Nominální růst hrubé přidané hodnoty (HPH) nefinančních podniků loni posílil. Celková zaměstnanost v sektoru </w:t>
      </w:r>
      <w:r w:rsidR="006C6AF4">
        <w:rPr>
          <w:spacing w:val="-4"/>
        </w:rPr>
        <w:t xml:space="preserve">se </w:t>
      </w:r>
      <w:r w:rsidR="00DD0AE9">
        <w:rPr>
          <w:spacing w:val="-4"/>
        </w:rPr>
        <w:t>sice</w:t>
      </w:r>
      <w:r>
        <w:rPr>
          <w:spacing w:val="-4"/>
        </w:rPr>
        <w:t xml:space="preserve"> loni zvýšila, přírůstek byl ale nejnižší od roku 2011.</w:t>
      </w:r>
      <w:r w:rsidR="003B6B9E">
        <w:rPr>
          <w:spacing w:val="-4"/>
        </w:rPr>
        <w:t xml:space="preserve"> Posílení nominální dynamiky HPH ovlivnil příznivý vývoj ve výrobě motorových vozidel </w:t>
      </w:r>
      <w:r w:rsidR="001A33A3">
        <w:rPr>
          <w:spacing w:val="-4"/>
        </w:rPr>
        <w:t>i </w:t>
      </w:r>
      <w:r w:rsidR="003B6B9E">
        <w:rPr>
          <w:spacing w:val="-4"/>
        </w:rPr>
        <w:t xml:space="preserve">přidružených odvětvích. Meziročně se navyšovala HPH </w:t>
      </w:r>
      <w:r w:rsidR="001A33A3">
        <w:rPr>
          <w:spacing w:val="-4"/>
        </w:rPr>
        <w:t>i </w:t>
      </w:r>
      <w:r w:rsidR="003B6B9E">
        <w:rPr>
          <w:spacing w:val="-4"/>
        </w:rPr>
        <w:t xml:space="preserve">napříč většinou odvětví služeb. Obzvlášť výrazný byl nárůst </w:t>
      </w:r>
      <w:r w:rsidR="001A33A3">
        <w:rPr>
          <w:spacing w:val="-4"/>
        </w:rPr>
        <w:t>u </w:t>
      </w:r>
      <w:r w:rsidR="003B6B9E">
        <w:rPr>
          <w:spacing w:val="-4"/>
        </w:rPr>
        <w:t xml:space="preserve">obchodu, informačních </w:t>
      </w:r>
      <w:r w:rsidR="001A33A3">
        <w:rPr>
          <w:spacing w:val="-4"/>
        </w:rPr>
        <w:t>a </w:t>
      </w:r>
      <w:r w:rsidR="003B6B9E">
        <w:rPr>
          <w:spacing w:val="-4"/>
        </w:rPr>
        <w:t xml:space="preserve">komunikačních činností </w:t>
      </w:r>
      <w:r w:rsidR="001A33A3">
        <w:rPr>
          <w:spacing w:val="-4"/>
        </w:rPr>
        <w:t>a </w:t>
      </w:r>
      <w:r w:rsidR="003B6B9E">
        <w:rPr>
          <w:spacing w:val="-4"/>
        </w:rPr>
        <w:t xml:space="preserve">v profesních, vědeckých </w:t>
      </w:r>
      <w:r w:rsidR="001A33A3">
        <w:rPr>
          <w:spacing w:val="-4"/>
        </w:rPr>
        <w:t>a </w:t>
      </w:r>
      <w:r w:rsidR="003B6B9E">
        <w:rPr>
          <w:spacing w:val="-4"/>
        </w:rPr>
        <w:t>technických činnostech.</w:t>
      </w:r>
    </w:p>
    <w:p w14:paraId="322068A2" w14:textId="6049C15C" w:rsidR="008D664D" w:rsidRDefault="001A33A3" w:rsidP="00067A82">
      <w:pPr>
        <w:pStyle w:val="Normalodrka"/>
        <w:spacing w:after="160"/>
        <w:rPr>
          <w:spacing w:val="-4"/>
        </w:rPr>
      </w:pPr>
      <w:r>
        <w:rPr>
          <w:spacing w:val="-4"/>
        </w:rPr>
        <w:t>V </w:t>
      </w:r>
      <w:r w:rsidR="00437E53">
        <w:rPr>
          <w:spacing w:val="-4"/>
        </w:rPr>
        <w:t>sektoru finančních institucí loni došlo k výraznému propadu celkové zaměstnanosti (</w:t>
      </w:r>
      <w:r w:rsidR="00A21624">
        <w:rPr>
          <w:spacing w:val="-4"/>
        </w:rPr>
        <w:t>–</w:t>
      </w:r>
      <w:r w:rsidR="00437E53">
        <w:rPr>
          <w:spacing w:val="-4"/>
        </w:rPr>
        <w:t>3,5</w:t>
      </w:r>
      <w:r w:rsidR="00F118D5">
        <w:rPr>
          <w:spacing w:val="-4"/>
        </w:rPr>
        <w:t> %</w:t>
      </w:r>
      <w:r w:rsidR="00437E53">
        <w:rPr>
          <w:spacing w:val="-4"/>
        </w:rPr>
        <w:t>), ale rovněž investiční aktivity (</w:t>
      </w:r>
      <w:r w:rsidR="00A21624">
        <w:rPr>
          <w:spacing w:val="-4"/>
        </w:rPr>
        <w:t>–</w:t>
      </w:r>
      <w:r w:rsidR="00437E53">
        <w:rPr>
          <w:spacing w:val="-4"/>
        </w:rPr>
        <w:t>21,6</w:t>
      </w:r>
      <w:r w:rsidR="00A21624">
        <w:rPr>
          <w:spacing w:val="-4"/>
        </w:rPr>
        <w:t> mld.</w:t>
      </w:r>
      <w:r w:rsidR="00437E53">
        <w:rPr>
          <w:spacing w:val="-4"/>
        </w:rPr>
        <w:t xml:space="preserve"> korun). Loni se výrazně zvýšil objem úroků vyplacených finančními institucemi (+61,9</w:t>
      </w:r>
      <w:r w:rsidR="00A21624">
        <w:rPr>
          <w:spacing w:val="-4"/>
        </w:rPr>
        <w:t> mld.</w:t>
      </w:r>
      <w:r w:rsidR="00437E53">
        <w:rPr>
          <w:spacing w:val="-4"/>
        </w:rPr>
        <w:t xml:space="preserve">) </w:t>
      </w:r>
      <w:r>
        <w:rPr>
          <w:spacing w:val="-4"/>
        </w:rPr>
        <w:t>a </w:t>
      </w:r>
      <w:r w:rsidR="00437E53">
        <w:rPr>
          <w:spacing w:val="-4"/>
        </w:rPr>
        <w:t>dynamika přijatých úroků za tím zaostávala (+48,6</w:t>
      </w:r>
      <w:r w:rsidR="00A21624">
        <w:rPr>
          <w:spacing w:val="-4"/>
        </w:rPr>
        <w:t> mld.</w:t>
      </w:r>
      <w:r w:rsidR="00437E53">
        <w:rPr>
          <w:spacing w:val="-4"/>
        </w:rPr>
        <w:t>). To vedlo k prvnímu poklesu salda hrubých prvotních důchodů od roku 2015.</w:t>
      </w:r>
    </w:p>
    <w:p w14:paraId="205AE8C5" w14:textId="57E5F195" w:rsidR="00F161E1" w:rsidRDefault="008B1391" w:rsidP="00067A82">
      <w:pPr>
        <w:pStyle w:val="Normalodrka"/>
        <w:spacing w:after="160"/>
        <w:rPr>
          <w:spacing w:val="-4"/>
        </w:rPr>
      </w:pPr>
      <w:r>
        <w:rPr>
          <w:spacing w:val="-4"/>
        </w:rPr>
        <w:t>Sektor vládních institucí dosáhl loni přebytku 15,4</w:t>
      </w:r>
      <w:r w:rsidR="00A21624">
        <w:rPr>
          <w:spacing w:val="-4"/>
        </w:rPr>
        <w:t> mld.</w:t>
      </w:r>
      <w:r>
        <w:rPr>
          <w:spacing w:val="-4"/>
        </w:rPr>
        <w:t xml:space="preserve"> korun. Kladné saldo se ale meziročně výrazně snížilo. Důvodem bylo zejména </w:t>
      </w:r>
      <w:r w:rsidR="006C6AF4">
        <w:rPr>
          <w:spacing w:val="-4"/>
        </w:rPr>
        <w:t xml:space="preserve">výrazné </w:t>
      </w:r>
      <w:r>
        <w:rPr>
          <w:spacing w:val="-4"/>
        </w:rPr>
        <w:t xml:space="preserve">zrychlení růstu </w:t>
      </w:r>
      <w:r w:rsidR="00F33926">
        <w:rPr>
          <w:spacing w:val="-4"/>
        </w:rPr>
        <w:t>výdajů. Relativní přebytek tak dosáhl 0,3</w:t>
      </w:r>
      <w:r w:rsidR="00F118D5">
        <w:rPr>
          <w:spacing w:val="-4"/>
        </w:rPr>
        <w:t> %</w:t>
      </w:r>
      <w:r w:rsidR="006C6AF4">
        <w:rPr>
          <w:spacing w:val="-4"/>
        </w:rPr>
        <w:t> </w:t>
      </w:r>
      <w:r w:rsidR="00F33926">
        <w:rPr>
          <w:spacing w:val="-4"/>
        </w:rPr>
        <w:t>HDP. Na straně příjmů došlo k oslabení růstu hlavních zdrojů</w:t>
      </w:r>
      <w:r w:rsidR="006C6AF4">
        <w:rPr>
          <w:spacing w:val="-4"/>
        </w:rPr>
        <w:t> </w:t>
      </w:r>
      <w:r w:rsidR="00F33926">
        <w:rPr>
          <w:spacing w:val="-4"/>
        </w:rPr>
        <w:t xml:space="preserve">– sociálních příspěvků </w:t>
      </w:r>
      <w:r w:rsidR="001A33A3">
        <w:rPr>
          <w:spacing w:val="-4"/>
        </w:rPr>
        <w:t>i </w:t>
      </w:r>
      <w:r w:rsidR="00F33926">
        <w:rPr>
          <w:spacing w:val="-4"/>
        </w:rPr>
        <w:t xml:space="preserve">daní z důchodů </w:t>
      </w:r>
      <w:r w:rsidR="001A33A3">
        <w:rPr>
          <w:spacing w:val="-4"/>
        </w:rPr>
        <w:t>a </w:t>
      </w:r>
      <w:r w:rsidR="00F33926">
        <w:rPr>
          <w:spacing w:val="-4"/>
        </w:rPr>
        <w:t xml:space="preserve">jmění. Naopak objem přijatých daní z výroby </w:t>
      </w:r>
      <w:r w:rsidR="001A33A3">
        <w:rPr>
          <w:spacing w:val="-4"/>
        </w:rPr>
        <w:t>a </w:t>
      </w:r>
      <w:r w:rsidR="00F33926">
        <w:rPr>
          <w:spacing w:val="-4"/>
        </w:rPr>
        <w:t xml:space="preserve">dovozu posiloval více než v předchozím roce. Výdaje sektoru jsou nadále taženy rostoucím objemem náhrad zaměstnancům </w:t>
      </w:r>
      <w:r w:rsidR="001A33A3">
        <w:rPr>
          <w:spacing w:val="-4"/>
        </w:rPr>
        <w:t>a </w:t>
      </w:r>
      <w:r w:rsidR="00F33926">
        <w:rPr>
          <w:spacing w:val="-4"/>
        </w:rPr>
        <w:t xml:space="preserve">především sociálními dávkami </w:t>
      </w:r>
      <w:r w:rsidR="001A33A3">
        <w:rPr>
          <w:spacing w:val="-4"/>
        </w:rPr>
        <w:t>a </w:t>
      </w:r>
      <w:r w:rsidR="00F33926">
        <w:rPr>
          <w:spacing w:val="-4"/>
        </w:rPr>
        <w:t xml:space="preserve">naturálními sociálními transfery. Právě tato struktura výdajů vedla k propadu ústředních vládních institucí do deficitu, zatímco místní vládní instituce </w:t>
      </w:r>
      <w:r w:rsidR="001A33A3">
        <w:rPr>
          <w:spacing w:val="-4"/>
        </w:rPr>
        <w:t>i </w:t>
      </w:r>
      <w:r w:rsidR="00F33926">
        <w:rPr>
          <w:spacing w:val="-4"/>
        </w:rPr>
        <w:t xml:space="preserve">zdravotní pojišťovny si přebytky udržely. </w:t>
      </w:r>
      <w:r w:rsidR="003576EB">
        <w:rPr>
          <w:spacing w:val="-4"/>
        </w:rPr>
        <w:t xml:space="preserve">Celkový dluh vládních institucí </w:t>
      </w:r>
      <w:r w:rsidR="0092434D">
        <w:rPr>
          <w:spacing w:val="-4"/>
        </w:rPr>
        <w:t>se loni mírně zvýšil na 1 738,7</w:t>
      </w:r>
      <w:r w:rsidR="00BF6EE6">
        <w:rPr>
          <w:spacing w:val="-4"/>
        </w:rPr>
        <w:t> </w:t>
      </w:r>
      <w:r w:rsidR="0092434D">
        <w:rPr>
          <w:spacing w:val="-4"/>
        </w:rPr>
        <w:t>mld. korun (30,8</w:t>
      </w:r>
      <w:r w:rsidR="00F118D5">
        <w:rPr>
          <w:spacing w:val="-4"/>
        </w:rPr>
        <w:t> %</w:t>
      </w:r>
      <w:r w:rsidR="006C6AF4">
        <w:rPr>
          <w:spacing w:val="-4"/>
        </w:rPr>
        <w:t> </w:t>
      </w:r>
      <w:r w:rsidR="0092434D">
        <w:rPr>
          <w:spacing w:val="-4"/>
        </w:rPr>
        <w:t>HDP).</w:t>
      </w:r>
    </w:p>
    <w:p w14:paraId="0E68C52F" w14:textId="0B5C5E1E" w:rsidR="00E364BB" w:rsidRDefault="00C25709" w:rsidP="00067A82">
      <w:pPr>
        <w:pStyle w:val="Normalodrka"/>
        <w:spacing w:after="160"/>
        <w:rPr>
          <w:spacing w:val="-4"/>
        </w:rPr>
      </w:pPr>
      <w:r>
        <w:rPr>
          <w:spacing w:val="-4"/>
        </w:rPr>
        <w:t>Nominální růst hrubého disponibilního důchodu (HDD) domácností loni zpomalil, ale nadále zůstával nadprůměrný. Silněji než dříve ale na kupní sílu domácností působil nárůst cenové hlad</w:t>
      </w:r>
      <w:r w:rsidR="00DD0AE9">
        <w:rPr>
          <w:spacing w:val="-4"/>
        </w:rPr>
        <w:t>i</w:t>
      </w:r>
      <w:r>
        <w:rPr>
          <w:spacing w:val="-4"/>
        </w:rPr>
        <w:t xml:space="preserve">ny. Reálně se tak HDD domácností zvýšil </w:t>
      </w:r>
      <w:r w:rsidR="001A33A3">
        <w:rPr>
          <w:spacing w:val="-4"/>
        </w:rPr>
        <w:t>o </w:t>
      </w:r>
      <w:r>
        <w:rPr>
          <w:spacing w:val="-4"/>
        </w:rPr>
        <w:t>3,1</w:t>
      </w:r>
      <w:r w:rsidR="00F118D5">
        <w:rPr>
          <w:spacing w:val="-4"/>
        </w:rPr>
        <w:t> %</w:t>
      </w:r>
      <w:r>
        <w:rPr>
          <w:spacing w:val="-4"/>
        </w:rPr>
        <w:t xml:space="preserve">. </w:t>
      </w:r>
      <w:r w:rsidR="001A33A3">
        <w:rPr>
          <w:spacing w:val="-4"/>
        </w:rPr>
        <w:t>K </w:t>
      </w:r>
      <w:r>
        <w:rPr>
          <w:spacing w:val="-4"/>
        </w:rPr>
        <w:t xml:space="preserve">nominálnímu přírůstku nejvíce přispíval nárůst mezd </w:t>
      </w:r>
      <w:r w:rsidR="001A33A3">
        <w:rPr>
          <w:spacing w:val="-4"/>
        </w:rPr>
        <w:t>a </w:t>
      </w:r>
      <w:r>
        <w:rPr>
          <w:spacing w:val="-4"/>
        </w:rPr>
        <w:t xml:space="preserve">platů </w:t>
      </w:r>
      <w:r w:rsidR="001A33A3">
        <w:rPr>
          <w:spacing w:val="-4"/>
        </w:rPr>
        <w:t>a </w:t>
      </w:r>
      <w:r>
        <w:rPr>
          <w:spacing w:val="-4"/>
        </w:rPr>
        <w:t xml:space="preserve">dále hrubý provozní přebytek </w:t>
      </w:r>
      <w:r w:rsidR="001A33A3">
        <w:rPr>
          <w:spacing w:val="-4"/>
        </w:rPr>
        <w:t>a </w:t>
      </w:r>
      <w:r>
        <w:rPr>
          <w:spacing w:val="-4"/>
        </w:rPr>
        <w:t xml:space="preserve">hrubý smíšený důchod. Výrazné navýšení objemu přijatých sociálních dávek </w:t>
      </w:r>
      <w:r w:rsidR="001A33A3">
        <w:rPr>
          <w:spacing w:val="-4"/>
        </w:rPr>
        <w:t>a </w:t>
      </w:r>
      <w:r>
        <w:rPr>
          <w:spacing w:val="-4"/>
        </w:rPr>
        <w:t xml:space="preserve">zároveň zmírnění růstu odvedených běžných daní z důchodů </w:t>
      </w:r>
      <w:r w:rsidR="001A33A3">
        <w:rPr>
          <w:spacing w:val="-4"/>
        </w:rPr>
        <w:t>a </w:t>
      </w:r>
      <w:r>
        <w:rPr>
          <w:spacing w:val="-4"/>
        </w:rPr>
        <w:t xml:space="preserve">jmění </w:t>
      </w:r>
      <w:r w:rsidR="001A33A3">
        <w:rPr>
          <w:spacing w:val="-4"/>
        </w:rPr>
        <w:t>i </w:t>
      </w:r>
      <w:r>
        <w:rPr>
          <w:spacing w:val="-4"/>
        </w:rPr>
        <w:t>sociálních příspěvků</w:t>
      </w:r>
      <w:r w:rsidR="005901E9">
        <w:rPr>
          <w:spacing w:val="-4"/>
        </w:rPr>
        <w:t xml:space="preserve"> vedl</w:t>
      </w:r>
      <w:r w:rsidR="00EE160E">
        <w:rPr>
          <w:spacing w:val="-4"/>
        </w:rPr>
        <w:t>y</w:t>
      </w:r>
      <w:r w:rsidR="005901E9">
        <w:rPr>
          <w:spacing w:val="-4"/>
        </w:rPr>
        <w:t xml:space="preserve"> ke zmírnění negativního salda druhotných důchodů. Spotřeba domácností se meziročně reálně zvýšila </w:t>
      </w:r>
      <w:r w:rsidR="001A33A3">
        <w:rPr>
          <w:spacing w:val="-4"/>
        </w:rPr>
        <w:t>o </w:t>
      </w:r>
      <w:r w:rsidR="005901E9">
        <w:rPr>
          <w:spacing w:val="-4"/>
        </w:rPr>
        <w:t>2,9</w:t>
      </w:r>
      <w:r w:rsidR="00F118D5">
        <w:rPr>
          <w:spacing w:val="-4"/>
        </w:rPr>
        <w:t> %</w:t>
      </w:r>
      <w:r w:rsidR="005901E9">
        <w:rPr>
          <w:spacing w:val="-4"/>
        </w:rPr>
        <w:t xml:space="preserve">. Výdaje domácnosti směřovaly zejména do statků střednědobé spotřeby. Výrazně tak narůstala spotřeba odívání </w:t>
      </w:r>
      <w:r w:rsidR="001A33A3">
        <w:rPr>
          <w:spacing w:val="-4"/>
        </w:rPr>
        <w:t>a </w:t>
      </w:r>
      <w:r w:rsidR="005901E9">
        <w:rPr>
          <w:spacing w:val="-4"/>
        </w:rPr>
        <w:t xml:space="preserve">obuvi, bytového vybavení </w:t>
      </w:r>
      <w:r w:rsidR="001A33A3">
        <w:rPr>
          <w:spacing w:val="-4"/>
        </w:rPr>
        <w:t>a </w:t>
      </w:r>
      <w:r w:rsidR="005901E9">
        <w:rPr>
          <w:spacing w:val="-4"/>
        </w:rPr>
        <w:t xml:space="preserve">rekreace, kultury </w:t>
      </w:r>
      <w:r w:rsidR="001A33A3">
        <w:rPr>
          <w:spacing w:val="-4"/>
        </w:rPr>
        <w:t>a </w:t>
      </w:r>
      <w:r w:rsidR="005901E9">
        <w:rPr>
          <w:spacing w:val="-4"/>
        </w:rPr>
        <w:t xml:space="preserve">sportu. Naopak k reálnému poklesu došlo </w:t>
      </w:r>
      <w:r w:rsidR="001A33A3">
        <w:rPr>
          <w:spacing w:val="-4"/>
        </w:rPr>
        <w:t>u </w:t>
      </w:r>
      <w:r w:rsidR="005901E9">
        <w:rPr>
          <w:spacing w:val="-4"/>
        </w:rPr>
        <w:t xml:space="preserve">výdajů na bydlení </w:t>
      </w:r>
      <w:r w:rsidR="001A33A3">
        <w:rPr>
          <w:spacing w:val="-4"/>
        </w:rPr>
        <w:t>a </w:t>
      </w:r>
      <w:r w:rsidR="005901E9">
        <w:rPr>
          <w:spacing w:val="-4"/>
        </w:rPr>
        <w:t xml:space="preserve">energie </w:t>
      </w:r>
      <w:r w:rsidR="001A33A3">
        <w:rPr>
          <w:spacing w:val="-4"/>
        </w:rPr>
        <w:t>a </w:t>
      </w:r>
      <w:r w:rsidR="005901E9">
        <w:rPr>
          <w:spacing w:val="-4"/>
        </w:rPr>
        <w:t xml:space="preserve">rovněž na dopravu. Investice domácností rostly </w:t>
      </w:r>
      <w:r w:rsidR="001A33A3">
        <w:rPr>
          <w:spacing w:val="-4"/>
        </w:rPr>
        <w:t>o </w:t>
      </w:r>
      <w:r w:rsidR="005901E9">
        <w:rPr>
          <w:spacing w:val="-4"/>
        </w:rPr>
        <w:t>26,8</w:t>
      </w:r>
      <w:r w:rsidR="00A21624">
        <w:rPr>
          <w:spacing w:val="-4"/>
        </w:rPr>
        <w:t> mld.</w:t>
      </w:r>
      <w:r w:rsidR="005901E9">
        <w:rPr>
          <w:spacing w:val="-4"/>
        </w:rPr>
        <w:t xml:space="preserve"> korun.</w:t>
      </w:r>
    </w:p>
    <w:p w14:paraId="5A5556BC" w14:textId="78CDE8CC" w:rsidR="00953F28" w:rsidRDefault="00953F28">
      <w:pPr>
        <w:spacing w:after="0" w:line="240" w:lineRule="auto"/>
        <w:jc w:val="left"/>
        <w:rPr>
          <w:rFonts w:eastAsia="MS Gothic"/>
          <w:b/>
          <w:bCs/>
          <w:color w:val="71818C"/>
          <w:sz w:val="32"/>
          <w:szCs w:val="28"/>
        </w:rPr>
      </w:pPr>
    </w:p>
    <w:p w14:paraId="16ED5F43" w14:textId="77777777" w:rsidR="00C609C9" w:rsidRDefault="00C609C9">
      <w:pPr>
        <w:spacing w:after="0" w:line="240" w:lineRule="auto"/>
        <w:jc w:val="left"/>
        <w:rPr>
          <w:rFonts w:eastAsia="MS Gothic"/>
          <w:b/>
          <w:bCs/>
          <w:color w:val="71818C"/>
          <w:sz w:val="32"/>
          <w:szCs w:val="28"/>
        </w:rPr>
      </w:pPr>
    </w:p>
    <w:p w14:paraId="2B6C5593" w14:textId="77777777" w:rsidR="00817FDA" w:rsidRDefault="00817FDA" w:rsidP="00817FDA">
      <w:pPr>
        <w:pStyle w:val="Nadpis110"/>
      </w:pPr>
      <w:bookmarkStart w:id="2" w:name="_Toc48549430"/>
      <w:r>
        <w:lastRenderedPageBreak/>
        <w:t>Souhrnná výkonnost ekonomiky</w:t>
      </w:r>
      <w:bookmarkEnd w:id="2"/>
    </w:p>
    <w:p w14:paraId="761B9FC5" w14:textId="7AC41490" w:rsidR="00817FDA" w:rsidRPr="005457CF" w:rsidRDefault="00A21624" w:rsidP="00817FDA">
      <w:pPr>
        <w:pStyle w:val="Nadpis110"/>
        <w:rPr>
          <w:sz w:val="28"/>
        </w:rPr>
      </w:pPr>
      <w:bookmarkStart w:id="3" w:name="_Toc48549431"/>
      <w:r>
        <w:rPr>
          <w:sz w:val="28"/>
        </w:rPr>
        <w:t>2. </w:t>
      </w:r>
      <w:r w:rsidR="00817FDA" w:rsidRPr="005457CF">
        <w:rPr>
          <w:sz w:val="28"/>
        </w:rPr>
        <w:t>Hrub</w:t>
      </w:r>
      <w:r w:rsidR="00817FDA">
        <w:rPr>
          <w:sz w:val="28"/>
        </w:rPr>
        <w:t>ý domácí produkt</w:t>
      </w:r>
      <w:bookmarkEnd w:id="3"/>
    </w:p>
    <w:tbl>
      <w:tblPr>
        <w:tblW w:w="9644" w:type="dxa"/>
        <w:tblInd w:w="-15" w:type="dxa"/>
        <w:tblCellMar>
          <w:left w:w="0" w:type="dxa"/>
          <w:right w:w="0" w:type="dxa"/>
        </w:tblCellMar>
        <w:tblLook w:val="00A0" w:firstRow="1" w:lastRow="0" w:firstColumn="1" w:lastColumn="0" w:noHBand="0" w:noVBand="0"/>
      </w:tblPr>
      <w:tblGrid>
        <w:gridCol w:w="1801"/>
        <w:gridCol w:w="233"/>
        <w:gridCol w:w="7610"/>
      </w:tblGrid>
      <w:tr w:rsidR="00817FDA" w14:paraId="626EAB5B" w14:textId="77777777" w:rsidTr="00E503A5">
        <w:trPr>
          <w:trHeight w:val="145"/>
        </w:trPr>
        <w:tc>
          <w:tcPr>
            <w:tcW w:w="1801" w:type="dxa"/>
            <w:shd w:val="clear" w:color="auto" w:fill="auto"/>
          </w:tcPr>
          <w:p w14:paraId="1CCD51B0" w14:textId="77777777" w:rsidR="00817FDA" w:rsidRDefault="00817FDA" w:rsidP="00E503A5">
            <w:pPr>
              <w:pStyle w:val="Marginlie"/>
            </w:pPr>
            <w:r>
              <w:t>Růst HDP loni zpomaloval.</w:t>
            </w:r>
          </w:p>
        </w:tc>
        <w:tc>
          <w:tcPr>
            <w:tcW w:w="233" w:type="dxa"/>
            <w:shd w:val="clear" w:color="auto" w:fill="auto"/>
          </w:tcPr>
          <w:p w14:paraId="0BC39000" w14:textId="77777777" w:rsidR="00817FDA" w:rsidRDefault="00817FDA" w:rsidP="00E503A5">
            <w:pPr>
              <w:pStyle w:val="Textpoznpodarou10"/>
              <w:jc w:val="both"/>
              <w:rPr>
                <w:spacing w:val="-4"/>
              </w:rPr>
            </w:pPr>
          </w:p>
        </w:tc>
        <w:tc>
          <w:tcPr>
            <w:tcW w:w="7610" w:type="dxa"/>
            <w:shd w:val="clear" w:color="auto" w:fill="auto"/>
          </w:tcPr>
          <w:p w14:paraId="68781947" w14:textId="21C49968" w:rsidR="00817FDA" w:rsidRDefault="00817FDA" w:rsidP="00B606BE">
            <w:r>
              <w:t>Hrubý domácí produkt v roce 2019 dosáhl 5 748,7</w:t>
            </w:r>
            <w:r w:rsidR="00A21624">
              <w:t> mld.</w:t>
            </w:r>
            <w:r>
              <w:t xml:space="preserve"> korun (</w:t>
            </w:r>
            <w:r w:rsidR="001A33A3">
              <w:t>v </w:t>
            </w:r>
            <w:r>
              <w:t>běžných cenách). Reálný růst HDP druhým rokem zpomaloval. Výsledný přírůstek tak dosáhl 2,3</w:t>
            </w:r>
            <w:r w:rsidR="00F118D5">
              <w:t> %</w:t>
            </w:r>
            <w:r>
              <w:rPr>
                <w:rStyle w:val="Znakapoznpodarou"/>
              </w:rPr>
              <w:footnoteReference w:id="1"/>
            </w:r>
            <w:r>
              <w:t xml:space="preserve">. </w:t>
            </w:r>
            <w:r w:rsidR="001A33A3">
              <w:t>I </w:t>
            </w:r>
            <w:r>
              <w:t xml:space="preserve">loni se udržovala stabilní základna růstu domácí spotřeby, která významně podporovala hospodářský růst již pátým rokem. Mírně k růstu HDP přispěl také vývoj bilance zahraničního obchodu. Růst vývozu </w:t>
            </w:r>
            <w:r w:rsidR="001A33A3">
              <w:t>a </w:t>
            </w:r>
            <w:r>
              <w:t xml:space="preserve">dovozu ale oslabil </w:t>
            </w:r>
            <w:r w:rsidR="001A33A3">
              <w:t>a </w:t>
            </w:r>
            <w:r>
              <w:t>zvýšení přebytku bylo způsobeno větším oslabením importní dynamiky. Po silném roce 2018 došlo k redukci příspěvku výdajů na tvorbu hrubého kapitálu. Vývoj nabídkové strany ekonomiky potvrzoval silnou roli domácí poptávky, která se projevovala solidním růstem služeb. V některých průmyslových odvětví</w:t>
            </w:r>
            <w:r w:rsidR="0000083D">
              <w:t>ch</w:t>
            </w:r>
            <w:r>
              <w:t xml:space="preserve"> </w:t>
            </w:r>
            <w:r w:rsidR="0000083D">
              <w:t>byl ale</w:t>
            </w:r>
            <w:r>
              <w:t xml:space="preserve"> zřejmý útlum spojený s oslabením zahraniční poptávky.</w:t>
            </w:r>
          </w:p>
        </w:tc>
      </w:tr>
      <w:tr w:rsidR="00817FDA" w14:paraId="5A2ED2DF" w14:textId="77777777" w:rsidTr="00E503A5">
        <w:tc>
          <w:tcPr>
            <w:tcW w:w="1801" w:type="dxa"/>
            <w:vMerge w:val="restart"/>
            <w:shd w:val="clear" w:color="auto" w:fill="auto"/>
          </w:tcPr>
          <w:p w14:paraId="4AB0B7D8" w14:textId="77777777" w:rsidR="00817FDA" w:rsidRDefault="00817FDA" w:rsidP="00E503A5">
            <w:pPr>
              <w:pStyle w:val="Marginlie"/>
            </w:pPr>
          </w:p>
        </w:tc>
        <w:tc>
          <w:tcPr>
            <w:tcW w:w="233" w:type="dxa"/>
            <w:vMerge w:val="restart"/>
            <w:shd w:val="clear" w:color="auto" w:fill="auto"/>
          </w:tcPr>
          <w:p w14:paraId="7889C7FC" w14:textId="77777777" w:rsidR="00817FDA" w:rsidRDefault="00817FDA" w:rsidP="00E503A5">
            <w:pPr>
              <w:pStyle w:val="Textpoznpodarou10"/>
              <w:jc w:val="both"/>
              <w:rPr>
                <w:spacing w:val="-4"/>
              </w:rPr>
            </w:pPr>
          </w:p>
        </w:tc>
        <w:tc>
          <w:tcPr>
            <w:tcW w:w="7610" w:type="dxa"/>
            <w:shd w:val="clear" w:color="auto" w:fill="auto"/>
          </w:tcPr>
          <w:p w14:paraId="58CA0BAD" w14:textId="38A52ACA" w:rsidR="00817FDA" w:rsidRDefault="00817FDA" w:rsidP="00E503A5">
            <w:pPr>
              <w:spacing w:after="0"/>
              <w:rPr>
                <w:b/>
              </w:rPr>
            </w:pPr>
            <w:r>
              <w:rPr>
                <w:b/>
              </w:rPr>
              <w:t xml:space="preserve">Graf </w:t>
            </w:r>
            <w:r w:rsidR="00A21624">
              <w:rPr>
                <w:b/>
              </w:rPr>
              <w:t>č. </w:t>
            </w:r>
            <w:r w:rsidR="001A33A3">
              <w:rPr>
                <w:b/>
              </w:rPr>
              <w:t>1</w:t>
            </w:r>
            <w:r w:rsidR="001A480E">
              <w:rPr>
                <w:b/>
              </w:rPr>
              <w:t xml:space="preserve">  </w:t>
            </w:r>
            <w:r>
              <w:rPr>
                <w:b/>
              </w:rPr>
              <w:t xml:space="preserve">Příspěvky jednotlivých složek ke změně HDP* </w:t>
            </w:r>
            <w:r w:rsidRPr="002E4A56">
              <w:t>(</w:t>
            </w:r>
            <w:r>
              <w:t xml:space="preserve">objemové indexy, </w:t>
            </w:r>
            <w:r w:rsidRPr="002E4A56">
              <w:t>v</w:t>
            </w:r>
            <w:r>
              <w:t> </w:t>
            </w:r>
            <w:r w:rsidRPr="002E4A56">
              <w:t>p.</w:t>
            </w:r>
            <w:r>
              <w:t> </w:t>
            </w:r>
            <w:r w:rsidRPr="002E4A56">
              <w:t>b., růst HDP v</w:t>
            </w:r>
            <w:r w:rsidR="00F118D5">
              <w:t> %</w:t>
            </w:r>
            <w:r>
              <w:t>, sezónně očištěno</w:t>
            </w:r>
            <w:r w:rsidRPr="002E4A56">
              <w:t>)</w:t>
            </w:r>
          </w:p>
        </w:tc>
      </w:tr>
      <w:tr w:rsidR="00817FDA" w14:paraId="2EA19454" w14:textId="77777777" w:rsidTr="00E503A5">
        <w:tblPrEx>
          <w:tblCellMar>
            <w:left w:w="70" w:type="dxa"/>
            <w:right w:w="70" w:type="dxa"/>
          </w:tblCellMar>
        </w:tblPrEx>
        <w:trPr>
          <w:trHeight w:val="170"/>
        </w:trPr>
        <w:tc>
          <w:tcPr>
            <w:tcW w:w="1801" w:type="dxa"/>
            <w:vMerge/>
            <w:shd w:val="clear" w:color="auto" w:fill="auto"/>
          </w:tcPr>
          <w:p w14:paraId="515CABD9" w14:textId="77777777" w:rsidR="00817FDA" w:rsidRDefault="00817FDA" w:rsidP="00E503A5">
            <w:pPr>
              <w:pStyle w:val="Marginlie"/>
            </w:pPr>
          </w:p>
        </w:tc>
        <w:tc>
          <w:tcPr>
            <w:tcW w:w="233" w:type="dxa"/>
            <w:vMerge/>
            <w:shd w:val="clear" w:color="auto" w:fill="auto"/>
          </w:tcPr>
          <w:p w14:paraId="6B3980D1" w14:textId="77777777" w:rsidR="00817FDA" w:rsidRDefault="00817FDA" w:rsidP="00E503A5">
            <w:pPr>
              <w:pStyle w:val="Textpoznpodarou10"/>
              <w:jc w:val="both"/>
              <w:rPr>
                <w:spacing w:val="-4"/>
              </w:rPr>
            </w:pPr>
          </w:p>
        </w:tc>
        <w:tc>
          <w:tcPr>
            <w:tcW w:w="7610" w:type="dxa"/>
            <w:shd w:val="clear" w:color="auto" w:fill="auto"/>
          </w:tcPr>
          <w:p w14:paraId="180FBBBA" w14:textId="77777777" w:rsidR="00817FDA" w:rsidRDefault="00817FDA" w:rsidP="00E503A5">
            <w:pPr>
              <w:spacing w:after="0"/>
            </w:pPr>
            <w:r>
              <w:rPr>
                <w:noProof/>
              </w:rPr>
              <w:drawing>
                <wp:inline distT="0" distB="0" distL="0" distR="0" wp14:anchorId="359A4DCC" wp14:editId="4AFAA7FC">
                  <wp:extent cx="4737600" cy="3553200"/>
                  <wp:effectExtent l="0" t="0" r="635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817FDA" w14:paraId="1601EF4A" w14:textId="77777777" w:rsidTr="00E503A5">
        <w:trPr>
          <w:trHeight w:val="170"/>
        </w:trPr>
        <w:tc>
          <w:tcPr>
            <w:tcW w:w="1801" w:type="dxa"/>
            <w:vMerge/>
            <w:shd w:val="clear" w:color="auto" w:fill="auto"/>
          </w:tcPr>
          <w:p w14:paraId="07C4387B" w14:textId="77777777" w:rsidR="00817FDA" w:rsidRDefault="00817FDA" w:rsidP="00E503A5">
            <w:pPr>
              <w:pStyle w:val="Marginlie"/>
            </w:pPr>
          </w:p>
        </w:tc>
        <w:tc>
          <w:tcPr>
            <w:tcW w:w="233" w:type="dxa"/>
            <w:vMerge/>
            <w:shd w:val="clear" w:color="auto" w:fill="auto"/>
          </w:tcPr>
          <w:p w14:paraId="0DB7719F" w14:textId="77777777" w:rsidR="00817FDA" w:rsidRDefault="00817FDA" w:rsidP="00E503A5">
            <w:pPr>
              <w:pStyle w:val="Textpoznpodarou10"/>
              <w:jc w:val="both"/>
              <w:rPr>
                <w:spacing w:val="-4"/>
              </w:rPr>
            </w:pPr>
          </w:p>
        </w:tc>
        <w:tc>
          <w:tcPr>
            <w:tcW w:w="7610" w:type="dxa"/>
            <w:shd w:val="clear" w:color="auto" w:fill="auto"/>
          </w:tcPr>
          <w:p w14:paraId="518E974F" w14:textId="77777777" w:rsidR="00817FDA" w:rsidRDefault="00817FDA" w:rsidP="00E503A5">
            <w:pPr>
              <w:spacing w:after="0"/>
              <w:rPr>
                <w:sz w:val="14"/>
                <w:szCs w:val="14"/>
              </w:rPr>
            </w:pPr>
            <w:r>
              <w:rPr>
                <w:sz w:val="14"/>
                <w:szCs w:val="14"/>
              </w:rPr>
              <w:t>Zdroj: ČSÚ</w:t>
            </w:r>
          </w:p>
          <w:p w14:paraId="664F9487" w14:textId="77777777" w:rsidR="00817FDA" w:rsidRDefault="00817FDA" w:rsidP="00E503A5">
            <w:pPr>
              <w:rPr>
                <w:sz w:val="14"/>
                <w:szCs w:val="14"/>
              </w:rPr>
            </w:pPr>
            <w:r>
              <w:rPr>
                <w:sz w:val="14"/>
                <w:szCs w:val="14"/>
              </w:rPr>
              <w:t>*Po vyloučení dovozu pro konečné užití</w:t>
            </w:r>
          </w:p>
        </w:tc>
      </w:tr>
      <w:tr w:rsidR="00817FDA" w14:paraId="5134D889" w14:textId="77777777" w:rsidTr="00E503A5">
        <w:trPr>
          <w:trHeight w:val="145"/>
        </w:trPr>
        <w:tc>
          <w:tcPr>
            <w:tcW w:w="1801" w:type="dxa"/>
            <w:shd w:val="clear" w:color="auto" w:fill="auto"/>
          </w:tcPr>
          <w:p w14:paraId="6345A11A" w14:textId="2C1B6BDF" w:rsidR="00817FDA" w:rsidRDefault="00817FDA" w:rsidP="00E503A5">
            <w:pPr>
              <w:pStyle w:val="Marginlie"/>
            </w:pPr>
            <w:r>
              <w:t>Růst spotřeby zůstal stabilní, výrazně ale zpomalily kapitálové výdaje.</w:t>
            </w:r>
          </w:p>
        </w:tc>
        <w:tc>
          <w:tcPr>
            <w:tcW w:w="233" w:type="dxa"/>
            <w:shd w:val="clear" w:color="auto" w:fill="auto"/>
          </w:tcPr>
          <w:p w14:paraId="01425DA2" w14:textId="77777777" w:rsidR="00817FDA" w:rsidRDefault="00817FDA" w:rsidP="00E503A5">
            <w:pPr>
              <w:pStyle w:val="Textpoznpodarou10"/>
              <w:jc w:val="both"/>
              <w:rPr>
                <w:spacing w:val="-4"/>
              </w:rPr>
            </w:pPr>
          </w:p>
        </w:tc>
        <w:tc>
          <w:tcPr>
            <w:tcW w:w="7610" w:type="dxa"/>
            <w:shd w:val="clear" w:color="auto" w:fill="auto"/>
          </w:tcPr>
          <w:p w14:paraId="6A0EB4A4" w14:textId="1EB5A7F4" w:rsidR="00817FDA" w:rsidRDefault="00817FDA" w:rsidP="00E503A5">
            <w:r>
              <w:t>Vliv domácí spotřeby v celkovém přírůstku HDP zcela převažoval. Celkově spotřeba přispěla k růstu 1,7</w:t>
            </w:r>
            <w:r w:rsidR="00F118D5">
              <w:t> p. b.</w:t>
            </w:r>
            <w:r>
              <w:rPr>
                <w:rStyle w:val="Znakapoznpodarou"/>
              </w:rPr>
              <w:footnoteReference w:id="2"/>
            </w:r>
            <w:r>
              <w:t xml:space="preserve"> Z toho spotřeba domácností reálně vzrostla </w:t>
            </w:r>
            <w:r w:rsidR="001A33A3">
              <w:t>o </w:t>
            </w:r>
            <w:r>
              <w:t>2,9</w:t>
            </w:r>
            <w:r w:rsidR="00F118D5">
              <w:t> %</w:t>
            </w:r>
            <w:r>
              <w:t xml:space="preserve"> (prv</w:t>
            </w:r>
            <w:r w:rsidR="00B04B4A">
              <w:t>n</w:t>
            </w:r>
            <w:r>
              <w:t>í přírůstek pod 3</w:t>
            </w:r>
            <w:r w:rsidR="00F118D5">
              <w:t> %</w:t>
            </w:r>
            <w:r>
              <w:t xml:space="preserve"> od roku 2014) </w:t>
            </w:r>
            <w:r w:rsidR="001A33A3">
              <w:t>a </w:t>
            </w:r>
            <w:r>
              <w:t>přispěla 1,2</w:t>
            </w:r>
            <w:r w:rsidR="00F118D5">
              <w:t> p. b.</w:t>
            </w:r>
            <w:r>
              <w:t xml:space="preserve"> (stejný příspěvek již tři roky). Ze srovnání přírůstku bez vyloučení </w:t>
            </w:r>
            <w:r w:rsidR="001A33A3">
              <w:t>a </w:t>
            </w:r>
            <w:r>
              <w:t>s vyloučením dovozu pro konečné užití přitom vyplývá, že oproti předchozím čtyřem letům nebyl růst spotřeby domácností tak výrazně saturován dovozem. Růst vládní spotřeby oproti roku 2018 oslabil na 2,3</w:t>
            </w:r>
            <w:r w:rsidR="00F118D5">
              <w:t> %</w:t>
            </w:r>
            <w:r>
              <w:t>, stejně jako příspěvek k dynamice HDP (0,4</w:t>
            </w:r>
            <w:r w:rsidR="00F118D5">
              <w:t> p. b.</w:t>
            </w:r>
            <w:r>
              <w:t xml:space="preserve">). Výdaje na tvorbu hrubého kapitálu meziročně reálně vzrostly </w:t>
            </w:r>
            <w:r w:rsidR="001A33A3">
              <w:t>o </w:t>
            </w:r>
            <w:r>
              <w:t>1,5</w:t>
            </w:r>
            <w:r w:rsidR="00F118D5">
              <w:t> %</w:t>
            </w:r>
            <w:r>
              <w:t xml:space="preserve"> </w:t>
            </w:r>
            <w:r w:rsidR="001A33A3">
              <w:t>a </w:t>
            </w:r>
            <w:r>
              <w:t xml:space="preserve">na tvorbu hrubého fixního kapitálu (investiční aktivita) </w:t>
            </w:r>
            <w:r w:rsidR="001A33A3">
              <w:t>o </w:t>
            </w:r>
            <w:r>
              <w:t>2,2</w:t>
            </w:r>
            <w:r w:rsidR="00BF6EE6">
              <w:t> </w:t>
            </w:r>
            <w:r>
              <w:t>%. Negativní vliv na meziroční srovnání tak měla změna zásob. To byl také důvod mírně negativního příspěvku růstu kapitálových výdajů k dynamice HDP (</w:t>
            </w:r>
            <w:r w:rsidR="00B04B4A">
              <w:t>–</w:t>
            </w:r>
            <w:r>
              <w:t>0,1</w:t>
            </w:r>
            <w:r w:rsidR="00F118D5">
              <w:t> p. b.</w:t>
            </w:r>
            <w:r>
              <w:t>). Příspěvek samotné investiční aktivity byl mírný, ale pozitivní (0,3</w:t>
            </w:r>
            <w:r w:rsidR="00F118D5">
              <w:t> p. b.</w:t>
            </w:r>
            <w:r>
              <w:t xml:space="preserve">). Celkový </w:t>
            </w:r>
            <w:r>
              <w:lastRenderedPageBreak/>
              <w:t>příspěvek bilance zahraničního obchodu k růstu HDP loni dosáhl 0,6</w:t>
            </w:r>
            <w:r w:rsidR="00F118D5">
              <w:t> p. b.</w:t>
            </w:r>
            <w:r>
              <w:t xml:space="preserve"> Nešlo ale </w:t>
            </w:r>
            <w:r w:rsidR="001A33A3">
              <w:t>o </w:t>
            </w:r>
            <w:r>
              <w:t>důsledek zlepšení exportní dynamiky. Naopak reálný přírůstek vývozu oslabil na 1,3</w:t>
            </w:r>
            <w:r w:rsidR="00BF6EE6">
              <w:t> </w:t>
            </w:r>
            <w:r>
              <w:t xml:space="preserve">%. Zároveň s ním ale oslabil </w:t>
            </w:r>
            <w:r w:rsidR="001A33A3">
              <w:t>i </w:t>
            </w:r>
            <w:r>
              <w:t xml:space="preserve">nárůst </w:t>
            </w:r>
            <w:r w:rsidR="00B04B4A">
              <w:t xml:space="preserve">dovozu </w:t>
            </w:r>
            <w:r>
              <w:t>na 1,4</w:t>
            </w:r>
            <w:r w:rsidR="00F118D5">
              <w:t> %</w:t>
            </w:r>
            <w:r>
              <w:t xml:space="preserve">, což způsobilo zlepšení </w:t>
            </w:r>
            <w:r w:rsidR="00B950E3">
              <w:t xml:space="preserve">dynamiky </w:t>
            </w:r>
            <w:r>
              <w:t>výsledné bilance.</w:t>
            </w:r>
          </w:p>
        </w:tc>
      </w:tr>
      <w:tr w:rsidR="00817FDA" w14:paraId="05E40F01" w14:textId="77777777" w:rsidTr="00E503A5">
        <w:trPr>
          <w:trHeight w:val="145"/>
        </w:trPr>
        <w:tc>
          <w:tcPr>
            <w:tcW w:w="1801" w:type="dxa"/>
            <w:shd w:val="clear" w:color="auto" w:fill="auto"/>
          </w:tcPr>
          <w:p w14:paraId="7363E6B8" w14:textId="77777777" w:rsidR="00817FDA" w:rsidRDefault="00817FDA" w:rsidP="00E503A5">
            <w:pPr>
              <w:pStyle w:val="Marginlie"/>
            </w:pPr>
            <w:r>
              <w:lastRenderedPageBreak/>
              <w:t>Nejvíce k růstu HPH přispívaly služby.</w:t>
            </w:r>
          </w:p>
        </w:tc>
        <w:tc>
          <w:tcPr>
            <w:tcW w:w="233" w:type="dxa"/>
            <w:shd w:val="clear" w:color="auto" w:fill="auto"/>
          </w:tcPr>
          <w:p w14:paraId="5A9710B6" w14:textId="77777777" w:rsidR="00817FDA" w:rsidRDefault="00817FDA" w:rsidP="00E503A5">
            <w:pPr>
              <w:pStyle w:val="Textpoznpodarou10"/>
              <w:jc w:val="both"/>
              <w:rPr>
                <w:spacing w:val="-4"/>
              </w:rPr>
            </w:pPr>
          </w:p>
        </w:tc>
        <w:tc>
          <w:tcPr>
            <w:tcW w:w="7610" w:type="dxa"/>
            <w:shd w:val="clear" w:color="auto" w:fill="auto"/>
          </w:tcPr>
          <w:p w14:paraId="7068F74C" w14:textId="3487E1BA" w:rsidR="00817FDA" w:rsidRDefault="00817FDA" w:rsidP="00B606BE">
            <w:r>
              <w:t>Reálný růst hrubé přidané hodnoty (HPH) loni dosáhl 2,2</w:t>
            </w:r>
            <w:r w:rsidR="00F118D5">
              <w:t> %</w:t>
            </w:r>
            <w:r>
              <w:t xml:space="preserve">. K celkovému růstu z většiny přispívala odvětví </w:t>
            </w:r>
            <w:r w:rsidR="00857658">
              <w:t>služeb</w:t>
            </w:r>
            <w:r w:rsidR="00894C3D">
              <w:t>,</w:t>
            </w:r>
            <w:r w:rsidR="00857658">
              <w:t xml:space="preserve"> podporovaná poptávkou</w:t>
            </w:r>
            <w:r>
              <w:t xml:space="preserve"> domácností </w:t>
            </w:r>
            <w:r w:rsidR="001A33A3">
              <w:t>i </w:t>
            </w:r>
            <w:r>
              <w:t>firem (celkový příspěvek 1,5</w:t>
            </w:r>
            <w:r w:rsidR="00F118D5">
              <w:t> p. b.</w:t>
            </w:r>
            <w:r>
              <w:t xml:space="preserve">). V průběhu roku se ale jejich příspěvek postupně snižoval </w:t>
            </w:r>
            <w:r w:rsidR="001A33A3">
              <w:t>a </w:t>
            </w:r>
            <w:r>
              <w:t xml:space="preserve">s tím </w:t>
            </w:r>
            <w:r w:rsidR="001A33A3">
              <w:t>i </w:t>
            </w:r>
            <w:r>
              <w:t xml:space="preserve">meziroční tempo růstu HPH. Nejvíce k růstu HPH přispívalo uskupení obchod, doprava, ubytování </w:t>
            </w:r>
            <w:r w:rsidR="001A33A3">
              <w:t>a </w:t>
            </w:r>
            <w:r>
              <w:t xml:space="preserve">pohostinství (růst </w:t>
            </w:r>
            <w:r w:rsidR="001A33A3">
              <w:t>o </w:t>
            </w:r>
            <w:r>
              <w:t>2,9</w:t>
            </w:r>
            <w:r w:rsidR="00F118D5">
              <w:t> %</w:t>
            </w:r>
            <w:r>
              <w:t xml:space="preserve">). Nejvyššího růstu přitom dosahoval maloobchod </w:t>
            </w:r>
            <w:r w:rsidR="00B606BE">
              <w:t>(</w:t>
            </w:r>
            <w:r>
              <w:t>kromě motorových vozidel</w:t>
            </w:r>
            <w:r w:rsidR="00B606BE">
              <w:t xml:space="preserve">,  </w:t>
            </w:r>
            <w:r>
              <w:t>7,4</w:t>
            </w:r>
            <w:r w:rsidR="00F118D5">
              <w:t> %</w:t>
            </w:r>
            <w:r>
              <w:t xml:space="preserve">), který plně čerpal ze silné spotřební poptávky domácností. Ve velkoobchodu byl růst slabší (1,5 %). Růst si udržela pozemní </w:t>
            </w:r>
            <w:r w:rsidR="001A33A3">
              <w:t>a </w:t>
            </w:r>
            <w:r>
              <w:t>potrubní doprava (2,7</w:t>
            </w:r>
            <w:r w:rsidR="00F118D5">
              <w:t> %</w:t>
            </w:r>
            <w:r>
              <w:t>), byl ale nejslabší za posledních pět let. Mírně rostla HPH v ubytování (1,5</w:t>
            </w:r>
            <w:r w:rsidR="00F118D5">
              <w:t> %</w:t>
            </w:r>
            <w:r>
              <w:t xml:space="preserve">) </w:t>
            </w:r>
            <w:r w:rsidR="001A33A3">
              <w:t>i </w:t>
            </w:r>
            <w:r>
              <w:t>pohostinství (1,0</w:t>
            </w:r>
            <w:r w:rsidR="00F118D5">
              <w:t> %</w:t>
            </w:r>
            <w:r>
              <w:t xml:space="preserve">). Výrazného růstu díky firemní poptávce dosahovaly profesní, vědecké, technické </w:t>
            </w:r>
            <w:r w:rsidR="001A33A3">
              <w:t>a </w:t>
            </w:r>
            <w:r>
              <w:t>administrativní činnosti (4,9</w:t>
            </w:r>
            <w:r w:rsidR="00F118D5">
              <w:t> %</w:t>
            </w:r>
            <w:r>
              <w:t xml:space="preserve">). Výrazně se dařilo činnostem vedení podniků </w:t>
            </w:r>
            <w:r w:rsidR="001A33A3">
              <w:t>a </w:t>
            </w:r>
            <w:r>
              <w:t>poradenství v oblasti řízení (14,7</w:t>
            </w:r>
            <w:r w:rsidR="00F118D5">
              <w:t> %</w:t>
            </w:r>
            <w:r>
              <w:t xml:space="preserve">), architektonickým </w:t>
            </w:r>
            <w:r w:rsidR="001A33A3">
              <w:t>a </w:t>
            </w:r>
            <w:r>
              <w:t xml:space="preserve">inženýrským činnostem (8,9 %), ale také právním </w:t>
            </w:r>
            <w:r w:rsidR="001A33A3">
              <w:t>a </w:t>
            </w:r>
            <w:r>
              <w:t>účetnickým činnostem (6,0</w:t>
            </w:r>
            <w:r w:rsidR="00F118D5">
              <w:t> %</w:t>
            </w:r>
            <w:r>
              <w:t xml:space="preserve">). </w:t>
            </w:r>
            <w:r w:rsidR="00B950E3">
              <w:t xml:space="preserve">Značně </w:t>
            </w:r>
            <w:r>
              <w:t xml:space="preserve">rostla HPH v peněžnictví </w:t>
            </w:r>
            <w:r w:rsidR="001A33A3">
              <w:t>a </w:t>
            </w:r>
            <w:r>
              <w:t>pojišťovnictví (5,1</w:t>
            </w:r>
            <w:r w:rsidR="00BF6EE6">
              <w:t> </w:t>
            </w:r>
            <w:r>
              <w:t xml:space="preserve">%). Slabší než v roce 2018, ale stále solidní byl přírůstek HPH v informačních </w:t>
            </w:r>
            <w:r w:rsidR="001A33A3">
              <w:t>a </w:t>
            </w:r>
            <w:r>
              <w:t>komunikačních činnostech (2,6</w:t>
            </w:r>
            <w:r w:rsidR="00F118D5">
              <w:t> %</w:t>
            </w:r>
            <w:r>
              <w:t>). Zde oslabila</w:t>
            </w:r>
            <w:r w:rsidR="00F118D5">
              <w:t xml:space="preserve"> </w:t>
            </w:r>
            <w:r>
              <w:t>zejména dynamika činností v oblasti informačních technologií (1,7</w:t>
            </w:r>
            <w:r w:rsidR="00F118D5">
              <w:t> %</w:t>
            </w:r>
            <w:r>
              <w:t xml:space="preserve">) </w:t>
            </w:r>
            <w:r w:rsidR="001A33A3">
              <w:t>a </w:t>
            </w:r>
            <w:r>
              <w:t>informačních činností (4,2</w:t>
            </w:r>
            <w:r w:rsidR="00F118D5">
              <w:t> %</w:t>
            </w:r>
            <w:r>
              <w:t xml:space="preserve">). Jde </w:t>
            </w:r>
            <w:r w:rsidR="001A33A3">
              <w:t>o </w:t>
            </w:r>
            <w:r>
              <w:t xml:space="preserve">obory, které v posledních letech </w:t>
            </w:r>
            <w:r w:rsidR="00570D95">
              <w:t xml:space="preserve">táhly </w:t>
            </w:r>
            <w:r>
              <w:t xml:space="preserve">růst HPH </w:t>
            </w:r>
            <w:r w:rsidR="00570D95">
              <w:t xml:space="preserve">celého </w:t>
            </w:r>
            <w:r>
              <w:t>uskupení nejvíce dopředu.</w:t>
            </w:r>
          </w:p>
        </w:tc>
      </w:tr>
      <w:tr w:rsidR="00817FDA" w14:paraId="0365A3A8" w14:textId="77777777" w:rsidTr="00E503A5">
        <w:trPr>
          <w:trHeight w:val="170"/>
        </w:trPr>
        <w:tc>
          <w:tcPr>
            <w:tcW w:w="1801" w:type="dxa"/>
            <w:vMerge w:val="restart"/>
            <w:shd w:val="clear" w:color="auto" w:fill="auto"/>
          </w:tcPr>
          <w:p w14:paraId="19205E86" w14:textId="77777777" w:rsidR="00817FDA" w:rsidRDefault="00817FDA" w:rsidP="00E503A5">
            <w:pPr>
              <w:pStyle w:val="Marginlie"/>
              <w:spacing w:after="240"/>
            </w:pPr>
          </w:p>
        </w:tc>
        <w:tc>
          <w:tcPr>
            <w:tcW w:w="233" w:type="dxa"/>
            <w:vMerge w:val="restart"/>
            <w:shd w:val="clear" w:color="auto" w:fill="auto"/>
          </w:tcPr>
          <w:p w14:paraId="09D70743" w14:textId="77777777" w:rsidR="00817FDA" w:rsidRDefault="00817FDA" w:rsidP="00E503A5">
            <w:pPr>
              <w:pStyle w:val="Textpoznpodarou10"/>
              <w:spacing w:after="240"/>
              <w:jc w:val="both"/>
              <w:rPr>
                <w:spacing w:val="-4"/>
              </w:rPr>
            </w:pPr>
          </w:p>
        </w:tc>
        <w:tc>
          <w:tcPr>
            <w:tcW w:w="7610" w:type="dxa"/>
            <w:shd w:val="clear" w:color="auto" w:fill="auto"/>
          </w:tcPr>
          <w:p w14:paraId="193E3AE2" w14:textId="40E65F45" w:rsidR="00817FDA" w:rsidRDefault="00817FDA" w:rsidP="00E503A5">
            <w:pPr>
              <w:spacing w:after="0"/>
            </w:pPr>
            <w:r w:rsidRPr="00B606BE">
              <w:rPr>
                <w:rFonts w:cs="Arial"/>
                <w:b/>
                <w:lang w:eastAsia="en-US"/>
              </w:rPr>
              <w:t xml:space="preserve">Graf </w:t>
            </w:r>
            <w:r w:rsidR="00A21624" w:rsidRPr="00B606BE">
              <w:rPr>
                <w:rFonts w:cs="Arial"/>
                <w:b/>
                <w:lang w:eastAsia="en-US"/>
              </w:rPr>
              <w:t>č. </w:t>
            </w:r>
            <w:r w:rsidR="001A33A3" w:rsidRPr="00B606BE">
              <w:rPr>
                <w:rFonts w:cs="Arial"/>
                <w:b/>
                <w:lang w:eastAsia="en-US"/>
              </w:rPr>
              <w:t>2</w:t>
            </w:r>
            <w:r w:rsidR="001A480E">
              <w:rPr>
                <w:rFonts w:cs="Arial"/>
                <w:b/>
                <w:lang w:eastAsia="en-US"/>
              </w:rPr>
              <w:t xml:space="preserve">  </w:t>
            </w:r>
            <w:r w:rsidRPr="00A74192">
              <w:rPr>
                <w:rFonts w:cs="Arial"/>
                <w:b/>
                <w:lang w:eastAsia="en-US"/>
              </w:rPr>
              <w:t>Příspěvky odvětví ke</w:t>
            </w:r>
            <w:r w:rsidR="00B962D2">
              <w:rPr>
                <w:rFonts w:cs="Arial"/>
                <w:b/>
                <w:lang w:eastAsia="en-US"/>
              </w:rPr>
              <w:t xml:space="preserve"> </w:t>
            </w:r>
            <w:r w:rsidRPr="00A74192">
              <w:rPr>
                <w:rFonts w:cs="Arial"/>
                <w:b/>
                <w:lang w:eastAsia="en-US"/>
              </w:rPr>
              <w:t>změně HPH</w:t>
            </w:r>
            <w:r w:rsidRPr="00A74192">
              <w:rPr>
                <w:rFonts w:cs="Arial"/>
                <w:lang w:eastAsia="en-US"/>
              </w:rPr>
              <w:t xml:space="preserve"> (</w:t>
            </w:r>
            <w:r>
              <w:rPr>
                <w:rFonts w:cs="Arial"/>
                <w:lang w:eastAsia="en-US"/>
              </w:rPr>
              <w:t>objemové indexy</w:t>
            </w:r>
            <w:r w:rsidRPr="00A74192">
              <w:rPr>
                <w:rFonts w:cs="Arial"/>
                <w:lang w:eastAsia="en-US"/>
              </w:rPr>
              <w:t xml:space="preserve"> v p.</w:t>
            </w:r>
            <w:r w:rsidR="00B962D2">
              <w:rPr>
                <w:rFonts w:cs="Arial"/>
                <w:lang w:eastAsia="en-US"/>
              </w:rPr>
              <w:t> </w:t>
            </w:r>
            <w:r w:rsidRPr="00A74192">
              <w:rPr>
                <w:rFonts w:cs="Arial"/>
                <w:lang w:eastAsia="en-US"/>
              </w:rPr>
              <w:t>b., HPH</w:t>
            </w:r>
            <w:r>
              <w:rPr>
                <w:rFonts w:cs="Arial"/>
                <w:lang w:eastAsia="en-US"/>
              </w:rPr>
              <w:t xml:space="preserve"> </w:t>
            </w:r>
            <w:r w:rsidRPr="00A74192">
              <w:rPr>
                <w:rFonts w:cs="Arial"/>
                <w:lang w:eastAsia="en-US"/>
              </w:rPr>
              <w:t>v</w:t>
            </w:r>
            <w:r w:rsidR="00F118D5">
              <w:rPr>
                <w:rFonts w:cs="Arial"/>
                <w:lang w:eastAsia="en-US"/>
              </w:rPr>
              <w:t> %</w:t>
            </w:r>
            <w:r>
              <w:rPr>
                <w:rFonts w:cs="Arial"/>
                <w:lang w:eastAsia="en-US"/>
              </w:rPr>
              <w:t>, sezónně očištěno</w:t>
            </w:r>
            <w:r w:rsidRPr="00A74192">
              <w:rPr>
                <w:rFonts w:cs="Arial"/>
                <w:lang w:eastAsia="en-US"/>
              </w:rPr>
              <w:t>)</w:t>
            </w:r>
          </w:p>
        </w:tc>
      </w:tr>
      <w:tr w:rsidR="00817FDA" w14:paraId="6E45FDA2" w14:textId="77777777" w:rsidTr="00E503A5">
        <w:tblPrEx>
          <w:tblCellMar>
            <w:left w:w="70" w:type="dxa"/>
            <w:right w:w="70" w:type="dxa"/>
          </w:tblCellMar>
        </w:tblPrEx>
        <w:trPr>
          <w:trHeight w:val="170"/>
        </w:trPr>
        <w:tc>
          <w:tcPr>
            <w:tcW w:w="1801" w:type="dxa"/>
            <w:vMerge/>
            <w:shd w:val="clear" w:color="auto" w:fill="auto"/>
          </w:tcPr>
          <w:p w14:paraId="6D44164E" w14:textId="77777777" w:rsidR="00817FDA" w:rsidRDefault="00817FDA" w:rsidP="00E503A5">
            <w:pPr>
              <w:pStyle w:val="Marginlie"/>
              <w:spacing w:after="240"/>
            </w:pPr>
          </w:p>
        </w:tc>
        <w:tc>
          <w:tcPr>
            <w:tcW w:w="233" w:type="dxa"/>
            <w:vMerge/>
            <w:shd w:val="clear" w:color="auto" w:fill="auto"/>
          </w:tcPr>
          <w:p w14:paraId="6818A9F7" w14:textId="77777777" w:rsidR="00817FDA" w:rsidRDefault="00817FDA" w:rsidP="00E503A5">
            <w:pPr>
              <w:pStyle w:val="Textpoznpodarou10"/>
              <w:spacing w:after="240"/>
              <w:jc w:val="both"/>
              <w:rPr>
                <w:spacing w:val="-4"/>
              </w:rPr>
            </w:pPr>
          </w:p>
        </w:tc>
        <w:tc>
          <w:tcPr>
            <w:tcW w:w="7610" w:type="dxa"/>
            <w:shd w:val="clear" w:color="auto" w:fill="auto"/>
          </w:tcPr>
          <w:p w14:paraId="153D5DD9" w14:textId="77777777" w:rsidR="00817FDA" w:rsidRDefault="00817FDA" w:rsidP="00E503A5">
            <w:pPr>
              <w:spacing w:after="0"/>
            </w:pPr>
            <w:r>
              <w:rPr>
                <w:noProof/>
              </w:rPr>
              <w:drawing>
                <wp:inline distT="0" distB="0" distL="0" distR="0" wp14:anchorId="5C017C2D" wp14:editId="4005C00F">
                  <wp:extent cx="4737600" cy="3553200"/>
                  <wp:effectExtent l="0" t="0" r="635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817FDA" w14:paraId="34DF5A02" w14:textId="77777777" w:rsidTr="00E503A5">
        <w:trPr>
          <w:trHeight w:val="170"/>
        </w:trPr>
        <w:tc>
          <w:tcPr>
            <w:tcW w:w="1801" w:type="dxa"/>
            <w:vMerge/>
            <w:shd w:val="clear" w:color="auto" w:fill="auto"/>
          </w:tcPr>
          <w:p w14:paraId="0E202BB6" w14:textId="77777777" w:rsidR="00817FDA" w:rsidRDefault="00817FDA" w:rsidP="00E503A5">
            <w:pPr>
              <w:pStyle w:val="Marginlie"/>
              <w:spacing w:after="240"/>
            </w:pPr>
          </w:p>
        </w:tc>
        <w:tc>
          <w:tcPr>
            <w:tcW w:w="233" w:type="dxa"/>
            <w:vMerge/>
            <w:shd w:val="clear" w:color="auto" w:fill="auto"/>
          </w:tcPr>
          <w:p w14:paraId="0339A256" w14:textId="77777777" w:rsidR="00817FDA" w:rsidRDefault="00817FDA" w:rsidP="00E503A5">
            <w:pPr>
              <w:pStyle w:val="Textpoznpodarou10"/>
              <w:spacing w:after="240"/>
              <w:jc w:val="both"/>
              <w:rPr>
                <w:spacing w:val="-4"/>
              </w:rPr>
            </w:pPr>
          </w:p>
        </w:tc>
        <w:tc>
          <w:tcPr>
            <w:tcW w:w="7610" w:type="dxa"/>
            <w:shd w:val="clear" w:color="auto" w:fill="auto"/>
          </w:tcPr>
          <w:p w14:paraId="55158014" w14:textId="77777777" w:rsidR="00817FDA" w:rsidRPr="0065379C" w:rsidRDefault="00817FDA" w:rsidP="00E503A5">
            <w:pPr>
              <w:rPr>
                <w:sz w:val="14"/>
                <w:szCs w:val="14"/>
              </w:rPr>
            </w:pPr>
            <w:r w:rsidRPr="0065379C">
              <w:rPr>
                <w:sz w:val="14"/>
                <w:szCs w:val="14"/>
              </w:rPr>
              <w:t>Zdroj:</w:t>
            </w:r>
            <w:r w:rsidR="00B950E3">
              <w:rPr>
                <w:sz w:val="14"/>
                <w:szCs w:val="14"/>
              </w:rPr>
              <w:t xml:space="preserve"> </w:t>
            </w:r>
            <w:r w:rsidRPr="0065379C">
              <w:rPr>
                <w:sz w:val="14"/>
                <w:szCs w:val="14"/>
              </w:rPr>
              <w:t>ČSÚ</w:t>
            </w:r>
          </w:p>
        </w:tc>
      </w:tr>
      <w:tr w:rsidR="00817FDA" w14:paraId="2474317F" w14:textId="77777777" w:rsidTr="00E503A5">
        <w:trPr>
          <w:trHeight w:val="212"/>
        </w:trPr>
        <w:tc>
          <w:tcPr>
            <w:tcW w:w="1801" w:type="dxa"/>
            <w:shd w:val="clear" w:color="auto" w:fill="auto"/>
          </w:tcPr>
          <w:p w14:paraId="778CC7EE" w14:textId="64A33FDA" w:rsidR="00817FDA" w:rsidRDefault="00817FDA" w:rsidP="00E503A5">
            <w:pPr>
              <w:pStyle w:val="Marginlie"/>
              <w:spacing w:after="240"/>
            </w:pPr>
            <w:r>
              <w:t>Růst HPH ve zpracovatelském průmyslu mírně posílil.</w:t>
            </w:r>
            <w:r w:rsidR="00142C1C">
              <w:br/>
            </w:r>
            <w:r>
              <w:t>Ve výrobě motorových vozidel ale zpomalil.</w:t>
            </w:r>
          </w:p>
        </w:tc>
        <w:tc>
          <w:tcPr>
            <w:tcW w:w="233" w:type="dxa"/>
            <w:shd w:val="clear" w:color="auto" w:fill="auto"/>
          </w:tcPr>
          <w:p w14:paraId="6EDEE10E" w14:textId="77777777" w:rsidR="00817FDA" w:rsidRDefault="00817FDA" w:rsidP="00E503A5">
            <w:pPr>
              <w:pStyle w:val="Textpoznpodarou10"/>
              <w:spacing w:after="240"/>
              <w:jc w:val="both"/>
              <w:rPr>
                <w:spacing w:val="-4"/>
              </w:rPr>
            </w:pPr>
          </w:p>
        </w:tc>
        <w:tc>
          <w:tcPr>
            <w:tcW w:w="7610" w:type="dxa"/>
            <w:shd w:val="clear" w:color="auto" w:fill="auto"/>
          </w:tcPr>
          <w:p w14:paraId="776CCFFE" w14:textId="4BE7BA92" w:rsidR="00817FDA" w:rsidRDefault="00817FDA" w:rsidP="00E503A5">
            <w:r>
              <w:t>Meziroční růst HPH ve zpracovatelském průmyslu loni posílil na 3,1</w:t>
            </w:r>
            <w:r w:rsidR="00F118D5">
              <w:t> %</w:t>
            </w:r>
            <w:r>
              <w:t xml:space="preserve"> </w:t>
            </w:r>
            <w:r w:rsidR="001A33A3">
              <w:t>a </w:t>
            </w:r>
            <w:r>
              <w:t>odvětví tak k celkovému růstu přispělo 0,7</w:t>
            </w:r>
            <w:r w:rsidR="00F118D5">
              <w:t> p. b.</w:t>
            </w:r>
            <w:r>
              <w:t xml:space="preserve"> Vysoké úrovni let 2015–2017 se ale příspěvek nepřiblížil. Dynamika nejdůležitějšího odvětví domácí ekonomiky</w:t>
            </w:r>
            <w:r w:rsidR="00AB5F7B">
              <w:t> </w:t>
            </w:r>
            <w:r>
              <w:t>– výroby motorových vozidel</w:t>
            </w:r>
            <w:r w:rsidR="00AB5F7B">
              <w:t> </w:t>
            </w:r>
            <w:r>
              <w:t>– druhým rokem oslabovala (4,2</w:t>
            </w:r>
            <w:r w:rsidR="00F118D5">
              <w:t> %</w:t>
            </w:r>
            <w:r>
              <w:t xml:space="preserve">). Příznivě se vyvíjely některé menší obory, </w:t>
            </w:r>
            <w:r w:rsidR="00AB5F7B">
              <w:t xml:space="preserve">a to </w:t>
            </w:r>
            <w:r w:rsidR="001A33A3">
              <w:t>i </w:t>
            </w:r>
            <w:r>
              <w:t>ty navázané na výrobu motorových vozidel. Posílil tak růst HPH ve výrobě elektrických zařízení (6,8</w:t>
            </w:r>
            <w:r w:rsidR="00F118D5">
              <w:t> %</w:t>
            </w:r>
            <w:r>
              <w:t xml:space="preserve">), pryžových </w:t>
            </w:r>
            <w:r w:rsidR="001A33A3">
              <w:t>a </w:t>
            </w:r>
            <w:r>
              <w:t>plastových výrobků (4,6</w:t>
            </w:r>
            <w:r w:rsidR="00F118D5">
              <w:t> %</w:t>
            </w:r>
            <w:r>
              <w:t xml:space="preserve">), kovodělných </w:t>
            </w:r>
            <w:r>
              <w:lastRenderedPageBreak/>
              <w:t>výrobků (1,7</w:t>
            </w:r>
            <w:r w:rsidR="00F118D5">
              <w:t> %</w:t>
            </w:r>
            <w:r>
              <w:t>) nebo ve výrobě potravinářských výrobků (4,2</w:t>
            </w:r>
            <w:r w:rsidR="00F118D5">
              <w:t> %</w:t>
            </w:r>
            <w:r>
              <w:t xml:space="preserve">). Velmi silně se zvýšila HPH ve výrobě základních farmaceutických výrobků </w:t>
            </w:r>
            <w:r w:rsidR="001A33A3">
              <w:t>a </w:t>
            </w:r>
            <w:r>
              <w:t xml:space="preserve">přípravků (17,6 %). Oslabil růst </w:t>
            </w:r>
            <w:r w:rsidR="001A33A3">
              <w:t>u </w:t>
            </w:r>
            <w:r>
              <w:t xml:space="preserve">chemických látek </w:t>
            </w:r>
            <w:r w:rsidR="001A33A3">
              <w:t>a </w:t>
            </w:r>
            <w:r>
              <w:t>přípravků (2,3</w:t>
            </w:r>
            <w:r w:rsidR="00F118D5">
              <w:t> %</w:t>
            </w:r>
            <w:r>
              <w:t xml:space="preserve">). Hrubá přidaná hodnota se propadla </w:t>
            </w:r>
            <w:r w:rsidR="001A33A3">
              <w:t>u </w:t>
            </w:r>
            <w:r>
              <w:t xml:space="preserve">výroby strojů </w:t>
            </w:r>
            <w:r w:rsidR="001A33A3">
              <w:t>a </w:t>
            </w:r>
            <w:r>
              <w:t>zařízení (</w:t>
            </w:r>
            <w:r w:rsidR="00AB5F7B">
              <w:t>–</w:t>
            </w:r>
            <w:r>
              <w:t xml:space="preserve">2,3 %) </w:t>
            </w:r>
            <w:r w:rsidR="001A33A3">
              <w:t>a </w:t>
            </w:r>
            <w:r>
              <w:t xml:space="preserve">po dvou letech silného navyšování také </w:t>
            </w:r>
            <w:r w:rsidR="001A33A3">
              <w:t>u </w:t>
            </w:r>
            <w:r>
              <w:t>výroby počítač</w:t>
            </w:r>
            <w:r w:rsidR="00B950E3">
              <w:t>ů</w:t>
            </w:r>
            <w:r>
              <w:t xml:space="preserve"> </w:t>
            </w:r>
            <w:r w:rsidR="001A33A3">
              <w:t>a </w:t>
            </w:r>
            <w:r>
              <w:t xml:space="preserve">elektronických </w:t>
            </w:r>
            <w:r w:rsidR="001A33A3">
              <w:t>a </w:t>
            </w:r>
            <w:r>
              <w:t xml:space="preserve">optických přístrojů </w:t>
            </w:r>
            <w:r w:rsidR="001A33A3">
              <w:t>a </w:t>
            </w:r>
            <w:r>
              <w:t>zařízení (</w:t>
            </w:r>
            <w:r w:rsidR="00A21624">
              <w:t>–</w:t>
            </w:r>
            <w:r>
              <w:t>2,4</w:t>
            </w:r>
            <w:r w:rsidR="00F118D5">
              <w:t> %</w:t>
            </w:r>
            <w:r>
              <w:t xml:space="preserve">). Ostatní průmyslová odvětví se potýkala s poklesy. Platilo to zejména </w:t>
            </w:r>
            <w:r w:rsidR="001A33A3">
              <w:t>u </w:t>
            </w:r>
            <w:r>
              <w:t xml:space="preserve">těžby </w:t>
            </w:r>
            <w:r w:rsidR="001A33A3">
              <w:t>a </w:t>
            </w:r>
            <w:r>
              <w:t xml:space="preserve">dobývání, kde klesala HPH ve všech oddílech klasifikace (například těžba </w:t>
            </w:r>
            <w:r w:rsidR="001A33A3">
              <w:t>a </w:t>
            </w:r>
            <w:r>
              <w:t xml:space="preserve">úprava černého </w:t>
            </w:r>
            <w:r w:rsidR="001A33A3">
              <w:t>a </w:t>
            </w:r>
            <w:r>
              <w:t xml:space="preserve">hnědého uhlí </w:t>
            </w:r>
            <w:r w:rsidR="00A21624">
              <w:t>–</w:t>
            </w:r>
            <w:r>
              <w:t>25,7</w:t>
            </w:r>
            <w:r w:rsidR="00F118D5">
              <w:t> %</w:t>
            </w:r>
            <w:r>
              <w:t xml:space="preserve">, těžba </w:t>
            </w:r>
            <w:r w:rsidR="001A33A3">
              <w:t>a </w:t>
            </w:r>
            <w:r>
              <w:t xml:space="preserve">úprava rud </w:t>
            </w:r>
            <w:r w:rsidR="00A21624">
              <w:t>–</w:t>
            </w:r>
            <w:r>
              <w:t>56,2</w:t>
            </w:r>
            <w:r w:rsidR="00F118D5">
              <w:t> %</w:t>
            </w:r>
            <w:r>
              <w:t xml:space="preserve">). </w:t>
            </w:r>
            <w:r w:rsidR="001A33A3">
              <w:t>U </w:t>
            </w:r>
            <w:r>
              <w:t xml:space="preserve">výroby </w:t>
            </w:r>
            <w:r w:rsidR="001A33A3">
              <w:t>a </w:t>
            </w:r>
            <w:r>
              <w:t xml:space="preserve">rozvodu elektřiny, plynu, tepla </w:t>
            </w:r>
            <w:r w:rsidR="001A33A3">
              <w:t>a </w:t>
            </w:r>
            <w:r>
              <w:t xml:space="preserve">klimatizovaného vzduchu klesla HPH </w:t>
            </w:r>
            <w:r w:rsidR="001A33A3">
              <w:t>o </w:t>
            </w:r>
            <w:r>
              <w:t>2,7</w:t>
            </w:r>
            <w:r w:rsidR="00F118D5">
              <w:t> %</w:t>
            </w:r>
            <w:r>
              <w:t xml:space="preserve">. Ve směru poklesu HPH působilo </w:t>
            </w:r>
            <w:r w:rsidR="001A33A3">
              <w:t>i </w:t>
            </w:r>
            <w:r>
              <w:t>stavebnictví (</w:t>
            </w:r>
            <w:r w:rsidR="00A21624">
              <w:t>–</w:t>
            </w:r>
            <w:r>
              <w:t>2,4</w:t>
            </w:r>
            <w:r w:rsidR="00F118D5">
              <w:t> %</w:t>
            </w:r>
            <w:r>
              <w:t xml:space="preserve">). Pokles </w:t>
            </w:r>
            <w:r w:rsidR="00AB5F7B">
              <w:t xml:space="preserve">se týkal </w:t>
            </w:r>
            <w:r>
              <w:t>zejména výstavby budov (</w:t>
            </w:r>
            <w:r w:rsidR="00AB5F7B">
              <w:t>–</w:t>
            </w:r>
            <w:r>
              <w:t>4,0 %), inženýrské stavitelství stagnovalo (0,4</w:t>
            </w:r>
            <w:r w:rsidR="00F118D5">
              <w:t> %</w:t>
            </w:r>
            <w:r>
              <w:t xml:space="preserve">). Zemědělství, lesnictví </w:t>
            </w:r>
            <w:r w:rsidR="001A33A3">
              <w:t>a </w:t>
            </w:r>
            <w:r>
              <w:t>rybářství zažívalo růst (5,4</w:t>
            </w:r>
            <w:r w:rsidR="00F118D5">
              <w:t> %</w:t>
            </w:r>
            <w:r>
              <w:t>).</w:t>
            </w:r>
          </w:p>
        </w:tc>
      </w:tr>
      <w:tr w:rsidR="00817FDA" w14:paraId="1327E2F2" w14:textId="77777777" w:rsidTr="00E503A5">
        <w:trPr>
          <w:trHeight w:val="212"/>
        </w:trPr>
        <w:tc>
          <w:tcPr>
            <w:tcW w:w="1801" w:type="dxa"/>
            <w:shd w:val="clear" w:color="auto" w:fill="auto"/>
          </w:tcPr>
          <w:p w14:paraId="189B901C" w14:textId="797677B0" w:rsidR="00817FDA" w:rsidRDefault="00817FDA" w:rsidP="00E503A5">
            <w:pPr>
              <w:pStyle w:val="Marginlie"/>
              <w:spacing w:after="240"/>
            </w:pPr>
            <w:r>
              <w:lastRenderedPageBreak/>
              <w:t xml:space="preserve">Růst HDP zpomaloval </w:t>
            </w:r>
            <w:r w:rsidR="001A33A3">
              <w:t>i </w:t>
            </w:r>
            <w:r>
              <w:t>v Evropské unii.</w:t>
            </w:r>
          </w:p>
        </w:tc>
        <w:tc>
          <w:tcPr>
            <w:tcW w:w="233" w:type="dxa"/>
            <w:shd w:val="clear" w:color="auto" w:fill="auto"/>
          </w:tcPr>
          <w:p w14:paraId="22F433C7" w14:textId="77777777" w:rsidR="00817FDA" w:rsidRDefault="00817FDA" w:rsidP="00E503A5">
            <w:pPr>
              <w:pStyle w:val="Textpoznpodarou10"/>
              <w:spacing w:after="240"/>
              <w:jc w:val="both"/>
              <w:rPr>
                <w:spacing w:val="-4"/>
              </w:rPr>
            </w:pPr>
          </w:p>
        </w:tc>
        <w:tc>
          <w:tcPr>
            <w:tcW w:w="7610" w:type="dxa"/>
            <w:shd w:val="clear" w:color="auto" w:fill="auto"/>
          </w:tcPr>
          <w:p w14:paraId="0D731637" w14:textId="395BE1F7" w:rsidR="00817FDA" w:rsidRDefault="00817FDA" w:rsidP="00B950E3">
            <w:r>
              <w:t xml:space="preserve">Růst hrubého domácího produktu loni zpomalil </w:t>
            </w:r>
            <w:r w:rsidR="001A33A3">
              <w:t>i </w:t>
            </w:r>
            <w:r>
              <w:t>v Evropské unii. Celkový reálný přírůstek dosáhl 1,5</w:t>
            </w:r>
            <w:r w:rsidR="00F118D5">
              <w:t> %</w:t>
            </w:r>
            <w:r>
              <w:rPr>
                <w:rStyle w:val="Znakapoznpodarou"/>
              </w:rPr>
              <w:footnoteReference w:id="3"/>
            </w:r>
            <w:r>
              <w:t xml:space="preserve">. Spotřeba se zvýšila </w:t>
            </w:r>
            <w:r w:rsidR="001A33A3">
              <w:t>o </w:t>
            </w:r>
            <w:r>
              <w:t>1,7</w:t>
            </w:r>
            <w:r w:rsidR="00F118D5">
              <w:t> %</w:t>
            </w:r>
            <w:r>
              <w:t xml:space="preserve"> </w:t>
            </w:r>
            <w:r w:rsidR="001A33A3">
              <w:t>a </w:t>
            </w:r>
            <w:r>
              <w:t xml:space="preserve">drobně zrychlila. Zpomalilo naopak tempo </w:t>
            </w:r>
            <w:r w:rsidR="00B950E3">
              <w:t xml:space="preserve">růstu </w:t>
            </w:r>
            <w:r>
              <w:t>výdajů na hrubý kapitál (2,9</w:t>
            </w:r>
            <w:r w:rsidR="00F118D5">
              <w:t> %</w:t>
            </w:r>
            <w:r>
              <w:t xml:space="preserve">), přitom </w:t>
            </w:r>
            <w:r w:rsidR="00B950E3">
              <w:t xml:space="preserve">dynamika </w:t>
            </w:r>
            <w:r>
              <w:t>samotné investiční aktivity posílil</w:t>
            </w:r>
            <w:r w:rsidR="00B950E3">
              <w:t>a</w:t>
            </w:r>
            <w:r>
              <w:t xml:space="preserve"> na 5,6</w:t>
            </w:r>
            <w:r w:rsidR="00F118D5">
              <w:t> %</w:t>
            </w:r>
            <w:r w:rsidR="00B950E3">
              <w:t xml:space="preserve"> (</w:t>
            </w:r>
            <w:r>
              <w:t>nejvyšší tempo od roku 2007</w:t>
            </w:r>
            <w:r w:rsidR="00B950E3">
              <w:t>)</w:t>
            </w:r>
            <w:r>
              <w:t>. V naprosté většině zemí EU růst HDP zpomaloval. Nejvyšších přírůstků dosáhl HDP v Irsku (5,6</w:t>
            </w:r>
            <w:r w:rsidR="00F118D5">
              <w:t> %</w:t>
            </w:r>
            <w:r>
              <w:t>), Maďarsku (4,9</w:t>
            </w:r>
            <w:r w:rsidR="00F118D5">
              <w:t> %</w:t>
            </w:r>
            <w:r>
              <w:t xml:space="preserve">) </w:t>
            </w:r>
            <w:r w:rsidR="001A33A3">
              <w:t>a </w:t>
            </w:r>
            <w:r>
              <w:t>na Maltě (4,7</w:t>
            </w:r>
            <w:r w:rsidR="00F118D5">
              <w:t> %</w:t>
            </w:r>
            <w:r>
              <w:t xml:space="preserve">). Ještě více než v minulých letech se zvýraznil rozdíl v tempech růstu starých </w:t>
            </w:r>
            <w:r w:rsidR="001A33A3">
              <w:t>a </w:t>
            </w:r>
            <w:r>
              <w:t xml:space="preserve">nových členů Unie. Kromě prvního Irska byly v první desítce jen </w:t>
            </w:r>
            <w:r w:rsidR="00E305C8">
              <w:t>členské země, které vstoupily</w:t>
            </w:r>
            <w:r>
              <w:t xml:space="preserve"> po roce 2000. Naopak ve spodní desítce není z těchto zemí žádná. V žádném stát</w:t>
            </w:r>
            <w:r w:rsidR="00E305C8">
              <w:t>ě</w:t>
            </w:r>
            <w:r>
              <w:t xml:space="preserve"> EU loni nedošlo k poklesu HDP, ale pod 1</w:t>
            </w:r>
            <w:r w:rsidR="00F118D5">
              <w:t> %</w:t>
            </w:r>
            <w:r>
              <w:t xml:space="preserve"> se dostala dynamika HDP v Itálii (0,3</w:t>
            </w:r>
            <w:r w:rsidR="00F118D5">
              <w:t> %</w:t>
            </w:r>
            <w:r>
              <w:t xml:space="preserve">, nejméně za posledních pět let) </w:t>
            </w:r>
            <w:r w:rsidR="001A33A3">
              <w:t>a </w:t>
            </w:r>
            <w:r>
              <w:t>v Německu (0,6</w:t>
            </w:r>
            <w:r w:rsidR="00BF6EE6">
              <w:t> </w:t>
            </w:r>
            <w:r>
              <w:t>%, nejméně od roku 2013).</w:t>
            </w:r>
          </w:p>
        </w:tc>
      </w:tr>
      <w:tr w:rsidR="00817FDA" w14:paraId="23802157" w14:textId="77777777" w:rsidTr="00E503A5">
        <w:trPr>
          <w:trHeight w:val="150"/>
        </w:trPr>
        <w:tc>
          <w:tcPr>
            <w:tcW w:w="1801" w:type="dxa"/>
            <w:vMerge w:val="restart"/>
            <w:shd w:val="clear" w:color="auto" w:fill="auto"/>
          </w:tcPr>
          <w:p w14:paraId="7C3A22C5" w14:textId="77777777" w:rsidR="00817FDA" w:rsidRDefault="00817FDA" w:rsidP="00E503A5">
            <w:pPr>
              <w:pStyle w:val="Marginlie"/>
              <w:spacing w:after="240"/>
            </w:pPr>
          </w:p>
        </w:tc>
        <w:tc>
          <w:tcPr>
            <w:tcW w:w="233" w:type="dxa"/>
            <w:vMerge w:val="restart"/>
            <w:shd w:val="clear" w:color="auto" w:fill="auto"/>
          </w:tcPr>
          <w:p w14:paraId="5D54DCFF" w14:textId="77777777" w:rsidR="00817FDA" w:rsidRDefault="00817FDA" w:rsidP="00E503A5">
            <w:pPr>
              <w:pStyle w:val="Textpoznpodarou10"/>
              <w:jc w:val="both"/>
              <w:rPr>
                <w:spacing w:val="-4"/>
              </w:rPr>
            </w:pPr>
          </w:p>
        </w:tc>
        <w:tc>
          <w:tcPr>
            <w:tcW w:w="7610" w:type="dxa"/>
            <w:shd w:val="clear" w:color="auto" w:fill="auto"/>
          </w:tcPr>
          <w:p w14:paraId="1BAEFF2D" w14:textId="32A73769" w:rsidR="00817FDA" w:rsidRDefault="00817FDA" w:rsidP="00E503A5">
            <w:pPr>
              <w:spacing w:after="0"/>
            </w:pPr>
            <w:r w:rsidRPr="00B606BE">
              <w:rPr>
                <w:b/>
              </w:rPr>
              <w:t xml:space="preserve">Graf </w:t>
            </w:r>
            <w:r w:rsidR="00A21624" w:rsidRPr="00B606BE">
              <w:rPr>
                <w:b/>
              </w:rPr>
              <w:t>č. </w:t>
            </w:r>
            <w:r w:rsidR="001A33A3" w:rsidRPr="00B606BE">
              <w:rPr>
                <w:b/>
              </w:rPr>
              <w:t>3</w:t>
            </w:r>
            <w:r w:rsidR="001A480E">
              <w:rPr>
                <w:b/>
              </w:rPr>
              <w:t xml:space="preserve">  </w:t>
            </w:r>
            <w:r w:rsidRPr="00062AB4">
              <w:rPr>
                <w:b/>
              </w:rPr>
              <w:t>Hrubý domácí produkt</w:t>
            </w:r>
            <w:r>
              <w:t xml:space="preserve"> (meziroční přírůstek v</w:t>
            </w:r>
            <w:r w:rsidR="00F118D5">
              <w:t> %</w:t>
            </w:r>
            <w:r>
              <w:t>)</w:t>
            </w:r>
          </w:p>
        </w:tc>
      </w:tr>
      <w:tr w:rsidR="00817FDA" w14:paraId="4312B295" w14:textId="77777777" w:rsidTr="00E503A5">
        <w:tblPrEx>
          <w:tblCellMar>
            <w:left w:w="70" w:type="dxa"/>
            <w:right w:w="70" w:type="dxa"/>
          </w:tblCellMar>
        </w:tblPrEx>
        <w:trPr>
          <w:trHeight w:val="150"/>
        </w:trPr>
        <w:tc>
          <w:tcPr>
            <w:tcW w:w="1801" w:type="dxa"/>
            <w:vMerge/>
            <w:shd w:val="clear" w:color="auto" w:fill="auto"/>
          </w:tcPr>
          <w:p w14:paraId="058BBEBB" w14:textId="77777777" w:rsidR="00817FDA" w:rsidRDefault="00817FDA" w:rsidP="00E503A5">
            <w:pPr>
              <w:pStyle w:val="Marginlie"/>
              <w:spacing w:after="240"/>
            </w:pPr>
          </w:p>
        </w:tc>
        <w:tc>
          <w:tcPr>
            <w:tcW w:w="233" w:type="dxa"/>
            <w:vMerge/>
            <w:shd w:val="clear" w:color="auto" w:fill="auto"/>
          </w:tcPr>
          <w:p w14:paraId="5D20C148" w14:textId="77777777" w:rsidR="00817FDA" w:rsidRDefault="00817FDA" w:rsidP="00E503A5">
            <w:pPr>
              <w:pStyle w:val="Textpoznpodarou10"/>
              <w:jc w:val="both"/>
              <w:rPr>
                <w:spacing w:val="-4"/>
              </w:rPr>
            </w:pPr>
          </w:p>
        </w:tc>
        <w:tc>
          <w:tcPr>
            <w:tcW w:w="7610" w:type="dxa"/>
            <w:shd w:val="clear" w:color="auto" w:fill="auto"/>
          </w:tcPr>
          <w:p w14:paraId="4CA3CD95" w14:textId="77777777" w:rsidR="00817FDA" w:rsidRDefault="00817FDA" w:rsidP="00E503A5">
            <w:pPr>
              <w:spacing w:after="0"/>
            </w:pPr>
            <w:r>
              <w:rPr>
                <w:noProof/>
              </w:rPr>
              <w:drawing>
                <wp:inline distT="0" distB="0" distL="0" distR="0" wp14:anchorId="37A5E700" wp14:editId="729BC5E3">
                  <wp:extent cx="4737600" cy="355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17FDA" w14:paraId="021ECD71" w14:textId="77777777" w:rsidTr="00E503A5">
        <w:trPr>
          <w:trHeight w:val="150"/>
        </w:trPr>
        <w:tc>
          <w:tcPr>
            <w:tcW w:w="1801" w:type="dxa"/>
            <w:vMerge/>
            <w:shd w:val="clear" w:color="auto" w:fill="auto"/>
          </w:tcPr>
          <w:p w14:paraId="3F59D5B8" w14:textId="77777777" w:rsidR="00817FDA" w:rsidRDefault="00817FDA" w:rsidP="00E503A5">
            <w:pPr>
              <w:pStyle w:val="Marginlie"/>
              <w:spacing w:after="240"/>
            </w:pPr>
          </w:p>
        </w:tc>
        <w:tc>
          <w:tcPr>
            <w:tcW w:w="233" w:type="dxa"/>
            <w:vMerge/>
            <w:shd w:val="clear" w:color="auto" w:fill="auto"/>
          </w:tcPr>
          <w:p w14:paraId="7468DAA4" w14:textId="77777777" w:rsidR="00817FDA" w:rsidRDefault="00817FDA" w:rsidP="00E503A5">
            <w:pPr>
              <w:pStyle w:val="Textpoznpodarou10"/>
              <w:jc w:val="both"/>
              <w:rPr>
                <w:spacing w:val="-4"/>
              </w:rPr>
            </w:pPr>
          </w:p>
        </w:tc>
        <w:tc>
          <w:tcPr>
            <w:tcW w:w="7610" w:type="dxa"/>
            <w:shd w:val="clear" w:color="auto" w:fill="auto"/>
          </w:tcPr>
          <w:p w14:paraId="7598CDDF" w14:textId="77777777" w:rsidR="00817FDA" w:rsidRPr="0065379C" w:rsidRDefault="00817FDA" w:rsidP="00E503A5">
            <w:pPr>
              <w:rPr>
                <w:sz w:val="14"/>
                <w:szCs w:val="14"/>
              </w:rPr>
            </w:pPr>
            <w:r w:rsidRPr="0065379C">
              <w:rPr>
                <w:sz w:val="14"/>
                <w:szCs w:val="14"/>
              </w:rPr>
              <w:t>Zdroj: Eurostat</w:t>
            </w:r>
          </w:p>
        </w:tc>
      </w:tr>
    </w:tbl>
    <w:p w14:paraId="72BC0B0A" w14:textId="77777777" w:rsidR="00BF6EE6" w:rsidRDefault="00BF6EE6" w:rsidP="00817FDA">
      <w:pPr>
        <w:pStyle w:val="Nadpis110"/>
        <w:rPr>
          <w:sz w:val="28"/>
        </w:rPr>
      </w:pPr>
    </w:p>
    <w:p w14:paraId="3300782C" w14:textId="77777777" w:rsidR="00BF6EE6" w:rsidRDefault="00BF6EE6">
      <w:pPr>
        <w:spacing w:after="0" w:line="240" w:lineRule="auto"/>
        <w:jc w:val="left"/>
        <w:rPr>
          <w:rFonts w:eastAsia="MS Gothic"/>
          <w:b/>
          <w:bCs/>
          <w:color w:val="71818C"/>
          <w:sz w:val="28"/>
          <w:szCs w:val="28"/>
        </w:rPr>
      </w:pPr>
      <w:r>
        <w:rPr>
          <w:sz w:val="28"/>
        </w:rPr>
        <w:br w:type="page"/>
      </w:r>
    </w:p>
    <w:p w14:paraId="340EEC01" w14:textId="11BDCEF2" w:rsidR="00817FDA" w:rsidRPr="005457CF" w:rsidRDefault="00A21624" w:rsidP="00817FDA">
      <w:pPr>
        <w:pStyle w:val="Nadpis110"/>
        <w:rPr>
          <w:sz w:val="28"/>
        </w:rPr>
      </w:pPr>
      <w:bookmarkStart w:id="4" w:name="_Toc48549432"/>
      <w:r>
        <w:rPr>
          <w:sz w:val="28"/>
        </w:rPr>
        <w:lastRenderedPageBreak/>
        <w:t>3. </w:t>
      </w:r>
      <w:r w:rsidR="00817FDA" w:rsidRPr="005457CF">
        <w:rPr>
          <w:sz w:val="28"/>
        </w:rPr>
        <w:t>Vnější ekonomické vztahy</w:t>
      </w:r>
      <w:bookmarkEnd w:id="4"/>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817FDA" w:rsidRPr="00894C66" w14:paraId="4B606419" w14:textId="77777777" w:rsidTr="00D85980">
        <w:trPr>
          <w:trHeight w:val="145"/>
        </w:trPr>
        <w:tc>
          <w:tcPr>
            <w:tcW w:w="1976" w:type="dxa"/>
          </w:tcPr>
          <w:p w14:paraId="3B80A8CC" w14:textId="6B96C4E3" w:rsidR="00817FDA" w:rsidRPr="001502B1" w:rsidRDefault="00817FDA" w:rsidP="00E503A5">
            <w:pPr>
              <w:pStyle w:val="Marginlie"/>
            </w:pPr>
            <w:r>
              <w:t xml:space="preserve">Přebytek zahraničního obchodu se zbožím </w:t>
            </w:r>
            <w:r w:rsidR="001A33A3">
              <w:t>a </w:t>
            </w:r>
            <w:r>
              <w:t>službami se loni meziročně zvýšil.</w:t>
            </w:r>
          </w:p>
        </w:tc>
        <w:tc>
          <w:tcPr>
            <w:tcW w:w="277" w:type="dxa"/>
          </w:tcPr>
          <w:p w14:paraId="51D86A0F" w14:textId="77777777" w:rsidR="00817FDA" w:rsidRPr="005E4483" w:rsidRDefault="00817FDA" w:rsidP="00E503A5">
            <w:pPr>
              <w:pStyle w:val="Textpoznpodarou"/>
              <w:jc w:val="both"/>
              <w:rPr>
                <w:spacing w:val="-4"/>
              </w:rPr>
            </w:pPr>
          </w:p>
        </w:tc>
        <w:tc>
          <w:tcPr>
            <w:tcW w:w="7391" w:type="dxa"/>
          </w:tcPr>
          <w:p w14:paraId="76699404" w14:textId="2D9B6B93" w:rsidR="00817FDA" w:rsidRPr="001502B1" w:rsidRDefault="00817FDA" w:rsidP="00E503A5">
            <w:r>
              <w:t xml:space="preserve">Hodnota vývozu zboží </w:t>
            </w:r>
            <w:r w:rsidR="001A33A3">
              <w:t>a </w:t>
            </w:r>
            <w:r>
              <w:t xml:space="preserve">služeb se v roce 2019 zvýšila </w:t>
            </w:r>
            <w:r w:rsidR="001A33A3">
              <w:t>o </w:t>
            </w:r>
            <w:r>
              <w:t>113,2</w:t>
            </w:r>
            <w:r w:rsidR="00A21624">
              <w:t> mld.</w:t>
            </w:r>
            <w:r>
              <w:t xml:space="preserve"> korun na 4 276,5</w:t>
            </w:r>
            <w:r w:rsidR="00BF6EE6">
              <w:t> </w:t>
            </w:r>
            <w:r>
              <w:t>mld.</w:t>
            </w:r>
            <w:r>
              <w:rPr>
                <w:rStyle w:val="Znakapoznpodarou"/>
              </w:rPr>
              <w:footnoteReference w:id="4"/>
            </w:r>
            <w:r>
              <w:t xml:space="preserve"> Přírůstek vývozu oproti předchozímu roku mírně oslabil, zejména kvůli obchodu se zbožím. V případě služeb došlo k mírnému posílení meziročního nárůstu. Hodnota dovozu loni činila 3</w:t>
            </w:r>
            <w:r w:rsidR="00064B6A">
              <w:t> </w:t>
            </w:r>
            <w:r>
              <w:t>930,1</w:t>
            </w:r>
            <w:r w:rsidR="00A21624">
              <w:t> mld.</w:t>
            </w:r>
            <w:r>
              <w:t xml:space="preserve"> korun, meziročně </w:t>
            </w:r>
            <w:r w:rsidR="001A33A3">
              <w:t>o </w:t>
            </w:r>
            <w:r>
              <w:t>88,2</w:t>
            </w:r>
            <w:r w:rsidR="00A21624">
              <w:t> mld.</w:t>
            </w:r>
            <w:r>
              <w:t xml:space="preserve"> více. Ke značnému propadu dynamiky dovozu rovněž přispěl výhradně vývoj obchodu se zbožím. Výsledné kladné saldo zahraničního obchodu se zbožím </w:t>
            </w:r>
            <w:r w:rsidR="001A33A3">
              <w:t>a </w:t>
            </w:r>
            <w:r>
              <w:t xml:space="preserve">službami se tak meziročně zlepšilo </w:t>
            </w:r>
            <w:r w:rsidR="001A33A3">
              <w:t>o </w:t>
            </w:r>
            <w:r>
              <w:t>25,1</w:t>
            </w:r>
            <w:r w:rsidR="00A21624">
              <w:t> mld.</w:t>
            </w:r>
            <w:r>
              <w:t xml:space="preserve"> korun na 346,4</w:t>
            </w:r>
            <w:r w:rsidR="00A21624">
              <w:t> mld.</w:t>
            </w:r>
            <w:r>
              <w:t xml:space="preserve"> Přebytek obchodu se zbožím dosáhl 240,0</w:t>
            </w:r>
            <w:r w:rsidR="00A21624">
              <w:t> mld.</w:t>
            </w:r>
            <w:r>
              <w:t xml:space="preserve"> (+39,2</w:t>
            </w:r>
            <w:r w:rsidR="00A21624">
              <w:t> mld.</w:t>
            </w:r>
            <w:r>
              <w:t xml:space="preserve">) </w:t>
            </w:r>
            <w:r w:rsidR="001A33A3">
              <w:t>a </w:t>
            </w:r>
            <w:r>
              <w:t>se službami 106,4</w:t>
            </w:r>
            <w:r w:rsidR="00A21624">
              <w:t> mld.</w:t>
            </w:r>
            <w:r>
              <w:t xml:space="preserve"> (</w:t>
            </w:r>
            <w:r w:rsidR="00064B6A">
              <w:t>–</w:t>
            </w:r>
            <w:r>
              <w:t>14,2 mld.).</w:t>
            </w:r>
          </w:p>
        </w:tc>
      </w:tr>
      <w:tr w:rsidR="00817FDA" w:rsidRPr="00894C66" w14:paraId="760406CA" w14:textId="77777777" w:rsidTr="00D85980">
        <w:trPr>
          <w:trHeight w:val="145"/>
        </w:trPr>
        <w:tc>
          <w:tcPr>
            <w:tcW w:w="1976" w:type="dxa"/>
          </w:tcPr>
          <w:p w14:paraId="4BECFCA8" w14:textId="77777777" w:rsidR="00817FDA" w:rsidRPr="004A24B0" w:rsidRDefault="00817FDA" w:rsidP="00E503A5">
            <w:pPr>
              <w:pStyle w:val="Marginlie"/>
            </w:pPr>
            <w:r>
              <w:t>Deficit prvotních důchodů se výrazně prohloubil.</w:t>
            </w:r>
          </w:p>
        </w:tc>
        <w:tc>
          <w:tcPr>
            <w:tcW w:w="277" w:type="dxa"/>
          </w:tcPr>
          <w:p w14:paraId="5DA5903F" w14:textId="77777777" w:rsidR="00817FDA" w:rsidRPr="005E4483" w:rsidRDefault="00817FDA" w:rsidP="00E503A5">
            <w:pPr>
              <w:pStyle w:val="Textpoznpodarou"/>
              <w:jc w:val="both"/>
              <w:rPr>
                <w:spacing w:val="-4"/>
              </w:rPr>
            </w:pPr>
          </w:p>
        </w:tc>
        <w:tc>
          <w:tcPr>
            <w:tcW w:w="7391" w:type="dxa"/>
          </w:tcPr>
          <w:p w14:paraId="339BAB36" w14:textId="653D82EC" w:rsidR="00817FDA" w:rsidRPr="001502B1" w:rsidRDefault="00817FDA" w:rsidP="00E503A5">
            <w:r>
              <w:t>Hodnota náhrad zaměstnancům přijatých ze zahraničí loni dosáhla 68,2</w:t>
            </w:r>
            <w:r w:rsidR="00A21624">
              <w:t> mld.</w:t>
            </w:r>
            <w:r>
              <w:t xml:space="preserve"> korun </w:t>
            </w:r>
            <w:r w:rsidR="001A33A3">
              <w:t>a </w:t>
            </w:r>
            <w:r>
              <w:t xml:space="preserve">meziročně se zvýšila </w:t>
            </w:r>
            <w:r w:rsidR="001A33A3">
              <w:t>o </w:t>
            </w:r>
            <w:r>
              <w:t>0,3</w:t>
            </w:r>
            <w:r w:rsidR="00A21624">
              <w:t> mld.</w:t>
            </w:r>
            <w:r>
              <w:t xml:space="preserve"> (nejméně od roku 2007). Stagnace byla tedy v rozporu s celkovým mzdovým vývojem v domácí ekonomice. Na druhé straně bylo </w:t>
            </w:r>
            <w:r w:rsidR="00976681">
              <w:t xml:space="preserve">v roce 2019 </w:t>
            </w:r>
            <w:r>
              <w:t>do zahraničí vyplaceno v podobě náhrad 51,4</w:t>
            </w:r>
            <w:r w:rsidR="00A21624">
              <w:t> mld.</w:t>
            </w:r>
            <w:r>
              <w:t xml:space="preserve"> korun. To je </w:t>
            </w:r>
            <w:r w:rsidR="001A33A3">
              <w:t>o </w:t>
            </w:r>
            <w:r>
              <w:t>14,0</w:t>
            </w:r>
            <w:r w:rsidR="00A21624">
              <w:t> mld.</w:t>
            </w:r>
            <w:r>
              <w:t xml:space="preserve"> více než v předchozím roce. Oproti roku 2017 byl loni objem náhrad téměř dvojnásobný (+24,7</w:t>
            </w:r>
            <w:r w:rsidR="00A21624">
              <w:t> mld.</w:t>
            </w:r>
            <w:r>
              <w:t>). Ze zahraničí bylo rovněž přijato 33,9</w:t>
            </w:r>
            <w:r w:rsidR="00A21624">
              <w:t> mld.</w:t>
            </w:r>
            <w:r>
              <w:t xml:space="preserve"> korun ve formě dotací z EU (zejména zemědělských) </w:t>
            </w:r>
            <w:r w:rsidR="001A33A3">
              <w:t>a </w:t>
            </w:r>
            <w:r>
              <w:t>zpět bylo zaplaceno 9,2</w:t>
            </w:r>
            <w:r w:rsidR="00A21624">
              <w:t> mld.</w:t>
            </w:r>
            <w:r>
              <w:t xml:space="preserve"> jako daně institucím EU. Důchody z vlastnictví příslušející nerezidentům</w:t>
            </w:r>
            <w:r>
              <w:rPr>
                <w:rStyle w:val="Znakapoznpodarou"/>
              </w:rPr>
              <w:footnoteReference w:id="5"/>
            </w:r>
            <w:r>
              <w:t xml:space="preserve"> loni činily 585,1</w:t>
            </w:r>
            <w:r w:rsidR="00A21624">
              <w:t> mld.</w:t>
            </w:r>
            <w:r>
              <w:t xml:space="preserve"> korun (nárůst </w:t>
            </w:r>
            <w:r w:rsidR="001A33A3">
              <w:t>o </w:t>
            </w:r>
            <w:r>
              <w:t>51,9</w:t>
            </w:r>
            <w:r w:rsidR="00A21624">
              <w:t> mld.</w:t>
            </w:r>
            <w:r>
              <w:t>). Výrazně posílil objem úroků (</w:t>
            </w:r>
            <w:r w:rsidR="001A33A3">
              <w:t>o </w:t>
            </w:r>
            <w:r>
              <w:t>21,2</w:t>
            </w:r>
            <w:r w:rsidR="00A21624">
              <w:t> mld.</w:t>
            </w:r>
            <w:r>
              <w:t xml:space="preserve"> na 81,5</w:t>
            </w:r>
            <w:r w:rsidR="00A21624">
              <w:t> mld.</w:t>
            </w:r>
            <w:r>
              <w:t xml:space="preserve"> korun, nejvíce od roku 2007). Po předchozím propadu loni vzrostl také objem reinvestic (+23,2</w:t>
            </w:r>
            <w:r w:rsidR="00A21624">
              <w:t> mld.</w:t>
            </w:r>
            <w:r>
              <w:t xml:space="preserve"> korun na 173,6</w:t>
            </w:r>
            <w:r w:rsidR="00A21624">
              <w:t> mld.</w:t>
            </w:r>
            <w:r>
              <w:t>). Jen mírný tak byl nárůst rozdělovaných důchodů společností (+7,4</w:t>
            </w:r>
            <w:r w:rsidR="00A21624">
              <w:t> mld.</w:t>
            </w:r>
            <w:r>
              <w:t xml:space="preserve"> korun na 329,3</w:t>
            </w:r>
            <w:r w:rsidR="00A21624">
              <w:t> mld.</w:t>
            </w:r>
            <w:r>
              <w:t xml:space="preserve">). Důchody z vlastnictví v zahraničí, které si připsali domácí investoři, se loni zvýšily </w:t>
            </w:r>
            <w:r w:rsidR="001A33A3">
              <w:t>o </w:t>
            </w:r>
            <w:r>
              <w:t>17,7 mld. na 190,2</w:t>
            </w:r>
            <w:r w:rsidR="00A21624">
              <w:t> mld.</w:t>
            </w:r>
            <w:r>
              <w:t xml:space="preserve"> korun. Výsledný čistý odliv důchodů z vlastnictví se tak loni zvětšil </w:t>
            </w:r>
            <w:r w:rsidR="001A33A3">
              <w:t>o </w:t>
            </w:r>
            <w:r>
              <w:t>34,2</w:t>
            </w:r>
            <w:r w:rsidR="00A21624">
              <w:t> mld.</w:t>
            </w:r>
            <w:r>
              <w:t xml:space="preserve"> korun na 394,9</w:t>
            </w:r>
            <w:r w:rsidR="00A21624">
              <w:t> mld.</w:t>
            </w:r>
            <w:r>
              <w:t xml:space="preserve"> </w:t>
            </w:r>
            <w:r w:rsidR="001A33A3">
              <w:t>a </w:t>
            </w:r>
            <w:r>
              <w:t>představoval 6,9</w:t>
            </w:r>
            <w:r w:rsidR="00F118D5">
              <w:t> %</w:t>
            </w:r>
            <w:r w:rsidR="004B481B">
              <w:t> </w:t>
            </w:r>
            <w:r>
              <w:t xml:space="preserve">HDP. Deficit prvotních důchodů se tak loni prohloubil </w:t>
            </w:r>
            <w:r w:rsidR="001A33A3">
              <w:t>o </w:t>
            </w:r>
            <w:r>
              <w:t>47,0</w:t>
            </w:r>
            <w:r w:rsidR="00A21624">
              <w:t> mld.</w:t>
            </w:r>
            <w:r>
              <w:t xml:space="preserve"> korun na 353,4</w:t>
            </w:r>
            <w:r w:rsidR="00A21624">
              <w:t> mld.</w:t>
            </w:r>
          </w:p>
        </w:tc>
      </w:tr>
      <w:tr w:rsidR="00817FDA" w:rsidRPr="00894C66" w14:paraId="749EB481" w14:textId="77777777" w:rsidTr="00D85980">
        <w:trPr>
          <w:trHeight w:val="170"/>
        </w:trPr>
        <w:tc>
          <w:tcPr>
            <w:tcW w:w="1976" w:type="dxa"/>
          </w:tcPr>
          <w:p w14:paraId="13855ADD" w14:textId="65F9A3B3" w:rsidR="00817FDA" w:rsidRDefault="00817FDA" w:rsidP="00E503A5">
            <w:pPr>
              <w:pStyle w:val="Marginlie"/>
            </w:pPr>
            <w:r>
              <w:t>Záporné saldo druhotných důchod</w:t>
            </w:r>
            <w:r w:rsidR="004B481B">
              <w:t>ů</w:t>
            </w:r>
            <w:r>
              <w:t xml:space="preserve"> se zmírnilo.</w:t>
            </w:r>
          </w:p>
        </w:tc>
        <w:tc>
          <w:tcPr>
            <w:tcW w:w="277" w:type="dxa"/>
          </w:tcPr>
          <w:p w14:paraId="7DFB7DEA" w14:textId="77777777" w:rsidR="00817FDA" w:rsidRPr="005E4483" w:rsidRDefault="00817FDA" w:rsidP="00E503A5">
            <w:pPr>
              <w:pStyle w:val="Textpoznpodarou"/>
              <w:jc w:val="both"/>
              <w:rPr>
                <w:spacing w:val="-4"/>
              </w:rPr>
            </w:pPr>
          </w:p>
        </w:tc>
        <w:tc>
          <w:tcPr>
            <w:tcW w:w="7391" w:type="dxa"/>
          </w:tcPr>
          <w:p w14:paraId="341A6B9A" w14:textId="40BEA9D9" w:rsidR="00817FDA" w:rsidRPr="00A1151F" w:rsidRDefault="00817FDA" w:rsidP="00E503A5">
            <w:r>
              <w:t xml:space="preserve">Další transfery do zahraničí (běžné daně z důchodů, sociální příspěvky </w:t>
            </w:r>
            <w:r w:rsidR="001A33A3">
              <w:t>a </w:t>
            </w:r>
            <w:r>
              <w:t xml:space="preserve">dávky </w:t>
            </w:r>
            <w:r w:rsidR="001A33A3">
              <w:t>a </w:t>
            </w:r>
            <w:r>
              <w:t>ostatní běžné transfery) loni dosáhly 139,8</w:t>
            </w:r>
            <w:r w:rsidR="00A21624">
              <w:t> mld.</w:t>
            </w:r>
            <w:r>
              <w:t xml:space="preserve"> korun </w:t>
            </w:r>
            <w:r w:rsidR="001A33A3">
              <w:t>a </w:t>
            </w:r>
            <w:r>
              <w:t xml:space="preserve">narostly tak </w:t>
            </w:r>
            <w:r w:rsidR="001A33A3">
              <w:t>o </w:t>
            </w:r>
            <w:r>
              <w:t>7,0</w:t>
            </w:r>
            <w:r w:rsidR="00A21624">
              <w:t> mld.</w:t>
            </w:r>
            <w:r>
              <w:t xml:space="preserve"> Hlavní podíl na přírůstku měly ostatní běžné transfery – zejména náhrady z neživotního pojištění (+2,1</w:t>
            </w:r>
            <w:r w:rsidR="00A21624">
              <w:t> mld.</w:t>
            </w:r>
            <w:r>
              <w:t>), jiné běžné transfery (+3,0</w:t>
            </w:r>
            <w:r w:rsidR="00A21624">
              <w:t> mld.</w:t>
            </w:r>
            <w:r>
              <w:t xml:space="preserve">) </w:t>
            </w:r>
            <w:r w:rsidR="001A33A3">
              <w:t>a </w:t>
            </w:r>
            <w:r>
              <w:t xml:space="preserve">vlastní zdroje EU odvozené z DPH </w:t>
            </w:r>
            <w:r w:rsidR="001A33A3">
              <w:t>a </w:t>
            </w:r>
            <w:r>
              <w:t>HND (+1,3</w:t>
            </w:r>
            <w:r w:rsidR="00A21624">
              <w:t> mld.</w:t>
            </w:r>
            <w:r>
              <w:t xml:space="preserve">). Výrazněji se zvyšovaly tyto transfery směrem do domácí ekonomiky (nárůst </w:t>
            </w:r>
            <w:r w:rsidR="001A33A3">
              <w:t>o </w:t>
            </w:r>
            <w:r>
              <w:t>12,6</w:t>
            </w:r>
            <w:r w:rsidR="00A21624">
              <w:t> mld.</w:t>
            </w:r>
            <w:r>
              <w:t xml:space="preserve"> </w:t>
            </w:r>
            <w:r w:rsidR="00BD1B27">
              <w:t xml:space="preserve">korun </w:t>
            </w:r>
            <w:r>
              <w:t>na 89,0</w:t>
            </w:r>
            <w:r w:rsidR="00A21624">
              <w:t> mld.</w:t>
            </w:r>
            <w:r>
              <w:t xml:space="preserve"> byl nejvyšší zachycený v časové řadě). Záporné saldo druhotných důchodů se tak zmírnilo </w:t>
            </w:r>
            <w:r w:rsidR="001A33A3">
              <w:t>o </w:t>
            </w:r>
            <w:r>
              <w:t>5,5</w:t>
            </w:r>
            <w:r w:rsidR="00A21624">
              <w:t> mld.</w:t>
            </w:r>
            <w:r>
              <w:t xml:space="preserve"> korun na 50,7</w:t>
            </w:r>
            <w:r w:rsidR="00BF6EE6">
              <w:t> </w:t>
            </w:r>
            <w:r>
              <w:t xml:space="preserve">mld. Výrazné prohloubení deficitu prvotních důchodů převážilo nad přebytkem zahraničního obchodu </w:t>
            </w:r>
            <w:r w:rsidR="001A33A3">
              <w:t>i </w:t>
            </w:r>
            <w:r>
              <w:t xml:space="preserve">zmírněním deficitu druhotných důchodů </w:t>
            </w:r>
            <w:r w:rsidR="001A33A3">
              <w:t>a </w:t>
            </w:r>
            <w:r>
              <w:t>saldo běžných transakcí rezidentů s nerezidenty bylo deficitní. Dosáhlo 58,0</w:t>
            </w:r>
            <w:r w:rsidR="00A21624">
              <w:t> mld.</w:t>
            </w:r>
            <w:r>
              <w:t xml:space="preserve"> korun </w:t>
            </w:r>
            <w:r w:rsidR="001A33A3">
              <w:t>a </w:t>
            </w:r>
            <w:r>
              <w:t xml:space="preserve">prohloubilo se </w:t>
            </w:r>
            <w:r w:rsidR="001A33A3">
              <w:t>o </w:t>
            </w:r>
            <w:r>
              <w:t>16,5</w:t>
            </w:r>
            <w:r w:rsidR="00A21624">
              <w:t> mld.</w:t>
            </w:r>
          </w:p>
        </w:tc>
      </w:tr>
      <w:tr w:rsidR="00817FDA" w:rsidRPr="00894C66" w14:paraId="08FA9E07" w14:textId="77777777" w:rsidTr="00D85980">
        <w:trPr>
          <w:trHeight w:val="170"/>
        </w:trPr>
        <w:tc>
          <w:tcPr>
            <w:tcW w:w="1976" w:type="dxa"/>
          </w:tcPr>
          <w:p w14:paraId="077FB699" w14:textId="6D86D2CE" w:rsidR="00817FDA" w:rsidRDefault="00817FDA" w:rsidP="00E503A5">
            <w:pPr>
              <w:pStyle w:val="Marginlie"/>
            </w:pPr>
            <w:r>
              <w:t>Domácí ekonomika byla čistým příjemcem kapitálových transferů.</w:t>
            </w:r>
          </w:p>
        </w:tc>
        <w:tc>
          <w:tcPr>
            <w:tcW w:w="277" w:type="dxa"/>
          </w:tcPr>
          <w:p w14:paraId="498CB744" w14:textId="77777777" w:rsidR="00817FDA" w:rsidRPr="005E4483" w:rsidRDefault="00817FDA" w:rsidP="00E503A5">
            <w:pPr>
              <w:pStyle w:val="Textpoznpodarou"/>
              <w:jc w:val="both"/>
              <w:rPr>
                <w:spacing w:val="-4"/>
              </w:rPr>
            </w:pPr>
          </w:p>
        </w:tc>
        <w:tc>
          <w:tcPr>
            <w:tcW w:w="7391" w:type="dxa"/>
          </w:tcPr>
          <w:p w14:paraId="365F8192" w14:textId="08BEC0FC" w:rsidR="00817FDA" w:rsidRDefault="00817FDA" w:rsidP="00D85980">
            <w:r>
              <w:t xml:space="preserve">Čistý příliv kapitálových transferů byl loni zachován </w:t>
            </w:r>
            <w:r w:rsidR="001A33A3">
              <w:t>a </w:t>
            </w:r>
            <w:r>
              <w:t>dosáhl 53,9</w:t>
            </w:r>
            <w:r w:rsidR="00A21624">
              <w:t> mld.</w:t>
            </w:r>
            <w:r w:rsidR="00BD1B27">
              <w:t xml:space="preserve"> korun</w:t>
            </w:r>
            <w:r w:rsidR="002D2D9F">
              <w:t>.</w:t>
            </w:r>
            <w:r>
              <w:t xml:space="preserve"> Kladné saldo ale zmírnilo, zejména kvůli zvýšení objemu transferů do zahraničí </w:t>
            </w:r>
            <w:r w:rsidR="001A33A3">
              <w:t>o </w:t>
            </w:r>
            <w:r>
              <w:t>4,2</w:t>
            </w:r>
            <w:r w:rsidR="00A21624">
              <w:t> mld.</w:t>
            </w:r>
            <w:r>
              <w:t xml:space="preserve"> korun na 9,6</w:t>
            </w:r>
            <w:r w:rsidR="00A21624">
              <w:t> mld.</w:t>
            </w:r>
            <w:r>
              <w:t xml:space="preserve"> Objem obdržených kapitálových transferů se téměř neměnil (63,5</w:t>
            </w:r>
            <w:r w:rsidR="00A21624">
              <w:t> mld.</w:t>
            </w:r>
            <w:r>
              <w:t xml:space="preserve"> korun, pokles </w:t>
            </w:r>
            <w:r w:rsidR="001A33A3">
              <w:t>o </w:t>
            </w:r>
            <w:r>
              <w:t>0,2</w:t>
            </w:r>
            <w:r w:rsidR="00A21624">
              <w:t> mld.</w:t>
            </w:r>
            <w:r>
              <w:t>). Hlavní část příjmů tvořily investiční dotace (61,3</w:t>
            </w:r>
            <w:r w:rsidR="00A21624">
              <w:t> mld.</w:t>
            </w:r>
            <w:r>
              <w:t xml:space="preserve"> korun). Výrazný deficit běžných transakcí s nerezidenty nebyl přebytkem kapitálových transferů zcela převážen</w:t>
            </w:r>
            <w:r w:rsidR="002D2D9F">
              <w:t>,</w:t>
            </w:r>
            <w:r>
              <w:t xml:space="preserve"> </w:t>
            </w:r>
            <w:r w:rsidR="001A33A3">
              <w:t>a </w:t>
            </w:r>
            <w:r>
              <w:t>výsledné změny čistého jmění tak činily</w:t>
            </w:r>
            <w:r w:rsidR="002D2D9F">
              <w:br/>
              <w:t>–</w:t>
            </w:r>
            <w:r>
              <w:t>4,1</w:t>
            </w:r>
            <w:r w:rsidR="00BF6EE6">
              <w:t> </w:t>
            </w:r>
            <w:r>
              <w:t>mld. korun (první deficit od roku 2012). Po šesti letech se také domácí ekonomika dostala do pozice dlužníka vůči zahraničí (čisté výpůjčky dosáhly 20,8</w:t>
            </w:r>
            <w:r w:rsidR="00BF6EE6">
              <w:t> </w:t>
            </w:r>
            <w:r>
              <w:t>mld. korun).</w:t>
            </w:r>
          </w:p>
        </w:tc>
      </w:tr>
      <w:tr w:rsidR="002F4860" w:rsidRPr="00894C66" w14:paraId="6C2AD0CB" w14:textId="77777777" w:rsidTr="00D85980">
        <w:trPr>
          <w:trHeight w:val="170"/>
        </w:trPr>
        <w:tc>
          <w:tcPr>
            <w:tcW w:w="1976" w:type="dxa"/>
          </w:tcPr>
          <w:p w14:paraId="118D19CF" w14:textId="77777777" w:rsidR="002F4860" w:rsidRDefault="00AD1355" w:rsidP="00E503A5">
            <w:pPr>
              <w:pStyle w:val="Marginlie"/>
            </w:pPr>
            <w:r>
              <w:lastRenderedPageBreak/>
              <w:t>Závazky vůči nerezidentům loni silně překonávaly pohledávky národního hospodářství.</w:t>
            </w:r>
          </w:p>
        </w:tc>
        <w:tc>
          <w:tcPr>
            <w:tcW w:w="277" w:type="dxa"/>
          </w:tcPr>
          <w:p w14:paraId="6D23D491" w14:textId="77777777" w:rsidR="002F4860" w:rsidRPr="005E4483" w:rsidRDefault="002F4860" w:rsidP="00E503A5">
            <w:pPr>
              <w:pStyle w:val="Textpoznpodarou"/>
              <w:jc w:val="both"/>
              <w:rPr>
                <w:spacing w:val="-4"/>
              </w:rPr>
            </w:pPr>
          </w:p>
        </w:tc>
        <w:tc>
          <w:tcPr>
            <w:tcW w:w="7391" w:type="dxa"/>
          </w:tcPr>
          <w:p w14:paraId="129EABA0" w14:textId="33EDD5BD" w:rsidR="002F4860" w:rsidRDefault="002F4860" w:rsidP="00AD1355">
            <w:r>
              <w:t>Ke konci roku činily závazky domácí ekonomiky vůči zahraničí 10 964,8</w:t>
            </w:r>
            <w:r w:rsidR="00A21624">
              <w:t> mld.</w:t>
            </w:r>
            <w:r>
              <w:t xml:space="preserve"> korun. Hlavní část tvořily účasti </w:t>
            </w:r>
            <w:r w:rsidR="001A33A3">
              <w:t>a </w:t>
            </w:r>
            <w:r>
              <w:t>podíly v investičních fondech (6 401,7</w:t>
            </w:r>
            <w:r w:rsidR="00A21624">
              <w:t> mld.</w:t>
            </w:r>
            <w:r>
              <w:t xml:space="preserve">). </w:t>
            </w:r>
            <w:r w:rsidR="001A33A3">
              <w:t>Z </w:t>
            </w:r>
            <w:r>
              <w:t xml:space="preserve">toho akcie </w:t>
            </w:r>
            <w:r w:rsidR="001A33A3">
              <w:t>a </w:t>
            </w:r>
            <w:r>
              <w:t>ostatní účasti dosahovaly 3 729,4</w:t>
            </w:r>
            <w:r w:rsidR="00A21624">
              <w:t> mld.</w:t>
            </w:r>
            <w:r>
              <w:t xml:space="preserve"> korun </w:t>
            </w:r>
            <w:r w:rsidR="001A33A3">
              <w:t>a </w:t>
            </w:r>
            <w:r>
              <w:t>2 634,0</w:t>
            </w:r>
            <w:r w:rsidR="00A21624">
              <w:t> mld.</w:t>
            </w:r>
            <w:r w:rsidR="00BD1B27">
              <w:t xml:space="preserve"> </w:t>
            </w:r>
            <w:r>
              <w:t>představovalo přecenění NFA</w:t>
            </w:r>
            <w:r>
              <w:rPr>
                <w:rStyle w:val="Znakapoznpodarou"/>
              </w:rPr>
              <w:footnoteReference w:id="6"/>
            </w:r>
            <w:r>
              <w:t>.</w:t>
            </w:r>
            <w:r w:rsidR="00231CC2">
              <w:t xml:space="preserve"> </w:t>
            </w:r>
            <w:r w:rsidR="000D2C3F">
              <w:t>Závazky ve formě dluhových cenných papírů činily 1 373,2</w:t>
            </w:r>
            <w:r w:rsidR="00A21624">
              <w:t> mld.</w:t>
            </w:r>
            <w:r w:rsidR="000D2C3F">
              <w:t xml:space="preserve"> korun </w:t>
            </w:r>
            <w:r w:rsidR="001A33A3">
              <w:t>a </w:t>
            </w:r>
            <w:r w:rsidR="000D2C3F">
              <w:t>půjček 1 116,4</w:t>
            </w:r>
            <w:r w:rsidR="00A21624">
              <w:t> mld.</w:t>
            </w:r>
            <w:r w:rsidR="000D2C3F">
              <w:t xml:space="preserve"> Přes pozvolný pokles zůstává nadále velmi vysoký objem oběživa </w:t>
            </w:r>
            <w:r w:rsidR="001A33A3">
              <w:t>a </w:t>
            </w:r>
            <w:r w:rsidR="000D2C3F">
              <w:t>vkladů (1 371,1</w:t>
            </w:r>
            <w:r w:rsidR="00A21624">
              <w:t> mld.</w:t>
            </w:r>
            <w:r w:rsidR="000D2C3F">
              <w:t>, více než dvojnásobek oproti roku 2015). Závazky nerezidentů vůči domácí ekonomice ke konci roku 2019 činily 6 930,6 mld. korun. Největší podíl na nich měly dluhové cenné papíry (1 962,3</w:t>
            </w:r>
            <w:r w:rsidR="00A21624">
              <w:t> mld.</w:t>
            </w:r>
            <w:r w:rsidR="000D2C3F">
              <w:t xml:space="preserve"> korun). </w:t>
            </w:r>
            <w:r w:rsidR="00135FEE">
              <w:t>Objem půjček dosáhl 882,8</w:t>
            </w:r>
            <w:r w:rsidR="00A21624">
              <w:t> mld.</w:t>
            </w:r>
            <w:r w:rsidR="00135FEE">
              <w:t xml:space="preserve"> Výraznou roli mělo rovněž oběživo </w:t>
            </w:r>
            <w:r w:rsidR="001A33A3">
              <w:t>a </w:t>
            </w:r>
            <w:r w:rsidR="00135FEE">
              <w:t>vklady (1 790,9</w:t>
            </w:r>
            <w:r w:rsidR="00A21624">
              <w:t> mld.</w:t>
            </w:r>
            <w:r w:rsidR="00135FEE">
              <w:t xml:space="preserve"> korun). Účasti </w:t>
            </w:r>
            <w:r w:rsidR="001A33A3">
              <w:t>a </w:t>
            </w:r>
            <w:r w:rsidR="00135FEE">
              <w:t>podíly v investičních fondech měly ke konci roku hodnotu 1 588,9</w:t>
            </w:r>
            <w:r w:rsidR="00A21624">
              <w:t> mld.</w:t>
            </w:r>
            <w:r w:rsidR="00135FEE">
              <w:t xml:space="preserve"> korun, ze všech závazků nerezidentů ale nejvíce narostly. Závazky domácí ekonomiky vůči nerezidentům tedy překonaly aktiva. Výsledné čisté jmění nerezidentů vůči domácí ekonomice (zahraniční zadluženost národního hospodářství) dosáhlo </w:t>
            </w:r>
            <w:r w:rsidR="00A21624">
              <w:t>4 </w:t>
            </w:r>
            <w:r w:rsidR="00135FEE">
              <w:t>034,2</w:t>
            </w:r>
            <w:r w:rsidR="00A21624">
              <w:t> mld.</w:t>
            </w:r>
            <w:r w:rsidR="00135FEE">
              <w:t xml:space="preserve"> korun. Zadluženost se zvýšila </w:t>
            </w:r>
            <w:r w:rsidR="001A33A3">
              <w:t>o </w:t>
            </w:r>
            <w:r w:rsidR="00135FEE">
              <w:t>594,4</w:t>
            </w:r>
            <w:r w:rsidR="00A21624">
              <w:t> mld.</w:t>
            </w:r>
          </w:p>
        </w:tc>
      </w:tr>
    </w:tbl>
    <w:p w14:paraId="4198FA60" w14:textId="57CF6DB5" w:rsidR="00817FDA" w:rsidRDefault="00A21624" w:rsidP="00817FDA">
      <w:pPr>
        <w:pStyle w:val="Nadpis110"/>
      </w:pPr>
      <w:bookmarkStart w:id="5" w:name="_Toc48549433"/>
      <w:r>
        <w:t>4. </w:t>
      </w:r>
      <w:r w:rsidR="00817FDA">
        <w:t>Investice</w:t>
      </w:r>
      <w:bookmarkEnd w:id="5"/>
    </w:p>
    <w:tbl>
      <w:tblPr>
        <w:tblW w:w="9644" w:type="dxa"/>
        <w:tblInd w:w="-15" w:type="dxa"/>
        <w:tblCellMar>
          <w:left w:w="0" w:type="dxa"/>
          <w:right w:w="0" w:type="dxa"/>
        </w:tblCellMar>
        <w:tblLook w:val="00A0" w:firstRow="1" w:lastRow="0" w:firstColumn="1" w:lastColumn="0" w:noHBand="0" w:noVBand="0"/>
      </w:tblPr>
      <w:tblGrid>
        <w:gridCol w:w="1813"/>
        <w:gridCol w:w="221"/>
        <w:gridCol w:w="7610"/>
      </w:tblGrid>
      <w:tr w:rsidR="00817FDA" w14:paraId="76DFBAD0" w14:textId="77777777" w:rsidTr="00E503A5">
        <w:trPr>
          <w:trHeight w:val="145"/>
        </w:trPr>
        <w:tc>
          <w:tcPr>
            <w:tcW w:w="1813" w:type="dxa"/>
            <w:shd w:val="clear" w:color="auto" w:fill="auto"/>
          </w:tcPr>
          <w:p w14:paraId="24CA0DD1" w14:textId="77777777" w:rsidR="00817FDA" w:rsidRDefault="00817FDA" w:rsidP="00E503A5">
            <w:pPr>
              <w:pStyle w:val="Marginlie"/>
            </w:pPr>
            <w:r>
              <w:t>Investiční aktivita loni rostla, tempo ale výrazně zpomalilo ve srovnání s rokem 2018.</w:t>
            </w:r>
          </w:p>
        </w:tc>
        <w:tc>
          <w:tcPr>
            <w:tcW w:w="221" w:type="dxa"/>
            <w:shd w:val="clear" w:color="auto" w:fill="auto"/>
          </w:tcPr>
          <w:p w14:paraId="7680D5B4" w14:textId="77777777" w:rsidR="00817FDA" w:rsidRDefault="00817FDA" w:rsidP="00E503A5">
            <w:pPr>
              <w:pStyle w:val="Textpoznpodarou10"/>
              <w:jc w:val="both"/>
              <w:rPr>
                <w:spacing w:val="-4"/>
              </w:rPr>
            </w:pPr>
          </w:p>
        </w:tc>
        <w:tc>
          <w:tcPr>
            <w:tcW w:w="7610" w:type="dxa"/>
            <w:shd w:val="clear" w:color="auto" w:fill="auto"/>
          </w:tcPr>
          <w:p w14:paraId="47933EDF" w14:textId="5484D2E5" w:rsidR="00817FDA" w:rsidRDefault="00817FDA" w:rsidP="00E503A5">
            <w:r>
              <w:t>Výdaje na tvorbu hrubého fixního kapitálu (investiční aktivita) v roce 2019 dosáhly 1 506,9</w:t>
            </w:r>
            <w:r w:rsidR="00A21624">
              <w:t> mld.</w:t>
            </w:r>
            <w:r>
              <w:t xml:space="preserve"> korun. Meziročně se zvýšily </w:t>
            </w:r>
            <w:r w:rsidR="001A33A3">
              <w:t>o </w:t>
            </w:r>
            <w:r>
              <w:t>83,9</w:t>
            </w:r>
            <w:r w:rsidR="00A21624">
              <w:t> mld.</w:t>
            </w:r>
            <w:r>
              <w:t xml:space="preserve"> Reálný přírůstek investiční aktivity dosáhl 2,2</w:t>
            </w:r>
            <w:r w:rsidR="00F118D5">
              <w:t> %</w:t>
            </w:r>
            <w:r>
              <w:t xml:space="preserve">. Výdaje rostly třetím rokem, ale ve srovnání s velmi silným nárůstem z roku 2018 loni přírůstek oslabil. Také reálná dynamika byla výrazně slabší než v předchozích dvou letech, zčásti </w:t>
            </w:r>
            <w:r w:rsidR="001A33A3">
              <w:t>i </w:t>
            </w:r>
            <w:r>
              <w:t xml:space="preserve">kvůli silnému růstu cenové hladiny </w:t>
            </w:r>
            <w:r w:rsidR="001A33A3">
              <w:t>u </w:t>
            </w:r>
            <w:r>
              <w:t>kapitálových statků</w:t>
            </w:r>
            <w:r>
              <w:rPr>
                <w:rStyle w:val="Znakapoznpodarou"/>
              </w:rPr>
              <w:footnoteReference w:id="7"/>
            </w:r>
            <w:r>
              <w:t>. Podíl výdajů na tvorbu hrubého fixního kapitálu na hrubém domácím produktu  v roce 2019 dosáhl 26,2</w:t>
            </w:r>
            <w:r w:rsidR="00F118D5">
              <w:t> %</w:t>
            </w:r>
            <w:r>
              <w:t xml:space="preserve">, což je téměř stejně jako v předchozím roce. Ve srovnání se zbytkem EU bylo z pohledu tohoto ukazatele Česko </w:t>
            </w:r>
            <w:r w:rsidR="001A33A3">
              <w:t>i </w:t>
            </w:r>
            <w:r>
              <w:t xml:space="preserve">nadále na velmi vysoké úrovni </w:t>
            </w:r>
            <w:r w:rsidR="001A33A3">
              <w:t>a </w:t>
            </w:r>
            <w:r>
              <w:t>předstiženo bylo pouze Irskem (45,6</w:t>
            </w:r>
            <w:r w:rsidR="00F118D5">
              <w:t> %</w:t>
            </w:r>
            <w:r>
              <w:t xml:space="preserve">) </w:t>
            </w:r>
            <w:r w:rsidR="001A33A3">
              <w:t>a </w:t>
            </w:r>
            <w:r>
              <w:t>Maďarskem (28,6</w:t>
            </w:r>
            <w:r w:rsidR="00F118D5">
              <w:t> %</w:t>
            </w:r>
            <w:r>
              <w:t>). Průměr celé evropské sedmadvacítky loni dosáhl 22,1</w:t>
            </w:r>
            <w:r w:rsidR="00F118D5">
              <w:t> %</w:t>
            </w:r>
            <w:r>
              <w:t xml:space="preserve"> </w:t>
            </w:r>
            <w:r w:rsidR="001A33A3">
              <w:t>a </w:t>
            </w:r>
            <w:r>
              <w:t xml:space="preserve">meziročně se zvýšil. Ačkoli z pohledu dynamiky investic jsou novější členské země nadprůměrné, podíl investic na HDP poukazuje na trvající vnitřní dluh </w:t>
            </w:r>
            <w:r w:rsidR="001A33A3">
              <w:t>a </w:t>
            </w:r>
            <w:r>
              <w:t xml:space="preserve">spíše nižší úroveň výdajů na investice. Mezi deseti zeměmi s nejvyšším podílem investic na HDP byly loni čtyři, které vstoupily do EU po roce 2000. Ve spodní desítce byly počty nových </w:t>
            </w:r>
            <w:r w:rsidR="001A33A3">
              <w:t>a </w:t>
            </w:r>
            <w:r>
              <w:t>starých členů vyrovnané.</w:t>
            </w:r>
          </w:p>
        </w:tc>
      </w:tr>
      <w:tr w:rsidR="00817FDA" w14:paraId="3A779E95" w14:textId="77777777" w:rsidTr="00E503A5">
        <w:trPr>
          <w:trHeight w:val="145"/>
        </w:trPr>
        <w:tc>
          <w:tcPr>
            <w:tcW w:w="1813" w:type="dxa"/>
            <w:shd w:val="clear" w:color="auto" w:fill="auto"/>
          </w:tcPr>
          <w:p w14:paraId="000EBA8C" w14:textId="77777777" w:rsidR="00817FDA" w:rsidRDefault="00817FDA" w:rsidP="00E503A5">
            <w:pPr>
              <w:pStyle w:val="Marginlie"/>
            </w:pPr>
            <w:r>
              <w:t>Česko se tak z hlediska tempa růstu investic umístilo pod průměrem EU.</w:t>
            </w:r>
          </w:p>
        </w:tc>
        <w:tc>
          <w:tcPr>
            <w:tcW w:w="221" w:type="dxa"/>
            <w:shd w:val="clear" w:color="auto" w:fill="auto"/>
          </w:tcPr>
          <w:p w14:paraId="50173F6F" w14:textId="77777777" w:rsidR="00817FDA" w:rsidRDefault="00817FDA" w:rsidP="00E503A5">
            <w:pPr>
              <w:pStyle w:val="Textpoznpodarou10"/>
              <w:jc w:val="both"/>
              <w:rPr>
                <w:spacing w:val="-4"/>
              </w:rPr>
            </w:pPr>
          </w:p>
        </w:tc>
        <w:tc>
          <w:tcPr>
            <w:tcW w:w="7610" w:type="dxa"/>
            <w:shd w:val="clear" w:color="auto" w:fill="auto"/>
          </w:tcPr>
          <w:p w14:paraId="7A3E134E" w14:textId="524D67DC" w:rsidR="008D7BE5" w:rsidRDefault="00817FDA" w:rsidP="0051465A">
            <w:r>
              <w:t>Reálný nárůst výdajů na tvorbu hrubého fixního kapitálu v Evropské unii</w:t>
            </w:r>
            <w:r>
              <w:rPr>
                <w:rStyle w:val="Znakapoznpodarou"/>
              </w:rPr>
              <w:footnoteReference w:id="8"/>
            </w:r>
            <w:r>
              <w:t xml:space="preserve"> v roce 2019 dosáhl 5,6</w:t>
            </w:r>
            <w:r w:rsidR="00F118D5">
              <w:t> %</w:t>
            </w:r>
            <w:r>
              <w:t xml:space="preserve">. Meziroční růst investiční aktivity tak zrychlil </w:t>
            </w:r>
            <w:r w:rsidR="001A33A3">
              <w:t>a </w:t>
            </w:r>
            <w:r>
              <w:t>byl nejvyšší od roku 2007. Česko se tak z hlediska dynamiky investic dostalo poměrně hluboko do evropského podprůměru (šestý nejhorší výsledek). Největšího meziročního přírůstku dosáhlo loni Irsko (74,9</w:t>
            </w:r>
            <w:r w:rsidR="00F118D5">
              <w:t> %</w:t>
            </w:r>
            <w:r>
              <w:rPr>
                <w:rStyle w:val="Znakapoznpodarou"/>
              </w:rPr>
              <w:footnoteReference w:id="9"/>
            </w:r>
            <w:r>
              <w:t>), dále Rumunsko (18,2</w:t>
            </w:r>
            <w:r w:rsidR="00F118D5">
              <w:t> %</w:t>
            </w:r>
            <w:r>
              <w:t xml:space="preserve">) </w:t>
            </w:r>
            <w:r w:rsidR="001A33A3">
              <w:t>a </w:t>
            </w:r>
            <w:r>
              <w:t>Maďarsko (15,3</w:t>
            </w:r>
            <w:r w:rsidR="00F118D5">
              <w:t> %</w:t>
            </w:r>
            <w:r>
              <w:t xml:space="preserve">, dvouciferného tempa bylo dosaženo třetím rokem). Mezi státy s nejvyšším růstem investiční aktivity již několik let výrazně převažují země, které vstoupily do EU po roce 2000. Ty ve velké míře čerpají z přístupu </w:t>
            </w:r>
            <w:r w:rsidR="001A33A3">
              <w:t>k </w:t>
            </w:r>
            <w:r>
              <w:t xml:space="preserve">evropským dotacím. V rámci této skupiny tak bylo Česko jednou </w:t>
            </w:r>
            <w:r w:rsidR="001A33A3">
              <w:t>z </w:t>
            </w:r>
            <w:r>
              <w:t>výjimek, když reálné tempo investic meziročně prudce oslabilo. Výdaje na tvorbu hrubého fixního kapitálu reálně klesly ve Švédsku (</w:t>
            </w:r>
            <w:r w:rsidR="00A21624">
              <w:t>–</w:t>
            </w:r>
            <w:r>
              <w:t>1,3</w:t>
            </w:r>
            <w:r w:rsidR="00F118D5">
              <w:t> %</w:t>
            </w:r>
            <w:r>
              <w:t xml:space="preserve">) </w:t>
            </w:r>
            <w:r w:rsidR="001A33A3">
              <w:t>a </w:t>
            </w:r>
            <w:r>
              <w:t>Finsku (</w:t>
            </w:r>
            <w:r w:rsidR="00A21624">
              <w:t>–</w:t>
            </w:r>
            <w:r>
              <w:t>1,0</w:t>
            </w:r>
            <w:r w:rsidR="00F118D5">
              <w:t> %</w:t>
            </w:r>
            <w:r>
              <w:t>). Investiční aktivita stagnovala na Kypru (0,1</w:t>
            </w:r>
            <w:r w:rsidR="00F118D5">
              <w:t> %</w:t>
            </w:r>
            <w:r>
              <w:t>)</w:t>
            </w:r>
            <w:r w:rsidR="0051465A">
              <w:t>.</w:t>
            </w:r>
          </w:p>
        </w:tc>
      </w:tr>
      <w:tr w:rsidR="00817FDA" w14:paraId="128AF141" w14:textId="77777777" w:rsidTr="00E503A5">
        <w:trPr>
          <w:trHeight w:val="145"/>
        </w:trPr>
        <w:tc>
          <w:tcPr>
            <w:tcW w:w="1813" w:type="dxa"/>
            <w:shd w:val="clear" w:color="auto" w:fill="auto"/>
          </w:tcPr>
          <w:p w14:paraId="1A0B8EBA" w14:textId="77777777" w:rsidR="00817FDA" w:rsidRDefault="00817FDA" w:rsidP="00E503A5">
            <w:pPr>
              <w:pStyle w:val="Marginlie"/>
            </w:pPr>
            <w:r>
              <w:t>Nejvíce k nominálnímu růstu investic přispěly nefinanční podniky.</w:t>
            </w:r>
          </w:p>
        </w:tc>
        <w:tc>
          <w:tcPr>
            <w:tcW w:w="221" w:type="dxa"/>
            <w:shd w:val="clear" w:color="auto" w:fill="auto"/>
          </w:tcPr>
          <w:p w14:paraId="486F2BD1" w14:textId="77777777" w:rsidR="00817FDA" w:rsidRDefault="00817FDA" w:rsidP="00E503A5">
            <w:pPr>
              <w:pStyle w:val="Textpoznpodarou10"/>
              <w:jc w:val="both"/>
              <w:rPr>
                <w:spacing w:val="-4"/>
              </w:rPr>
            </w:pPr>
          </w:p>
        </w:tc>
        <w:tc>
          <w:tcPr>
            <w:tcW w:w="7610" w:type="dxa"/>
            <w:shd w:val="clear" w:color="auto" w:fill="auto"/>
          </w:tcPr>
          <w:p w14:paraId="6BF0DE3E" w14:textId="12D1BCB3" w:rsidR="00817FDA" w:rsidRDefault="00817FDA" w:rsidP="008D7BE5">
            <w:r>
              <w:t>Za největší část domácí investiční aktivity je zodpovědný sektor nefinančních podniků. Jeho výdaje na tvorbu hrubého fixního kapitálu dosáhly loni 933,3</w:t>
            </w:r>
            <w:r w:rsidR="00A21624">
              <w:t> mld.</w:t>
            </w:r>
            <w:r>
              <w:t xml:space="preserve"> korun </w:t>
            </w:r>
            <w:r w:rsidR="001A33A3">
              <w:t>a </w:t>
            </w:r>
            <w:r>
              <w:t xml:space="preserve">na </w:t>
            </w:r>
            <w:r>
              <w:lastRenderedPageBreak/>
              <w:t>celkových investicích se podílely 61,9</w:t>
            </w:r>
            <w:r w:rsidR="00F118D5">
              <w:t> %</w:t>
            </w:r>
            <w:r>
              <w:t xml:space="preserve">. Meziročně se investiční aktivita nefinančních podniků zvýšila </w:t>
            </w:r>
            <w:r w:rsidR="001A33A3">
              <w:t>o </w:t>
            </w:r>
            <w:r>
              <w:t>55,2</w:t>
            </w:r>
            <w:r w:rsidR="00A21624">
              <w:t> mld.</w:t>
            </w:r>
            <w:r>
              <w:t>, takže nejvíce přispěla k celkovému nárůstu v ekonomice. Zároveň byly nefinanční podniky jediným sektorem, kde přírůstek investiční aktivity meziročně posílil. Domácnosti loni vydaly na investice 285,5</w:t>
            </w:r>
            <w:r w:rsidR="00A21624">
              <w:t> mld.</w:t>
            </w:r>
            <w:r>
              <w:t xml:space="preserve"> korun, 18,9</w:t>
            </w:r>
            <w:r w:rsidR="00F118D5">
              <w:t> %</w:t>
            </w:r>
            <w:r>
              <w:t xml:space="preserve"> z celkové investiční aktivity v ekonomice. Bylo to </w:t>
            </w:r>
            <w:r w:rsidR="001A33A3">
              <w:t>o </w:t>
            </w:r>
            <w:r>
              <w:t>26,8</w:t>
            </w:r>
            <w:r w:rsidR="00A21624">
              <w:t> mld.</w:t>
            </w:r>
            <w:r>
              <w:t xml:space="preserve"> více než v předchozím roce. Domácnosti čtvrtým rokem překonaly v objemu výdajů na tvorbu hrubého fixního kapitálu sektor vládních institucí. Ty po hlubokém meziročním propadu v roce 2016 postupně opět posilovaly své výdaje </w:t>
            </w:r>
            <w:r w:rsidR="001A33A3">
              <w:t>a </w:t>
            </w:r>
            <w:r>
              <w:t>loni částkou 248,</w:t>
            </w:r>
            <w:r w:rsidR="00A21624">
              <w:t>5 </w:t>
            </w:r>
            <w:r>
              <w:t>mld</w:t>
            </w:r>
            <w:r w:rsidR="001A480E">
              <w:t>.</w:t>
            </w:r>
            <w:r>
              <w:t xml:space="preserve"> korun nominálně překonaly předchozí maximum z roku 2015. Podíl vládních investic na celkové aktivitě v ekonomice loni vzrostl na 16,5</w:t>
            </w:r>
            <w:r w:rsidR="00F118D5">
              <w:t> %</w:t>
            </w:r>
            <w:r>
              <w:t>. To je ale stále výrazně méně než ve zmiňovaném roce 2015 (19,3 %). Meziroční přírůstek vládních investic činil 24,0</w:t>
            </w:r>
            <w:r w:rsidR="00A21624">
              <w:t> mld.</w:t>
            </w:r>
            <w:r>
              <w:t xml:space="preserve"> Po pěti letech nárůstů se </w:t>
            </w:r>
            <w:r w:rsidR="001A33A3">
              <w:t>o </w:t>
            </w:r>
            <w:r>
              <w:t>21,6</w:t>
            </w:r>
            <w:r w:rsidR="00A21624">
              <w:t> mld.</w:t>
            </w:r>
            <w:r>
              <w:t xml:space="preserve"> korun meziročně propadla investiční aktivita finančních institucí. Výsledný objem výdajů na tvorbu hrubého fixního kapitálu dosáhl 35,5</w:t>
            </w:r>
            <w:r w:rsidR="00A21624">
              <w:t> mld.</w:t>
            </w:r>
            <w:r>
              <w:t xml:space="preserve"> Finanční instituce jsou v kontextu celé ekonomiky malým investorem, jejich podíl na celkových investicích meziročně klesl ze 4,0</w:t>
            </w:r>
            <w:r w:rsidR="00F118D5">
              <w:t> %</w:t>
            </w:r>
            <w:r>
              <w:t xml:space="preserve"> na</w:t>
            </w:r>
            <w:r w:rsidR="0079343E">
              <w:t> </w:t>
            </w:r>
            <w:r>
              <w:t>2,4</w:t>
            </w:r>
            <w:r w:rsidR="00F118D5">
              <w:t> %</w:t>
            </w:r>
            <w:r>
              <w:t>.</w:t>
            </w:r>
          </w:p>
        </w:tc>
      </w:tr>
      <w:tr w:rsidR="00817FDA" w14:paraId="43E1F048" w14:textId="77777777" w:rsidTr="00E503A5">
        <w:tc>
          <w:tcPr>
            <w:tcW w:w="1813" w:type="dxa"/>
            <w:vMerge w:val="restart"/>
            <w:shd w:val="clear" w:color="auto" w:fill="auto"/>
          </w:tcPr>
          <w:p w14:paraId="7756007C" w14:textId="77777777" w:rsidR="00817FDA" w:rsidRDefault="00817FDA" w:rsidP="00E503A5">
            <w:pPr>
              <w:pStyle w:val="Marginlie"/>
            </w:pPr>
          </w:p>
        </w:tc>
        <w:tc>
          <w:tcPr>
            <w:tcW w:w="221" w:type="dxa"/>
            <w:vMerge w:val="restart"/>
            <w:shd w:val="clear" w:color="auto" w:fill="auto"/>
          </w:tcPr>
          <w:p w14:paraId="395D85E4" w14:textId="77777777" w:rsidR="00817FDA" w:rsidRDefault="00817FDA" w:rsidP="00E503A5">
            <w:pPr>
              <w:pStyle w:val="Textpoznpodarou10"/>
              <w:jc w:val="both"/>
              <w:rPr>
                <w:spacing w:val="-4"/>
              </w:rPr>
            </w:pPr>
          </w:p>
        </w:tc>
        <w:tc>
          <w:tcPr>
            <w:tcW w:w="7610" w:type="dxa"/>
            <w:shd w:val="clear" w:color="auto" w:fill="auto"/>
          </w:tcPr>
          <w:p w14:paraId="53E64495" w14:textId="72955C5E" w:rsidR="00817FDA" w:rsidRDefault="00817FDA" w:rsidP="00E503A5">
            <w:pPr>
              <w:spacing w:after="0"/>
              <w:rPr>
                <w:b/>
              </w:rPr>
            </w:pPr>
            <w:r w:rsidRPr="00B606BE">
              <w:rPr>
                <w:b/>
              </w:rPr>
              <w:t xml:space="preserve">Graf </w:t>
            </w:r>
            <w:r w:rsidR="00A21624" w:rsidRPr="00B606BE">
              <w:rPr>
                <w:b/>
              </w:rPr>
              <w:t>č. </w:t>
            </w:r>
            <w:r w:rsidR="001A33A3" w:rsidRPr="00B606BE">
              <w:rPr>
                <w:b/>
              </w:rPr>
              <w:t>4</w:t>
            </w:r>
            <w:r w:rsidR="001A480E">
              <w:rPr>
                <w:b/>
              </w:rPr>
              <w:t xml:space="preserve">  </w:t>
            </w:r>
            <w:r>
              <w:rPr>
                <w:b/>
              </w:rPr>
              <w:t xml:space="preserve">Tvorba hrubého fixního kapitálu, sektorové členění </w:t>
            </w:r>
            <w:r w:rsidRPr="00E03B0C">
              <w:t>(</w:t>
            </w:r>
            <w:r>
              <w:t>běžné ceny, meziroční změna v mld. korun</w:t>
            </w:r>
            <w:r w:rsidRPr="00E03B0C">
              <w:t>)</w:t>
            </w:r>
          </w:p>
        </w:tc>
      </w:tr>
      <w:tr w:rsidR="00817FDA" w14:paraId="5AA941A5" w14:textId="77777777" w:rsidTr="00E503A5">
        <w:tblPrEx>
          <w:tblCellMar>
            <w:left w:w="70" w:type="dxa"/>
            <w:right w:w="70" w:type="dxa"/>
          </w:tblCellMar>
        </w:tblPrEx>
        <w:trPr>
          <w:trHeight w:val="170"/>
        </w:trPr>
        <w:tc>
          <w:tcPr>
            <w:tcW w:w="1813" w:type="dxa"/>
            <w:vMerge/>
            <w:shd w:val="clear" w:color="auto" w:fill="auto"/>
          </w:tcPr>
          <w:p w14:paraId="4DCBC010" w14:textId="77777777" w:rsidR="00817FDA" w:rsidRDefault="00817FDA" w:rsidP="00E503A5">
            <w:pPr>
              <w:pStyle w:val="Marginlie"/>
            </w:pPr>
          </w:p>
        </w:tc>
        <w:tc>
          <w:tcPr>
            <w:tcW w:w="221" w:type="dxa"/>
            <w:vMerge/>
            <w:shd w:val="clear" w:color="auto" w:fill="auto"/>
          </w:tcPr>
          <w:p w14:paraId="1C9411B6" w14:textId="77777777" w:rsidR="00817FDA" w:rsidRDefault="00817FDA" w:rsidP="00E503A5">
            <w:pPr>
              <w:pStyle w:val="Textpoznpodarou10"/>
              <w:jc w:val="both"/>
              <w:rPr>
                <w:spacing w:val="-4"/>
              </w:rPr>
            </w:pPr>
          </w:p>
        </w:tc>
        <w:tc>
          <w:tcPr>
            <w:tcW w:w="7610" w:type="dxa"/>
            <w:shd w:val="clear" w:color="auto" w:fill="auto"/>
          </w:tcPr>
          <w:p w14:paraId="77783C2B" w14:textId="77777777" w:rsidR="00817FDA" w:rsidRDefault="00817FDA" w:rsidP="00E503A5">
            <w:pPr>
              <w:spacing w:after="0"/>
            </w:pPr>
            <w:r>
              <w:rPr>
                <w:noProof/>
              </w:rPr>
              <w:drawing>
                <wp:inline distT="0" distB="0" distL="0" distR="0" wp14:anchorId="5D037BF7" wp14:editId="69B79F26">
                  <wp:extent cx="4737600" cy="3553200"/>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817FDA" w14:paraId="00E33530" w14:textId="77777777" w:rsidTr="00E503A5">
        <w:trPr>
          <w:trHeight w:val="170"/>
        </w:trPr>
        <w:tc>
          <w:tcPr>
            <w:tcW w:w="1813" w:type="dxa"/>
            <w:vMerge/>
            <w:shd w:val="clear" w:color="auto" w:fill="auto"/>
          </w:tcPr>
          <w:p w14:paraId="2A4832E1" w14:textId="77777777" w:rsidR="00817FDA" w:rsidRDefault="00817FDA" w:rsidP="00E503A5">
            <w:pPr>
              <w:pStyle w:val="Marginlie"/>
            </w:pPr>
          </w:p>
        </w:tc>
        <w:tc>
          <w:tcPr>
            <w:tcW w:w="221" w:type="dxa"/>
            <w:vMerge/>
            <w:shd w:val="clear" w:color="auto" w:fill="auto"/>
          </w:tcPr>
          <w:p w14:paraId="2ED4B6B5" w14:textId="77777777" w:rsidR="00817FDA" w:rsidRDefault="00817FDA" w:rsidP="00E503A5">
            <w:pPr>
              <w:pStyle w:val="Textpoznpodarou10"/>
              <w:jc w:val="both"/>
              <w:rPr>
                <w:spacing w:val="-4"/>
              </w:rPr>
            </w:pPr>
          </w:p>
        </w:tc>
        <w:tc>
          <w:tcPr>
            <w:tcW w:w="7610" w:type="dxa"/>
            <w:shd w:val="clear" w:color="auto" w:fill="auto"/>
          </w:tcPr>
          <w:p w14:paraId="317216D8" w14:textId="77777777" w:rsidR="00817FDA" w:rsidRDefault="00817FDA" w:rsidP="00E503A5">
            <w:pPr>
              <w:rPr>
                <w:sz w:val="14"/>
                <w:szCs w:val="14"/>
              </w:rPr>
            </w:pPr>
            <w:r>
              <w:rPr>
                <w:sz w:val="14"/>
                <w:szCs w:val="14"/>
              </w:rPr>
              <w:t>Zdroj: ČSÚ</w:t>
            </w:r>
          </w:p>
        </w:tc>
      </w:tr>
      <w:tr w:rsidR="00817FDA" w14:paraId="3C5A0BD8" w14:textId="77777777" w:rsidTr="00E503A5">
        <w:trPr>
          <w:trHeight w:val="145"/>
        </w:trPr>
        <w:tc>
          <w:tcPr>
            <w:tcW w:w="1813" w:type="dxa"/>
            <w:shd w:val="clear" w:color="auto" w:fill="auto"/>
          </w:tcPr>
          <w:p w14:paraId="277C2850" w14:textId="4A70B9D6" w:rsidR="00817FDA" w:rsidRDefault="00817FDA" w:rsidP="00E503A5">
            <w:pPr>
              <w:pStyle w:val="Marginlie"/>
            </w:pPr>
            <w:r>
              <w:t xml:space="preserve">Investice do strojů </w:t>
            </w:r>
            <w:r w:rsidR="001A33A3">
              <w:t>a </w:t>
            </w:r>
            <w:r>
              <w:t>zařízení rostly pomaleji než v předchozím roce.</w:t>
            </w:r>
          </w:p>
        </w:tc>
        <w:tc>
          <w:tcPr>
            <w:tcW w:w="221" w:type="dxa"/>
            <w:shd w:val="clear" w:color="auto" w:fill="auto"/>
          </w:tcPr>
          <w:p w14:paraId="61234F8A" w14:textId="77777777" w:rsidR="00817FDA" w:rsidRDefault="00817FDA" w:rsidP="00E503A5">
            <w:pPr>
              <w:pStyle w:val="Textpoznpodarou10"/>
              <w:jc w:val="both"/>
              <w:rPr>
                <w:spacing w:val="-4"/>
              </w:rPr>
            </w:pPr>
          </w:p>
        </w:tc>
        <w:tc>
          <w:tcPr>
            <w:tcW w:w="7610" w:type="dxa"/>
            <w:shd w:val="clear" w:color="auto" w:fill="auto"/>
          </w:tcPr>
          <w:p w14:paraId="22AF5B9B" w14:textId="3C64C7AB" w:rsidR="00817FDA" w:rsidRDefault="00817FDA" w:rsidP="00E503A5">
            <w:r>
              <w:t xml:space="preserve">Stroje </w:t>
            </w:r>
            <w:r w:rsidR="001A33A3">
              <w:t>a </w:t>
            </w:r>
            <w:r>
              <w:t xml:space="preserve">zařízení jsou z pohledu struktury největší investiční oblastí. Investice do strojů </w:t>
            </w:r>
            <w:r w:rsidR="001A33A3">
              <w:t>a </w:t>
            </w:r>
            <w:r>
              <w:t>zařízení v roce 2019 dosáhly 604,1</w:t>
            </w:r>
            <w:r w:rsidR="00A21624">
              <w:t> mld.</w:t>
            </w:r>
            <w:r>
              <w:t xml:space="preserve"> korun </w:t>
            </w:r>
            <w:r w:rsidR="001A33A3">
              <w:t>a </w:t>
            </w:r>
            <w:r>
              <w:t xml:space="preserve">meziročně se zvýšily </w:t>
            </w:r>
            <w:r w:rsidR="001A33A3">
              <w:t>o </w:t>
            </w:r>
            <w:r>
              <w:t>18,8</w:t>
            </w:r>
            <w:r w:rsidR="00A21624">
              <w:t> mld.</w:t>
            </w:r>
            <w:r>
              <w:t xml:space="preserve"> Reálný přírůstek činil 1,2</w:t>
            </w:r>
            <w:r w:rsidR="00F118D5">
              <w:t> %</w:t>
            </w:r>
            <w:r>
              <w:t xml:space="preserve">. Výrazné zpomalení oproti předchozímu roku bylo způsobeno zejména propadem investic do dopravních prostředků </w:t>
            </w:r>
            <w:r w:rsidR="001A33A3">
              <w:t>a </w:t>
            </w:r>
            <w:r>
              <w:t xml:space="preserve">zařízení </w:t>
            </w:r>
            <w:r w:rsidR="001A33A3">
              <w:t>o </w:t>
            </w:r>
            <w:r>
              <w:t>23,1</w:t>
            </w:r>
            <w:r w:rsidR="00BF6EE6">
              <w:t> </w:t>
            </w:r>
            <w:r>
              <w:t xml:space="preserve">mld. korun (reálný pokles </w:t>
            </w:r>
            <w:r w:rsidR="001A33A3">
              <w:t>o </w:t>
            </w:r>
            <w:r>
              <w:t>17,0</w:t>
            </w:r>
            <w:r w:rsidR="00F118D5">
              <w:t> %</w:t>
            </w:r>
            <w:r>
              <w:t xml:space="preserve">). Propad lze zčásti vysvětlit velmi vysokou srovnávací základnou roku 2018 (nejvyšší úroveň investic od roku 2008). Z pohledu sektorů se </w:t>
            </w:r>
            <w:r w:rsidR="001A33A3">
              <w:t>u </w:t>
            </w:r>
            <w:r>
              <w:t>této položky neudržela vysoká úroveň investic nefinančních podniků</w:t>
            </w:r>
            <w:r w:rsidR="0079343E">
              <w:t>,</w:t>
            </w:r>
            <w:r>
              <w:t xml:space="preserve"> ale rovněž finančních institucí. Ty měly v letech 2017 </w:t>
            </w:r>
            <w:r w:rsidR="001A33A3">
              <w:t>a </w:t>
            </w:r>
            <w:r>
              <w:t xml:space="preserve">2018 netypicky vysoké výdaje na dopravní prostředky </w:t>
            </w:r>
            <w:r w:rsidR="001A33A3">
              <w:t>a </w:t>
            </w:r>
            <w:r>
              <w:t xml:space="preserve">zařízení (více než dvojnásobné oproti roku 2016). Zaznamenaný pokles investic finančních institucí tak pravděpodobně ovlivnil právě výdaje na dopravní prostředky. Naopak investice do ostatních strojů </w:t>
            </w:r>
            <w:r w:rsidR="001A33A3">
              <w:t>a </w:t>
            </w:r>
            <w:r>
              <w:t xml:space="preserve">zařízení se navýšily </w:t>
            </w:r>
            <w:r w:rsidR="001A33A3">
              <w:t>o </w:t>
            </w:r>
            <w:r>
              <w:t>40,9</w:t>
            </w:r>
            <w:r w:rsidR="00A21624">
              <w:t> mld.</w:t>
            </w:r>
            <w:r>
              <w:t xml:space="preserve"> korun (reálně 9,2</w:t>
            </w:r>
            <w:r w:rsidR="00F118D5">
              <w:t> %</w:t>
            </w:r>
            <w:r>
              <w:t xml:space="preserve">). Nárůst lze přičíst zejména nefinančním podnikům, které jsou v této oblasti převažujícím investorem. Investiční výdaje na prostředky ICT stagnovaly </w:t>
            </w:r>
            <w:r>
              <w:lastRenderedPageBreak/>
              <w:t xml:space="preserve">(+0,9 mld.). Jedná se však </w:t>
            </w:r>
            <w:r w:rsidR="001A33A3">
              <w:t>o </w:t>
            </w:r>
            <w:r>
              <w:t>srovnání s velmi silným rokem 2018 (+6,0</w:t>
            </w:r>
            <w:r w:rsidR="00A21624">
              <w:t> mld.</w:t>
            </w:r>
            <w:r>
              <w:t>, reálně 15,6</w:t>
            </w:r>
            <w:r w:rsidR="00F118D5">
              <w:t> %</w:t>
            </w:r>
            <w:r>
              <w:t>).</w:t>
            </w:r>
          </w:p>
        </w:tc>
      </w:tr>
      <w:tr w:rsidR="00817FDA" w14:paraId="2469A6F7" w14:textId="77777777" w:rsidTr="00E503A5">
        <w:trPr>
          <w:trHeight w:val="145"/>
        </w:trPr>
        <w:tc>
          <w:tcPr>
            <w:tcW w:w="1813" w:type="dxa"/>
            <w:shd w:val="clear" w:color="auto" w:fill="auto"/>
          </w:tcPr>
          <w:p w14:paraId="658542B2" w14:textId="08399C12" w:rsidR="00817FDA" w:rsidRDefault="00817FDA" w:rsidP="00E503A5">
            <w:pPr>
              <w:pStyle w:val="Marginlie"/>
            </w:pPr>
            <w:r>
              <w:lastRenderedPageBreak/>
              <w:t xml:space="preserve">Investice do ostatních budov </w:t>
            </w:r>
            <w:r w:rsidR="001A33A3">
              <w:t>a </w:t>
            </w:r>
            <w:r>
              <w:t>staveb reálně klesly.</w:t>
            </w:r>
          </w:p>
        </w:tc>
        <w:tc>
          <w:tcPr>
            <w:tcW w:w="221" w:type="dxa"/>
            <w:shd w:val="clear" w:color="auto" w:fill="auto"/>
          </w:tcPr>
          <w:p w14:paraId="445C8FB7" w14:textId="77777777" w:rsidR="00817FDA" w:rsidRDefault="00817FDA" w:rsidP="00E503A5">
            <w:pPr>
              <w:pStyle w:val="Textpoznpodarou10"/>
              <w:jc w:val="both"/>
              <w:rPr>
                <w:spacing w:val="-4"/>
              </w:rPr>
            </w:pPr>
          </w:p>
        </w:tc>
        <w:tc>
          <w:tcPr>
            <w:tcW w:w="7610" w:type="dxa"/>
            <w:shd w:val="clear" w:color="auto" w:fill="auto"/>
          </w:tcPr>
          <w:p w14:paraId="2E022C49" w14:textId="30260B18" w:rsidR="00817FDA" w:rsidRDefault="00817FDA" w:rsidP="00E503A5">
            <w:r>
              <w:t xml:space="preserve">Výdaje na ostatní budovy </w:t>
            </w:r>
            <w:r w:rsidR="001A33A3">
              <w:t>a </w:t>
            </w:r>
            <w:r>
              <w:t>stavby loni dosáhly 359,5</w:t>
            </w:r>
            <w:r w:rsidR="00A21624">
              <w:t> mld.</w:t>
            </w:r>
            <w:r>
              <w:t xml:space="preserve"> korun </w:t>
            </w:r>
            <w:r w:rsidR="001A33A3">
              <w:t>a </w:t>
            </w:r>
            <w:r>
              <w:t xml:space="preserve">meziročně se zvýšily </w:t>
            </w:r>
            <w:r w:rsidR="001A33A3">
              <w:t>o </w:t>
            </w:r>
            <w:r>
              <w:t>11,8</w:t>
            </w:r>
            <w:r w:rsidR="00A21624">
              <w:t> mld.</w:t>
            </w:r>
            <w:r>
              <w:t>,</w:t>
            </w:r>
            <w:r w:rsidR="00F118D5">
              <w:t xml:space="preserve"> </w:t>
            </w:r>
            <w:r>
              <w:t xml:space="preserve">nominálně tak rostly třetím rokem. Reálně se ale investice v této oblasti snížily </w:t>
            </w:r>
            <w:r w:rsidR="001A33A3">
              <w:t>o </w:t>
            </w:r>
            <w:r>
              <w:t>3,1</w:t>
            </w:r>
            <w:r w:rsidR="00F118D5">
              <w:t> %</w:t>
            </w:r>
            <w:r>
              <w:rPr>
                <w:rStyle w:val="Znakapoznpodarou"/>
              </w:rPr>
              <w:footnoteReference w:id="10"/>
            </w:r>
            <w:r>
              <w:t xml:space="preserve">. Největšími investory jsou zde nefinanční podniky </w:t>
            </w:r>
            <w:r w:rsidR="001A33A3">
              <w:t>a </w:t>
            </w:r>
            <w:r>
              <w:t xml:space="preserve">také vládní instituce. Důležitou součástí této investiční kategorie jsou infrastrukturní stavby financované právě sektorem vládních institucí </w:t>
            </w:r>
            <w:r w:rsidR="001A33A3">
              <w:t>a </w:t>
            </w:r>
            <w:r>
              <w:t>napojené na evropské financování. To vnáší do dynamiky investic v posledních letech výraznou volatilitu odpovídající cyklu čerpání dotací</w:t>
            </w:r>
            <w:r>
              <w:rPr>
                <w:rStyle w:val="Znakapoznpodarou"/>
              </w:rPr>
              <w:footnoteReference w:id="11"/>
            </w:r>
            <w:r>
              <w:t xml:space="preserve">. Ostatní budovy </w:t>
            </w:r>
            <w:r w:rsidR="001A33A3">
              <w:t>a </w:t>
            </w:r>
            <w:r>
              <w:t>stavby jsou také položkou nejvýrazněji zasaženou krizovým vývojem po roce 2009 (série poklesů v letech 2009</w:t>
            </w:r>
            <w:r w:rsidR="00A21624">
              <w:t>–</w:t>
            </w:r>
            <w:r>
              <w:t xml:space="preserve">2014) </w:t>
            </w:r>
            <w:r w:rsidR="001A33A3">
              <w:t>a </w:t>
            </w:r>
            <w:r>
              <w:t xml:space="preserve">z většiny šlo </w:t>
            </w:r>
            <w:r w:rsidR="001A33A3">
              <w:t>o </w:t>
            </w:r>
            <w:r>
              <w:t>systematický pokles výdajů ze strany vládních institucí. Až loni tak byla překonána úroveň roku 2008.</w:t>
            </w:r>
          </w:p>
        </w:tc>
      </w:tr>
      <w:tr w:rsidR="00817FDA" w14:paraId="29BDC433" w14:textId="77777777" w:rsidTr="00E503A5">
        <w:trPr>
          <w:trHeight w:val="170"/>
        </w:trPr>
        <w:tc>
          <w:tcPr>
            <w:tcW w:w="1813" w:type="dxa"/>
            <w:vMerge w:val="restart"/>
            <w:shd w:val="clear" w:color="auto" w:fill="auto"/>
          </w:tcPr>
          <w:p w14:paraId="04371F49" w14:textId="77777777" w:rsidR="00817FDA" w:rsidRDefault="00817FDA" w:rsidP="00E503A5">
            <w:pPr>
              <w:pStyle w:val="Marginlie"/>
            </w:pPr>
          </w:p>
        </w:tc>
        <w:tc>
          <w:tcPr>
            <w:tcW w:w="221" w:type="dxa"/>
            <w:vMerge w:val="restart"/>
            <w:shd w:val="clear" w:color="auto" w:fill="auto"/>
          </w:tcPr>
          <w:p w14:paraId="51B7E6EB" w14:textId="77777777" w:rsidR="00817FDA" w:rsidRDefault="00817FDA" w:rsidP="00E503A5">
            <w:pPr>
              <w:pStyle w:val="Textpoznpodarou10"/>
              <w:jc w:val="both"/>
              <w:rPr>
                <w:spacing w:val="-4"/>
              </w:rPr>
            </w:pPr>
          </w:p>
        </w:tc>
        <w:tc>
          <w:tcPr>
            <w:tcW w:w="7610" w:type="dxa"/>
            <w:shd w:val="clear" w:color="auto" w:fill="auto"/>
          </w:tcPr>
          <w:p w14:paraId="1722B671" w14:textId="54E5DC60" w:rsidR="00817FDA" w:rsidRDefault="00817FDA" w:rsidP="00E503A5">
            <w:pPr>
              <w:spacing w:after="0"/>
            </w:pPr>
            <w:r w:rsidRPr="00B606BE">
              <w:rPr>
                <w:b/>
              </w:rPr>
              <w:t xml:space="preserve">Graf </w:t>
            </w:r>
            <w:r w:rsidR="00A21624" w:rsidRPr="00B606BE">
              <w:rPr>
                <w:b/>
              </w:rPr>
              <w:t>č. </w:t>
            </w:r>
            <w:r w:rsidR="001A33A3" w:rsidRPr="00B606BE">
              <w:rPr>
                <w:b/>
              </w:rPr>
              <w:t>5</w:t>
            </w:r>
            <w:r w:rsidR="001A480E">
              <w:rPr>
                <w:b/>
              </w:rPr>
              <w:t xml:space="preserve">  </w:t>
            </w:r>
            <w:r>
              <w:rPr>
                <w:b/>
              </w:rPr>
              <w:t xml:space="preserve">Tvorba hrubého fixního kapitálu </w:t>
            </w:r>
            <w:r w:rsidR="001A33A3">
              <w:rPr>
                <w:b/>
              </w:rPr>
              <w:t>a </w:t>
            </w:r>
            <w:r>
              <w:rPr>
                <w:b/>
              </w:rPr>
              <w:t xml:space="preserve">její věcná struktura </w:t>
            </w:r>
            <w:r w:rsidRPr="009313F9">
              <w:t>(</w:t>
            </w:r>
            <w:r>
              <w:t xml:space="preserve">běžné ceny, </w:t>
            </w:r>
            <w:r w:rsidRPr="009313F9">
              <w:t>meziroční změna v mld. korun)</w:t>
            </w:r>
          </w:p>
        </w:tc>
      </w:tr>
      <w:tr w:rsidR="00817FDA" w14:paraId="4DE3C6BC" w14:textId="77777777" w:rsidTr="00E503A5">
        <w:tblPrEx>
          <w:tblCellMar>
            <w:left w:w="70" w:type="dxa"/>
            <w:right w:w="70" w:type="dxa"/>
          </w:tblCellMar>
        </w:tblPrEx>
        <w:trPr>
          <w:trHeight w:val="170"/>
        </w:trPr>
        <w:tc>
          <w:tcPr>
            <w:tcW w:w="1813" w:type="dxa"/>
            <w:vMerge/>
            <w:shd w:val="clear" w:color="auto" w:fill="auto"/>
          </w:tcPr>
          <w:p w14:paraId="701CA660" w14:textId="77777777" w:rsidR="00817FDA" w:rsidRDefault="00817FDA" w:rsidP="00E503A5">
            <w:pPr>
              <w:pStyle w:val="Marginlie"/>
            </w:pPr>
          </w:p>
        </w:tc>
        <w:tc>
          <w:tcPr>
            <w:tcW w:w="221" w:type="dxa"/>
            <w:vMerge/>
            <w:shd w:val="clear" w:color="auto" w:fill="auto"/>
          </w:tcPr>
          <w:p w14:paraId="1627A684" w14:textId="77777777" w:rsidR="00817FDA" w:rsidRDefault="00817FDA" w:rsidP="00E503A5">
            <w:pPr>
              <w:pStyle w:val="Textpoznpodarou10"/>
              <w:jc w:val="both"/>
              <w:rPr>
                <w:spacing w:val="-4"/>
              </w:rPr>
            </w:pPr>
          </w:p>
        </w:tc>
        <w:tc>
          <w:tcPr>
            <w:tcW w:w="7610" w:type="dxa"/>
            <w:shd w:val="clear" w:color="auto" w:fill="auto"/>
          </w:tcPr>
          <w:p w14:paraId="0A2BD053" w14:textId="77777777" w:rsidR="00817FDA" w:rsidRDefault="00817FDA" w:rsidP="00E503A5">
            <w:pPr>
              <w:spacing w:after="0"/>
            </w:pPr>
            <w:r>
              <w:rPr>
                <w:noProof/>
              </w:rPr>
              <w:drawing>
                <wp:inline distT="0" distB="0" distL="0" distR="0" wp14:anchorId="44616EA3" wp14:editId="68DE4A64">
                  <wp:extent cx="4737600" cy="3553200"/>
                  <wp:effectExtent l="0" t="0" r="635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17FDA" w14:paraId="4B56433C" w14:textId="77777777" w:rsidTr="00E503A5">
        <w:trPr>
          <w:trHeight w:val="170"/>
        </w:trPr>
        <w:tc>
          <w:tcPr>
            <w:tcW w:w="1813" w:type="dxa"/>
            <w:vMerge/>
            <w:shd w:val="clear" w:color="auto" w:fill="auto"/>
          </w:tcPr>
          <w:p w14:paraId="364BF82F" w14:textId="77777777" w:rsidR="00817FDA" w:rsidRDefault="00817FDA" w:rsidP="00E503A5">
            <w:pPr>
              <w:pStyle w:val="Marginlie"/>
            </w:pPr>
          </w:p>
        </w:tc>
        <w:tc>
          <w:tcPr>
            <w:tcW w:w="221" w:type="dxa"/>
            <w:vMerge/>
            <w:shd w:val="clear" w:color="auto" w:fill="auto"/>
          </w:tcPr>
          <w:p w14:paraId="1B7CED68" w14:textId="77777777" w:rsidR="00817FDA" w:rsidRDefault="00817FDA" w:rsidP="00E503A5">
            <w:pPr>
              <w:pStyle w:val="Textpoznpodarou10"/>
              <w:jc w:val="both"/>
              <w:rPr>
                <w:spacing w:val="-4"/>
              </w:rPr>
            </w:pPr>
          </w:p>
        </w:tc>
        <w:tc>
          <w:tcPr>
            <w:tcW w:w="7610" w:type="dxa"/>
            <w:shd w:val="clear" w:color="auto" w:fill="auto"/>
          </w:tcPr>
          <w:p w14:paraId="22AC6974" w14:textId="77777777" w:rsidR="00817FDA" w:rsidRDefault="00817FDA" w:rsidP="00E503A5">
            <w:pPr>
              <w:rPr>
                <w:sz w:val="14"/>
                <w:szCs w:val="14"/>
              </w:rPr>
            </w:pPr>
            <w:r>
              <w:rPr>
                <w:sz w:val="14"/>
                <w:szCs w:val="14"/>
              </w:rPr>
              <w:t>Zdroj: ČSÚ</w:t>
            </w:r>
          </w:p>
        </w:tc>
      </w:tr>
      <w:tr w:rsidR="00817FDA" w14:paraId="40507B20" w14:textId="77777777" w:rsidTr="00E503A5">
        <w:trPr>
          <w:trHeight w:val="145"/>
        </w:trPr>
        <w:tc>
          <w:tcPr>
            <w:tcW w:w="1813" w:type="dxa"/>
            <w:shd w:val="clear" w:color="auto" w:fill="auto"/>
          </w:tcPr>
          <w:p w14:paraId="475E2233" w14:textId="4A0E3604" w:rsidR="00817FDA" w:rsidRDefault="00817FDA" w:rsidP="00E503A5">
            <w:pPr>
              <w:pStyle w:val="Marginlie"/>
            </w:pPr>
            <w:r>
              <w:t xml:space="preserve">Domácnosti </w:t>
            </w:r>
            <w:r w:rsidR="001A33A3">
              <w:t>i </w:t>
            </w:r>
            <w:r>
              <w:t>nadále posilovaly investice do obydlí.</w:t>
            </w:r>
          </w:p>
        </w:tc>
        <w:tc>
          <w:tcPr>
            <w:tcW w:w="221" w:type="dxa"/>
            <w:shd w:val="clear" w:color="auto" w:fill="auto"/>
          </w:tcPr>
          <w:p w14:paraId="0152CA5C" w14:textId="77777777" w:rsidR="00817FDA" w:rsidRDefault="00817FDA" w:rsidP="00E503A5">
            <w:pPr>
              <w:pStyle w:val="Textpoznpodarou10"/>
              <w:jc w:val="both"/>
              <w:rPr>
                <w:spacing w:val="-4"/>
              </w:rPr>
            </w:pPr>
          </w:p>
        </w:tc>
        <w:tc>
          <w:tcPr>
            <w:tcW w:w="7610" w:type="dxa"/>
            <w:shd w:val="clear" w:color="auto" w:fill="auto"/>
          </w:tcPr>
          <w:p w14:paraId="6029D801" w14:textId="59D6814E" w:rsidR="00817FDA" w:rsidRDefault="00817FDA" w:rsidP="00E503A5">
            <w:r>
              <w:t xml:space="preserve">Nominální </w:t>
            </w:r>
            <w:r w:rsidR="001A33A3">
              <w:t>i </w:t>
            </w:r>
            <w:r>
              <w:t xml:space="preserve">reálný růst investic do obydlí loni posílil. Celkem zde výdaje dosáhly 259,7 mld. korun </w:t>
            </w:r>
            <w:r w:rsidR="001A33A3">
              <w:t>a </w:t>
            </w:r>
            <w:r>
              <w:t xml:space="preserve">zvýšily se </w:t>
            </w:r>
            <w:r w:rsidR="001A33A3">
              <w:t>o </w:t>
            </w:r>
            <w:r>
              <w:t>26,5</w:t>
            </w:r>
            <w:r w:rsidR="00A21624">
              <w:t> mld.</w:t>
            </w:r>
            <w:r>
              <w:t xml:space="preserve"> Reálný přírůstek činil 7,1</w:t>
            </w:r>
            <w:r w:rsidR="00F118D5">
              <w:t> %</w:t>
            </w:r>
            <w:r>
              <w:t>. Podíl investic do obydlí na celkové tvorbě hrubého fixního kapitálu se loni zvýšil na 17,2</w:t>
            </w:r>
            <w:r w:rsidR="00F118D5">
              <w:t> %</w:t>
            </w:r>
            <w:r>
              <w:t>, nejvíce za celou dobu samostatné</w:t>
            </w:r>
            <w:r w:rsidR="00E972B3">
              <w:t> </w:t>
            </w:r>
            <w:r>
              <w:t>ČR. Přírůstek investičních výdajů na obydlí loni na rozdíl od předchozích let odpovídal výši</w:t>
            </w:r>
            <w:r w:rsidR="00E972B3">
              <w:t xml:space="preserve"> </w:t>
            </w:r>
            <w:r>
              <w:t xml:space="preserve">přírůstku výdajů domácností, hlavního investora v této oblasti. Ačkoli se domácnosti potýkaly s pokračujícím silným růstem cen nemovitostí, převážil </w:t>
            </w:r>
            <w:r w:rsidR="001A33A3">
              <w:t>u </w:t>
            </w:r>
            <w:r>
              <w:t xml:space="preserve">nich silný růst mzdových příjmů </w:t>
            </w:r>
            <w:r w:rsidR="001A33A3">
              <w:t>a </w:t>
            </w:r>
            <w:r>
              <w:t>svou investiční aktivitu neomezovaly. Z údajů ČNB vyplývá, že průměrná hodnota hypoteční smlouvy na obydlí v posledních letech výrazně rostla</w:t>
            </w:r>
            <w:r>
              <w:rPr>
                <w:rStyle w:val="Znakapoznpodarou"/>
              </w:rPr>
              <w:footnoteReference w:id="12"/>
            </w:r>
            <w:r>
              <w:t>.</w:t>
            </w:r>
          </w:p>
        </w:tc>
      </w:tr>
      <w:tr w:rsidR="00817FDA" w14:paraId="7E001B90" w14:textId="77777777" w:rsidTr="00E503A5">
        <w:trPr>
          <w:trHeight w:val="145"/>
        </w:trPr>
        <w:tc>
          <w:tcPr>
            <w:tcW w:w="1813" w:type="dxa"/>
            <w:shd w:val="clear" w:color="auto" w:fill="auto"/>
          </w:tcPr>
          <w:p w14:paraId="6A905AFB" w14:textId="6FF13921" w:rsidR="00817FDA" w:rsidRDefault="00817FDA" w:rsidP="00E503A5">
            <w:pPr>
              <w:pStyle w:val="Marginlie"/>
            </w:pPr>
            <w:r>
              <w:lastRenderedPageBreak/>
              <w:t>Investice do produktů duševního vlastnictví výrazně posilují již několik let.</w:t>
            </w:r>
          </w:p>
        </w:tc>
        <w:tc>
          <w:tcPr>
            <w:tcW w:w="221" w:type="dxa"/>
            <w:shd w:val="clear" w:color="auto" w:fill="auto"/>
          </w:tcPr>
          <w:p w14:paraId="3EFF3FA7" w14:textId="77777777" w:rsidR="00817FDA" w:rsidRDefault="00817FDA" w:rsidP="00E503A5">
            <w:pPr>
              <w:pStyle w:val="Textpoznpodarou10"/>
              <w:jc w:val="both"/>
              <w:rPr>
                <w:spacing w:val="-4"/>
              </w:rPr>
            </w:pPr>
          </w:p>
        </w:tc>
        <w:tc>
          <w:tcPr>
            <w:tcW w:w="7610" w:type="dxa"/>
            <w:shd w:val="clear" w:color="auto" w:fill="auto"/>
          </w:tcPr>
          <w:p w14:paraId="6139B5CB" w14:textId="1956BEB6" w:rsidR="00817FDA" w:rsidRDefault="00817FDA" w:rsidP="00E503A5">
            <w:r>
              <w:t>Investice do produktů duševního vlastnictví loni činily 277,1</w:t>
            </w:r>
            <w:r w:rsidR="00A21624">
              <w:t> mld.</w:t>
            </w:r>
            <w:r>
              <w:t xml:space="preserve"> korun </w:t>
            </w:r>
            <w:r w:rsidR="001A33A3">
              <w:t>a </w:t>
            </w:r>
            <w:r>
              <w:t xml:space="preserve">meziročně se zvýšily </w:t>
            </w:r>
            <w:r w:rsidR="001A33A3">
              <w:t>o </w:t>
            </w:r>
            <w:r>
              <w:t>24,9</w:t>
            </w:r>
            <w:r w:rsidR="00A21624">
              <w:t> mld.</w:t>
            </w:r>
            <w:r>
              <w:t xml:space="preserve"> Reálné navýšení dosáhlo 6,4</w:t>
            </w:r>
            <w:r w:rsidR="00F118D5">
              <w:t> %</w:t>
            </w:r>
            <w:r>
              <w:t xml:space="preserve">. Přírůstek ve srovnání s rokem 2018 oslabil, stále ale zůstal </w:t>
            </w:r>
            <w:r w:rsidR="001A33A3">
              <w:t>i </w:t>
            </w:r>
            <w:r>
              <w:t xml:space="preserve">ve srovnání s celkovým tempem investiční aktivity poměrně silný. Investice do produktů duševního vlastnictví narůstají dlouhodobě </w:t>
            </w:r>
            <w:r w:rsidR="001A33A3">
              <w:t>a </w:t>
            </w:r>
            <w:r>
              <w:t>stojí za</w:t>
            </w:r>
            <w:r w:rsidR="008E2830">
              <w:t> </w:t>
            </w:r>
            <w:r>
              <w:t xml:space="preserve">tím zejména software </w:t>
            </w:r>
            <w:r w:rsidR="001A33A3">
              <w:t>a </w:t>
            </w:r>
            <w:r>
              <w:t>databáze (+10,1</w:t>
            </w:r>
            <w:r w:rsidR="00A21624">
              <w:t> mld.</w:t>
            </w:r>
            <w:r>
              <w:t xml:space="preserve"> korun v roce 2019). Zároveň je patrné, že je tento druh investic důležitý </w:t>
            </w:r>
            <w:r w:rsidR="001A33A3">
              <w:t>a </w:t>
            </w:r>
            <w:r>
              <w:t xml:space="preserve">roste ve všech sektorech. Loni ještě více k růstu investic do produktů duševního vlastnictví přispíval </w:t>
            </w:r>
            <w:r w:rsidR="001A33A3">
              <w:t>i </w:t>
            </w:r>
            <w:r>
              <w:t xml:space="preserve">výzkum </w:t>
            </w:r>
            <w:r w:rsidR="001A33A3">
              <w:t>a </w:t>
            </w:r>
            <w:r>
              <w:t>vývoj (+14,1</w:t>
            </w:r>
            <w:r w:rsidR="00A21624">
              <w:t> mld.</w:t>
            </w:r>
            <w:r>
              <w:t xml:space="preserve">). Zde ale šlo </w:t>
            </w:r>
            <w:r w:rsidR="001A33A3">
              <w:t>o </w:t>
            </w:r>
            <w:r>
              <w:t xml:space="preserve">výjimečně silný přírůstek. Dynamika výdajů na výzkum </w:t>
            </w:r>
            <w:r w:rsidR="001A33A3">
              <w:t>a </w:t>
            </w:r>
            <w:r>
              <w:t xml:space="preserve">vývoj v posledních letech není tak silná </w:t>
            </w:r>
            <w:r w:rsidR="001A33A3">
              <w:t>a </w:t>
            </w:r>
            <w:r>
              <w:t xml:space="preserve">stabilní jako </w:t>
            </w:r>
            <w:r w:rsidR="001A33A3">
              <w:t>u </w:t>
            </w:r>
            <w:r>
              <w:t xml:space="preserve">softwaru </w:t>
            </w:r>
            <w:r w:rsidR="001A33A3">
              <w:t>a </w:t>
            </w:r>
            <w:r>
              <w:t>databází.</w:t>
            </w:r>
          </w:p>
        </w:tc>
      </w:tr>
    </w:tbl>
    <w:p w14:paraId="652E55F3" w14:textId="77777777" w:rsidR="00817FDA" w:rsidRDefault="00817FDA" w:rsidP="00817FDA">
      <w:pPr>
        <w:pStyle w:val="Nadpis210"/>
      </w:pPr>
    </w:p>
    <w:p w14:paraId="3DA4482F" w14:textId="77777777" w:rsidR="00D85980" w:rsidRDefault="00D85980">
      <w:pPr>
        <w:spacing w:after="0" w:line="240" w:lineRule="auto"/>
        <w:jc w:val="left"/>
      </w:pPr>
      <w:r>
        <w:br w:type="page"/>
      </w:r>
    </w:p>
    <w:p w14:paraId="6272050B" w14:textId="77777777" w:rsidR="00744EE6" w:rsidRDefault="00744EE6" w:rsidP="00744EE6">
      <w:pPr>
        <w:pStyle w:val="Nadpis1"/>
      </w:pPr>
      <w:bookmarkStart w:id="6" w:name="_Toc48549434"/>
      <w:r>
        <w:lastRenderedPageBreak/>
        <w:t>Institucionální sektory</w:t>
      </w:r>
      <w:bookmarkEnd w:id="6"/>
    </w:p>
    <w:p w14:paraId="4B386C42" w14:textId="0BFF1CBD" w:rsidR="000979EC" w:rsidRDefault="00A21624" w:rsidP="000979EC">
      <w:pPr>
        <w:pStyle w:val="Nadpis110"/>
      </w:pPr>
      <w:bookmarkStart w:id="7" w:name="_Toc48549435"/>
      <w:r>
        <w:t>5. </w:t>
      </w:r>
      <w:r w:rsidR="000979EC">
        <w:t>Nefinanční podniky</w:t>
      </w:r>
      <w:bookmarkEnd w:id="7"/>
    </w:p>
    <w:tbl>
      <w:tblPr>
        <w:tblW w:w="9644" w:type="dxa"/>
        <w:tblInd w:w="-15" w:type="dxa"/>
        <w:tblCellMar>
          <w:left w:w="0" w:type="dxa"/>
          <w:right w:w="0" w:type="dxa"/>
        </w:tblCellMar>
        <w:tblLook w:val="00A0" w:firstRow="1" w:lastRow="0" w:firstColumn="1" w:lastColumn="0" w:noHBand="0" w:noVBand="0"/>
      </w:tblPr>
      <w:tblGrid>
        <w:gridCol w:w="1805"/>
        <w:gridCol w:w="229"/>
        <w:gridCol w:w="7610"/>
      </w:tblGrid>
      <w:tr w:rsidR="000979EC" w14:paraId="41885076" w14:textId="77777777" w:rsidTr="00E503A5">
        <w:trPr>
          <w:trHeight w:val="145"/>
        </w:trPr>
        <w:tc>
          <w:tcPr>
            <w:tcW w:w="1805" w:type="dxa"/>
            <w:shd w:val="clear" w:color="auto" w:fill="auto"/>
          </w:tcPr>
          <w:p w14:paraId="4E9E0415" w14:textId="77777777" w:rsidR="000979EC" w:rsidRDefault="000979EC" w:rsidP="00E503A5">
            <w:pPr>
              <w:pStyle w:val="Marginlie"/>
            </w:pPr>
            <w:r>
              <w:t>Nominální přírůstek hrubé přidané hodnoty nefinančních podniků posílil.</w:t>
            </w:r>
          </w:p>
        </w:tc>
        <w:tc>
          <w:tcPr>
            <w:tcW w:w="229" w:type="dxa"/>
            <w:shd w:val="clear" w:color="auto" w:fill="auto"/>
          </w:tcPr>
          <w:p w14:paraId="1F0F66E2" w14:textId="77777777" w:rsidR="000979EC" w:rsidRDefault="000979EC" w:rsidP="00E503A5">
            <w:pPr>
              <w:pStyle w:val="Textpoznpodarou10"/>
              <w:jc w:val="both"/>
              <w:rPr>
                <w:spacing w:val="-4"/>
              </w:rPr>
            </w:pPr>
          </w:p>
        </w:tc>
        <w:tc>
          <w:tcPr>
            <w:tcW w:w="7610" w:type="dxa"/>
            <w:shd w:val="clear" w:color="auto" w:fill="auto"/>
          </w:tcPr>
          <w:p w14:paraId="2CEAA9FE" w14:textId="73717459" w:rsidR="000979EC" w:rsidRDefault="000979EC" w:rsidP="00E503A5">
            <w:r>
              <w:t>Hrubá přidaná hodnota sektoru nefinančních podniků v roce 2019 dosáhla 3 205,4 mld. korun</w:t>
            </w:r>
            <w:r>
              <w:rPr>
                <w:rStyle w:val="Znakapoznpodarou"/>
              </w:rPr>
              <w:footnoteReference w:id="13"/>
            </w:r>
            <w:r>
              <w:t xml:space="preserve"> </w:t>
            </w:r>
            <w:r w:rsidR="001A33A3">
              <w:t>a </w:t>
            </w:r>
            <w:r>
              <w:t xml:space="preserve">meziročně se zvýšila </w:t>
            </w:r>
            <w:r w:rsidR="001A33A3">
              <w:t>o </w:t>
            </w:r>
            <w:r>
              <w:t>182,1</w:t>
            </w:r>
            <w:r w:rsidR="00A21624">
              <w:t> mld.</w:t>
            </w:r>
            <w:r>
              <w:t xml:space="preserve"> Nefinanční podniky se na celkové tvorbě hrubé přidané hodnoty podílely 61,8</w:t>
            </w:r>
            <w:r w:rsidR="00F118D5">
              <w:t> %</w:t>
            </w:r>
            <w:r>
              <w:t xml:space="preserve">. Nominální růst HPH výrazně posílil. Reálně se HPH nefinančních podniků zvýšila </w:t>
            </w:r>
            <w:r w:rsidR="001A33A3">
              <w:t>o </w:t>
            </w:r>
            <w:r>
              <w:t>1,8</w:t>
            </w:r>
            <w:r w:rsidR="00F118D5">
              <w:t> %</w:t>
            </w:r>
            <w:r>
              <w:rPr>
                <w:rStyle w:val="Znakapoznpodarou"/>
              </w:rPr>
              <w:footnoteReference w:id="14"/>
            </w:r>
            <w:r>
              <w:t>. Zaměstnanost v sektoru činila 3 264,8</w:t>
            </w:r>
            <w:r w:rsidR="00BF6EE6">
              <w:t> </w:t>
            </w:r>
            <w:r>
              <w:t>tisíce osob</w:t>
            </w:r>
            <w:r>
              <w:rPr>
                <w:rStyle w:val="Znakapoznpodarou"/>
              </w:rPr>
              <w:footnoteReference w:id="15"/>
            </w:r>
            <w:r>
              <w:t xml:space="preserve"> </w:t>
            </w:r>
            <w:r w:rsidR="001A33A3">
              <w:t>a </w:t>
            </w:r>
            <w:r>
              <w:t xml:space="preserve">meziročně se zvýšila </w:t>
            </w:r>
            <w:r w:rsidR="001A33A3">
              <w:t>o </w:t>
            </w:r>
            <w:r>
              <w:t>24,</w:t>
            </w:r>
            <w:r w:rsidR="00A21624">
              <w:t>9 </w:t>
            </w:r>
            <w:r>
              <w:t>tisíce (0,8</w:t>
            </w:r>
            <w:r w:rsidR="00F118D5">
              <w:t> %</w:t>
            </w:r>
            <w:r>
              <w:t xml:space="preserve">), nejméně od roku 2011, kdy zaměstnanost v sektoru naposledy klesla. Růst zaměstnanosti je již osm let nad celkovým průměrem v ekonomice, což může souviset </w:t>
            </w:r>
            <w:r w:rsidR="001A33A3">
              <w:t>i </w:t>
            </w:r>
            <w:r>
              <w:t xml:space="preserve">s přesunem zaměstnaných ze sektoru domácností (ty zahrnují </w:t>
            </w:r>
            <w:r w:rsidR="001A33A3">
              <w:t>i </w:t>
            </w:r>
            <w:r>
              <w:t>drobné podnikatele) právě k nefinančním podnikům. Objem náhrad vyplacených nefinančními podniky loni dosáhl 1 796,9</w:t>
            </w:r>
            <w:r w:rsidR="00A21624">
              <w:t> mld.</w:t>
            </w:r>
            <w:r>
              <w:t xml:space="preserve"> korun </w:t>
            </w:r>
            <w:r w:rsidR="001A33A3">
              <w:t>a </w:t>
            </w:r>
            <w:r>
              <w:t>tvořil 70,2</w:t>
            </w:r>
            <w:r w:rsidR="00F118D5">
              <w:t> %</w:t>
            </w:r>
            <w:r>
              <w:t xml:space="preserve"> celkových náhrad v ekonomice. Výdaje na tvorbu hrubého fixního kapitálu loni dosáhly 933,3</w:t>
            </w:r>
            <w:r w:rsidR="00A21624">
              <w:t> mld.</w:t>
            </w:r>
            <w:r>
              <w:t xml:space="preserve"> korun </w:t>
            </w:r>
            <w:r w:rsidR="001A33A3">
              <w:t>a </w:t>
            </w:r>
            <w:r>
              <w:t xml:space="preserve">zvýšily se </w:t>
            </w:r>
            <w:r w:rsidR="001A33A3">
              <w:t>o </w:t>
            </w:r>
            <w:r>
              <w:t>55,2</w:t>
            </w:r>
            <w:r w:rsidR="00A21624">
              <w:t> mld.</w:t>
            </w:r>
            <w:r>
              <w:t xml:space="preserve"> Nefinanční podniky byly zodpovědné za 61,9</w:t>
            </w:r>
            <w:r w:rsidR="00F118D5">
              <w:t> %</w:t>
            </w:r>
            <w:r>
              <w:t xml:space="preserve"> investic v národním hospodářství.</w:t>
            </w:r>
          </w:p>
        </w:tc>
      </w:tr>
      <w:tr w:rsidR="000979EC" w14:paraId="19E0B505" w14:textId="77777777" w:rsidTr="00E503A5">
        <w:tc>
          <w:tcPr>
            <w:tcW w:w="1805" w:type="dxa"/>
            <w:vMerge w:val="restart"/>
            <w:shd w:val="clear" w:color="auto" w:fill="auto"/>
          </w:tcPr>
          <w:p w14:paraId="25839AE2" w14:textId="77777777" w:rsidR="000979EC" w:rsidRDefault="000979EC" w:rsidP="00E503A5">
            <w:pPr>
              <w:pStyle w:val="Marginlie"/>
            </w:pPr>
          </w:p>
        </w:tc>
        <w:tc>
          <w:tcPr>
            <w:tcW w:w="229" w:type="dxa"/>
            <w:vMerge w:val="restart"/>
            <w:shd w:val="clear" w:color="auto" w:fill="auto"/>
          </w:tcPr>
          <w:p w14:paraId="44D985AD" w14:textId="77777777" w:rsidR="000979EC" w:rsidRDefault="000979EC" w:rsidP="00E503A5">
            <w:pPr>
              <w:pStyle w:val="Textpoznpodarou10"/>
              <w:jc w:val="both"/>
              <w:rPr>
                <w:spacing w:val="-4"/>
              </w:rPr>
            </w:pPr>
          </w:p>
        </w:tc>
        <w:tc>
          <w:tcPr>
            <w:tcW w:w="7610" w:type="dxa"/>
            <w:shd w:val="clear" w:color="auto" w:fill="auto"/>
          </w:tcPr>
          <w:p w14:paraId="67EA12D0" w14:textId="015049D6" w:rsidR="000979EC" w:rsidRDefault="000979EC" w:rsidP="00E503A5">
            <w:pPr>
              <w:spacing w:after="0"/>
              <w:rPr>
                <w:b/>
              </w:rPr>
            </w:pPr>
            <w:r w:rsidRPr="00B606BE">
              <w:rPr>
                <w:b/>
              </w:rPr>
              <w:t xml:space="preserve">Graf </w:t>
            </w:r>
            <w:r w:rsidR="00A21624" w:rsidRPr="00B606BE">
              <w:rPr>
                <w:b/>
              </w:rPr>
              <w:t>č. </w:t>
            </w:r>
            <w:r w:rsidR="001A33A3" w:rsidRPr="00B606BE">
              <w:rPr>
                <w:b/>
              </w:rPr>
              <w:t>6</w:t>
            </w:r>
            <w:r w:rsidR="001A480E">
              <w:rPr>
                <w:b/>
              </w:rPr>
              <w:t xml:space="preserve">  </w:t>
            </w:r>
            <w:r>
              <w:rPr>
                <w:b/>
              </w:rPr>
              <w:t xml:space="preserve">Hrubá přidaná hodnota nefinančních podniků </w:t>
            </w:r>
            <w:r w:rsidRPr="00AA4429">
              <w:t>(meziroční změna v mld. korun)</w:t>
            </w:r>
          </w:p>
        </w:tc>
      </w:tr>
      <w:tr w:rsidR="000979EC" w14:paraId="62222606" w14:textId="77777777" w:rsidTr="00E503A5">
        <w:tblPrEx>
          <w:tblCellMar>
            <w:left w:w="70" w:type="dxa"/>
            <w:right w:w="70" w:type="dxa"/>
          </w:tblCellMar>
        </w:tblPrEx>
        <w:trPr>
          <w:trHeight w:val="170"/>
        </w:trPr>
        <w:tc>
          <w:tcPr>
            <w:tcW w:w="1805" w:type="dxa"/>
            <w:vMerge/>
            <w:shd w:val="clear" w:color="auto" w:fill="auto"/>
          </w:tcPr>
          <w:p w14:paraId="5C8D332B" w14:textId="77777777" w:rsidR="000979EC" w:rsidRDefault="000979EC" w:rsidP="00E503A5">
            <w:pPr>
              <w:pStyle w:val="Marginlie"/>
            </w:pPr>
          </w:p>
        </w:tc>
        <w:tc>
          <w:tcPr>
            <w:tcW w:w="229" w:type="dxa"/>
            <w:vMerge/>
            <w:shd w:val="clear" w:color="auto" w:fill="auto"/>
          </w:tcPr>
          <w:p w14:paraId="2FF0D4DC" w14:textId="77777777" w:rsidR="000979EC" w:rsidRDefault="000979EC" w:rsidP="00E503A5">
            <w:pPr>
              <w:pStyle w:val="Textpoznpodarou10"/>
              <w:jc w:val="both"/>
              <w:rPr>
                <w:spacing w:val="-4"/>
              </w:rPr>
            </w:pPr>
          </w:p>
        </w:tc>
        <w:tc>
          <w:tcPr>
            <w:tcW w:w="7610" w:type="dxa"/>
            <w:shd w:val="clear" w:color="auto" w:fill="auto"/>
          </w:tcPr>
          <w:p w14:paraId="4522C667" w14:textId="77777777" w:rsidR="000979EC" w:rsidRDefault="000979EC" w:rsidP="00E503A5">
            <w:pPr>
              <w:spacing w:after="0"/>
            </w:pPr>
            <w:r>
              <w:rPr>
                <w:noProof/>
              </w:rPr>
              <w:drawing>
                <wp:inline distT="0" distB="0" distL="0" distR="0" wp14:anchorId="32D8BCBD" wp14:editId="3FCD7368">
                  <wp:extent cx="4737600" cy="35532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979EC" w14:paraId="473D7AB6" w14:textId="77777777" w:rsidTr="00E503A5">
        <w:trPr>
          <w:trHeight w:val="170"/>
        </w:trPr>
        <w:tc>
          <w:tcPr>
            <w:tcW w:w="1805" w:type="dxa"/>
            <w:vMerge/>
            <w:shd w:val="clear" w:color="auto" w:fill="auto"/>
          </w:tcPr>
          <w:p w14:paraId="53198E64" w14:textId="77777777" w:rsidR="000979EC" w:rsidRDefault="000979EC" w:rsidP="00E503A5">
            <w:pPr>
              <w:pStyle w:val="Marginlie"/>
            </w:pPr>
          </w:p>
        </w:tc>
        <w:tc>
          <w:tcPr>
            <w:tcW w:w="229" w:type="dxa"/>
            <w:vMerge/>
            <w:shd w:val="clear" w:color="auto" w:fill="auto"/>
          </w:tcPr>
          <w:p w14:paraId="167886D8" w14:textId="77777777" w:rsidR="000979EC" w:rsidRDefault="000979EC" w:rsidP="00E503A5">
            <w:pPr>
              <w:pStyle w:val="Textpoznpodarou10"/>
              <w:jc w:val="both"/>
              <w:rPr>
                <w:spacing w:val="-4"/>
              </w:rPr>
            </w:pPr>
          </w:p>
        </w:tc>
        <w:tc>
          <w:tcPr>
            <w:tcW w:w="7610" w:type="dxa"/>
            <w:shd w:val="clear" w:color="auto" w:fill="auto"/>
          </w:tcPr>
          <w:p w14:paraId="28D9D141" w14:textId="77777777" w:rsidR="000979EC" w:rsidRDefault="000979EC" w:rsidP="00E503A5">
            <w:pPr>
              <w:rPr>
                <w:sz w:val="14"/>
                <w:szCs w:val="14"/>
              </w:rPr>
            </w:pPr>
            <w:r>
              <w:rPr>
                <w:sz w:val="14"/>
                <w:szCs w:val="14"/>
              </w:rPr>
              <w:t>Zdroj: ČSÚ</w:t>
            </w:r>
          </w:p>
        </w:tc>
      </w:tr>
      <w:tr w:rsidR="000979EC" w14:paraId="54AABF6E" w14:textId="77777777" w:rsidTr="00E503A5">
        <w:trPr>
          <w:trHeight w:val="145"/>
        </w:trPr>
        <w:tc>
          <w:tcPr>
            <w:tcW w:w="1805" w:type="dxa"/>
            <w:shd w:val="clear" w:color="auto" w:fill="auto"/>
          </w:tcPr>
          <w:p w14:paraId="1C9978A1" w14:textId="12B2D6E9" w:rsidR="000979EC" w:rsidRDefault="000979EC" w:rsidP="00E503A5">
            <w:pPr>
              <w:pStyle w:val="Marginlie"/>
            </w:pPr>
            <w:r>
              <w:t xml:space="preserve">Dařilo se zejména výrobě motorových vozidel </w:t>
            </w:r>
            <w:r w:rsidR="001A33A3">
              <w:t>a </w:t>
            </w:r>
            <w:r>
              <w:t>navazujícím oborům.</w:t>
            </w:r>
          </w:p>
        </w:tc>
        <w:tc>
          <w:tcPr>
            <w:tcW w:w="229" w:type="dxa"/>
            <w:shd w:val="clear" w:color="auto" w:fill="auto"/>
          </w:tcPr>
          <w:p w14:paraId="46B56A2A" w14:textId="77777777" w:rsidR="000979EC" w:rsidRDefault="000979EC" w:rsidP="00E503A5">
            <w:pPr>
              <w:pStyle w:val="Textpoznpodarou10"/>
              <w:jc w:val="both"/>
              <w:rPr>
                <w:spacing w:val="-4"/>
              </w:rPr>
            </w:pPr>
          </w:p>
        </w:tc>
        <w:tc>
          <w:tcPr>
            <w:tcW w:w="7610" w:type="dxa"/>
            <w:shd w:val="clear" w:color="auto" w:fill="auto"/>
          </w:tcPr>
          <w:p w14:paraId="38B6B782" w14:textId="70A430C1" w:rsidR="000979EC" w:rsidRDefault="000979EC" w:rsidP="00E503A5">
            <w:r>
              <w:t xml:space="preserve">Až do roku 2016 měla </w:t>
            </w:r>
            <w:r w:rsidR="001A33A3">
              <w:t>v </w:t>
            </w:r>
            <w:r>
              <w:t>české ekonomice největší podíl na HPH nefinančních podniků průmyslová odvětví</w:t>
            </w:r>
            <w:r>
              <w:rPr>
                <w:rStyle w:val="Znakapoznpodarou"/>
              </w:rPr>
              <w:footnoteReference w:id="16"/>
            </w:r>
            <w:r>
              <w:t xml:space="preserve">. V posledních třech letech ale došlo k posílení služeb, které čerpaly z rostoucích příjmů </w:t>
            </w:r>
            <w:r w:rsidR="001A33A3">
              <w:t>a </w:t>
            </w:r>
            <w:r>
              <w:t xml:space="preserve">poptávky domácích spotřebitelů. Průmyslová odvětví ale loni nadále výrazně přispívala k růstu HPH. Jejich hrubá přidaná hodnota se loni zvýšila </w:t>
            </w:r>
            <w:r w:rsidR="001A33A3">
              <w:t>o </w:t>
            </w:r>
            <w:r>
              <w:t>65,9</w:t>
            </w:r>
            <w:r w:rsidR="00A21624">
              <w:t> mld.</w:t>
            </w:r>
            <w:r>
              <w:t xml:space="preserve"> korun </w:t>
            </w:r>
            <w:r w:rsidR="001A33A3">
              <w:t>a </w:t>
            </w:r>
            <w:r>
              <w:t>přírůstek podstatně zrychlil oproti předchozímu roku. Důvodem byl zejména příznivý vývoj ve výrobě motorových vozidel (+17,6</w:t>
            </w:r>
            <w:r w:rsidR="00A21624">
              <w:t> mld.</w:t>
            </w:r>
            <w:r>
              <w:t xml:space="preserve"> korun). Dařilo se tím pádem </w:t>
            </w:r>
            <w:r w:rsidR="001A33A3">
              <w:t>i </w:t>
            </w:r>
            <w:r>
              <w:t xml:space="preserve">odvětvím, která jsou na výrobu motorových vozidel navázána – výroba </w:t>
            </w:r>
            <w:r>
              <w:lastRenderedPageBreak/>
              <w:t xml:space="preserve">pryžových </w:t>
            </w:r>
            <w:r w:rsidR="001A33A3">
              <w:t>a </w:t>
            </w:r>
            <w:r>
              <w:t>plastových výrobků (+5,8</w:t>
            </w:r>
            <w:r w:rsidR="00A21624">
              <w:t> mld.</w:t>
            </w:r>
            <w:r>
              <w:t xml:space="preserve">) </w:t>
            </w:r>
            <w:r w:rsidR="001A33A3">
              <w:t>a </w:t>
            </w:r>
            <w:r>
              <w:t>elektrických zařízení (+5,7</w:t>
            </w:r>
            <w:r w:rsidR="00A21624">
              <w:t> mld.</w:t>
            </w:r>
            <w:r>
              <w:t xml:space="preserve"> korun). V rámci zpracovatelského průmyslu výrazně rostla HPH také ve výrobě kovových konstrukcí </w:t>
            </w:r>
            <w:r w:rsidR="001A33A3">
              <w:t>a </w:t>
            </w:r>
            <w:r>
              <w:t>kovodělných výrobků (+9,0</w:t>
            </w:r>
            <w:r w:rsidR="00A21624">
              <w:t> mld.</w:t>
            </w:r>
            <w:r>
              <w:t xml:space="preserve"> korun). Ve zpracovatelském průmyslu došlo loni k meziročnímu nominálnímu poklesu HPH jen ve</w:t>
            </w:r>
            <w:r w:rsidR="00BB4AF6">
              <w:t xml:space="preserve"> </w:t>
            </w:r>
            <w:r>
              <w:t xml:space="preserve">výrobě počítačů, elektronických </w:t>
            </w:r>
            <w:r w:rsidR="001A33A3">
              <w:t>a </w:t>
            </w:r>
            <w:r>
              <w:t>optických přístrojů (</w:t>
            </w:r>
            <w:r w:rsidR="00A21624">
              <w:t>–</w:t>
            </w:r>
            <w:r>
              <w:t>6,3</w:t>
            </w:r>
            <w:r w:rsidR="00A21624">
              <w:t> mld.</w:t>
            </w:r>
            <w:r>
              <w:t xml:space="preserve"> korun), </w:t>
            </w:r>
            <w:r w:rsidR="001A33A3">
              <w:t>u </w:t>
            </w:r>
            <w:r>
              <w:t xml:space="preserve">výroby základních kovů, hutnictví </w:t>
            </w:r>
            <w:r w:rsidR="001A33A3">
              <w:t>a </w:t>
            </w:r>
            <w:r>
              <w:t>slévárenství (</w:t>
            </w:r>
            <w:r w:rsidR="00A21624">
              <w:t>–</w:t>
            </w:r>
            <w:r>
              <w:t>2,7</w:t>
            </w:r>
            <w:r w:rsidR="00A21624">
              <w:t> mld.</w:t>
            </w:r>
            <w:r>
              <w:t xml:space="preserve">) </w:t>
            </w:r>
            <w:r w:rsidR="001A33A3">
              <w:t>a </w:t>
            </w:r>
            <w:r>
              <w:t>ve výrobě textili</w:t>
            </w:r>
            <w:r w:rsidR="00BB4AF6">
              <w:t>í</w:t>
            </w:r>
            <w:r>
              <w:t xml:space="preserve"> (</w:t>
            </w:r>
            <w:r w:rsidR="00A21624">
              <w:t>–</w:t>
            </w:r>
            <w:r>
              <w:t>0,2</w:t>
            </w:r>
            <w:r w:rsidR="00A21624">
              <w:t> mld.</w:t>
            </w:r>
            <w:r>
              <w:t xml:space="preserve"> korun). K celkovému nominálnímu navýšení výrazně přispěl přírůstek HPH ve výrobě </w:t>
            </w:r>
            <w:r w:rsidR="001A33A3">
              <w:t>a </w:t>
            </w:r>
            <w:r>
              <w:t xml:space="preserve">rozvodu elektřiny, plynu, tepla </w:t>
            </w:r>
            <w:r w:rsidR="001A33A3">
              <w:t>a </w:t>
            </w:r>
            <w:r>
              <w:t>klimatizovaného vzduchu (+12,1</w:t>
            </w:r>
            <w:r w:rsidR="00A21624">
              <w:t> mld.</w:t>
            </w:r>
            <w:r>
              <w:t xml:space="preserve"> korun). Šlo ale </w:t>
            </w:r>
            <w:r w:rsidR="001A33A3">
              <w:t>o </w:t>
            </w:r>
            <w:r>
              <w:t>vliv prudkého cenového nárůstu (reálně HPH v tomto odvětví klesla). Pokles HPH se loni prohloubil na 3,6</w:t>
            </w:r>
            <w:r w:rsidR="00A21624">
              <w:t> mld.</w:t>
            </w:r>
            <w:r>
              <w:t xml:space="preserve"> korun </w:t>
            </w:r>
            <w:r w:rsidR="001A33A3">
              <w:t>u </w:t>
            </w:r>
            <w:r>
              <w:t xml:space="preserve">těžby </w:t>
            </w:r>
            <w:r w:rsidR="001A33A3">
              <w:t>a </w:t>
            </w:r>
            <w:r>
              <w:t xml:space="preserve">úpravy černého </w:t>
            </w:r>
            <w:r w:rsidR="001A33A3">
              <w:t>a </w:t>
            </w:r>
            <w:r>
              <w:t xml:space="preserve">hnědého uhlí. Stavebnictví si udrželo nominální dynamiku z předchozího roku </w:t>
            </w:r>
            <w:r w:rsidR="001A33A3">
              <w:t>a </w:t>
            </w:r>
            <w:r>
              <w:t xml:space="preserve">loni se zde HPH zvýšila </w:t>
            </w:r>
            <w:r w:rsidR="001A33A3">
              <w:t>o </w:t>
            </w:r>
            <w:r>
              <w:t>14,7</w:t>
            </w:r>
            <w:r w:rsidR="00A21624">
              <w:t> mld.</w:t>
            </w:r>
            <w:r>
              <w:t xml:space="preserve"> korun. Růst byl plošný</w:t>
            </w:r>
            <w:r w:rsidR="00BB4AF6">
              <w:t xml:space="preserve"> </w:t>
            </w:r>
            <w:r>
              <w:t>–</w:t>
            </w:r>
            <w:r w:rsidR="00BB4AF6">
              <w:t xml:space="preserve"> </w:t>
            </w:r>
            <w:r>
              <w:t xml:space="preserve">posílila výstavba budov, inženýrské stavitelství </w:t>
            </w:r>
            <w:r w:rsidR="001A33A3">
              <w:t>i </w:t>
            </w:r>
            <w:r>
              <w:t>specializované stavební činnosti.</w:t>
            </w:r>
          </w:p>
        </w:tc>
      </w:tr>
      <w:tr w:rsidR="000979EC" w14:paraId="5CA43FA9" w14:textId="77777777" w:rsidTr="00E503A5">
        <w:trPr>
          <w:trHeight w:val="145"/>
        </w:trPr>
        <w:tc>
          <w:tcPr>
            <w:tcW w:w="1805" w:type="dxa"/>
            <w:shd w:val="clear" w:color="auto" w:fill="auto"/>
          </w:tcPr>
          <w:p w14:paraId="357ECA8F" w14:textId="77777777" w:rsidR="000979EC" w:rsidRDefault="000979EC" w:rsidP="00E503A5">
            <w:pPr>
              <w:pStyle w:val="Marginlie"/>
            </w:pPr>
            <w:r>
              <w:lastRenderedPageBreak/>
              <w:t>Odvětví služeb také posilovala silná domácí poptávka.</w:t>
            </w:r>
          </w:p>
        </w:tc>
        <w:tc>
          <w:tcPr>
            <w:tcW w:w="229" w:type="dxa"/>
            <w:shd w:val="clear" w:color="auto" w:fill="auto"/>
          </w:tcPr>
          <w:p w14:paraId="5C2DA37E" w14:textId="77777777" w:rsidR="000979EC" w:rsidRDefault="000979EC" w:rsidP="00E503A5">
            <w:pPr>
              <w:pStyle w:val="Textpoznpodarou10"/>
              <w:jc w:val="both"/>
              <w:rPr>
                <w:spacing w:val="-4"/>
              </w:rPr>
            </w:pPr>
          </w:p>
        </w:tc>
        <w:tc>
          <w:tcPr>
            <w:tcW w:w="7610" w:type="dxa"/>
            <w:shd w:val="clear" w:color="auto" w:fill="auto"/>
          </w:tcPr>
          <w:p w14:paraId="5DE606EB" w14:textId="1643535A" w:rsidR="000979EC" w:rsidRDefault="000979EC" w:rsidP="00E503A5">
            <w:r>
              <w:t>Služby loni přispěly k celkovému růstu HPH nefinančních podniků 96,0</w:t>
            </w:r>
            <w:r w:rsidR="00A21624">
              <w:t> mld.</w:t>
            </w:r>
            <w:r>
              <w:t xml:space="preserve"> korun. I zde se HPH navyšovala plošně </w:t>
            </w:r>
            <w:r w:rsidR="001A33A3">
              <w:t>a </w:t>
            </w:r>
            <w:r>
              <w:t xml:space="preserve">k drobným poklesům došlo jen </w:t>
            </w:r>
            <w:r w:rsidR="00BB4AF6">
              <w:t>v </w:t>
            </w:r>
            <w:r>
              <w:t xml:space="preserve">několika </w:t>
            </w:r>
            <w:r w:rsidR="00BB4AF6">
              <w:t>výjimkách</w:t>
            </w:r>
            <w:r>
              <w:t xml:space="preserve">. Odvětvím služeb prospíval zvýšený spotřební apetit domácností, ale rovněž firemní poptávka. Nejvíce narostla HPH ve velkoobchodě </w:t>
            </w:r>
            <w:r w:rsidR="001A33A3">
              <w:t>a </w:t>
            </w:r>
            <w:r>
              <w:t xml:space="preserve">maloobchodě, opravách </w:t>
            </w:r>
            <w:r w:rsidR="001A33A3">
              <w:t>a </w:t>
            </w:r>
            <w:r>
              <w:t>údržbě motorových vozidel (+24,4</w:t>
            </w:r>
            <w:r w:rsidR="00A21624">
              <w:t> mld.</w:t>
            </w:r>
            <w:r>
              <w:t xml:space="preserve"> korun). Z toho na 13,7</w:t>
            </w:r>
            <w:r w:rsidR="00A21624">
              <w:t> mld.</w:t>
            </w:r>
            <w:r>
              <w:t xml:space="preserve"> korun posílil přírůstek HPH v maloobchodě. Naopak oproti předchozímu roku loni oslabil růst ve velkoobchodě (+8,3</w:t>
            </w:r>
            <w:r w:rsidR="00A21624">
              <w:t> mld.</w:t>
            </w:r>
            <w:r>
              <w:t xml:space="preserve">). Přírůstek HPH v informačních </w:t>
            </w:r>
            <w:r w:rsidR="001A33A3">
              <w:t>a </w:t>
            </w:r>
            <w:r>
              <w:t>komunikačních činnostech sice loni oslabil, stále ale zůstal poměrně vysoký (17,8</w:t>
            </w:r>
            <w:r w:rsidR="00A21624">
              <w:t> mld.</w:t>
            </w:r>
            <w:r>
              <w:t xml:space="preserve"> korun). </w:t>
            </w:r>
            <w:r w:rsidR="00BB4AF6">
              <w:t>Profesní, vědecké a technické činnosti byly posilovány zejména firemní poptávkou</w:t>
            </w:r>
            <w:r>
              <w:t xml:space="preserve"> (+16,4</w:t>
            </w:r>
            <w:r w:rsidR="00A21624">
              <w:t> mld.</w:t>
            </w:r>
            <w:r>
              <w:t xml:space="preserve"> korun). Z poklesu do růstu </w:t>
            </w:r>
            <w:r w:rsidR="001A33A3">
              <w:t>o </w:t>
            </w:r>
            <w:r>
              <w:t>4,3</w:t>
            </w:r>
            <w:r w:rsidR="00A21624">
              <w:t> mld.</w:t>
            </w:r>
            <w:r>
              <w:t xml:space="preserve"> korun se totiž dostaly činnosti vedení podniků </w:t>
            </w:r>
            <w:r w:rsidR="001A33A3">
              <w:t>a </w:t>
            </w:r>
            <w:r>
              <w:t xml:space="preserve">poradenství v oblasti řízení. Zrychlil rovněž růst HPH </w:t>
            </w:r>
            <w:r w:rsidR="001A33A3">
              <w:t>v </w:t>
            </w:r>
            <w:r>
              <w:t xml:space="preserve">reklamě </w:t>
            </w:r>
            <w:r w:rsidR="001A33A3">
              <w:t>a </w:t>
            </w:r>
            <w:r>
              <w:t xml:space="preserve">průzkumu trhu (+2,3 mld.). Také </w:t>
            </w:r>
            <w:r w:rsidR="001A33A3">
              <w:t>u </w:t>
            </w:r>
            <w:r>
              <w:t xml:space="preserve">dopravy </w:t>
            </w:r>
            <w:r w:rsidR="001A33A3">
              <w:t>a </w:t>
            </w:r>
            <w:r>
              <w:t>skladování došlo k prudkému zrychlení přírůstku HPH (+11,2 mld. korun).</w:t>
            </w:r>
          </w:p>
        </w:tc>
      </w:tr>
      <w:tr w:rsidR="000979EC" w14:paraId="115FB000" w14:textId="77777777" w:rsidTr="00E503A5">
        <w:trPr>
          <w:trHeight w:val="145"/>
        </w:trPr>
        <w:tc>
          <w:tcPr>
            <w:tcW w:w="1805" w:type="dxa"/>
            <w:shd w:val="clear" w:color="auto" w:fill="auto"/>
          </w:tcPr>
          <w:p w14:paraId="242B0B84" w14:textId="77777777" w:rsidR="000979EC" w:rsidRDefault="000979EC" w:rsidP="00E503A5">
            <w:pPr>
              <w:pStyle w:val="Marginlie"/>
            </w:pPr>
            <w:r>
              <w:t>Míra zisku nefinančních podniků opět mírně klesla.</w:t>
            </w:r>
          </w:p>
        </w:tc>
        <w:tc>
          <w:tcPr>
            <w:tcW w:w="229" w:type="dxa"/>
            <w:shd w:val="clear" w:color="auto" w:fill="auto"/>
          </w:tcPr>
          <w:p w14:paraId="2265879E" w14:textId="77777777" w:rsidR="000979EC" w:rsidRDefault="000979EC" w:rsidP="00E503A5">
            <w:pPr>
              <w:pStyle w:val="Textpoznpodarou10"/>
              <w:jc w:val="both"/>
              <w:rPr>
                <w:spacing w:val="-4"/>
              </w:rPr>
            </w:pPr>
          </w:p>
        </w:tc>
        <w:tc>
          <w:tcPr>
            <w:tcW w:w="7610" w:type="dxa"/>
            <w:shd w:val="clear" w:color="auto" w:fill="auto"/>
          </w:tcPr>
          <w:p w14:paraId="2C1088DF" w14:textId="7F668B2C" w:rsidR="000979EC" w:rsidRDefault="000979EC" w:rsidP="00E503A5">
            <w:r>
              <w:t>Nefinanční podniky vyplatily zaměstnancům 1 796,9</w:t>
            </w:r>
            <w:r w:rsidR="00A21624">
              <w:t> mld.</w:t>
            </w:r>
            <w:r>
              <w:t xml:space="preserve"> korun ve formě náhrad. Tato částka se meziročně zvýšila </w:t>
            </w:r>
            <w:r w:rsidR="001A33A3">
              <w:t>o </w:t>
            </w:r>
            <w:r>
              <w:t>101,1</w:t>
            </w:r>
            <w:r w:rsidR="00A21624">
              <w:t> mld.</w:t>
            </w:r>
            <w:r>
              <w:t xml:space="preserve"> korun (6,0</w:t>
            </w:r>
            <w:r w:rsidR="00F118D5">
              <w:t> %</w:t>
            </w:r>
            <w:r>
              <w:t>). Růstové tempo tak zpomalilo oproti předchozím dvěma letům, kdy překročilo 9</w:t>
            </w:r>
            <w:r w:rsidR="00F118D5">
              <w:t> %</w:t>
            </w:r>
            <w:r>
              <w:t xml:space="preserve">. Důvodem je jisté uvolnění silné dynamiky průměrné mzdy, ale rovněž zmírnění růstu zaměstnanosti, která se v sektoru zvýšila </w:t>
            </w:r>
            <w:r w:rsidR="001A33A3">
              <w:t>o </w:t>
            </w:r>
            <w:r>
              <w:t>0,8</w:t>
            </w:r>
            <w:r w:rsidR="00F118D5">
              <w:t> %</w:t>
            </w:r>
            <w:r>
              <w:t xml:space="preserve"> (</w:t>
            </w:r>
            <w:r w:rsidR="001A33A3">
              <w:t>v </w:t>
            </w:r>
            <w:r>
              <w:t xml:space="preserve">letech 2017 </w:t>
            </w:r>
            <w:r w:rsidR="001A33A3">
              <w:t>a </w:t>
            </w:r>
            <w:r>
              <w:t>2018 to bylo 1,8</w:t>
            </w:r>
            <w:r w:rsidR="00F118D5">
              <w:t> %</w:t>
            </w:r>
            <w:r>
              <w:t>). Hrubý provozní přebytek nefinančních podniků loni dosáhl 1 432,4</w:t>
            </w:r>
            <w:r w:rsidR="00A21624">
              <w:t> mld.</w:t>
            </w:r>
            <w:r>
              <w:t xml:space="preserve"> korun </w:t>
            </w:r>
            <w:r w:rsidR="001A33A3">
              <w:t>a </w:t>
            </w:r>
            <w:r>
              <w:t xml:space="preserve">meziročně se zvýšil </w:t>
            </w:r>
            <w:r w:rsidR="001A33A3">
              <w:t>o </w:t>
            </w:r>
            <w:r>
              <w:t>74,3</w:t>
            </w:r>
            <w:r w:rsidR="00A21624">
              <w:t> mld.</w:t>
            </w:r>
            <w:r>
              <w:t xml:space="preserve"> Výsledná míra zisku</w:t>
            </w:r>
            <w:r>
              <w:rPr>
                <w:rStyle w:val="Znakapoznpodarou"/>
              </w:rPr>
              <w:footnoteReference w:id="17"/>
            </w:r>
            <w:r>
              <w:t xml:space="preserve"> </w:t>
            </w:r>
            <w:r w:rsidR="001A33A3">
              <w:t>i </w:t>
            </w:r>
            <w:r>
              <w:t xml:space="preserve">tak mírně poklesla </w:t>
            </w:r>
            <w:r w:rsidR="001A33A3">
              <w:t>a </w:t>
            </w:r>
            <w:r>
              <w:t>činila 44,7</w:t>
            </w:r>
            <w:r w:rsidR="00F118D5">
              <w:t> %</w:t>
            </w:r>
            <w:r>
              <w:t>. Míra zisku se během posledních pěti let přiblížila evropskému průměru, který loni činil 39,9 %.</w:t>
            </w:r>
          </w:p>
        </w:tc>
      </w:tr>
      <w:tr w:rsidR="000979EC" w14:paraId="5C9F7852" w14:textId="77777777" w:rsidTr="00E503A5">
        <w:trPr>
          <w:trHeight w:val="145"/>
        </w:trPr>
        <w:tc>
          <w:tcPr>
            <w:tcW w:w="1805" w:type="dxa"/>
            <w:shd w:val="clear" w:color="auto" w:fill="auto"/>
          </w:tcPr>
          <w:p w14:paraId="1EEFB370" w14:textId="6AD95231" w:rsidR="000979EC" w:rsidRDefault="000979EC" w:rsidP="00E503A5">
            <w:pPr>
              <w:pStyle w:val="Marginlie"/>
            </w:pPr>
            <w:r>
              <w:t xml:space="preserve">Zvýšení úroků vedlo k nárůstu důchodů z vlastnictví na straně zdrojů </w:t>
            </w:r>
            <w:r w:rsidR="001A33A3">
              <w:t>i </w:t>
            </w:r>
            <w:r>
              <w:t>užití.</w:t>
            </w:r>
          </w:p>
        </w:tc>
        <w:tc>
          <w:tcPr>
            <w:tcW w:w="229" w:type="dxa"/>
            <w:shd w:val="clear" w:color="auto" w:fill="auto"/>
          </w:tcPr>
          <w:p w14:paraId="6CC39571" w14:textId="77777777" w:rsidR="000979EC" w:rsidRDefault="000979EC" w:rsidP="00E503A5">
            <w:pPr>
              <w:pStyle w:val="Textpoznpodarou10"/>
              <w:jc w:val="both"/>
              <w:rPr>
                <w:spacing w:val="-4"/>
              </w:rPr>
            </w:pPr>
          </w:p>
        </w:tc>
        <w:tc>
          <w:tcPr>
            <w:tcW w:w="7610" w:type="dxa"/>
            <w:shd w:val="clear" w:color="auto" w:fill="auto"/>
          </w:tcPr>
          <w:p w14:paraId="26491460" w14:textId="7C1BC847" w:rsidR="000979EC" w:rsidRDefault="000979EC" w:rsidP="00E503A5">
            <w:r>
              <w:t xml:space="preserve">Saldo důchodů z vlastnictví nefinančních podniků bylo loni opět záporné. Deficit se prohloubil </w:t>
            </w:r>
            <w:r w:rsidR="001A33A3">
              <w:t>o </w:t>
            </w:r>
            <w:r>
              <w:t>28,7</w:t>
            </w:r>
            <w:r w:rsidR="00A21624">
              <w:t> mld.</w:t>
            </w:r>
            <w:r>
              <w:t xml:space="preserve"> korun. Důvodem byl velmi silný růst na straně užití. Prudce se zvýšily úroky, které nefinanční podniky musely platit (+28,9</w:t>
            </w:r>
            <w:r w:rsidR="00A21624">
              <w:t> mld.</w:t>
            </w:r>
            <w:r>
              <w:t xml:space="preserve"> korun), reinvestice z přímých zahraničních investic se zvýšily </w:t>
            </w:r>
            <w:r w:rsidR="001A33A3">
              <w:t>o </w:t>
            </w:r>
            <w:r>
              <w:t>23,0</w:t>
            </w:r>
            <w:r w:rsidR="00A21624">
              <w:t> mld.</w:t>
            </w:r>
            <w:r>
              <w:t xml:space="preserve"> </w:t>
            </w:r>
            <w:r w:rsidR="001A33A3">
              <w:t>a </w:t>
            </w:r>
            <w:r>
              <w:t xml:space="preserve">rozdělované důchody společností </w:t>
            </w:r>
            <w:r w:rsidR="001A33A3">
              <w:t>o </w:t>
            </w:r>
            <w:r>
              <w:t>5,6</w:t>
            </w:r>
            <w:r w:rsidR="00A21624">
              <w:t> mld.</w:t>
            </w:r>
            <w:r>
              <w:t xml:space="preserve"> Na straně zdrojů rostly především (</w:t>
            </w:r>
            <w:r w:rsidR="001A33A3">
              <w:t>o </w:t>
            </w:r>
            <w:r>
              <w:t>22,5</w:t>
            </w:r>
            <w:r w:rsidR="00A21624">
              <w:t> mld.</w:t>
            </w:r>
            <w:r>
              <w:t xml:space="preserve"> korun) úroky, které si připsaly nefinanční podniky. Jen drobně meziročně rostly rozdělované důchody společností (+0,8</w:t>
            </w:r>
            <w:r w:rsidR="00A21624">
              <w:t> mld.</w:t>
            </w:r>
            <w:r>
              <w:t xml:space="preserve">) </w:t>
            </w:r>
            <w:r w:rsidR="001A33A3">
              <w:t>a </w:t>
            </w:r>
            <w:r>
              <w:t>mírný byl nárůst reinvestovaných zisků ze zahraničních investic (+4,5</w:t>
            </w:r>
            <w:r w:rsidR="00A21624">
              <w:t> mld.</w:t>
            </w:r>
            <w:r>
              <w:t>). Výsledné saldo hrubých prvotních důchodů dosáhlo 926,6</w:t>
            </w:r>
            <w:r w:rsidR="00A21624">
              <w:t> mld.</w:t>
            </w:r>
            <w:r>
              <w:t xml:space="preserve"> korun. Navzdory zhoršení deficitu důchodů z vlastnictví se konečný přebytek prvotních důchodů zlepšil </w:t>
            </w:r>
            <w:r w:rsidR="001A33A3">
              <w:t>o </w:t>
            </w:r>
            <w:r>
              <w:t>45,5</w:t>
            </w:r>
            <w:r w:rsidR="00A21624">
              <w:t> mld.</w:t>
            </w:r>
            <w:r>
              <w:t xml:space="preserve"> korun.</w:t>
            </w:r>
          </w:p>
        </w:tc>
      </w:tr>
      <w:tr w:rsidR="000979EC" w14:paraId="1F5AABA5" w14:textId="77777777" w:rsidTr="00E503A5">
        <w:trPr>
          <w:trHeight w:val="212"/>
        </w:trPr>
        <w:tc>
          <w:tcPr>
            <w:tcW w:w="1805" w:type="dxa"/>
            <w:shd w:val="clear" w:color="auto" w:fill="auto"/>
          </w:tcPr>
          <w:p w14:paraId="6CD7CCA2" w14:textId="77777777" w:rsidR="000979EC" w:rsidRDefault="000979EC" w:rsidP="00E503A5">
            <w:pPr>
              <w:pStyle w:val="Marginlie"/>
              <w:spacing w:after="240"/>
            </w:pPr>
            <w:r>
              <w:t>Míra úspor nefinančních podniků se mírně zvýšila, ale stále setrvává pod dlouhodobým průměrem.</w:t>
            </w:r>
          </w:p>
        </w:tc>
        <w:tc>
          <w:tcPr>
            <w:tcW w:w="229" w:type="dxa"/>
            <w:shd w:val="clear" w:color="auto" w:fill="auto"/>
          </w:tcPr>
          <w:p w14:paraId="2DD263CE" w14:textId="77777777" w:rsidR="000979EC" w:rsidRDefault="000979EC" w:rsidP="00E503A5">
            <w:pPr>
              <w:pStyle w:val="Textpoznpodarou10"/>
              <w:spacing w:after="240"/>
              <w:jc w:val="both"/>
              <w:rPr>
                <w:spacing w:val="-4"/>
              </w:rPr>
            </w:pPr>
          </w:p>
        </w:tc>
        <w:tc>
          <w:tcPr>
            <w:tcW w:w="7610" w:type="dxa"/>
            <w:shd w:val="clear" w:color="auto" w:fill="auto"/>
          </w:tcPr>
          <w:p w14:paraId="7B4BA089" w14:textId="6909C92C" w:rsidR="000979EC" w:rsidRDefault="000979EC" w:rsidP="00E503A5">
            <w:r>
              <w:t>Záporné saldo druhotných důchodů již pět let osciluje okolo hranice 150</w:t>
            </w:r>
            <w:r w:rsidR="00A21624">
              <w:t> mld.</w:t>
            </w:r>
            <w:r>
              <w:t xml:space="preserve"> korun. V loňském roce převážil vliv nárůstu prostředků na straně zdrojů </w:t>
            </w:r>
            <w:r w:rsidR="001A33A3">
              <w:t>a </w:t>
            </w:r>
            <w:r>
              <w:t xml:space="preserve">deficit druhotných důchodů se zmírnil </w:t>
            </w:r>
            <w:r w:rsidR="001A33A3">
              <w:t>o </w:t>
            </w:r>
            <w:r>
              <w:t>9,5</w:t>
            </w:r>
            <w:r w:rsidR="00A21624">
              <w:t> mld.</w:t>
            </w:r>
            <w:r>
              <w:t xml:space="preserve"> korun na 147,2</w:t>
            </w:r>
            <w:r w:rsidR="00A21624">
              <w:t> mld.</w:t>
            </w:r>
            <w:r>
              <w:t xml:space="preserve"> Nefinanční podniky přijaly meziročně </w:t>
            </w:r>
            <w:r w:rsidR="001A33A3">
              <w:t>o </w:t>
            </w:r>
            <w:r>
              <w:t>24,0</w:t>
            </w:r>
            <w:r w:rsidR="00A21624">
              <w:t> mld.</w:t>
            </w:r>
            <w:r>
              <w:t xml:space="preserve"> korun více v podobě ostatních běžných transferů. Naopak běžné transfery, </w:t>
            </w:r>
            <w:r>
              <w:lastRenderedPageBreak/>
              <w:t xml:space="preserve">které sektor vyplatil, se zvýšily </w:t>
            </w:r>
            <w:r w:rsidR="001A33A3">
              <w:t>o </w:t>
            </w:r>
            <w:r>
              <w:t>22,4</w:t>
            </w:r>
            <w:r w:rsidR="00A21624">
              <w:t> mld.</w:t>
            </w:r>
            <w:r>
              <w:t xml:space="preserve"> Poklesl však objem odvedených běžných daní z</w:t>
            </w:r>
            <w:r w:rsidR="00C12D52">
              <w:t> </w:t>
            </w:r>
            <w:r>
              <w:t>důchodů</w:t>
            </w:r>
            <w:r w:rsidR="00C12D52">
              <w:t>,</w:t>
            </w:r>
            <w:r>
              <w:t xml:space="preserve"> jmění </w:t>
            </w:r>
            <w:r w:rsidR="001A33A3">
              <w:t>a </w:t>
            </w:r>
            <w:r>
              <w:t>jiných (</w:t>
            </w:r>
            <w:r w:rsidR="00A21624">
              <w:t>–</w:t>
            </w:r>
            <w:r>
              <w:t>7,9</w:t>
            </w:r>
            <w:r w:rsidR="00A21624">
              <w:t> mld.</w:t>
            </w:r>
            <w:r>
              <w:t xml:space="preserve"> korun). Výsledné hrubé úspory nefinančních podniků dosáhly 779,3</w:t>
            </w:r>
            <w:r w:rsidR="00A21624">
              <w:t> mld.</w:t>
            </w:r>
            <w:r>
              <w:t xml:space="preserve"> korun </w:t>
            </w:r>
            <w:r w:rsidR="001A33A3">
              <w:t>a </w:t>
            </w:r>
            <w:r>
              <w:t xml:space="preserve">meziročně se zvýšily </w:t>
            </w:r>
            <w:r w:rsidR="001A33A3">
              <w:t>o </w:t>
            </w:r>
            <w:r>
              <w:t>55,0</w:t>
            </w:r>
            <w:r w:rsidR="00A21624">
              <w:t> mld.</w:t>
            </w:r>
            <w:r>
              <w:t xml:space="preserve"> Míra úspor</w:t>
            </w:r>
            <w:r>
              <w:rPr>
                <w:rStyle w:val="Znakapoznpodarou"/>
              </w:rPr>
              <w:footnoteReference w:id="18"/>
            </w:r>
            <w:r>
              <w:t xml:space="preserve"> rostla jen mírně </w:t>
            </w:r>
            <w:r w:rsidR="001A33A3">
              <w:t>a </w:t>
            </w:r>
            <w:r>
              <w:t>dosáhla 24,3</w:t>
            </w:r>
            <w:r w:rsidR="00A21624">
              <w:t> mld.</w:t>
            </w:r>
            <w:r>
              <w:t xml:space="preserve"> korun. To je podobně jako v předchozím roce podprůměrný výsledek</w:t>
            </w:r>
            <w:r>
              <w:rPr>
                <w:rStyle w:val="Znakapoznpodarou"/>
              </w:rPr>
              <w:footnoteReference w:id="19"/>
            </w:r>
            <w:r>
              <w:t>. Saldo kapitálových transferů bylo loni kladné, ale výrazně se snížilo (</w:t>
            </w:r>
            <w:r w:rsidR="001A33A3">
              <w:t>o </w:t>
            </w:r>
            <w:r>
              <w:t>12,8</w:t>
            </w:r>
            <w:r w:rsidR="00A21624">
              <w:t> mld.</w:t>
            </w:r>
            <w:r>
              <w:t xml:space="preserve"> korun na 18,9</w:t>
            </w:r>
            <w:r w:rsidR="00A21624">
              <w:t> mld.</w:t>
            </w:r>
            <w:r>
              <w:t>). Snížily se totiž přijaté investiční dotace (</w:t>
            </w:r>
            <w:r w:rsidR="001A33A3">
              <w:t>o </w:t>
            </w:r>
            <w:r>
              <w:t>8,7</w:t>
            </w:r>
            <w:r w:rsidR="00BF6EE6">
              <w:t> </w:t>
            </w:r>
            <w:r>
              <w:t xml:space="preserve">mld. korun) </w:t>
            </w:r>
            <w:r w:rsidR="001A33A3">
              <w:t>i </w:t>
            </w:r>
            <w:r>
              <w:t>ostatní kapitálové transfery (</w:t>
            </w:r>
            <w:r w:rsidR="00A21624">
              <w:t>–</w:t>
            </w:r>
            <w:r>
              <w:t>3,0</w:t>
            </w:r>
            <w:r w:rsidR="00A21624">
              <w:t> mld.</w:t>
            </w:r>
            <w:r>
              <w:t xml:space="preserve">). Na druhé straně nefinanční podniky vydaly ve formě kapitálových transferů meziročně </w:t>
            </w:r>
            <w:r w:rsidR="001A33A3">
              <w:t>o </w:t>
            </w:r>
            <w:r>
              <w:t>1,1</w:t>
            </w:r>
            <w:r w:rsidR="00A21624">
              <w:t> mld.</w:t>
            </w:r>
            <w:r>
              <w:t xml:space="preserve"> více.</w:t>
            </w:r>
          </w:p>
        </w:tc>
      </w:tr>
      <w:tr w:rsidR="000979EC" w14:paraId="4B5B98CE" w14:textId="77777777" w:rsidTr="00E503A5">
        <w:trPr>
          <w:trHeight w:val="212"/>
        </w:trPr>
        <w:tc>
          <w:tcPr>
            <w:tcW w:w="1805" w:type="dxa"/>
            <w:shd w:val="clear" w:color="auto" w:fill="auto"/>
          </w:tcPr>
          <w:p w14:paraId="7477A6CA" w14:textId="77777777" w:rsidR="000979EC" w:rsidRDefault="000979EC" w:rsidP="00E503A5">
            <w:pPr>
              <w:pStyle w:val="Marginlie"/>
              <w:spacing w:after="240"/>
            </w:pPr>
            <w:r>
              <w:lastRenderedPageBreak/>
              <w:t>Investiční aktivita nefinančních podniků loni posílila.</w:t>
            </w:r>
          </w:p>
        </w:tc>
        <w:tc>
          <w:tcPr>
            <w:tcW w:w="229" w:type="dxa"/>
            <w:shd w:val="clear" w:color="auto" w:fill="auto"/>
          </w:tcPr>
          <w:p w14:paraId="2D468906" w14:textId="77777777" w:rsidR="000979EC" w:rsidRDefault="000979EC" w:rsidP="00E503A5">
            <w:pPr>
              <w:pStyle w:val="Textpoznpodarou10"/>
              <w:spacing w:after="240"/>
              <w:jc w:val="both"/>
              <w:rPr>
                <w:spacing w:val="-4"/>
              </w:rPr>
            </w:pPr>
          </w:p>
        </w:tc>
        <w:tc>
          <w:tcPr>
            <w:tcW w:w="7610" w:type="dxa"/>
            <w:shd w:val="clear" w:color="auto" w:fill="auto"/>
          </w:tcPr>
          <w:p w14:paraId="0603658D" w14:textId="56D44333" w:rsidR="000979EC" w:rsidRDefault="000979EC" w:rsidP="00E503A5">
            <w:r>
              <w:t xml:space="preserve">Investiční aktivita nefinančních podniků v loňském roce posílila. Výdaje na tvorbu hrubého fixního kapitálu se zvýšily </w:t>
            </w:r>
            <w:r w:rsidR="001A33A3">
              <w:t>o </w:t>
            </w:r>
            <w:r>
              <w:t>55,2</w:t>
            </w:r>
            <w:r w:rsidR="00A21624">
              <w:t> mld.</w:t>
            </w:r>
            <w:r>
              <w:t xml:space="preserve"> korun na 933,3</w:t>
            </w:r>
            <w:r w:rsidR="00A21624">
              <w:t> mld.</w:t>
            </w:r>
            <w:r>
              <w:t xml:space="preserve"> Míra investic</w:t>
            </w:r>
            <w:r>
              <w:rPr>
                <w:rStyle w:val="Znakapoznpodarou"/>
              </w:rPr>
              <w:footnoteReference w:id="20"/>
            </w:r>
            <w:r>
              <w:t xml:space="preserve"> dosáhla 29,1</w:t>
            </w:r>
            <w:r w:rsidR="00F118D5">
              <w:t> %</w:t>
            </w:r>
            <w:r>
              <w:t xml:space="preserve"> </w:t>
            </w:r>
            <w:r w:rsidR="001A33A3">
              <w:t>a </w:t>
            </w:r>
            <w:r>
              <w:t>meziročně se zvýšila jen nepatrně. Na prakticky stejné úrovni tedy míra investic setrvala tři roky. Porovnání hrubého fixního kapitálu s hrubými úsporami ukazuje, že míra samofinancování</w:t>
            </w:r>
            <w:r>
              <w:rPr>
                <w:rStyle w:val="Znakapoznpodarou"/>
              </w:rPr>
              <w:footnoteReference w:id="21"/>
            </w:r>
            <w:r>
              <w:t xml:space="preserve"> nefinančních podniků dosáhla 83,5</w:t>
            </w:r>
            <w:r w:rsidR="00F118D5">
              <w:t> %</w:t>
            </w:r>
            <w:r>
              <w:t xml:space="preserve"> </w:t>
            </w:r>
            <w:r w:rsidR="001A33A3">
              <w:t>a </w:t>
            </w:r>
            <w:r>
              <w:t xml:space="preserve">meziročně se zvýšila </w:t>
            </w:r>
            <w:r w:rsidR="001A33A3">
              <w:t>o </w:t>
            </w:r>
            <w:r>
              <w:t>1</w:t>
            </w:r>
            <w:r w:rsidR="00F118D5">
              <w:t> p. b.</w:t>
            </w:r>
            <w:r>
              <w:t xml:space="preserve"> Nutnost financování se projevila nárůstem hodnoty půjček v závazcích nefinančních podniků </w:t>
            </w:r>
            <w:r w:rsidR="001A33A3">
              <w:t>o </w:t>
            </w:r>
            <w:r>
              <w:t>8,4</w:t>
            </w:r>
            <w:r w:rsidR="00A21624">
              <w:t> mld.</w:t>
            </w:r>
            <w:r>
              <w:t xml:space="preserve"> korun (</w:t>
            </w:r>
            <w:r w:rsidR="001A33A3">
              <w:t>z </w:t>
            </w:r>
            <w:r>
              <w:t xml:space="preserve">toho dlouhodobé půjčky narostly </w:t>
            </w:r>
            <w:r w:rsidR="001A33A3">
              <w:t>o </w:t>
            </w:r>
            <w:r>
              <w:t>12,8</w:t>
            </w:r>
            <w:r w:rsidR="00A21624">
              <w:t> mld.</w:t>
            </w:r>
            <w:r>
              <w:t xml:space="preserve">), šlo ale </w:t>
            </w:r>
            <w:r w:rsidR="001A33A3">
              <w:t>o </w:t>
            </w:r>
            <w:r>
              <w:t xml:space="preserve">výrazně menší přírůstek než v předchozích letech. Zčásti se navýšila </w:t>
            </w:r>
            <w:r w:rsidR="001A33A3">
              <w:t>i </w:t>
            </w:r>
            <w:r>
              <w:t>hodnota dluhových cenných papírů (+5,4</w:t>
            </w:r>
            <w:r w:rsidR="00A21624">
              <w:t> mld.</w:t>
            </w:r>
            <w:r>
              <w:t xml:space="preserve">). Místo půjček </w:t>
            </w:r>
            <w:r w:rsidR="001A33A3">
              <w:t>a </w:t>
            </w:r>
            <w:r>
              <w:t xml:space="preserve">dalších dluhových nástrojů loni </w:t>
            </w:r>
            <w:r w:rsidR="001A33A3">
              <w:t>v </w:t>
            </w:r>
            <w:r>
              <w:t xml:space="preserve">závazcích posilovaly účasti </w:t>
            </w:r>
            <w:r w:rsidR="001A33A3">
              <w:t>a </w:t>
            </w:r>
            <w:r>
              <w:t>podíly v investičních fondech (+468,8</w:t>
            </w:r>
            <w:r w:rsidR="00A21624">
              <w:t> mld.</w:t>
            </w:r>
            <w:r>
              <w:t xml:space="preserve"> korun).</w:t>
            </w:r>
          </w:p>
        </w:tc>
      </w:tr>
      <w:tr w:rsidR="000979EC" w14:paraId="6AEE01ED" w14:textId="77777777" w:rsidTr="00E503A5">
        <w:trPr>
          <w:trHeight w:val="170"/>
        </w:trPr>
        <w:tc>
          <w:tcPr>
            <w:tcW w:w="1805" w:type="dxa"/>
            <w:vMerge w:val="restart"/>
            <w:shd w:val="clear" w:color="auto" w:fill="auto"/>
          </w:tcPr>
          <w:p w14:paraId="1401F4B9" w14:textId="77777777" w:rsidR="000979EC" w:rsidRDefault="000979EC" w:rsidP="00E503A5">
            <w:pPr>
              <w:pStyle w:val="Marginlie"/>
              <w:spacing w:after="240"/>
            </w:pPr>
          </w:p>
        </w:tc>
        <w:tc>
          <w:tcPr>
            <w:tcW w:w="229" w:type="dxa"/>
            <w:vMerge w:val="restart"/>
            <w:shd w:val="clear" w:color="auto" w:fill="auto"/>
          </w:tcPr>
          <w:p w14:paraId="2A16278A" w14:textId="77777777" w:rsidR="000979EC" w:rsidRDefault="000979EC" w:rsidP="00E503A5">
            <w:pPr>
              <w:pStyle w:val="Textpoznpodarou10"/>
              <w:spacing w:after="240"/>
              <w:jc w:val="both"/>
              <w:rPr>
                <w:spacing w:val="-4"/>
              </w:rPr>
            </w:pPr>
          </w:p>
        </w:tc>
        <w:tc>
          <w:tcPr>
            <w:tcW w:w="7610" w:type="dxa"/>
            <w:shd w:val="clear" w:color="auto" w:fill="auto"/>
          </w:tcPr>
          <w:p w14:paraId="2EF793CE" w14:textId="616E9B94" w:rsidR="000979EC" w:rsidRPr="00186A95" w:rsidRDefault="000979EC" w:rsidP="00E503A5">
            <w:pPr>
              <w:spacing w:after="0"/>
              <w:rPr>
                <w:b/>
              </w:rPr>
            </w:pPr>
            <w:r w:rsidRPr="00186A95">
              <w:rPr>
                <w:b/>
              </w:rPr>
              <w:t xml:space="preserve">Graf </w:t>
            </w:r>
            <w:r w:rsidR="00A21624">
              <w:rPr>
                <w:b/>
              </w:rPr>
              <w:t>č. </w:t>
            </w:r>
            <w:r w:rsidR="001A33A3">
              <w:rPr>
                <w:b/>
              </w:rPr>
              <w:t>7</w:t>
            </w:r>
            <w:r w:rsidR="001A480E">
              <w:rPr>
                <w:b/>
              </w:rPr>
              <w:t xml:space="preserve">  </w:t>
            </w:r>
            <w:r w:rsidRPr="00186A95">
              <w:rPr>
                <w:b/>
              </w:rPr>
              <w:t xml:space="preserve">Míra úspor, míra investic </w:t>
            </w:r>
            <w:r w:rsidR="001A33A3" w:rsidRPr="00186A95">
              <w:rPr>
                <w:b/>
              </w:rPr>
              <w:t>a</w:t>
            </w:r>
            <w:r w:rsidR="001A33A3">
              <w:rPr>
                <w:b/>
              </w:rPr>
              <w:t> </w:t>
            </w:r>
            <w:r w:rsidRPr="00186A95">
              <w:rPr>
                <w:b/>
              </w:rPr>
              <w:t xml:space="preserve">míra zisku </w:t>
            </w:r>
            <w:r w:rsidRPr="00186A95">
              <w:t>(v</w:t>
            </w:r>
            <w:r w:rsidR="00F118D5">
              <w:t> %</w:t>
            </w:r>
            <w:r w:rsidRPr="00186A95">
              <w:t>)</w:t>
            </w:r>
          </w:p>
        </w:tc>
      </w:tr>
      <w:tr w:rsidR="000979EC" w14:paraId="66733255" w14:textId="77777777" w:rsidTr="00E503A5">
        <w:tblPrEx>
          <w:tblCellMar>
            <w:left w:w="70" w:type="dxa"/>
            <w:right w:w="70" w:type="dxa"/>
          </w:tblCellMar>
        </w:tblPrEx>
        <w:trPr>
          <w:trHeight w:val="170"/>
        </w:trPr>
        <w:tc>
          <w:tcPr>
            <w:tcW w:w="1805" w:type="dxa"/>
            <w:vMerge/>
            <w:shd w:val="clear" w:color="auto" w:fill="auto"/>
          </w:tcPr>
          <w:p w14:paraId="47CCD4DD" w14:textId="77777777" w:rsidR="000979EC" w:rsidRDefault="000979EC" w:rsidP="00E503A5">
            <w:pPr>
              <w:pStyle w:val="Marginlie"/>
              <w:spacing w:after="240"/>
            </w:pPr>
          </w:p>
        </w:tc>
        <w:tc>
          <w:tcPr>
            <w:tcW w:w="229" w:type="dxa"/>
            <w:vMerge/>
            <w:shd w:val="clear" w:color="auto" w:fill="auto"/>
          </w:tcPr>
          <w:p w14:paraId="180EEE31" w14:textId="77777777" w:rsidR="000979EC" w:rsidRDefault="000979EC" w:rsidP="00E503A5">
            <w:pPr>
              <w:pStyle w:val="Textpoznpodarou10"/>
              <w:spacing w:after="240"/>
              <w:jc w:val="both"/>
              <w:rPr>
                <w:spacing w:val="-4"/>
              </w:rPr>
            </w:pPr>
          </w:p>
        </w:tc>
        <w:tc>
          <w:tcPr>
            <w:tcW w:w="7610" w:type="dxa"/>
            <w:shd w:val="clear" w:color="auto" w:fill="auto"/>
          </w:tcPr>
          <w:p w14:paraId="0FD4815B" w14:textId="77777777" w:rsidR="000979EC" w:rsidRDefault="000979EC" w:rsidP="00E503A5">
            <w:pPr>
              <w:spacing w:after="0"/>
            </w:pPr>
            <w:r>
              <w:rPr>
                <w:noProof/>
              </w:rPr>
              <w:drawing>
                <wp:inline distT="0" distB="0" distL="0" distR="0" wp14:anchorId="47D120F7" wp14:editId="3CEA88CF">
                  <wp:extent cx="4737600" cy="35532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979EC" w14:paraId="41B2EA83" w14:textId="77777777" w:rsidTr="00E503A5">
        <w:trPr>
          <w:trHeight w:val="170"/>
        </w:trPr>
        <w:tc>
          <w:tcPr>
            <w:tcW w:w="1805" w:type="dxa"/>
            <w:vMerge/>
            <w:shd w:val="clear" w:color="auto" w:fill="auto"/>
          </w:tcPr>
          <w:p w14:paraId="6C5EE282" w14:textId="77777777" w:rsidR="000979EC" w:rsidRDefault="000979EC" w:rsidP="00E503A5">
            <w:pPr>
              <w:pStyle w:val="Marginlie"/>
              <w:spacing w:after="240"/>
            </w:pPr>
          </w:p>
        </w:tc>
        <w:tc>
          <w:tcPr>
            <w:tcW w:w="229" w:type="dxa"/>
            <w:vMerge/>
            <w:shd w:val="clear" w:color="auto" w:fill="auto"/>
          </w:tcPr>
          <w:p w14:paraId="0F248A31" w14:textId="77777777" w:rsidR="000979EC" w:rsidRDefault="000979EC" w:rsidP="00E503A5">
            <w:pPr>
              <w:pStyle w:val="Textpoznpodarou10"/>
              <w:spacing w:after="240"/>
              <w:jc w:val="both"/>
              <w:rPr>
                <w:spacing w:val="-4"/>
              </w:rPr>
            </w:pPr>
          </w:p>
        </w:tc>
        <w:tc>
          <w:tcPr>
            <w:tcW w:w="7610" w:type="dxa"/>
            <w:shd w:val="clear" w:color="auto" w:fill="auto"/>
          </w:tcPr>
          <w:p w14:paraId="07D6421C" w14:textId="77777777" w:rsidR="000979EC" w:rsidRPr="00186A95" w:rsidRDefault="000979EC" w:rsidP="00E503A5">
            <w:pPr>
              <w:rPr>
                <w:sz w:val="16"/>
                <w:szCs w:val="16"/>
              </w:rPr>
            </w:pPr>
            <w:r w:rsidRPr="00186A95">
              <w:rPr>
                <w:sz w:val="16"/>
                <w:szCs w:val="16"/>
              </w:rPr>
              <w:t>Zdroj: ČSÚ</w:t>
            </w:r>
          </w:p>
        </w:tc>
      </w:tr>
    </w:tbl>
    <w:p w14:paraId="657B5454" w14:textId="77777777" w:rsidR="00976681" w:rsidRDefault="00976681" w:rsidP="000979EC">
      <w:pPr>
        <w:pStyle w:val="Nadpis110"/>
      </w:pPr>
    </w:p>
    <w:p w14:paraId="2485AE0E" w14:textId="77777777" w:rsidR="00976681" w:rsidRDefault="00976681">
      <w:pPr>
        <w:spacing w:after="0" w:line="240" w:lineRule="auto"/>
        <w:jc w:val="left"/>
        <w:rPr>
          <w:rFonts w:eastAsia="MS Gothic"/>
          <w:b/>
          <w:bCs/>
          <w:color w:val="71818C"/>
          <w:sz w:val="32"/>
          <w:szCs w:val="28"/>
        </w:rPr>
      </w:pPr>
      <w:r>
        <w:br w:type="page"/>
      </w:r>
    </w:p>
    <w:p w14:paraId="07DB823A" w14:textId="475F0D15" w:rsidR="000979EC" w:rsidRDefault="00A21624" w:rsidP="000979EC">
      <w:pPr>
        <w:pStyle w:val="Nadpis110"/>
      </w:pPr>
      <w:bookmarkStart w:id="8" w:name="_Toc48549436"/>
      <w:r>
        <w:lastRenderedPageBreak/>
        <w:t>6. </w:t>
      </w:r>
      <w:r w:rsidR="000979EC">
        <w:t>Finanční instituce</w:t>
      </w:r>
      <w:bookmarkEnd w:id="8"/>
    </w:p>
    <w:tbl>
      <w:tblPr>
        <w:tblW w:w="9644" w:type="dxa"/>
        <w:tblInd w:w="-15" w:type="dxa"/>
        <w:tblCellMar>
          <w:left w:w="0" w:type="dxa"/>
          <w:right w:w="0" w:type="dxa"/>
        </w:tblCellMar>
        <w:tblLook w:val="00A0" w:firstRow="1" w:lastRow="0" w:firstColumn="1" w:lastColumn="0" w:noHBand="0" w:noVBand="0"/>
      </w:tblPr>
      <w:tblGrid>
        <w:gridCol w:w="1909"/>
        <w:gridCol w:w="264"/>
        <w:gridCol w:w="7471"/>
      </w:tblGrid>
      <w:tr w:rsidR="000979EC" w14:paraId="36F2CF1E" w14:textId="77777777" w:rsidTr="00E503A5">
        <w:trPr>
          <w:trHeight w:val="145"/>
        </w:trPr>
        <w:tc>
          <w:tcPr>
            <w:tcW w:w="1909" w:type="dxa"/>
            <w:shd w:val="clear" w:color="auto" w:fill="auto"/>
          </w:tcPr>
          <w:p w14:paraId="0B1FAE5C" w14:textId="50DF4421" w:rsidR="000979EC" w:rsidRDefault="000979EC" w:rsidP="00E503A5">
            <w:pPr>
              <w:pStyle w:val="Marginlie"/>
            </w:pPr>
            <w:r>
              <w:t>Finanční instituce loni dosáhly nejvyšší míry zisku od roku 2012.</w:t>
            </w:r>
          </w:p>
        </w:tc>
        <w:tc>
          <w:tcPr>
            <w:tcW w:w="264" w:type="dxa"/>
            <w:shd w:val="clear" w:color="auto" w:fill="auto"/>
          </w:tcPr>
          <w:p w14:paraId="5970B73E" w14:textId="77777777" w:rsidR="000979EC" w:rsidRDefault="000979EC" w:rsidP="00E503A5">
            <w:pPr>
              <w:pStyle w:val="Textpoznpodarou10"/>
              <w:jc w:val="both"/>
              <w:rPr>
                <w:spacing w:val="-4"/>
              </w:rPr>
            </w:pPr>
          </w:p>
        </w:tc>
        <w:tc>
          <w:tcPr>
            <w:tcW w:w="7471" w:type="dxa"/>
            <w:shd w:val="clear" w:color="auto" w:fill="auto"/>
          </w:tcPr>
          <w:p w14:paraId="5432ABBA" w14:textId="2045750A" w:rsidR="000979EC" w:rsidRDefault="000979EC" w:rsidP="00E503A5">
            <w:r>
              <w:t>Sektor finančních institucí má v ekonomice úlohu poskytování služeb finančního zprostředkování, takže jeho podíl na tvorbě HPH v ekonomice je nízký – v loňském roce to bylo 4,1</w:t>
            </w:r>
            <w:r w:rsidR="00F118D5">
              <w:t> %</w:t>
            </w:r>
            <w:r>
              <w:t>. Sektor v roce 2019 zaměstnával 72,</w:t>
            </w:r>
            <w:r w:rsidR="00A21624">
              <w:t>4 </w:t>
            </w:r>
            <w:r>
              <w:t>tisíc</w:t>
            </w:r>
            <w:r w:rsidR="00895A7B">
              <w:t>e</w:t>
            </w:r>
            <w:r>
              <w:t xml:space="preserve"> osob, což odpovídá 1,4</w:t>
            </w:r>
            <w:r w:rsidR="00BF6EE6">
              <w:t> </w:t>
            </w:r>
            <w:r>
              <w:t xml:space="preserve">% celkové zaměstnanosti v národním hospodářství. Hrubá přidaná hodnota sektoru se loni zvýšila </w:t>
            </w:r>
            <w:r w:rsidR="001A33A3">
              <w:t>o </w:t>
            </w:r>
            <w:r>
              <w:t>11,3</w:t>
            </w:r>
            <w:r w:rsidR="00A21624">
              <w:t> mld.</w:t>
            </w:r>
            <w:r>
              <w:t xml:space="preserve"> korun na 213,7</w:t>
            </w:r>
            <w:r w:rsidR="00A21624">
              <w:t> mld.</w:t>
            </w:r>
            <w:r>
              <w:t>, méně než v roce 2018. Objem vyplacených náhrad zaměstnancům dosáhl 73,5</w:t>
            </w:r>
            <w:r w:rsidR="00A21624">
              <w:t> mld.</w:t>
            </w:r>
            <w:r>
              <w:t xml:space="preserve">, meziročně </w:t>
            </w:r>
            <w:r w:rsidR="001A33A3">
              <w:t>o </w:t>
            </w:r>
            <w:r>
              <w:t>3,3</w:t>
            </w:r>
            <w:r w:rsidR="00A21624">
              <w:t> mld.</w:t>
            </w:r>
            <w:r>
              <w:t xml:space="preserve"> (4,6</w:t>
            </w:r>
            <w:r w:rsidR="00F118D5">
              <w:t> %</w:t>
            </w:r>
            <w:r>
              <w:t>) více. Výsledná míra zisku</w:t>
            </w:r>
            <w:r>
              <w:rPr>
                <w:rStyle w:val="Znakapoznpodarou"/>
              </w:rPr>
              <w:footnoteReference w:id="22"/>
            </w:r>
            <w:r>
              <w:t xml:space="preserve"> 62,5</w:t>
            </w:r>
            <w:r w:rsidR="00F118D5">
              <w:t> %</w:t>
            </w:r>
            <w:r>
              <w:t xml:space="preserve"> byla nejvyšší od roku 2012. Celková zaměstnanost v sektoru loni poměrně výrazně klesla (</w:t>
            </w:r>
            <w:r w:rsidR="00A21624">
              <w:t>–</w:t>
            </w:r>
            <w:r>
              <w:t>3,5</w:t>
            </w:r>
            <w:r w:rsidR="00F118D5">
              <w:t> %</w:t>
            </w:r>
            <w:r>
              <w:t xml:space="preserve">). Průměrná hrubá měsíční mzda v peněžnictví </w:t>
            </w:r>
            <w:r w:rsidR="001A33A3">
              <w:t>a </w:t>
            </w:r>
            <w:r>
              <w:t>pojišťovnictví, které má se sektorem finančních institucí</w:t>
            </w:r>
            <w:r>
              <w:rPr>
                <w:rStyle w:val="Znakapoznpodarou"/>
              </w:rPr>
              <w:footnoteReference w:id="23"/>
            </w:r>
            <w:r>
              <w:t xml:space="preserve"> velmi silný překryv, v roce 2019 vzrostla </w:t>
            </w:r>
            <w:r w:rsidR="001A33A3">
              <w:t>o </w:t>
            </w:r>
            <w:r>
              <w:t>4,</w:t>
            </w:r>
            <w:r w:rsidR="00A21624">
              <w:t>1 </w:t>
            </w:r>
            <w:r>
              <w:t>tisíce (7,6</w:t>
            </w:r>
            <w:r w:rsidR="00F118D5">
              <w:t> %</w:t>
            </w:r>
            <w:r>
              <w:t>). Její hodnota 59 05</w:t>
            </w:r>
            <w:r w:rsidR="00A21624">
              <w:t>0 </w:t>
            </w:r>
            <w:r>
              <w:t>korun byla nejvyšší v ekonomice.</w:t>
            </w:r>
          </w:p>
        </w:tc>
      </w:tr>
      <w:tr w:rsidR="000979EC" w14:paraId="1560E9AB" w14:textId="77777777" w:rsidTr="00E503A5">
        <w:trPr>
          <w:trHeight w:val="145"/>
        </w:trPr>
        <w:tc>
          <w:tcPr>
            <w:tcW w:w="1909" w:type="dxa"/>
            <w:shd w:val="clear" w:color="auto" w:fill="auto"/>
          </w:tcPr>
          <w:p w14:paraId="1C0095DB" w14:textId="71BE5B8E" w:rsidR="000979EC" w:rsidRDefault="001A33A3" w:rsidP="00E503A5">
            <w:pPr>
              <w:pStyle w:val="Marginlie"/>
            </w:pPr>
            <w:r>
              <w:t>V </w:t>
            </w:r>
            <w:r w:rsidR="000979EC">
              <w:t>loňském roce se výrazně zvýšil objem úroků vyplacených finančními institucemi.</w:t>
            </w:r>
          </w:p>
        </w:tc>
        <w:tc>
          <w:tcPr>
            <w:tcW w:w="264" w:type="dxa"/>
            <w:shd w:val="clear" w:color="auto" w:fill="auto"/>
          </w:tcPr>
          <w:p w14:paraId="5D81B1DF" w14:textId="77777777" w:rsidR="000979EC" w:rsidRDefault="000979EC" w:rsidP="00E503A5">
            <w:pPr>
              <w:pStyle w:val="Textpoznpodarou10"/>
              <w:jc w:val="both"/>
              <w:rPr>
                <w:spacing w:val="-4"/>
              </w:rPr>
            </w:pPr>
          </w:p>
        </w:tc>
        <w:tc>
          <w:tcPr>
            <w:tcW w:w="7471" w:type="dxa"/>
            <w:shd w:val="clear" w:color="auto" w:fill="auto"/>
          </w:tcPr>
          <w:p w14:paraId="5391A482" w14:textId="230A2486" w:rsidR="000979EC" w:rsidRDefault="000979EC" w:rsidP="00B606BE">
            <w:r>
              <w:t xml:space="preserve">Saldo důchodů z vlastnictví finančních institucí bylo loni záporné. Deficit dosáhl 34,5 mld. korun </w:t>
            </w:r>
            <w:r w:rsidR="001A33A3">
              <w:t>a </w:t>
            </w:r>
            <w:r>
              <w:t>meziročně se výrazně prohloubil (</w:t>
            </w:r>
            <w:r w:rsidR="001A33A3">
              <w:t>o </w:t>
            </w:r>
            <w:r>
              <w:t>13,5</w:t>
            </w:r>
            <w:r w:rsidR="00A21624">
              <w:t> mld.</w:t>
            </w:r>
            <w:r>
              <w:t xml:space="preserve">). Ke zhoršení přispělo více faktorů. Kladné saldo úroků se loni snížilo </w:t>
            </w:r>
            <w:r w:rsidR="001A33A3">
              <w:t>o </w:t>
            </w:r>
            <w:r>
              <w:t>13,3</w:t>
            </w:r>
            <w:r w:rsidR="00A21624">
              <w:t> mld.</w:t>
            </w:r>
            <w:r>
              <w:t xml:space="preserve"> korun, především kvůli posílení toků na straně užití, </w:t>
            </w:r>
            <w:r w:rsidR="001A33A3">
              <w:t>a </w:t>
            </w:r>
            <w:r>
              <w:t>dosáhlo 26,3</w:t>
            </w:r>
            <w:r w:rsidR="00A21624">
              <w:t> mld.</w:t>
            </w:r>
            <w:r>
              <w:t xml:space="preserve"> korun. To je nejnižší zaznamenaný přebytek</w:t>
            </w:r>
            <w:r>
              <w:rPr>
                <w:rStyle w:val="Znakapoznpodarou"/>
              </w:rPr>
              <w:footnoteReference w:id="24"/>
            </w:r>
            <w:r>
              <w:t xml:space="preserve">. </w:t>
            </w:r>
            <w:r w:rsidR="00B606BE">
              <w:t>Fi</w:t>
            </w:r>
            <w:r>
              <w:t>nanční instituce obdržely ve formě úroků 198,8</w:t>
            </w:r>
            <w:r w:rsidR="00A21624">
              <w:t> mld.</w:t>
            </w:r>
            <w:r>
              <w:t xml:space="preserve"> korun (+48,6</w:t>
            </w:r>
            <w:r w:rsidR="00BF6EE6">
              <w:t> </w:t>
            </w:r>
            <w:r>
              <w:t>mld.)</w:t>
            </w:r>
            <w:r w:rsidR="00F41068">
              <w:t>,</w:t>
            </w:r>
            <w:r>
              <w:t xml:space="preserve"> ale vyplatit musely 172,5</w:t>
            </w:r>
            <w:r w:rsidR="00A21624">
              <w:t> mld.</w:t>
            </w:r>
            <w:r>
              <w:t xml:space="preserve"> (+61,9</w:t>
            </w:r>
            <w:r w:rsidR="00A21624">
              <w:t> mld.</w:t>
            </w:r>
            <w:r>
              <w:t xml:space="preserve">). Celkové saldo důchodů z vlastnictví zhoršilo </w:t>
            </w:r>
            <w:r w:rsidR="001A33A3">
              <w:t>i </w:t>
            </w:r>
            <w:r>
              <w:t xml:space="preserve">prohloubení deficitu rozdělovaných důchodů společností </w:t>
            </w:r>
            <w:r w:rsidR="001A33A3">
              <w:t>o </w:t>
            </w:r>
            <w:r>
              <w:t>9,8</w:t>
            </w:r>
            <w:r w:rsidR="00BF6EE6">
              <w:t> </w:t>
            </w:r>
            <w:r>
              <w:t>mld. korun na 20,2</w:t>
            </w:r>
            <w:r w:rsidR="00A21624">
              <w:t> mld.</w:t>
            </w:r>
            <w:r>
              <w:t xml:space="preserve"> </w:t>
            </w:r>
            <w:r w:rsidR="001A33A3">
              <w:t>O </w:t>
            </w:r>
            <w:r>
              <w:t>15,1</w:t>
            </w:r>
            <w:r w:rsidR="00A21624">
              <w:t> mld.</w:t>
            </w:r>
            <w:r>
              <w:t xml:space="preserve"> se totiž zvýšil jejich objem na straně užití. Ve směru zmírnění salda důchodů z vlastnictví působily jen reinvestované zisky z přímých zahraničních investic. Jejich objem na straně zdrojů se meziročně zvýšil </w:t>
            </w:r>
            <w:r w:rsidR="001A33A3">
              <w:t>o </w:t>
            </w:r>
            <w:r>
              <w:t>10,8</w:t>
            </w:r>
            <w:r w:rsidR="00A21624">
              <w:t> mld.</w:t>
            </w:r>
            <w:r>
              <w:t xml:space="preserve"> korun. Ostatní důchody z investic</w:t>
            </w:r>
            <w:r>
              <w:rPr>
                <w:rStyle w:val="Znakapoznpodarou"/>
              </w:rPr>
              <w:footnoteReference w:id="25"/>
            </w:r>
            <w:r>
              <w:t xml:space="preserve"> vyplacené finančními institucemi dosáhly loni 23,0</w:t>
            </w:r>
            <w:r w:rsidR="00A21624">
              <w:t> mld.</w:t>
            </w:r>
            <w:r>
              <w:t xml:space="preserve"> korun </w:t>
            </w:r>
            <w:r w:rsidR="001A33A3">
              <w:t>a </w:t>
            </w:r>
            <w:r>
              <w:t xml:space="preserve">zvýšily se </w:t>
            </w:r>
            <w:r w:rsidR="001A33A3">
              <w:t>o </w:t>
            </w:r>
            <w:r>
              <w:t>1,0</w:t>
            </w:r>
            <w:r w:rsidR="00A21624">
              <w:t> mld.</w:t>
            </w:r>
            <w:r>
              <w:t xml:space="preserve"> Výsledné saldo hrubých prvotních důchodů skončilo v přebytku 100,1</w:t>
            </w:r>
            <w:r w:rsidR="00A21624">
              <w:t> mld.</w:t>
            </w:r>
            <w:r>
              <w:t xml:space="preserve"> korun </w:t>
            </w:r>
            <w:r w:rsidR="001A33A3">
              <w:t>a </w:t>
            </w:r>
            <w:r>
              <w:t xml:space="preserve">meziročně pokleslo </w:t>
            </w:r>
            <w:r w:rsidR="001A33A3">
              <w:t>o </w:t>
            </w:r>
            <w:r>
              <w:t>5,3</w:t>
            </w:r>
            <w:r w:rsidR="00A21624">
              <w:t> mld.</w:t>
            </w:r>
            <w:r>
              <w:t xml:space="preserve"> (první pokles od roku 2015).</w:t>
            </w:r>
          </w:p>
        </w:tc>
      </w:tr>
      <w:tr w:rsidR="000979EC" w14:paraId="09DF2788" w14:textId="77777777" w:rsidTr="00E503A5">
        <w:trPr>
          <w:trHeight w:val="145"/>
        </w:trPr>
        <w:tc>
          <w:tcPr>
            <w:tcW w:w="1909" w:type="dxa"/>
            <w:shd w:val="clear" w:color="auto" w:fill="auto"/>
          </w:tcPr>
          <w:p w14:paraId="41F101D0" w14:textId="7EA66CE7" w:rsidR="000979EC" w:rsidRDefault="000979EC" w:rsidP="00E503A5">
            <w:pPr>
              <w:pStyle w:val="Marginlie"/>
            </w:pPr>
            <w:r>
              <w:t xml:space="preserve">Saldo druhotných důchodů bylo kladné </w:t>
            </w:r>
            <w:r w:rsidR="001A33A3">
              <w:t>a </w:t>
            </w:r>
            <w:r>
              <w:t>meziročně se výrazněji nezměnilo.</w:t>
            </w:r>
          </w:p>
        </w:tc>
        <w:tc>
          <w:tcPr>
            <w:tcW w:w="264" w:type="dxa"/>
            <w:shd w:val="clear" w:color="auto" w:fill="auto"/>
          </w:tcPr>
          <w:p w14:paraId="55DF6759" w14:textId="77777777" w:rsidR="000979EC" w:rsidRDefault="000979EC" w:rsidP="00E503A5">
            <w:pPr>
              <w:pStyle w:val="Textpoznpodarou10"/>
              <w:jc w:val="both"/>
              <w:rPr>
                <w:spacing w:val="-4"/>
              </w:rPr>
            </w:pPr>
          </w:p>
        </w:tc>
        <w:tc>
          <w:tcPr>
            <w:tcW w:w="7471" w:type="dxa"/>
            <w:shd w:val="clear" w:color="auto" w:fill="auto"/>
          </w:tcPr>
          <w:p w14:paraId="768C928D" w14:textId="1B6D0B49" w:rsidR="000979EC" w:rsidRDefault="000979EC" w:rsidP="00B606BE">
            <w:r>
              <w:t>Finanční instituce loni obdržely 62,4</w:t>
            </w:r>
            <w:r w:rsidR="00A21624">
              <w:t> mld.</w:t>
            </w:r>
            <w:r>
              <w:t xml:space="preserve"> korun ve formě čistých sociálních příspěvků od zaměstnavatelů </w:t>
            </w:r>
            <w:r w:rsidR="001A33A3">
              <w:t>a </w:t>
            </w:r>
            <w:r>
              <w:t xml:space="preserve">zaměstnanců mimo povinný systém sociálního pojištění. Vybraná částka se meziročně zvýšila </w:t>
            </w:r>
            <w:r w:rsidR="001A33A3">
              <w:t>o </w:t>
            </w:r>
            <w:r>
              <w:t>5,7</w:t>
            </w:r>
            <w:r w:rsidR="00A21624">
              <w:t> mld.</w:t>
            </w:r>
            <w:r>
              <w:t xml:space="preserve"> korun, nejvíce od roku 2013. Zrychlení dynamiky bylo ale vzhledem k vývoji mezd </w:t>
            </w:r>
            <w:r w:rsidR="001A33A3">
              <w:t>a </w:t>
            </w:r>
            <w:r>
              <w:t>platů v ekonomice opožděné (</w:t>
            </w:r>
            <w:r w:rsidR="001A33A3">
              <w:t>v </w:t>
            </w:r>
            <w:r>
              <w:t xml:space="preserve">letech 2017 </w:t>
            </w:r>
            <w:r w:rsidR="001A33A3">
              <w:t>a </w:t>
            </w:r>
            <w:r>
              <w:t xml:space="preserve">2018, kdy objem mezd </w:t>
            </w:r>
            <w:r w:rsidR="001A33A3">
              <w:t>a </w:t>
            </w:r>
            <w:r>
              <w:t xml:space="preserve">platů narůstal nejrychleji, byly přírůstky skromnější). Výše vybraného čistého pojistného na neživotní pojištění </w:t>
            </w:r>
            <w:r w:rsidR="00B606BE">
              <w:t>vzrostla</w:t>
            </w:r>
            <w:r>
              <w:t xml:space="preserve"> </w:t>
            </w:r>
            <w:r w:rsidR="001A33A3">
              <w:t>o </w:t>
            </w:r>
            <w:r>
              <w:t>3,9</w:t>
            </w:r>
            <w:r w:rsidR="00A21624">
              <w:t> mld.</w:t>
            </w:r>
            <w:r>
              <w:t xml:space="preserve"> korun na 57,0</w:t>
            </w:r>
            <w:r w:rsidR="00A21624">
              <w:t> mld.</w:t>
            </w:r>
            <w:r>
              <w:t xml:space="preserve"> Náhrady z neživotního pojištění přiznané finančním institucím dosáhly 18,6</w:t>
            </w:r>
            <w:r w:rsidR="00A21624">
              <w:t> mld.</w:t>
            </w:r>
            <w:r>
              <w:t xml:space="preserve"> Objem běžných daní z důchodů </w:t>
            </w:r>
            <w:r w:rsidR="001A33A3">
              <w:t>a </w:t>
            </w:r>
            <w:r>
              <w:t xml:space="preserve">jmění, které sektor zaplatil, se loni zvýšil </w:t>
            </w:r>
            <w:r w:rsidR="001A33A3">
              <w:t>o </w:t>
            </w:r>
            <w:r>
              <w:t>4,9</w:t>
            </w:r>
            <w:r w:rsidR="00A21624">
              <w:t> mld.</w:t>
            </w:r>
            <w:r>
              <w:t xml:space="preserve"> korun na 27,5</w:t>
            </w:r>
            <w:r w:rsidR="00A21624">
              <w:t> mld.</w:t>
            </w:r>
            <w:r>
              <w:t xml:space="preserve"> Vyplacené čisté pojistné na neživotní pojištění dosáhlo 19,0</w:t>
            </w:r>
            <w:r w:rsidR="00A21624">
              <w:t> mld.</w:t>
            </w:r>
            <w:r>
              <w:t xml:space="preserve"> korun </w:t>
            </w:r>
            <w:r w:rsidR="001A33A3">
              <w:t>a </w:t>
            </w:r>
            <w:r>
              <w:t>náhrady z neživotního pojištění činily 57,0</w:t>
            </w:r>
            <w:r w:rsidR="00A21624">
              <w:t> mld.</w:t>
            </w:r>
            <w:r>
              <w:t xml:space="preserve"> (+3,9</w:t>
            </w:r>
            <w:r w:rsidR="00A21624">
              <w:t> mld.</w:t>
            </w:r>
            <w:r>
              <w:t>). Ve formě sociálních dávek sektor zaplatil 24,0 mld. korun. Výsledné saldo druhotných důchodů dosáhlo 11,9</w:t>
            </w:r>
            <w:r w:rsidR="00A21624">
              <w:t> mld.</w:t>
            </w:r>
            <w:r>
              <w:t xml:space="preserve"> korun </w:t>
            </w:r>
            <w:r w:rsidR="001A33A3">
              <w:t>a </w:t>
            </w:r>
            <w:r>
              <w:t>meziročně se zvýšilo jen nepatrně.</w:t>
            </w:r>
          </w:p>
        </w:tc>
      </w:tr>
      <w:tr w:rsidR="000979EC" w14:paraId="00C02EC8" w14:textId="77777777" w:rsidTr="00E503A5">
        <w:trPr>
          <w:trHeight w:val="145"/>
        </w:trPr>
        <w:tc>
          <w:tcPr>
            <w:tcW w:w="1909" w:type="dxa"/>
            <w:shd w:val="clear" w:color="auto" w:fill="auto"/>
          </w:tcPr>
          <w:p w14:paraId="50FC4D12" w14:textId="42F04F0F" w:rsidR="000979EC" w:rsidRDefault="000979EC" w:rsidP="00E503A5">
            <w:pPr>
              <w:pStyle w:val="Marginlie"/>
            </w:pPr>
            <w:r>
              <w:t xml:space="preserve">Oproti letům 2017 </w:t>
            </w:r>
            <w:r w:rsidR="001A33A3">
              <w:t>a </w:t>
            </w:r>
            <w:r>
              <w:t>2018 se výrazně zmírnila investiční aktivita sektoru.</w:t>
            </w:r>
          </w:p>
        </w:tc>
        <w:tc>
          <w:tcPr>
            <w:tcW w:w="264" w:type="dxa"/>
            <w:shd w:val="clear" w:color="auto" w:fill="auto"/>
          </w:tcPr>
          <w:p w14:paraId="7A257C02" w14:textId="77777777" w:rsidR="000979EC" w:rsidRDefault="000979EC" w:rsidP="00E503A5">
            <w:pPr>
              <w:pStyle w:val="Textpoznpodarou10"/>
              <w:jc w:val="both"/>
              <w:rPr>
                <w:spacing w:val="-4"/>
              </w:rPr>
            </w:pPr>
          </w:p>
        </w:tc>
        <w:tc>
          <w:tcPr>
            <w:tcW w:w="7471" w:type="dxa"/>
            <w:shd w:val="clear" w:color="auto" w:fill="auto"/>
          </w:tcPr>
          <w:p w14:paraId="0B135C14" w14:textId="26B3755D" w:rsidR="000979EC" w:rsidRDefault="000979EC" w:rsidP="00E503A5">
            <w:r>
              <w:t xml:space="preserve">Hrubý disponibilní důchod finančních institucí se snížil </w:t>
            </w:r>
            <w:r w:rsidR="001A33A3">
              <w:t>o </w:t>
            </w:r>
            <w:r>
              <w:t>5,2</w:t>
            </w:r>
            <w:r w:rsidR="00A21624">
              <w:t> mld.</w:t>
            </w:r>
            <w:r>
              <w:t xml:space="preserve"> korun na 112,0 mld. Po úpravě </w:t>
            </w:r>
            <w:r w:rsidR="001A33A3">
              <w:t>o </w:t>
            </w:r>
            <w:r>
              <w:t>změny čistého podílu domácností na rezervách penzijních fondů zůstaly hrubé úspory ve výši 73,6</w:t>
            </w:r>
            <w:r w:rsidR="00A21624">
              <w:t> mld.</w:t>
            </w:r>
            <w:r>
              <w:t xml:space="preserve"> korun. Úspory se meziročně snížily </w:t>
            </w:r>
            <w:r w:rsidR="001A33A3">
              <w:t>o </w:t>
            </w:r>
            <w:r>
              <w:t>10,7</w:t>
            </w:r>
            <w:r w:rsidR="00A21624">
              <w:t> mld.</w:t>
            </w:r>
            <w:r>
              <w:t xml:space="preserve"> korun. Výdaje na tvorbu hrubého fixního kapitálu dosáhly loni 35,5</w:t>
            </w:r>
            <w:r w:rsidR="00A21624">
              <w:t> mld.</w:t>
            </w:r>
            <w:r>
              <w:t xml:space="preserve"> korun. To je výrazně méně než v předchozím roce (pokles </w:t>
            </w:r>
            <w:r w:rsidR="001A33A3">
              <w:t>o </w:t>
            </w:r>
            <w:r>
              <w:t>21,6</w:t>
            </w:r>
            <w:r w:rsidR="00A21624">
              <w:t> mld.</w:t>
            </w:r>
            <w:r>
              <w:t xml:space="preserve"> korun). Nominálně byla úroveň </w:t>
            </w:r>
            <w:r>
              <w:lastRenderedPageBreak/>
              <w:t>investiční aktivity výrazně nad hodnotou před rokem 2016, míra investic</w:t>
            </w:r>
            <w:r>
              <w:rPr>
                <w:rStyle w:val="Znakapoznpodarou"/>
              </w:rPr>
              <w:footnoteReference w:id="26"/>
            </w:r>
            <w:r>
              <w:t xml:space="preserve"> se ale propadla </w:t>
            </w:r>
            <w:r w:rsidR="001A33A3">
              <w:t>o </w:t>
            </w:r>
            <w:r>
              <w:t>11,6</w:t>
            </w:r>
            <w:r w:rsidR="00F118D5">
              <w:t> p. b.</w:t>
            </w:r>
            <w:r>
              <w:t xml:space="preserve"> na 16,6</w:t>
            </w:r>
            <w:r w:rsidR="00F118D5">
              <w:t> %</w:t>
            </w:r>
            <w:r>
              <w:t xml:space="preserve">. Prudký nárůst investiční aktivity, který začal v roce 2016, tak vyvrcholil v roce 2018. Podle podrobnějšího členění tvorby hrubého fixního kapitálu sektor v roce 2016 výrazně navýšil investice do produktů duševního vlastnictví (zejména </w:t>
            </w:r>
            <w:r w:rsidR="00A2181F">
              <w:t xml:space="preserve">softwaru </w:t>
            </w:r>
            <w:r w:rsidR="001A33A3">
              <w:t>a </w:t>
            </w:r>
            <w:r w:rsidR="00A2181F">
              <w:t>databází</w:t>
            </w:r>
            <w:r>
              <w:t xml:space="preserve">) </w:t>
            </w:r>
            <w:r w:rsidR="001A33A3">
              <w:t>a </w:t>
            </w:r>
            <w:r>
              <w:t xml:space="preserve">v letech 2017 </w:t>
            </w:r>
            <w:r w:rsidR="001A33A3">
              <w:t>a </w:t>
            </w:r>
            <w:r>
              <w:t xml:space="preserve">2018 se k tomu přidaly také investice do dopravních prostředků </w:t>
            </w:r>
            <w:r w:rsidR="001A33A3">
              <w:t>a </w:t>
            </w:r>
            <w:r>
              <w:t>zařízení.</w:t>
            </w:r>
          </w:p>
        </w:tc>
      </w:tr>
      <w:tr w:rsidR="000979EC" w14:paraId="1C77AEFF" w14:textId="77777777" w:rsidTr="00E503A5">
        <w:trPr>
          <w:trHeight w:val="212"/>
        </w:trPr>
        <w:tc>
          <w:tcPr>
            <w:tcW w:w="1909" w:type="dxa"/>
            <w:shd w:val="clear" w:color="auto" w:fill="auto"/>
          </w:tcPr>
          <w:p w14:paraId="67CF5504" w14:textId="77777777" w:rsidR="000979EC" w:rsidRDefault="000979EC" w:rsidP="00E503A5">
            <w:pPr>
              <w:pStyle w:val="Marginlie"/>
              <w:spacing w:after="240"/>
            </w:pPr>
            <w:r>
              <w:lastRenderedPageBreak/>
              <w:t>Po osmi letech růstu loni klesl objem dluhových cenných papírů v aktivech finančních institucí.</w:t>
            </w:r>
          </w:p>
        </w:tc>
        <w:tc>
          <w:tcPr>
            <w:tcW w:w="264" w:type="dxa"/>
            <w:shd w:val="clear" w:color="auto" w:fill="auto"/>
          </w:tcPr>
          <w:p w14:paraId="17FD7AA9" w14:textId="77777777" w:rsidR="000979EC" w:rsidRDefault="000979EC" w:rsidP="00E503A5">
            <w:pPr>
              <w:pStyle w:val="Textpoznpodarou10"/>
              <w:spacing w:after="240"/>
              <w:jc w:val="both"/>
              <w:rPr>
                <w:spacing w:val="-4"/>
              </w:rPr>
            </w:pPr>
          </w:p>
        </w:tc>
        <w:tc>
          <w:tcPr>
            <w:tcW w:w="7471" w:type="dxa"/>
            <w:shd w:val="clear" w:color="auto" w:fill="auto"/>
          </w:tcPr>
          <w:p w14:paraId="72575C2A" w14:textId="71645B55" w:rsidR="000979EC" w:rsidRDefault="000979EC" w:rsidP="00E503A5">
            <w:r>
              <w:t xml:space="preserve">Na straně aktiv finančních institucí posílil objem poskytnutých půjček </w:t>
            </w:r>
            <w:r w:rsidR="001A33A3">
              <w:t>o </w:t>
            </w:r>
            <w:r>
              <w:t>147,7</w:t>
            </w:r>
            <w:r w:rsidR="00A21624">
              <w:t> mld.</w:t>
            </w:r>
            <w:r>
              <w:t xml:space="preserve"> korun. Rostly však pouze dlouhodobé půjčky (+180,0</w:t>
            </w:r>
            <w:r w:rsidR="00A21624">
              <w:t> mld.</w:t>
            </w:r>
            <w:r>
              <w:t xml:space="preserve"> korun), objem těch krátkodobých se snížil </w:t>
            </w:r>
            <w:r w:rsidR="001A33A3">
              <w:t>o </w:t>
            </w:r>
            <w:r>
              <w:t>32,4</w:t>
            </w:r>
            <w:r w:rsidR="00A21624">
              <w:t> mld.</w:t>
            </w:r>
            <w:r>
              <w:t xml:space="preserve"> Jde </w:t>
            </w:r>
            <w:r w:rsidR="001A33A3">
              <w:t>o </w:t>
            </w:r>
            <w:r>
              <w:t xml:space="preserve">zpomalení dynamiky po velmi silném přírůstku z roku 2018. Po osmi letech růstu klesl objem dluhových cenných papírů v aktivech finančních institucí </w:t>
            </w:r>
            <w:r w:rsidR="001A33A3">
              <w:t>o </w:t>
            </w:r>
            <w:r>
              <w:t>56,3</w:t>
            </w:r>
            <w:r w:rsidR="00A21624">
              <w:t> mld.</w:t>
            </w:r>
            <w:r>
              <w:t xml:space="preserve"> korun. Propad nastal pouze </w:t>
            </w:r>
            <w:r w:rsidR="001A33A3">
              <w:t>u </w:t>
            </w:r>
            <w:r>
              <w:t>dlouhodobých produktů (</w:t>
            </w:r>
            <w:r w:rsidR="00A21624">
              <w:t>–</w:t>
            </w:r>
            <w:r>
              <w:t>67,8</w:t>
            </w:r>
            <w:r w:rsidR="00A21624">
              <w:t> mld.</w:t>
            </w:r>
            <w:r>
              <w:t xml:space="preserve"> korun), krátkodobé vzrostly </w:t>
            </w:r>
            <w:r w:rsidR="001A33A3">
              <w:t>o </w:t>
            </w:r>
            <w:r>
              <w:t>11,5</w:t>
            </w:r>
            <w:r w:rsidR="00A21624">
              <w:t> mld.</w:t>
            </w:r>
            <w:r>
              <w:t xml:space="preserve"> Výrazně narostly také účasti </w:t>
            </w:r>
            <w:r w:rsidR="001A33A3">
              <w:t>a </w:t>
            </w:r>
            <w:r>
              <w:t>podíly v investičních fondech (+223,8</w:t>
            </w:r>
            <w:r w:rsidR="00A21624">
              <w:t> mld.</w:t>
            </w:r>
            <w:r>
              <w:t xml:space="preserve"> korun). Silné bylo </w:t>
            </w:r>
            <w:r w:rsidR="00A2181F">
              <w:t xml:space="preserve">rovněž </w:t>
            </w:r>
            <w:r>
              <w:t>navýšení hodnoty ostatních pohledávek (+88,6</w:t>
            </w:r>
            <w:r w:rsidR="00A21624">
              <w:t> mld.</w:t>
            </w:r>
            <w:r>
              <w:t xml:space="preserve"> korun). Na straně závazků finančních institucí narostl objem oběživa </w:t>
            </w:r>
            <w:r w:rsidR="001A33A3">
              <w:t>a </w:t>
            </w:r>
            <w:r>
              <w:t xml:space="preserve">vkladů </w:t>
            </w:r>
            <w:r w:rsidR="001A33A3">
              <w:t>o </w:t>
            </w:r>
            <w:r>
              <w:t>279,0</w:t>
            </w:r>
            <w:r w:rsidR="00A21624">
              <w:t> mld.</w:t>
            </w:r>
            <w:r>
              <w:t xml:space="preserve"> korun. Mimořádně vysoký byl nárůst účastí </w:t>
            </w:r>
            <w:r w:rsidR="001A33A3">
              <w:t>a </w:t>
            </w:r>
            <w:r>
              <w:t xml:space="preserve">podílů v investičních fondech (204,3 mld. korun, z toho nekótované akcie narostly </w:t>
            </w:r>
            <w:r w:rsidR="001A33A3">
              <w:t>o </w:t>
            </w:r>
            <w:r>
              <w:t>192,4</w:t>
            </w:r>
            <w:r w:rsidR="00A21624">
              <w:t> mld.</w:t>
            </w:r>
            <w:r>
              <w:t>). Čisté půjčky sektoru dosáhly 36,0</w:t>
            </w:r>
            <w:r w:rsidR="00A21624">
              <w:t> mld.</w:t>
            </w:r>
            <w:r>
              <w:t xml:space="preserve"> korun, bilance změny aktiv </w:t>
            </w:r>
            <w:r w:rsidR="001A33A3">
              <w:t>a </w:t>
            </w:r>
            <w:r>
              <w:t>pasiv tak zůstala kladná.</w:t>
            </w:r>
          </w:p>
        </w:tc>
      </w:tr>
      <w:tr w:rsidR="000979EC" w14:paraId="5C3B1FBE" w14:textId="77777777" w:rsidTr="00E503A5">
        <w:trPr>
          <w:trHeight w:val="145"/>
        </w:trPr>
        <w:tc>
          <w:tcPr>
            <w:tcW w:w="1909" w:type="dxa"/>
            <w:shd w:val="clear" w:color="auto" w:fill="auto"/>
          </w:tcPr>
          <w:p w14:paraId="36812A4E" w14:textId="77777777" w:rsidR="000979EC" w:rsidRDefault="000979EC" w:rsidP="00E503A5">
            <w:pPr>
              <w:pStyle w:val="Marginlie"/>
              <w:spacing w:after="240"/>
            </w:pPr>
            <w:r>
              <w:t>Změny čistého jmění vlivem zisků z držby byly kladné.</w:t>
            </w:r>
          </w:p>
        </w:tc>
        <w:tc>
          <w:tcPr>
            <w:tcW w:w="264" w:type="dxa"/>
            <w:shd w:val="clear" w:color="auto" w:fill="auto"/>
          </w:tcPr>
          <w:p w14:paraId="1440B89F" w14:textId="77777777" w:rsidR="000979EC" w:rsidRDefault="000979EC" w:rsidP="00E503A5">
            <w:pPr>
              <w:pStyle w:val="Textpoznpodarou10"/>
              <w:jc w:val="both"/>
              <w:rPr>
                <w:spacing w:val="-4"/>
              </w:rPr>
            </w:pPr>
          </w:p>
        </w:tc>
        <w:tc>
          <w:tcPr>
            <w:tcW w:w="7471" w:type="dxa"/>
            <w:shd w:val="clear" w:color="auto" w:fill="auto"/>
          </w:tcPr>
          <w:p w14:paraId="11F76DC7" w14:textId="3DCD2163" w:rsidR="000979EC" w:rsidRDefault="000979EC" w:rsidP="00037A79">
            <w:r>
              <w:t xml:space="preserve">Podle účtu přecenění vzrostla hodnota finančních aktiv držených finančními institucemi </w:t>
            </w:r>
            <w:r w:rsidR="001A33A3">
              <w:t>o </w:t>
            </w:r>
            <w:r>
              <w:t>125,7</w:t>
            </w:r>
            <w:r w:rsidR="00A21624">
              <w:t> mld.</w:t>
            </w:r>
            <w:r>
              <w:t xml:space="preserve"> korun. Nejvíce k tomu přispěl nárůst hodnoty držených dluhových cenných papírů </w:t>
            </w:r>
            <w:r w:rsidR="001A33A3">
              <w:t>o </w:t>
            </w:r>
            <w:r>
              <w:t>68,6</w:t>
            </w:r>
            <w:r w:rsidR="00A21624">
              <w:t> mld.</w:t>
            </w:r>
            <w:r>
              <w:t xml:space="preserve"> korun. Finanční deriváty dále přidaly 33,9 mld. Účasti </w:t>
            </w:r>
            <w:r w:rsidR="001A33A3">
              <w:t>a </w:t>
            </w:r>
            <w:r>
              <w:t xml:space="preserve">podíly v investičních fondech zvýšily svou hodnotu </w:t>
            </w:r>
            <w:r w:rsidR="001A33A3">
              <w:t>o </w:t>
            </w:r>
            <w:r>
              <w:t>22,5</w:t>
            </w:r>
            <w:r w:rsidR="00A21624">
              <w:t> mld.</w:t>
            </w:r>
            <w:r>
              <w:t xml:space="preserve"> O 12,7</w:t>
            </w:r>
            <w:r w:rsidR="00A21624">
              <w:t> mld.</w:t>
            </w:r>
            <w:r>
              <w:t xml:space="preserve"> korun narostla hodnota oběživa </w:t>
            </w:r>
            <w:r w:rsidR="001A33A3">
              <w:t>a </w:t>
            </w:r>
            <w:r>
              <w:t xml:space="preserve">vkladů. Finanční instituce zaznamenaly zisk z držby v důsledku poklesu hodnoty jejich finančních závazků </w:t>
            </w:r>
            <w:r w:rsidR="001A33A3">
              <w:t>o </w:t>
            </w:r>
            <w:r>
              <w:t>283,0</w:t>
            </w:r>
            <w:r w:rsidR="00A21624">
              <w:t> mld.</w:t>
            </w:r>
            <w:r>
              <w:t xml:space="preserve"> korun (zejména kvůli položce akcie </w:t>
            </w:r>
            <w:r w:rsidR="001A33A3">
              <w:t>a </w:t>
            </w:r>
            <w:r>
              <w:t>ostatní účasti</w:t>
            </w:r>
            <w:r w:rsidR="00B9088A">
              <w:t> </w:t>
            </w:r>
            <w:r>
              <w:t xml:space="preserve">– přecenění NFA, která činila </w:t>
            </w:r>
            <w:r w:rsidR="00A21624">
              <w:t>–</w:t>
            </w:r>
            <w:r>
              <w:t>346,6</w:t>
            </w:r>
            <w:r w:rsidR="00A21624">
              <w:t> mld.</w:t>
            </w:r>
            <w:r>
              <w:t xml:space="preserve"> korun). Díky tomu byly výsledné změny čistého jmění vlivem zisků z držby po dvou letech opět kladné</w:t>
            </w:r>
            <w:r>
              <w:rPr>
                <w:rStyle w:val="Znakapoznpodarou"/>
              </w:rPr>
              <w:footnoteReference w:id="27"/>
            </w:r>
            <w:r>
              <w:t xml:space="preserve"> </w:t>
            </w:r>
            <w:r w:rsidR="001A33A3">
              <w:t>a </w:t>
            </w:r>
            <w:r>
              <w:t>dosáhly 417,9</w:t>
            </w:r>
            <w:r w:rsidR="00A21624">
              <w:t> mld.</w:t>
            </w:r>
            <w:r>
              <w:t xml:space="preserve"> korun.</w:t>
            </w:r>
          </w:p>
        </w:tc>
      </w:tr>
      <w:tr w:rsidR="000979EC" w14:paraId="3F44A054" w14:textId="77777777" w:rsidTr="00E503A5">
        <w:trPr>
          <w:trHeight w:val="145"/>
        </w:trPr>
        <w:tc>
          <w:tcPr>
            <w:tcW w:w="1909" w:type="dxa"/>
            <w:shd w:val="clear" w:color="auto" w:fill="auto"/>
          </w:tcPr>
          <w:p w14:paraId="633D9B8E" w14:textId="12D9D5D7" w:rsidR="000979EC" w:rsidRDefault="000979EC" w:rsidP="00E503A5">
            <w:pPr>
              <w:pStyle w:val="Marginlie"/>
              <w:spacing w:after="240"/>
            </w:pPr>
            <w:r>
              <w:t>Čisté jmění finančních institucí ke konci roku činilo 86,0</w:t>
            </w:r>
            <w:r w:rsidR="00A21624">
              <w:t> mld.</w:t>
            </w:r>
            <w:r>
              <w:t xml:space="preserve"> korun.</w:t>
            </w:r>
          </w:p>
        </w:tc>
        <w:tc>
          <w:tcPr>
            <w:tcW w:w="264" w:type="dxa"/>
            <w:shd w:val="clear" w:color="auto" w:fill="auto"/>
          </w:tcPr>
          <w:p w14:paraId="4D858721" w14:textId="77777777" w:rsidR="000979EC" w:rsidRDefault="000979EC" w:rsidP="00E503A5">
            <w:pPr>
              <w:pStyle w:val="Textpoznpodarou10"/>
              <w:jc w:val="both"/>
              <w:rPr>
                <w:spacing w:val="-4"/>
              </w:rPr>
            </w:pPr>
          </w:p>
        </w:tc>
        <w:tc>
          <w:tcPr>
            <w:tcW w:w="7471" w:type="dxa"/>
            <w:shd w:val="clear" w:color="auto" w:fill="auto"/>
          </w:tcPr>
          <w:p w14:paraId="169DD016" w14:textId="401E7146" w:rsidR="000979EC" w:rsidRDefault="000979EC" w:rsidP="00E503A5">
            <w:pPr>
              <w:spacing w:after="0"/>
            </w:pPr>
            <w:r>
              <w:t>Nefinanční aktiva finančních institucí měla ke konci roku 2019 hodnotu 314,6</w:t>
            </w:r>
            <w:r w:rsidR="00A21624">
              <w:t> mld.</w:t>
            </w:r>
            <w:r>
              <w:t xml:space="preserve"> korun. </w:t>
            </w:r>
            <w:r w:rsidR="004948F4">
              <w:t>Finanční aktiva dosáhla výše</w:t>
            </w:r>
            <w:r>
              <w:t xml:space="preserve"> 14 046,2</w:t>
            </w:r>
            <w:r w:rsidR="00A21624">
              <w:t> mld.</w:t>
            </w:r>
            <w:r>
              <w:t xml:space="preserve"> korun </w:t>
            </w:r>
            <w:r w:rsidR="001A33A3">
              <w:t>a </w:t>
            </w:r>
            <w:r>
              <w:t xml:space="preserve">finanční </w:t>
            </w:r>
            <w:r w:rsidR="004948F4">
              <w:t xml:space="preserve">závazky </w:t>
            </w:r>
            <w:r>
              <w:t>14 274,8</w:t>
            </w:r>
            <w:r w:rsidR="00A21624">
              <w:t> mld.</w:t>
            </w:r>
            <w:r>
              <w:t xml:space="preserve"> Po letech 2017 </w:t>
            </w:r>
            <w:r w:rsidR="001A33A3">
              <w:t>a </w:t>
            </w:r>
            <w:r>
              <w:t xml:space="preserve">2018 </w:t>
            </w:r>
            <w:r w:rsidR="001A33A3">
              <w:t>v </w:t>
            </w:r>
            <w:r>
              <w:t xml:space="preserve">deficitu loni opět aktiva překonala pasiva </w:t>
            </w:r>
            <w:r w:rsidR="001A33A3">
              <w:t>a </w:t>
            </w:r>
            <w:r>
              <w:t>výsledné čisté jmění sektoru dosáhlo 86,0</w:t>
            </w:r>
            <w:r w:rsidR="00A21624">
              <w:t> mld.</w:t>
            </w:r>
            <w:r>
              <w:t xml:space="preserve"> korun. Jedním z důvodů bylo výrazné zpomalení nárůstu závazků (+354,7</w:t>
            </w:r>
            <w:r w:rsidR="00A21624">
              <w:t> mld.</w:t>
            </w:r>
            <w:r>
              <w:t xml:space="preserve"> korun). </w:t>
            </w:r>
            <w:r w:rsidR="004948F4">
              <w:t>Stály za tím zejména</w:t>
            </w:r>
            <w:r>
              <w:t xml:space="preserve"> účasti </w:t>
            </w:r>
            <w:r w:rsidR="001A33A3">
              <w:t>a </w:t>
            </w:r>
            <w:r>
              <w:t xml:space="preserve">podíly v investičních fondech, jejichž hodnota </w:t>
            </w:r>
            <w:r w:rsidR="001A33A3">
              <w:t>v </w:t>
            </w:r>
            <w:r>
              <w:t xml:space="preserve">rozvaze klesla </w:t>
            </w:r>
            <w:r w:rsidR="001A33A3">
              <w:t>o </w:t>
            </w:r>
            <w:r>
              <w:t>81,1</w:t>
            </w:r>
            <w:r w:rsidR="00A21624">
              <w:t> mld.</w:t>
            </w:r>
            <w:r>
              <w:t>, hlavně z důvodů přecenění nefinančních aktiv (</w:t>
            </w:r>
            <w:r w:rsidR="00A21624">
              <w:t>–</w:t>
            </w:r>
            <w:r>
              <w:t>430,8</w:t>
            </w:r>
            <w:r w:rsidR="00A21624">
              <w:t> mld.</w:t>
            </w:r>
            <w:r>
              <w:t xml:space="preserve">). Nárůst oběživa </w:t>
            </w:r>
            <w:r w:rsidR="001A33A3">
              <w:t>a </w:t>
            </w:r>
            <w:r>
              <w:t xml:space="preserve">vkladů v závazcích </w:t>
            </w:r>
            <w:r w:rsidR="001A33A3">
              <w:t>o </w:t>
            </w:r>
            <w:r>
              <w:t>268,4</w:t>
            </w:r>
            <w:r w:rsidR="00A21624">
              <w:t> mld.</w:t>
            </w:r>
            <w:r>
              <w:t xml:space="preserve"> korun byl srovnatelný s předchozím rokem. Na straně aktiv finančních institucí narostl objem oběživa </w:t>
            </w:r>
            <w:r w:rsidR="001A33A3">
              <w:t>a </w:t>
            </w:r>
            <w:r>
              <w:t xml:space="preserve">vkladů </w:t>
            </w:r>
            <w:r w:rsidR="001A33A3">
              <w:t>o </w:t>
            </w:r>
            <w:r>
              <w:t>144,8</w:t>
            </w:r>
            <w:r w:rsidR="00A21624">
              <w:t> mld.</w:t>
            </w:r>
            <w:r>
              <w:t xml:space="preserve"> korun, půjček </w:t>
            </w:r>
            <w:r w:rsidR="001A33A3">
              <w:t>o </w:t>
            </w:r>
            <w:r>
              <w:t>133,0</w:t>
            </w:r>
            <w:r w:rsidR="00A21624">
              <w:t> mld.</w:t>
            </w:r>
            <w:r>
              <w:t xml:space="preserve"> </w:t>
            </w:r>
            <w:r w:rsidR="001A33A3">
              <w:t>a </w:t>
            </w:r>
            <w:r w:rsidR="004948F4">
              <w:t xml:space="preserve">účastí </w:t>
            </w:r>
            <w:r w:rsidR="001A33A3">
              <w:t>a </w:t>
            </w:r>
            <w:r w:rsidR="004948F4">
              <w:t xml:space="preserve">podílů </w:t>
            </w:r>
            <w:r>
              <w:t xml:space="preserve">v investičních fondech </w:t>
            </w:r>
            <w:r w:rsidR="001A33A3">
              <w:t>o </w:t>
            </w:r>
            <w:r>
              <w:t>248,0</w:t>
            </w:r>
            <w:r w:rsidR="00A21624">
              <w:t> mld.</w:t>
            </w:r>
          </w:p>
        </w:tc>
      </w:tr>
    </w:tbl>
    <w:p w14:paraId="46C7832B" w14:textId="77777777" w:rsidR="000979EC" w:rsidRDefault="000979EC" w:rsidP="000979EC">
      <w:pPr>
        <w:pStyle w:val="Nadpis210"/>
      </w:pPr>
    </w:p>
    <w:p w14:paraId="6EFFDB7D" w14:textId="77777777" w:rsidR="00B619A9" w:rsidRDefault="00B619A9" w:rsidP="00B619A9">
      <w:pPr>
        <w:rPr>
          <w:lang w:eastAsia="en-US"/>
        </w:rPr>
      </w:pPr>
    </w:p>
    <w:p w14:paraId="68944690" w14:textId="77777777" w:rsidR="00B619A9" w:rsidRPr="00B619A9" w:rsidRDefault="00B619A9" w:rsidP="00B619A9">
      <w:pPr>
        <w:rPr>
          <w:lang w:eastAsia="en-US"/>
        </w:rPr>
      </w:pPr>
    </w:p>
    <w:p w14:paraId="1B6401C5" w14:textId="77777777" w:rsidR="005152D9" w:rsidRDefault="005152D9">
      <w:pPr>
        <w:spacing w:after="0" w:line="240" w:lineRule="auto"/>
        <w:jc w:val="left"/>
        <w:rPr>
          <w:rFonts w:eastAsia="MS Gothic"/>
          <w:b/>
          <w:bCs/>
          <w:color w:val="71818C"/>
          <w:sz w:val="32"/>
          <w:szCs w:val="28"/>
          <w:lang w:eastAsia="en-US"/>
        </w:rPr>
      </w:pPr>
      <w:r>
        <w:rPr>
          <w:lang w:eastAsia="en-US"/>
        </w:rPr>
        <w:br w:type="page"/>
      </w:r>
    </w:p>
    <w:p w14:paraId="66A494EB" w14:textId="384DAECA" w:rsidR="000979EC" w:rsidRDefault="001A33A3" w:rsidP="000979EC">
      <w:pPr>
        <w:pStyle w:val="Nadpis1"/>
      </w:pPr>
      <w:bookmarkStart w:id="9" w:name="_Toc48549437"/>
      <w:r>
        <w:lastRenderedPageBreak/>
        <w:t>7. </w:t>
      </w:r>
      <w:r w:rsidR="000979EC">
        <w:t>Hospodaření vládních institucí</w:t>
      </w:r>
      <w:bookmarkEnd w:id="9"/>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0979EC" w:rsidRPr="00157A87" w14:paraId="10849C26" w14:textId="77777777" w:rsidTr="00E503A5">
        <w:trPr>
          <w:trHeight w:val="145"/>
        </w:trPr>
        <w:tc>
          <w:tcPr>
            <w:tcW w:w="1976" w:type="dxa"/>
          </w:tcPr>
          <w:p w14:paraId="52F1D79B" w14:textId="685FE00F" w:rsidR="000979EC" w:rsidRPr="00157A87" w:rsidRDefault="000979EC" w:rsidP="00E503A5">
            <w:pPr>
              <w:pStyle w:val="Marginlie"/>
            </w:pPr>
            <w:r>
              <w:t>Vládní instituce loni dosáhly přebytku, ten ale výrazně oslabil.</w:t>
            </w:r>
          </w:p>
        </w:tc>
        <w:tc>
          <w:tcPr>
            <w:tcW w:w="277" w:type="dxa"/>
          </w:tcPr>
          <w:p w14:paraId="22E94627" w14:textId="77777777" w:rsidR="000979EC" w:rsidRPr="00157A87" w:rsidRDefault="000979EC" w:rsidP="00E503A5">
            <w:pPr>
              <w:pStyle w:val="Textpoznpodarou"/>
              <w:jc w:val="both"/>
              <w:rPr>
                <w:spacing w:val="-4"/>
              </w:rPr>
            </w:pPr>
          </w:p>
        </w:tc>
        <w:tc>
          <w:tcPr>
            <w:tcW w:w="7391" w:type="dxa"/>
          </w:tcPr>
          <w:p w14:paraId="6A350EC5" w14:textId="0EB2E2DC" w:rsidR="000979EC" w:rsidRPr="00157A87" w:rsidRDefault="000979EC" w:rsidP="00E503A5">
            <w:r>
              <w:t>Sektor vládních institucí v roce 2019 hospodařil s přebytkem 15,4</w:t>
            </w:r>
            <w:r w:rsidR="00A21624">
              <w:t> mld.</w:t>
            </w:r>
            <w:r>
              <w:t xml:space="preserve"> korun </w:t>
            </w:r>
            <w:r w:rsidR="001A33A3">
              <w:t>a </w:t>
            </w:r>
            <w:r>
              <w:t>dosáhl tak kladného salda čtvrtý rok v řadě. Dynamika přebytku ale výrazně oslabila ve srovnání s předchozím rokem (</w:t>
            </w:r>
            <w:r w:rsidR="00A21624">
              <w:t>–</w:t>
            </w:r>
            <w:r>
              <w:t>33,9</w:t>
            </w:r>
            <w:r w:rsidR="00A21624">
              <w:t> mld.</w:t>
            </w:r>
            <w:r>
              <w:t xml:space="preserve"> korun). Důvodem snížení je větší posílení výdajové strany rozpočtu nad příjmy. To vedlo k poklesu přebytku již v roce 2018. Výsledný podíl salda vůči HDP (relativní přebytek/deficit) loni dosáhl 0,3</w:t>
            </w:r>
            <w:r w:rsidR="00F118D5">
              <w:t> %</w:t>
            </w:r>
            <w:r>
              <w:t xml:space="preserve"> </w:t>
            </w:r>
            <w:r w:rsidR="001A33A3">
              <w:t>a </w:t>
            </w:r>
            <w:r>
              <w:t xml:space="preserve">meziročně poklesl </w:t>
            </w:r>
            <w:r w:rsidR="001A33A3">
              <w:t>o </w:t>
            </w:r>
            <w:r>
              <w:t>0,6</w:t>
            </w:r>
            <w:r w:rsidR="00F118D5">
              <w:t> p. b.</w:t>
            </w:r>
            <w:r>
              <w:t xml:space="preserve"> V rámci EU</w:t>
            </w:r>
            <w:r>
              <w:rPr>
                <w:rStyle w:val="Znakapoznpodarou"/>
              </w:rPr>
              <w:footnoteReference w:id="28"/>
            </w:r>
            <w:r>
              <w:t xml:space="preserve"> tak český relativní přebytek patřil k těm nižším.</w:t>
            </w:r>
          </w:p>
        </w:tc>
      </w:tr>
      <w:tr w:rsidR="000979EC" w:rsidRPr="00157A87" w14:paraId="6B87F273" w14:textId="77777777" w:rsidTr="00E503A5">
        <w:trPr>
          <w:trHeight w:val="145"/>
        </w:trPr>
        <w:tc>
          <w:tcPr>
            <w:tcW w:w="1976" w:type="dxa"/>
          </w:tcPr>
          <w:p w14:paraId="4A670597" w14:textId="77777777" w:rsidR="000979EC" w:rsidRDefault="000979EC" w:rsidP="00E503A5">
            <w:pPr>
              <w:pStyle w:val="Marginlie"/>
            </w:pPr>
            <w:r>
              <w:t>Většina zemí EU hospodařila s přebytkem.</w:t>
            </w:r>
          </w:p>
        </w:tc>
        <w:tc>
          <w:tcPr>
            <w:tcW w:w="277" w:type="dxa"/>
          </w:tcPr>
          <w:p w14:paraId="6D4E5D00" w14:textId="77777777" w:rsidR="000979EC" w:rsidRPr="00157A87" w:rsidRDefault="000979EC" w:rsidP="00E503A5">
            <w:pPr>
              <w:pStyle w:val="Textpoznpodarou"/>
              <w:jc w:val="both"/>
              <w:rPr>
                <w:spacing w:val="-4"/>
              </w:rPr>
            </w:pPr>
          </w:p>
        </w:tc>
        <w:tc>
          <w:tcPr>
            <w:tcW w:w="7391" w:type="dxa"/>
          </w:tcPr>
          <w:p w14:paraId="7252BF75" w14:textId="1F63422E" w:rsidR="000979EC" w:rsidRPr="00157A87" w:rsidRDefault="000979EC" w:rsidP="00E503A5">
            <w:r>
              <w:t xml:space="preserve">Období hospodářského růstu posledních let umožnilo celkové zlepšení veřejných financí v Evropské unii. </w:t>
            </w:r>
            <w:r w:rsidR="001A33A3">
              <w:t>V </w:t>
            </w:r>
            <w:r>
              <w:t>posledních čtyřech letech se tak počet zemí EU, které hospodařily s kladným saldem, výrazně zvýšil (</w:t>
            </w:r>
            <w:r w:rsidR="001A33A3">
              <w:t>v </w:t>
            </w:r>
            <w:r>
              <w:t xml:space="preserve">roce 2015 to byly </w:t>
            </w:r>
            <w:r w:rsidR="00A21624">
              <w:t>4 </w:t>
            </w:r>
            <w:r>
              <w:t xml:space="preserve">státy, loni 16). Loňský výsledek byl tak nejlepší v celé dostupné časové řadě od roku 1995. Relativní saldo se loni zlepšilo </w:t>
            </w:r>
            <w:r w:rsidR="001A33A3">
              <w:t>u </w:t>
            </w:r>
            <w:r>
              <w:t>1</w:t>
            </w:r>
            <w:r w:rsidR="00A21624">
              <w:t>3 </w:t>
            </w:r>
            <w:r>
              <w:t xml:space="preserve">států. Celkově však hospodaření vládních institucí </w:t>
            </w:r>
            <w:r w:rsidR="001A33A3">
              <w:t>v </w:t>
            </w:r>
            <w:r>
              <w:t xml:space="preserve">EU bylo deficitní </w:t>
            </w:r>
            <w:r w:rsidR="001A33A3">
              <w:t>a </w:t>
            </w:r>
            <w:r>
              <w:t xml:space="preserve">relativní saldo dosáhlo </w:t>
            </w:r>
            <w:r w:rsidR="00A21624">
              <w:t>–</w:t>
            </w:r>
            <w:r>
              <w:t>0,6</w:t>
            </w:r>
            <w:r w:rsidR="00F118D5">
              <w:t> %</w:t>
            </w:r>
            <w:r>
              <w:t xml:space="preserve"> (zhoršilo se </w:t>
            </w:r>
            <w:r w:rsidR="001A33A3">
              <w:t>o </w:t>
            </w:r>
            <w:r w:rsidR="004A670E">
              <w:t>–</w:t>
            </w:r>
            <w:r>
              <w:t>0,2 p. b.).</w:t>
            </w:r>
            <w:r w:rsidR="004A670E">
              <w:br/>
            </w:r>
            <w:r>
              <w:t>Důvodem bylo mimo jiné zhoršení hospodaření ve velkých zemích Unie. Nejvyššího relativního přebytku dosáhly Dánsko (3,7</w:t>
            </w:r>
            <w:r w:rsidR="00F118D5">
              <w:t> %</w:t>
            </w:r>
            <w:r>
              <w:t>), Lucembursko (2,2</w:t>
            </w:r>
            <w:r w:rsidR="00F118D5">
              <w:t> %</w:t>
            </w:r>
            <w:r>
              <w:t xml:space="preserve">) </w:t>
            </w:r>
            <w:r w:rsidR="001A33A3">
              <w:t>a </w:t>
            </w:r>
            <w:r>
              <w:t>Bulharsko (2,1</w:t>
            </w:r>
            <w:r w:rsidR="00BF6EE6">
              <w:t> </w:t>
            </w:r>
            <w:r>
              <w:t>%). Hranici 3</w:t>
            </w:r>
            <w:r w:rsidR="00F118D5">
              <w:t> %</w:t>
            </w:r>
            <w:r>
              <w:t xml:space="preserve"> HDP překonal relativní deficit v Rumunsku. Relativní saldo se zde velmi zhoršilo navzdory silné dynamice HDP (4,1</w:t>
            </w:r>
            <w:r w:rsidR="00F118D5">
              <w:t> %</w:t>
            </w:r>
            <w:r>
              <w:t>). Přesně 3</w:t>
            </w:r>
            <w:r w:rsidR="00F118D5">
              <w:t> %</w:t>
            </w:r>
            <w:r>
              <w:t xml:space="preserve"> HDP dosáhl deficit ve Francii </w:t>
            </w:r>
            <w:r w:rsidR="001A33A3">
              <w:t>a </w:t>
            </w:r>
            <w:r>
              <w:t>třetí nejvyšší relativní záporné saldo mělo Španělsko (</w:t>
            </w:r>
            <w:r w:rsidR="00A21624">
              <w:t>–</w:t>
            </w:r>
            <w:r>
              <w:t>2,8</w:t>
            </w:r>
            <w:r w:rsidR="00F118D5">
              <w:t> %</w:t>
            </w:r>
            <w:r>
              <w:t>).</w:t>
            </w:r>
          </w:p>
        </w:tc>
      </w:tr>
      <w:tr w:rsidR="000979EC" w:rsidRPr="00894C66" w14:paraId="296001C6" w14:textId="77777777" w:rsidTr="00E503A5">
        <w:tc>
          <w:tcPr>
            <w:tcW w:w="1976" w:type="dxa"/>
            <w:vMerge w:val="restart"/>
          </w:tcPr>
          <w:p w14:paraId="596D04DC" w14:textId="77777777" w:rsidR="000979EC" w:rsidRDefault="000979EC" w:rsidP="00E503A5">
            <w:pPr>
              <w:pStyle w:val="Marginlie"/>
            </w:pPr>
          </w:p>
        </w:tc>
        <w:tc>
          <w:tcPr>
            <w:tcW w:w="277" w:type="dxa"/>
            <w:vMerge w:val="restart"/>
          </w:tcPr>
          <w:p w14:paraId="46605918" w14:textId="77777777" w:rsidR="000979EC" w:rsidRPr="005E4483" w:rsidRDefault="000979EC" w:rsidP="00E503A5">
            <w:pPr>
              <w:pStyle w:val="Textpoznpodarou"/>
              <w:jc w:val="both"/>
              <w:rPr>
                <w:spacing w:val="-4"/>
              </w:rPr>
            </w:pPr>
          </w:p>
        </w:tc>
        <w:tc>
          <w:tcPr>
            <w:tcW w:w="7391" w:type="dxa"/>
          </w:tcPr>
          <w:p w14:paraId="7946BA24" w14:textId="7BF26EF6" w:rsidR="000979EC" w:rsidRPr="004454DC" w:rsidRDefault="000979EC" w:rsidP="00E503A5">
            <w:pPr>
              <w:spacing w:after="0"/>
              <w:rPr>
                <w:b/>
              </w:rPr>
            </w:pPr>
            <w:r w:rsidRPr="00B606BE">
              <w:rPr>
                <w:b/>
              </w:rPr>
              <w:t xml:space="preserve">Graf </w:t>
            </w:r>
            <w:r w:rsidR="00A21624" w:rsidRPr="00B606BE">
              <w:rPr>
                <w:b/>
              </w:rPr>
              <w:t>č. </w:t>
            </w:r>
            <w:r w:rsidR="001A33A3" w:rsidRPr="00B606BE">
              <w:rPr>
                <w:b/>
              </w:rPr>
              <w:t>8</w:t>
            </w:r>
            <w:r w:rsidR="001A480E">
              <w:rPr>
                <w:b/>
              </w:rPr>
              <w:t xml:space="preserve">  </w:t>
            </w:r>
            <w:r w:rsidRPr="005263D4">
              <w:rPr>
                <w:b/>
                <w:lang w:eastAsia="en-US"/>
              </w:rPr>
              <w:t xml:space="preserve">Čisté půjčky/výpůjčky </w:t>
            </w:r>
            <w:r>
              <w:rPr>
                <w:b/>
                <w:lang w:eastAsia="en-US"/>
              </w:rPr>
              <w:t xml:space="preserve">sektoru </w:t>
            </w:r>
            <w:r w:rsidRPr="005263D4">
              <w:rPr>
                <w:b/>
                <w:lang w:eastAsia="en-US"/>
              </w:rPr>
              <w:t>vládních institucí</w:t>
            </w:r>
            <w:r w:rsidRPr="00ED61AD">
              <w:rPr>
                <w:lang w:eastAsia="en-US"/>
              </w:rPr>
              <w:t xml:space="preserve"> (</w:t>
            </w:r>
            <w:r>
              <w:rPr>
                <w:lang w:eastAsia="en-US"/>
              </w:rPr>
              <w:t>v</w:t>
            </w:r>
            <w:r w:rsidR="00F118D5">
              <w:rPr>
                <w:lang w:eastAsia="en-US"/>
              </w:rPr>
              <w:t> %</w:t>
            </w:r>
            <w:r>
              <w:rPr>
                <w:lang w:eastAsia="en-US"/>
              </w:rPr>
              <w:t xml:space="preserve"> HDP, </w:t>
            </w:r>
            <w:r w:rsidRPr="00ED61AD">
              <w:rPr>
                <w:lang w:eastAsia="en-US"/>
              </w:rPr>
              <w:t>z údajů v běžných cenách)</w:t>
            </w:r>
          </w:p>
        </w:tc>
      </w:tr>
      <w:tr w:rsidR="000979EC" w:rsidRPr="00894C66" w14:paraId="746D4057" w14:textId="77777777" w:rsidTr="00B606BE">
        <w:tblPrEx>
          <w:tblCellMar>
            <w:left w:w="70" w:type="dxa"/>
            <w:right w:w="70" w:type="dxa"/>
          </w:tblCellMar>
        </w:tblPrEx>
        <w:trPr>
          <w:trHeight w:val="170"/>
        </w:trPr>
        <w:tc>
          <w:tcPr>
            <w:tcW w:w="1976" w:type="dxa"/>
            <w:vMerge/>
          </w:tcPr>
          <w:p w14:paraId="6330C4CC" w14:textId="77777777" w:rsidR="000979EC" w:rsidRDefault="000979EC" w:rsidP="00E503A5">
            <w:pPr>
              <w:pStyle w:val="Marginlie"/>
            </w:pPr>
          </w:p>
        </w:tc>
        <w:tc>
          <w:tcPr>
            <w:tcW w:w="277" w:type="dxa"/>
            <w:vMerge/>
          </w:tcPr>
          <w:p w14:paraId="60FAA4F8" w14:textId="77777777" w:rsidR="000979EC" w:rsidRPr="005E4483" w:rsidRDefault="000979EC" w:rsidP="00E503A5">
            <w:pPr>
              <w:pStyle w:val="Textpoznpodarou"/>
              <w:jc w:val="both"/>
              <w:rPr>
                <w:spacing w:val="-4"/>
              </w:rPr>
            </w:pPr>
          </w:p>
        </w:tc>
        <w:tc>
          <w:tcPr>
            <w:tcW w:w="7391" w:type="dxa"/>
          </w:tcPr>
          <w:p w14:paraId="0A97964A" w14:textId="588C2BA1" w:rsidR="000979EC" w:rsidRDefault="00B606BE" w:rsidP="00E503A5">
            <w:pPr>
              <w:spacing w:after="0"/>
            </w:pPr>
            <w:r>
              <w:rPr>
                <w:noProof/>
              </w:rPr>
              <w:drawing>
                <wp:inline distT="0" distB="0" distL="0" distR="0" wp14:anchorId="762F30ED" wp14:editId="08EE0AC1">
                  <wp:extent cx="4604385" cy="3453130"/>
                  <wp:effectExtent l="0" t="0" r="5715"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979EC" w:rsidRPr="00894C66" w14:paraId="2835CB38" w14:textId="77777777" w:rsidTr="00E503A5">
        <w:trPr>
          <w:trHeight w:val="170"/>
        </w:trPr>
        <w:tc>
          <w:tcPr>
            <w:tcW w:w="1976" w:type="dxa"/>
            <w:vMerge/>
          </w:tcPr>
          <w:p w14:paraId="1E4A30EF" w14:textId="77777777" w:rsidR="000979EC" w:rsidRDefault="000979EC" w:rsidP="00E503A5">
            <w:pPr>
              <w:pStyle w:val="Marginlie"/>
            </w:pPr>
          </w:p>
        </w:tc>
        <w:tc>
          <w:tcPr>
            <w:tcW w:w="277" w:type="dxa"/>
            <w:vMerge/>
          </w:tcPr>
          <w:p w14:paraId="1F4406E2" w14:textId="77777777" w:rsidR="000979EC" w:rsidRPr="005E4483" w:rsidRDefault="000979EC" w:rsidP="00E503A5">
            <w:pPr>
              <w:pStyle w:val="Textpoznpodarou"/>
              <w:jc w:val="both"/>
              <w:rPr>
                <w:spacing w:val="-4"/>
              </w:rPr>
            </w:pPr>
          </w:p>
        </w:tc>
        <w:tc>
          <w:tcPr>
            <w:tcW w:w="7391" w:type="dxa"/>
          </w:tcPr>
          <w:p w14:paraId="0FC8DF93" w14:textId="77777777" w:rsidR="000979EC" w:rsidRPr="00A1151F" w:rsidRDefault="000979EC" w:rsidP="00E503A5">
            <w:pPr>
              <w:rPr>
                <w:sz w:val="14"/>
                <w:szCs w:val="14"/>
              </w:rPr>
            </w:pPr>
            <w:r>
              <w:rPr>
                <w:sz w:val="14"/>
                <w:szCs w:val="14"/>
              </w:rPr>
              <w:t>Zdroj: Eurostat</w:t>
            </w:r>
          </w:p>
        </w:tc>
      </w:tr>
      <w:tr w:rsidR="000979EC" w:rsidRPr="00894C66" w14:paraId="740F9A11" w14:textId="77777777" w:rsidTr="00E503A5">
        <w:trPr>
          <w:trHeight w:val="145"/>
        </w:trPr>
        <w:tc>
          <w:tcPr>
            <w:tcW w:w="1976" w:type="dxa"/>
          </w:tcPr>
          <w:p w14:paraId="32C1DB64" w14:textId="77777777" w:rsidR="000979EC" w:rsidRDefault="000979EC" w:rsidP="00E503A5">
            <w:pPr>
              <w:pStyle w:val="Marginlie"/>
            </w:pPr>
            <w:r>
              <w:t>Příjmy sektoru vládních institucí nerostly tak silně jako dříve.</w:t>
            </w:r>
          </w:p>
        </w:tc>
        <w:tc>
          <w:tcPr>
            <w:tcW w:w="277" w:type="dxa"/>
          </w:tcPr>
          <w:p w14:paraId="520A6012" w14:textId="77777777" w:rsidR="000979EC" w:rsidRPr="005E4483" w:rsidRDefault="000979EC" w:rsidP="00E503A5">
            <w:pPr>
              <w:pStyle w:val="Textpoznpodarou"/>
              <w:jc w:val="both"/>
              <w:rPr>
                <w:spacing w:val="-4"/>
              </w:rPr>
            </w:pPr>
          </w:p>
        </w:tc>
        <w:tc>
          <w:tcPr>
            <w:tcW w:w="7391" w:type="dxa"/>
          </w:tcPr>
          <w:p w14:paraId="73147D16" w14:textId="4595E443" w:rsidR="000979EC" w:rsidRPr="007834C9" w:rsidRDefault="000979EC" w:rsidP="00E503A5">
            <w:r>
              <w:t>Příjmy vládních institucí loni činily 2 381,2</w:t>
            </w:r>
            <w:r w:rsidR="00A21624">
              <w:t> mld.</w:t>
            </w:r>
            <w:r>
              <w:t xml:space="preserve"> korun </w:t>
            </w:r>
            <w:r w:rsidR="001A33A3">
              <w:t>a </w:t>
            </w:r>
            <w:r>
              <w:t xml:space="preserve">meziročně se zvýšily </w:t>
            </w:r>
            <w:r w:rsidR="001A33A3">
              <w:t>o </w:t>
            </w:r>
            <w:r>
              <w:t>135,3</w:t>
            </w:r>
            <w:r w:rsidR="00BF6EE6">
              <w:t> </w:t>
            </w:r>
            <w:r>
              <w:t>mld. (6,0</w:t>
            </w:r>
            <w:r w:rsidR="00F118D5">
              <w:t> %</w:t>
            </w:r>
            <w:r>
              <w:t xml:space="preserve">). Přírůstek výrazně zpomalil oproti roku 2018 (tehdy se příjmy navýšily </w:t>
            </w:r>
            <w:r w:rsidR="001A33A3">
              <w:t>o </w:t>
            </w:r>
            <w:r>
              <w:t>177,0</w:t>
            </w:r>
            <w:r w:rsidR="00A21624">
              <w:t> mld.</w:t>
            </w:r>
            <w:r>
              <w:t>, tedy 8,6</w:t>
            </w:r>
            <w:r w:rsidR="00F118D5">
              <w:t> %</w:t>
            </w:r>
            <w:r>
              <w:t xml:space="preserve">). Růst příjmů stále výrazně podporovaly jejich nejvýznamnější zdroje – přijaté čisté sociální příspěvky. Ty se loni zvýšily </w:t>
            </w:r>
            <w:r w:rsidR="001A33A3">
              <w:t>o </w:t>
            </w:r>
            <w:r>
              <w:t xml:space="preserve">61,2 mld. korun, ale přírůstek oproti předchozímu roku zmírnil společně s útlumem mzdové dynamiky. Další významný zdroj – přijaté daně z výroby </w:t>
            </w:r>
            <w:r w:rsidR="001A33A3">
              <w:t>a </w:t>
            </w:r>
            <w:r>
              <w:t xml:space="preserve">dovozu – narostl </w:t>
            </w:r>
            <w:r w:rsidR="001A33A3">
              <w:lastRenderedPageBreak/>
              <w:t>o </w:t>
            </w:r>
            <w:r>
              <w:t>41,9</w:t>
            </w:r>
            <w:r w:rsidR="00BF6EE6">
              <w:t> </w:t>
            </w:r>
            <w:r>
              <w:t xml:space="preserve">mld. korun </w:t>
            </w:r>
            <w:r w:rsidR="001A33A3">
              <w:t>a </w:t>
            </w:r>
            <w:r w:rsidR="003733A0">
              <w:t xml:space="preserve">jeho </w:t>
            </w:r>
            <w:r>
              <w:t xml:space="preserve">přírůstek se meziročně zdvojnásobil. Z toho se objem daní z produktů zvýšil </w:t>
            </w:r>
            <w:r w:rsidR="001A33A3">
              <w:t>o </w:t>
            </w:r>
            <w:r>
              <w:t>26,9</w:t>
            </w:r>
            <w:r w:rsidR="00A21624">
              <w:t> mld.</w:t>
            </w:r>
            <w:r>
              <w:t xml:space="preserve"> korun </w:t>
            </w:r>
            <w:r w:rsidR="001A33A3">
              <w:t>a </w:t>
            </w:r>
            <w:r>
              <w:t xml:space="preserve">ostatních daní z výroby </w:t>
            </w:r>
            <w:r w:rsidR="001A33A3">
              <w:t>o </w:t>
            </w:r>
            <w:r>
              <w:t>10,4 mld.</w:t>
            </w:r>
            <w:r>
              <w:rPr>
                <w:rStyle w:val="Znakapoznpodarou"/>
              </w:rPr>
              <w:footnoteReference w:id="29"/>
            </w:r>
            <w:r>
              <w:t xml:space="preserve"> Objem přijatých běžných daní z důchodů </w:t>
            </w:r>
            <w:r w:rsidR="001A33A3">
              <w:t>a </w:t>
            </w:r>
            <w:r>
              <w:t xml:space="preserve">jmění se zvýšil </w:t>
            </w:r>
            <w:r w:rsidR="001A33A3">
              <w:t>o </w:t>
            </w:r>
            <w:r>
              <w:t>24,0</w:t>
            </w:r>
            <w:r w:rsidR="00A21624">
              <w:t> mld.</w:t>
            </w:r>
            <w:r>
              <w:t>, což je výrazně méně než v předchozím roce. Hodnota t</w:t>
            </w:r>
            <w:r w:rsidRPr="00C43C5B">
              <w:t xml:space="preserve">ržní produkce, produkce pro vlastní užití </w:t>
            </w:r>
            <w:r w:rsidR="001A33A3" w:rsidRPr="00C43C5B">
              <w:t>a</w:t>
            </w:r>
            <w:r w:rsidR="001A33A3">
              <w:t> </w:t>
            </w:r>
            <w:r w:rsidRPr="00C43C5B">
              <w:t>plat</w:t>
            </w:r>
            <w:r>
              <w:t>e</w:t>
            </w:r>
            <w:r w:rsidRPr="00C43C5B">
              <w:t>b za ostatní netržní produkci</w:t>
            </w:r>
            <w:r>
              <w:t xml:space="preserve"> se zvýšila </w:t>
            </w:r>
            <w:r w:rsidR="001A33A3">
              <w:t>o </w:t>
            </w:r>
            <w:r>
              <w:t>8,0</w:t>
            </w:r>
            <w:r w:rsidR="00A21624">
              <w:t> mld.</w:t>
            </w:r>
            <w:r>
              <w:t xml:space="preserve"> Objem přijatých kapitálových transferů vzrostl </w:t>
            </w:r>
            <w:r w:rsidR="001A33A3">
              <w:t>o </w:t>
            </w:r>
            <w:r>
              <w:t>1,6</w:t>
            </w:r>
            <w:r w:rsidR="00A21624">
              <w:t> mld.</w:t>
            </w:r>
            <w:r>
              <w:t xml:space="preserve"> korun, podstatně méně než v roce 2018. Přijaté ostatní běžné transfery narostly </w:t>
            </w:r>
            <w:r w:rsidR="001A33A3">
              <w:t>o </w:t>
            </w:r>
            <w:r>
              <w:t>1,3</w:t>
            </w:r>
            <w:r w:rsidR="00A21624">
              <w:t> mld.</w:t>
            </w:r>
            <w:r>
              <w:t xml:space="preserve"> korun </w:t>
            </w:r>
            <w:r w:rsidR="001A33A3">
              <w:t>a </w:t>
            </w:r>
            <w:r>
              <w:t xml:space="preserve">byly druhou položkou, jejíž výrazný přírůstek se loni neudržel. </w:t>
            </w:r>
            <w:r w:rsidR="001A33A3">
              <w:t>O </w:t>
            </w:r>
            <w:r>
              <w:t>2,7</w:t>
            </w:r>
            <w:r w:rsidR="00A21624">
              <w:t> mld.</w:t>
            </w:r>
            <w:r>
              <w:t xml:space="preserve"> korun klesl objem přijatých důchodů z vlastnictví.</w:t>
            </w:r>
          </w:p>
        </w:tc>
      </w:tr>
      <w:tr w:rsidR="000979EC" w:rsidRPr="00894C66" w14:paraId="34708909" w14:textId="77777777" w:rsidTr="00E503A5">
        <w:trPr>
          <w:trHeight w:val="145"/>
        </w:trPr>
        <w:tc>
          <w:tcPr>
            <w:tcW w:w="1976" w:type="dxa"/>
          </w:tcPr>
          <w:p w14:paraId="15967FBB" w14:textId="73C59B07" w:rsidR="000979EC" w:rsidRDefault="000979EC" w:rsidP="00E503A5">
            <w:pPr>
              <w:pStyle w:val="Marginlie"/>
            </w:pPr>
            <w:r>
              <w:lastRenderedPageBreak/>
              <w:t xml:space="preserve">Výdaje navyšoval růst sociálních dávek </w:t>
            </w:r>
            <w:r w:rsidR="001A33A3">
              <w:t>a </w:t>
            </w:r>
            <w:r>
              <w:t xml:space="preserve">naturálních sociálních transferů, investiční aktivita </w:t>
            </w:r>
            <w:r w:rsidR="001A33A3">
              <w:t>i </w:t>
            </w:r>
            <w:r>
              <w:t>náhrady zaměstnancům.</w:t>
            </w:r>
          </w:p>
        </w:tc>
        <w:tc>
          <w:tcPr>
            <w:tcW w:w="277" w:type="dxa"/>
          </w:tcPr>
          <w:p w14:paraId="49AEDEA8" w14:textId="77777777" w:rsidR="000979EC" w:rsidRPr="005E4483" w:rsidRDefault="000979EC" w:rsidP="00E503A5">
            <w:pPr>
              <w:pStyle w:val="Textpoznpodarou"/>
              <w:jc w:val="both"/>
              <w:rPr>
                <w:spacing w:val="-4"/>
              </w:rPr>
            </w:pPr>
          </w:p>
        </w:tc>
        <w:tc>
          <w:tcPr>
            <w:tcW w:w="7391" w:type="dxa"/>
          </w:tcPr>
          <w:p w14:paraId="54A0B5F0" w14:textId="5D7230BE" w:rsidR="000979EC" w:rsidRPr="007834C9" w:rsidRDefault="000979EC" w:rsidP="00E503A5">
            <w:r>
              <w:t>Výdaje vládních institucí loni dosáhly 2 365,9</w:t>
            </w:r>
            <w:r w:rsidR="00A21624">
              <w:t> mld.</w:t>
            </w:r>
            <w:r>
              <w:t xml:space="preserve"> korun </w:t>
            </w:r>
            <w:r w:rsidR="001A33A3">
              <w:t>a </w:t>
            </w:r>
            <w:r>
              <w:t xml:space="preserve">meziročně se zvýšily </w:t>
            </w:r>
            <w:r w:rsidR="001A33A3">
              <w:t>o </w:t>
            </w:r>
            <w:r>
              <w:t>169,2</w:t>
            </w:r>
            <w:r w:rsidR="00A21624">
              <w:t> mld.</w:t>
            </w:r>
            <w:r>
              <w:t xml:space="preserve"> (7,7</w:t>
            </w:r>
            <w:r w:rsidR="00F118D5">
              <w:t> %</w:t>
            </w:r>
            <w:r>
              <w:t xml:space="preserve">). Dynamika výdajů oproti roku 2018 mírně zvolnila. Největší porci z loňského přírůstku výdajů představovaly </w:t>
            </w:r>
            <w:r w:rsidRPr="006829A2">
              <w:t xml:space="preserve">sociální dávky </w:t>
            </w:r>
            <w:r w:rsidR="001A33A3" w:rsidRPr="006829A2">
              <w:t>a</w:t>
            </w:r>
            <w:r w:rsidR="001A33A3">
              <w:t> </w:t>
            </w:r>
            <w:r w:rsidRPr="006829A2">
              <w:t>naturální sociální transfery</w:t>
            </w:r>
            <w:r>
              <w:t xml:space="preserve">. Ty loni narostly </w:t>
            </w:r>
            <w:r w:rsidR="001A33A3">
              <w:t>o </w:t>
            </w:r>
            <w:r>
              <w:t>65,8</w:t>
            </w:r>
            <w:r w:rsidR="00A21624">
              <w:t> mld.</w:t>
            </w:r>
            <w:r>
              <w:t xml:space="preserve"> korun, nejvíce v celé dostupné časové řadě (přírůstek zrychlil z 5,5</w:t>
            </w:r>
            <w:r w:rsidR="00F118D5">
              <w:t> %</w:t>
            </w:r>
            <w:r>
              <w:t xml:space="preserve"> na 7,5</w:t>
            </w:r>
            <w:r w:rsidR="00F118D5">
              <w:t> %</w:t>
            </w:r>
            <w:r>
              <w:t xml:space="preserve">). Z toho samotné sociální dávky (ovlivněné především starobními důchody) rostly </w:t>
            </w:r>
            <w:r w:rsidR="001A33A3">
              <w:t>o </w:t>
            </w:r>
            <w:r>
              <w:t xml:space="preserve">49,0 mld. Naturální sociální transfery se navýšily </w:t>
            </w:r>
            <w:r w:rsidR="001A33A3">
              <w:t>o </w:t>
            </w:r>
            <w:r>
              <w:t>16,7</w:t>
            </w:r>
            <w:r w:rsidR="00A21624">
              <w:t> mld.</w:t>
            </w:r>
            <w:r>
              <w:t xml:space="preserve"> (více než dvojnásobný nárůst ve srovnání s rokem 2018). Pokračoval silný růst náhrad zaměstnancům (+53,5</w:t>
            </w:r>
            <w:r w:rsidR="00A21624">
              <w:t> mld.</w:t>
            </w:r>
            <w:r>
              <w:t xml:space="preserve"> korun). Nárůst zde mírně zvolnil, ale </w:t>
            </w:r>
            <w:r w:rsidR="001A33A3">
              <w:t>i </w:t>
            </w:r>
            <w:r>
              <w:t xml:space="preserve">tak byl již třetím rokem více než 10%. Položka náhrad zaměstnancům se za období 2017–2019 zvýšila </w:t>
            </w:r>
            <w:r w:rsidR="001A33A3">
              <w:t>o </w:t>
            </w:r>
            <w:r>
              <w:t>36,9</w:t>
            </w:r>
            <w:r w:rsidR="00F118D5">
              <w:t> %</w:t>
            </w:r>
            <w:r>
              <w:t xml:space="preserve"> </w:t>
            </w:r>
            <w:r w:rsidR="001A33A3">
              <w:t>a </w:t>
            </w:r>
            <w:r>
              <w:t>její podíl na celkových výdajích sektoru loni činil 24,3</w:t>
            </w:r>
            <w:r w:rsidR="00F118D5">
              <w:t> %</w:t>
            </w:r>
            <w:r>
              <w:t xml:space="preserve"> (20,5</w:t>
            </w:r>
            <w:r w:rsidR="00F118D5">
              <w:t> %</w:t>
            </w:r>
            <w:r>
              <w:t xml:space="preserve"> v roce 2015). Třetím rokem pokračoval růst výdajů na tvorbu hrubého kapitálu. Ty se zvýšily </w:t>
            </w:r>
            <w:r w:rsidR="001A33A3">
              <w:t>o </w:t>
            </w:r>
            <w:r>
              <w:t>27,4</w:t>
            </w:r>
            <w:r w:rsidR="00A21624">
              <w:t> mld.</w:t>
            </w:r>
            <w:r>
              <w:t xml:space="preserve"> korun (11,9</w:t>
            </w:r>
            <w:r w:rsidR="00F118D5">
              <w:t> %</w:t>
            </w:r>
            <w:r>
              <w:t xml:space="preserve">). Z toho samotná investiční aktivita vzrostla </w:t>
            </w:r>
            <w:r w:rsidR="001A33A3">
              <w:t>o </w:t>
            </w:r>
            <w:r>
              <w:t>24,0</w:t>
            </w:r>
            <w:r w:rsidR="00A21624">
              <w:t> mld.</w:t>
            </w:r>
            <w:r>
              <w:t xml:space="preserve"> Mezispotřeba se loni nezvýšila tak silně jako v předchozím roce, ale stále byl přírůstek 8,1</w:t>
            </w:r>
            <w:r w:rsidR="00A21624">
              <w:t> mld.</w:t>
            </w:r>
            <w:r>
              <w:t xml:space="preserve"> nadprůměrný. Druhým rokem se udržel poměrně výrazný přírůstek vyplacených dotací (+10,3</w:t>
            </w:r>
            <w:r w:rsidR="00A21624">
              <w:t> mld.</w:t>
            </w:r>
            <w:r>
              <w:t xml:space="preserve"> korun).</w:t>
            </w:r>
          </w:p>
        </w:tc>
      </w:tr>
      <w:tr w:rsidR="000979EC" w:rsidRPr="00894C66" w14:paraId="0BF76324" w14:textId="77777777" w:rsidTr="00E503A5">
        <w:trPr>
          <w:trHeight w:val="170"/>
        </w:trPr>
        <w:tc>
          <w:tcPr>
            <w:tcW w:w="1976" w:type="dxa"/>
            <w:vMerge w:val="restart"/>
          </w:tcPr>
          <w:p w14:paraId="5C45F7BC" w14:textId="77777777" w:rsidR="000979EC" w:rsidRDefault="000979EC" w:rsidP="00E503A5">
            <w:pPr>
              <w:pStyle w:val="Marginlie"/>
            </w:pPr>
          </w:p>
        </w:tc>
        <w:tc>
          <w:tcPr>
            <w:tcW w:w="277" w:type="dxa"/>
            <w:vMerge w:val="restart"/>
          </w:tcPr>
          <w:p w14:paraId="033DBC7F" w14:textId="77777777" w:rsidR="000979EC" w:rsidRPr="005E4483" w:rsidRDefault="000979EC" w:rsidP="00E503A5">
            <w:pPr>
              <w:pStyle w:val="Textpoznpodarou"/>
              <w:jc w:val="both"/>
              <w:rPr>
                <w:spacing w:val="-4"/>
              </w:rPr>
            </w:pPr>
          </w:p>
        </w:tc>
        <w:tc>
          <w:tcPr>
            <w:tcW w:w="7391" w:type="dxa"/>
          </w:tcPr>
          <w:p w14:paraId="7274F567" w14:textId="3F68F322" w:rsidR="000979EC" w:rsidRPr="007834C9" w:rsidRDefault="000979EC" w:rsidP="00E503A5">
            <w:pPr>
              <w:spacing w:after="0"/>
            </w:pPr>
            <w:r w:rsidRPr="002A0077">
              <w:rPr>
                <w:b/>
              </w:rPr>
              <w:t xml:space="preserve">Graf </w:t>
            </w:r>
            <w:r w:rsidR="00A21624">
              <w:rPr>
                <w:b/>
              </w:rPr>
              <w:t>č. </w:t>
            </w:r>
            <w:r w:rsidR="001A33A3">
              <w:rPr>
                <w:b/>
              </w:rPr>
              <w:t>9</w:t>
            </w:r>
            <w:r w:rsidR="001A480E">
              <w:rPr>
                <w:b/>
              </w:rPr>
              <w:t xml:space="preserve">  </w:t>
            </w:r>
            <w:r>
              <w:rPr>
                <w:b/>
                <w:lang w:eastAsia="en-US"/>
              </w:rPr>
              <w:t xml:space="preserve">Příjmy, výdaje </w:t>
            </w:r>
            <w:r w:rsidR="001A33A3">
              <w:rPr>
                <w:b/>
                <w:lang w:eastAsia="en-US"/>
              </w:rPr>
              <w:t>a </w:t>
            </w:r>
            <w:r>
              <w:rPr>
                <w:b/>
                <w:lang w:eastAsia="en-US"/>
              </w:rPr>
              <w:t>č</w:t>
            </w:r>
            <w:r w:rsidRPr="005263D4">
              <w:rPr>
                <w:b/>
                <w:lang w:eastAsia="en-US"/>
              </w:rPr>
              <w:t>isté půjčky/výpůjčky</w:t>
            </w:r>
            <w:r>
              <w:rPr>
                <w:b/>
                <w:lang w:eastAsia="en-US"/>
              </w:rPr>
              <w:t xml:space="preserve"> vládních institucí </w:t>
            </w:r>
            <w:r w:rsidRPr="00E76E49">
              <w:rPr>
                <w:lang w:eastAsia="en-US"/>
              </w:rPr>
              <w:t>(v</w:t>
            </w:r>
            <w:r w:rsidR="00A21624">
              <w:rPr>
                <w:lang w:eastAsia="en-US"/>
              </w:rPr>
              <w:t> mld.</w:t>
            </w:r>
            <w:r w:rsidRPr="00E76E49">
              <w:rPr>
                <w:lang w:eastAsia="en-US"/>
              </w:rPr>
              <w:t xml:space="preserve"> korun</w:t>
            </w:r>
            <w:r>
              <w:rPr>
                <w:spacing w:val="-2"/>
                <w:lang w:eastAsia="en-US"/>
              </w:rPr>
              <w:t>)</w:t>
            </w:r>
          </w:p>
        </w:tc>
      </w:tr>
      <w:tr w:rsidR="000979EC" w:rsidRPr="00894C66" w14:paraId="0A73F957" w14:textId="77777777" w:rsidTr="00E503A5">
        <w:tblPrEx>
          <w:tblCellMar>
            <w:left w:w="70" w:type="dxa"/>
            <w:right w:w="70" w:type="dxa"/>
          </w:tblCellMar>
        </w:tblPrEx>
        <w:trPr>
          <w:trHeight w:val="170"/>
        </w:trPr>
        <w:tc>
          <w:tcPr>
            <w:tcW w:w="1976" w:type="dxa"/>
            <w:vMerge/>
          </w:tcPr>
          <w:p w14:paraId="2CA303B7" w14:textId="77777777" w:rsidR="000979EC" w:rsidRDefault="000979EC" w:rsidP="00E503A5">
            <w:pPr>
              <w:pStyle w:val="Marginlie"/>
            </w:pPr>
          </w:p>
        </w:tc>
        <w:tc>
          <w:tcPr>
            <w:tcW w:w="277" w:type="dxa"/>
            <w:vMerge/>
          </w:tcPr>
          <w:p w14:paraId="04D260B2" w14:textId="77777777" w:rsidR="000979EC" w:rsidRPr="005E4483" w:rsidRDefault="000979EC" w:rsidP="00E503A5">
            <w:pPr>
              <w:pStyle w:val="Textpoznpodarou"/>
              <w:jc w:val="both"/>
              <w:rPr>
                <w:spacing w:val="-4"/>
              </w:rPr>
            </w:pPr>
          </w:p>
        </w:tc>
        <w:tc>
          <w:tcPr>
            <w:tcW w:w="7391" w:type="dxa"/>
          </w:tcPr>
          <w:p w14:paraId="15D43EA5" w14:textId="77777777" w:rsidR="000979EC" w:rsidRPr="007834C9" w:rsidRDefault="000979EC" w:rsidP="00E503A5">
            <w:pPr>
              <w:spacing w:after="0"/>
            </w:pPr>
            <w:r>
              <w:rPr>
                <w:noProof/>
              </w:rPr>
              <w:drawing>
                <wp:inline distT="0" distB="0" distL="0" distR="0" wp14:anchorId="7EE8BDDD" wp14:editId="4849BA76">
                  <wp:extent cx="4604385" cy="3453130"/>
                  <wp:effectExtent l="0" t="0" r="571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0979EC" w:rsidRPr="00894C66" w14:paraId="06708C35" w14:textId="77777777" w:rsidTr="00E503A5">
        <w:trPr>
          <w:trHeight w:val="170"/>
        </w:trPr>
        <w:tc>
          <w:tcPr>
            <w:tcW w:w="1976" w:type="dxa"/>
            <w:vMerge/>
          </w:tcPr>
          <w:p w14:paraId="1E313754" w14:textId="77777777" w:rsidR="000979EC" w:rsidRDefault="000979EC" w:rsidP="00E503A5">
            <w:pPr>
              <w:pStyle w:val="Marginlie"/>
            </w:pPr>
          </w:p>
        </w:tc>
        <w:tc>
          <w:tcPr>
            <w:tcW w:w="277" w:type="dxa"/>
            <w:vMerge/>
          </w:tcPr>
          <w:p w14:paraId="6124583F" w14:textId="77777777" w:rsidR="000979EC" w:rsidRPr="005E4483" w:rsidRDefault="000979EC" w:rsidP="00E503A5">
            <w:pPr>
              <w:pStyle w:val="Textpoznpodarou"/>
              <w:jc w:val="both"/>
              <w:rPr>
                <w:spacing w:val="-4"/>
              </w:rPr>
            </w:pPr>
          </w:p>
        </w:tc>
        <w:tc>
          <w:tcPr>
            <w:tcW w:w="7391" w:type="dxa"/>
          </w:tcPr>
          <w:p w14:paraId="4A5A54B5" w14:textId="77777777" w:rsidR="000979EC" w:rsidRPr="002A0077" w:rsidRDefault="000979EC" w:rsidP="00E503A5">
            <w:pPr>
              <w:rPr>
                <w:sz w:val="14"/>
                <w:szCs w:val="14"/>
              </w:rPr>
            </w:pPr>
            <w:r w:rsidRPr="002A0077">
              <w:rPr>
                <w:sz w:val="14"/>
                <w:szCs w:val="14"/>
              </w:rPr>
              <w:t>Zdroj: ČSÚ</w:t>
            </w:r>
          </w:p>
        </w:tc>
      </w:tr>
      <w:tr w:rsidR="000979EC" w:rsidRPr="00894C66" w14:paraId="70370CBE" w14:textId="77777777" w:rsidTr="00E503A5">
        <w:trPr>
          <w:trHeight w:val="145"/>
        </w:trPr>
        <w:tc>
          <w:tcPr>
            <w:tcW w:w="1976" w:type="dxa"/>
          </w:tcPr>
          <w:p w14:paraId="26BF88AD" w14:textId="77777777" w:rsidR="000979EC" w:rsidRDefault="000979EC" w:rsidP="00E503A5">
            <w:pPr>
              <w:pStyle w:val="Marginlie"/>
            </w:pPr>
            <w:r>
              <w:t>Ústřední vládní instituce spadly do deficitu.</w:t>
            </w:r>
          </w:p>
        </w:tc>
        <w:tc>
          <w:tcPr>
            <w:tcW w:w="277" w:type="dxa"/>
          </w:tcPr>
          <w:p w14:paraId="1CEB09E6" w14:textId="77777777" w:rsidR="000979EC" w:rsidRPr="005E4483" w:rsidRDefault="000979EC" w:rsidP="00E503A5">
            <w:pPr>
              <w:pStyle w:val="Textpoznpodarou"/>
              <w:jc w:val="both"/>
              <w:rPr>
                <w:spacing w:val="-4"/>
              </w:rPr>
            </w:pPr>
          </w:p>
        </w:tc>
        <w:tc>
          <w:tcPr>
            <w:tcW w:w="7391" w:type="dxa"/>
          </w:tcPr>
          <w:p w14:paraId="7FE7871B" w14:textId="05F20F40" w:rsidR="000979EC" w:rsidRPr="007834C9" w:rsidRDefault="000979EC" w:rsidP="00E503A5">
            <w:r>
              <w:t xml:space="preserve">Pohled na vývoj v jednotlivých subsektorech ukazuje, že celkový pokles kladného salda lze přičíst na vrub ústředním vládním institucím, které se loni propadly do </w:t>
            </w:r>
            <w:r>
              <w:lastRenderedPageBreak/>
              <w:t xml:space="preserve">deficitu po dvou letech přebytkového hospodaření. Ústřední vládní instituce totiž nesou hlavní břemeno sociálních dávek, které loni na výdajové stránce nejvíce narostly. Výdaje se tak zvýšily více než v předchozím roce – </w:t>
            </w:r>
            <w:r w:rsidR="001A33A3">
              <w:t>o </w:t>
            </w:r>
            <w:r>
              <w:t>136,3</w:t>
            </w:r>
            <w:r w:rsidR="00A21624">
              <w:t> mld.</w:t>
            </w:r>
            <w:r>
              <w:t xml:space="preserve"> korun (8,7</w:t>
            </w:r>
            <w:r w:rsidR="00BF6EE6">
              <w:t> </w:t>
            </w:r>
            <w:r>
              <w:t xml:space="preserve">%). Z toho sociální dávky </w:t>
            </w:r>
            <w:r w:rsidR="001A33A3">
              <w:t>a </w:t>
            </w:r>
            <w:r>
              <w:t xml:space="preserve">naturální sociální transfery se navýšily </w:t>
            </w:r>
            <w:r w:rsidR="001A33A3">
              <w:t>o </w:t>
            </w:r>
            <w:r>
              <w:t>52,2</w:t>
            </w:r>
            <w:r w:rsidR="00A21624">
              <w:t> mld.</w:t>
            </w:r>
            <w:r>
              <w:t xml:space="preserve"> korun (v předchozím roce </w:t>
            </w:r>
            <w:r w:rsidR="001A33A3">
              <w:t>o </w:t>
            </w:r>
            <w:r>
              <w:t>33,3</w:t>
            </w:r>
            <w:r w:rsidR="00A21624">
              <w:t> mld.</w:t>
            </w:r>
            <w:r>
              <w:t xml:space="preserve">). Výdaje na tvorbu hrubého kapitálu posílily </w:t>
            </w:r>
            <w:r w:rsidR="001A33A3">
              <w:t>o </w:t>
            </w:r>
            <w:r>
              <w:t xml:space="preserve">23,1 mld. korun </w:t>
            </w:r>
            <w:r w:rsidR="001A33A3">
              <w:t>a </w:t>
            </w:r>
            <w:r>
              <w:t xml:space="preserve">náhrady zaměstnancům rostly </w:t>
            </w:r>
            <w:r w:rsidR="001A33A3">
              <w:t>o </w:t>
            </w:r>
            <w:r>
              <w:t>21,2</w:t>
            </w:r>
            <w:r w:rsidR="00A21624">
              <w:t> mld.</w:t>
            </w:r>
            <w:r>
              <w:t xml:space="preserve"> Růst příjmů ústředních vládních institucí naopak meziročně oslabil na 95,6</w:t>
            </w:r>
            <w:r w:rsidR="00A21624">
              <w:t> mld.</w:t>
            </w:r>
            <w:r>
              <w:t xml:space="preserve"> (6,0</w:t>
            </w:r>
            <w:r w:rsidR="00F118D5">
              <w:t> %</w:t>
            </w:r>
            <w:r>
              <w:t xml:space="preserve">). Na straně příjmů sice posílil nárůst přijatých daní z výroby </w:t>
            </w:r>
            <w:r w:rsidR="001A33A3">
              <w:t>a </w:t>
            </w:r>
            <w:r>
              <w:t>dovozu na 31,6</w:t>
            </w:r>
            <w:r w:rsidR="00A21624">
              <w:t> mld.</w:t>
            </w:r>
            <w:r>
              <w:t xml:space="preserve"> korun, ale další důležité zdroje na silný rok 2018 nenavázaly. Přijaté běžné daně z důchodů </w:t>
            </w:r>
            <w:r w:rsidR="001A33A3">
              <w:t>a </w:t>
            </w:r>
            <w:r>
              <w:t xml:space="preserve">jmění narostly </w:t>
            </w:r>
            <w:r w:rsidR="001A33A3">
              <w:t>o </w:t>
            </w:r>
            <w:r>
              <w:t>15,6</w:t>
            </w:r>
            <w:r w:rsidR="00A21624">
              <w:t> mld.</w:t>
            </w:r>
            <w:r>
              <w:t xml:space="preserve"> korun (nejméně od roku 2015), na 39,6 mld. oslabil také přírůstek přijatých sociálních příspěvků. Ostatní běžné transfery vzrostly </w:t>
            </w:r>
            <w:r w:rsidR="001A33A3">
              <w:t>o </w:t>
            </w:r>
            <w:r>
              <w:t>6,0</w:t>
            </w:r>
            <w:r w:rsidR="00A21624">
              <w:t> mld.</w:t>
            </w:r>
            <w:r>
              <w:t xml:space="preserve"> (polovina oproti roku 2018).</w:t>
            </w:r>
          </w:p>
        </w:tc>
      </w:tr>
      <w:tr w:rsidR="000979EC" w:rsidRPr="00894C66" w14:paraId="7A3C15E3" w14:textId="77777777" w:rsidTr="00E503A5">
        <w:trPr>
          <w:trHeight w:val="170"/>
        </w:trPr>
        <w:tc>
          <w:tcPr>
            <w:tcW w:w="1976" w:type="dxa"/>
            <w:vMerge w:val="restart"/>
          </w:tcPr>
          <w:p w14:paraId="0AF0D1A2" w14:textId="77777777" w:rsidR="000979EC" w:rsidRDefault="000979EC" w:rsidP="00E503A5">
            <w:pPr>
              <w:pStyle w:val="Marginlie"/>
            </w:pPr>
          </w:p>
        </w:tc>
        <w:tc>
          <w:tcPr>
            <w:tcW w:w="277" w:type="dxa"/>
            <w:vMerge w:val="restart"/>
          </w:tcPr>
          <w:p w14:paraId="53A6EA06" w14:textId="77777777" w:rsidR="000979EC" w:rsidRPr="005E4483" w:rsidRDefault="000979EC" w:rsidP="00E503A5">
            <w:pPr>
              <w:pStyle w:val="Textpoznpodarou"/>
              <w:jc w:val="both"/>
              <w:rPr>
                <w:spacing w:val="-4"/>
              </w:rPr>
            </w:pPr>
          </w:p>
        </w:tc>
        <w:tc>
          <w:tcPr>
            <w:tcW w:w="7391" w:type="dxa"/>
          </w:tcPr>
          <w:p w14:paraId="456CCE88" w14:textId="3FC46259" w:rsidR="000979EC" w:rsidRPr="007834C9" w:rsidRDefault="000979EC" w:rsidP="00976681">
            <w:pPr>
              <w:spacing w:after="0"/>
            </w:pPr>
            <w:r w:rsidRPr="00976681">
              <w:rPr>
                <w:b/>
              </w:rPr>
              <w:t xml:space="preserve">Graf </w:t>
            </w:r>
            <w:r w:rsidR="00A21624" w:rsidRPr="00976681">
              <w:rPr>
                <w:b/>
              </w:rPr>
              <w:t>č. </w:t>
            </w:r>
            <w:r w:rsidR="00E503A5" w:rsidRPr="00976681">
              <w:rPr>
                <w:b/>
              </w:rPr>
              <w:t>10</w:t>
            </w:r>
            <w:r w:rsidRPr="00C83FAA">
              <w:rPr>
                <w:b/>
                <w:bCs/>
              </w:rPr>
              <w:t xml:space="preserve">  </w:t>
            </w:r>
            <w:r w:rsidRPr="005263D4">
              <w:rPr>
                <w:b/>
                <w:lang w:eastAsia="en-US"/>
              </w:rPr>
              <w:t>Čisté půjčky</w:t>
            </w:r>
            <w:r w:rsidR="00C83FAA">
              <w:rPr>
                <w:b/>
                <w:lang w:eastAsia="en-US"/>
              </w:rPr>
              <w:t> </w:t>
            </w:r>
            <w:r>
              <w:rPr>
                <w:b/>
                <w:lang w:eastAsia="en-US"/>
              </w:rPr>
              <w:t>(</w:t>
            </w:r>
            <w:r w:rsidR="00976681">
              <w:rPr>
                <w:b/>
                <w:lang w:eastAsia="en-US"/>
              </w:rPr>
              <w:t>-</w:t>
            </w:r>
            <w:r>
              <w:rPr>
                <w:b/>
                <w:lang w:eastAsia="en-US"/>
              </w:rPr>
              <w:t>)</w:t>
            </w:r>
            <w:r w:rsidR="00C83FAA">
              <w:rPr>
                <w:b/>
                <w:lang w:eastAsia="en-US"/>
              </w:rPr>
              <w:t xml:space="preserve"> </w:t>
            </w:r>
            <w:r w:rsidRPr="005263D4">
              <w:rPr>
                <w:b/>
                <w:lang w:eastAsia="en-US"/>
              </w:rPr>
              <w:t>/</w:t>
            </w:r>
            <w:r w:rsidR="00C83FAA">
              <w:rPr>
                <w:b/>
                <w:lang w:eastAsia="en-US"/>
              </w:rPr>
              <w:t xml:space="preserve"> </w:t>
            </w:r>
            <w:r w:rsidRPr="005263D4">
              <w:rPr>
                <w:b/>
                <w:lang w:eastAsia="en-US"/>
              </w:rPr>
              <w:t>výpůjčky</w:t>
            </w:r>
            <w:r w:rsidR="00C83FAA">
              <w:rPr>
                <w:b/>
                <w:lang w:eastAsia="en-US"/>
              </w:rPr>
              <w:t> </w:t>
            </w:r>
            <w:r>
              <w:rPr>
                <w:b/>
                <w:lang w:eastAsia="en-US"/>
              </w:rPr>
              <w:t>(</w:t>
            </w:r>
            <w:r w:rsidR="00976681">
              <w:rPr>
                <w:b/>
                <w:lang w:eastAsia="en-US"/>
              </w:rPr>
              <w:t>+</w:t>
            </w:r>
            <w:r>
              <w:rPr>
                <w:b/>
                <w:lang w:eastAsia="en-US"/>
              </w:rPr>
              <w:t>)</w:t>
            </w:r>
            <w:r w:rsidRPr="005263D4">
              <w:rPr>
                <w:b/>
                <w:lang w:eastAsia="en-US"/>
              </w:rPr>
              <w:t xml:space="preserve"> vládních institucí v členění na subsektory </w:t>
            </w:r>
            <w:r w:rsidRPr="00ED61AD">
              <w:rPr>
                <w:lang w:eastAsia="en-US"/>
              </w:rPr>
              <w:t>(</w:t>
            </w:r>
            <w:r w:rsidRPr="005263D4">
              <w:rPr>
                <w:spacing w:val="-2"/>
                <w:lang w:eastAsia="en-US"/>
              </w:rPr>
              <w:t>v</w:t>
            </w:r>
            <w:r w:rsidR="00A21624">
              <w:rPr>
                <w:spacing w:val="-2"/>
                <w:lang w:eastAsia="en-US"/>
              </w:rPr>
              <w:t> mld.</w:t>
            </w:r>
            <w:r w:rsidRPr="005263D4">
              <w:rPr>
                <w:spacing w:val="-2"/>
                <w:lang w:eastAsia="en-US"/>
              </w:rPr>
              <w:t xml:space="preserve"> korun, b</w:t>
            </w:r>
            <w:r>
              <w:rPr>
                <w:spacing w:val="-2"/>
                <w:lang w:eastAsia="en-US"/>
              </w:rPr>
              <w:t>ěžné ceny</w:t>
            </w:r>
            <w:r w:rsidRPr="00ED61AD">
              <w:rPr>
                <w:lang w:eastAsia="en-US"/>
              </w:rPr>
              <w:t>)</w:t>
            </w:r>
          </w:p>
        </w:tc>
      </w:tr>
      <w:tr w:rsidR="000979EC" w:rsidRPr="00894C66" w14:paraId="60A5C4F4" w14:textId="77777777" w:rsidTr="00E503A5">
        <w:tblPrEx>
          <w:tblCellMar>
            <w:left w:w="70" w:type="dxa"/>
            <w:right w:w="70" w:type="dxa"/>
          </w:tblCellMar>
        </w:tblPrEx>
        <w:trPr>
          <w:trHeight w:val="170"/>
        </w:trPr>
        <w:tc>
          <w:tcPr>
            <w:tcW w:w="1976" w:type="dxa"/>
            <w:vMerge/>
          </w:tcPr>
          <w:p w14:paraId="6E20A78A" w14:textId="77777777" w:rsidR="000979EC" w:rsidRDefault="000979EC" w:rsidP="00E503A5">
            <w:pPr>
              <w:pStyle w:val="Marginlie"/>
            </w:pPr>
          </w:p>
        </w:tc>
        <w:tc>
          <w:tcPr>
            <w:tcW w:w="277" w:type="dxa"/>
            <w:vMerge/>
          </w:tcPr>
          <w:p w14:paraId="75C83F8F" w14:textId="77777777" w:rsidR="000979EC" w:rsidRPr="005E4483" w:rsidRDefault="000979EC" w:rsidP="00E503A5">
            <w:pPr>
              <w:pStyle w:val="Textpoznpodarou"/>
              <w:jc w:val="both"/>
              <w:rPr>
                <w:spacing w:val="-4"/>
              </w:rPr>
            </w:pPr>
          </w:p>
        </w:tc>
        <w:tc>
          <w:tcPr>
            <w:tcW w:w="7391" w:type="dxa"/>
          </w:tcPr>
          <w:p w14:paraId="1E3B367B" w14:textId="77777777" w:rsidR="000979EC" w:rsidRPr="007834C9" w:rsidRDefault="000979EC" w:rsidP="00E503A5">
            <w:pPr>
              <w:spacing w:after="0"/>
            </w:pPr>
            <w:r>
              <w:rPr>
                <w:noProof/>
              </w:rPr>
              <w:drawing>
                <wp:inline distT="0" distB="0" distL="0" distR="0" wp14:anchorId="4DD660F3" wp14:editId="34523653">
                  <wp:extent cx="4604385" cy="3453130"/>
                  <wp:effectExtent l="0" t="0" r="5715"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0979EC" w:rsidRPr="00894C66" w14:paraId="51CC86C9" w14:textId="77777777" w:rsidTr="00E503A5">
        <w:trPr>
          <w:trHeight w:val="170"/>
        </w:trPr>
        <w:tc>
          <w:tcPr>
            <w:tcW w:w="1976" w:type="dxa"/>
            <w:vMerge/>
          </w:tcPr>
          <w:p w14:paraId="5281AE4A" w14:textId="77777777" w:rsidR="000979EC" w:rsidRDefault="000979EC" w:rsidP="00E503A5">
            <w:pPr>
              <w:pStyle w:val="Marginlie"/>
            </w:pPr>
          </w:p>
        </w:tc>
        <w:tc>
          <w:tcPr>
            <w:tcW w:w="277" w:type="dxa"/>
            <w:vMerge/>
          </w:tcPr>
          <w:p w14:paraId="54082B11" w14:textId="77777777" w:rsidR="000979EC" w:rsidRPr="005E4483" w:rsidRDefault="000979EC" w:rsidP="00E503A5">
            <w:pPr>
              <w:pStyle w:val="Textpoznpodarou"/>
              <w:jc w:val="both"/>
              <w:rPr>
                <w:spacing w:val="-4"/>
              </w:rPr>
            </w:pPr>
          </w:p>
        </w:tc>
        <w:tc>
          <w:tcPr>
            <w:tcW w:w="7391" w:type="dxa"/>
          </w:tcPr>
          <w:p w14:paraId="58691160" w14:textId="77777777" w:rsidR="000979EC" w:rsidRPr="002A0077" w:rsidRDefault="000979EC" w:rsidP="00E503A5">
            <w:pPr>
              <w:rPr>
                <w:sz w:val="14"/>
                <w:szCs w:val="14"/>
              </w:rPr>
            </w:pPr>
            <w:r>
              <w:rPr>
                <w:sz w:val="14"/>
                <w:szCs w:val="14"/>
              </w:rPr>
              <w:t>Zdroj: ČSÚ</w:t>
            </w:r>
          </w:p>
        </w:tc>
      </w:tr>
      <w:tr w:rsidR="000979EC" w:rsidRPr="00894C66" w14:paraId="6CE5A945" w14:textId="77777777" w:rsidTr="00E503A5">
        <w:trPr>
          <w:trHeight w:val="145"/>
        </w:trPr>
        <w:tc>
          <w:tcPr>
            <w:tcW w:w="1976" w:type="dxa"/>
          </w:tcPr>
          <w:p w14:paraId="2E5BB0FA" w14:textId="77777777" w:rsidR="000979EC" w:rsidRDefault="000979EC" w:rsidP="00E503A5">
            <w:pPr>
              <w:pStyle w:val="Marginlie"/>
            </w:pPr>
            <w:r>
              <w:t>Přebytek hospodaření místních vládních institucí posílil.</w:t>
            </w:r>
          </w:p>
        </w:tc>
        <w:tc>
          <w:tcPr>
            <w:tcW w:w="277" w:type="dxa"/>
          </w:tcPr>
          <w:p w14:paraId="0EA12623" w14:textId="77777777" w:rsidR="000979EC" w:rsidRPr="005E4483" w:rsidRDefault="000979EC" w:rsidP="00E503A5">
            <w:pPr>
              <w:pStyle w:val="Textpoznpodarou"/>
              <w:jc w:val="both"/>
              <w:rPr>
                <w:spacing w:val="-4"/>
              </w:rPr>
            </w:pPr>
          </w:p>
        </w:tc>
        <w:tc>
          <w:tcPr>
            <w:tcW w:w="7391" w:type="dxa"/>
          </w:tcPr>
          <w:p w14:paraId="5740D2D9" w14:textId="14D8CF89" w:rsidR="000979EC" w:rsidRDefault="000979EC" w:rsidP="00E503A5">
            <w:r>
              <w:t xml:space="preserve">Přebytek hospodaření místních vládních institucí meziročně vzrostl </w:t>
            </w:r>
            <w:r w:rsidR="001A33A3">
              <w:t>o </w:t>
            </w:r>
            <w:r>
              <w:t>12,4</w:t>
            </w:r>
            <w:r w:rsidR="00A21624">
              <w:t> mld.</w:t>
            </w:r>
            <w:r>
              <w:t xml:space="preserve"> korun na 36,0</w:t>
            </w:r>
            <w:r w:rsidR="00A21624">
              <w:t> mld.</w:t>
            </w:r>
            <w:r>
              <w:t xml:space="preserve"> Situace v tomto subsektoru byla oproti ústředním vládním institucím opačná – růst výdajů byl méně než poloviční ve srovnání s rokem 2018 (+39,0</w:t>
            </w:r>
            <w:r w:rsidR="00A21624">
              <w:t> mld.</w:t>
            </w:r>
            <w:r>
              <w:t>, 6,1</w:t>
            </w:r>
            <w:r w:rsidR="00F118D5">
              <w:t> %</w:t>
            </w:r>
            <w:r>
              <w:t>). Silné zůstalo navýšení vyplacených náhrad zaměstnancům (+31,7</w:t>
            </w:r>
            <w:r w:rsidR="00A21624">
              <w:t> mld.</w:t>
            </w:r>
            <w:r>
              <w:t xml:space="preserve"> korun). Hlavní propad na výdajové stránce proběhl </w:t>
            </w:r>
            <w:r w:rsidR="001A33A3">
              <w:t>u </w:t>
            </w:r>
            <w:r>
              <w:t xml:space="preserve">růstu výdajů na tvorbu hrubého kapitálu. Ty se loni zvýšily </w:t>
            </w:r>
            <w:r w:rsidR="001A33A3">
              <w:t>o </w:t>
            </w:r>
            <w:r>
              <w:t>3,9</w:t>
            </w:r>
            <w:r w:rsidR="00A21624">
              <w:t> mld.</w:t>
            </w:r>
            <w:r>
              <w:t xml:space="preserve"> korun (</w:t>
            </w:r>
            <w:r w:rsidR="001A33A3">
              <w:t>v </w:t>
            </w:r>
            <w:r>
              <w:t>roce 2018 to bylo 34,9</w:t>
            </w:r>
            <w:r w:rsidR="00A21624">
              <w:t> mld.</w:t>
            </w:r>
            <w:r>
              <w:t xml:space="preserve">). Propadl se objem </w:t>
            </w:r>
            <w:r w:rsidR="002D6BD2">
              <w:t>vy</w:t>
            </w:r>
            <w:r>
              <w:t xml:space="preserve">placených kapitálových transferů </w:t>
            </w:r>
            <w:r w:rsidR="001A33A3">
              <w:t>o </w:t>
            </w:r>
            <w:r>
              <w:t>6,8</w:t>
            </w:r>
            <w:r w:rsidR="00A21624">
              <w:t> mld.</w:t>
            </w:r>
            <w:r>
              <w:t xml:space="preserve"> Příjmy místních vládních institucí loni vzrostly </w:t>
            </w:r>
            <w:r w:rsidR="001A33A3">
              <w:t>o </w:t>
            </w:r>
            <w:r>
              <w:t>51,4</w:t>
            </w:r>
            <w:r w:rsidR="00A21624">
              <w:t> mld.</w:t>
            </w:r>
            <w:r>
              <w:t xml:space="preserve"> korun (7,8</w:t>
            </w:r>
            <w:r w:rsidR="00F118D5">
              <w:t> %</w:t>
            </w:r>
            <w:r>
              <w:t xml:space="preserve">), méně než v předchozím roce. Přijaté daně z výroby </w:t>
            </w:r>
            <w:r w:rsidR="001A33A3">
              <w:t>a </w:t>
            </w:r>
            <w:r>
              <w:t xml:space="preserve">dovozu se zvýšily </w:t>
            </w:r>
            <w:r w:rsidR="001A33A3">
              <w:t>o </w:t>
            </w:r>
            <w:r>
              <w:t>10,3</w:t>
            </w:r>
            <w:r w:rsidR="00A21624">
              <w:t> mld.</w:t>
            </w:r>
            <w:r>
              <w:t xml:space="preserve"> korun, přírůstek běžných daní z důchodů </w:t>
            </w:r>
            <w:r w:rsidR="001A33A3">
              <w:t>a </w:t>
            </w:r>
            <w:r>
              <w:t>jmění výrazně oslabil na 8,4</w:t>
            </w:r>
            <w:r w:rsidR="00A21624">
              <w:t> mld.</w:t>
            </w:r>
            <w:r>
              <w:t xml:space="preserve"> Naopak výrazně posílily přijaté ostatní běžné transfery (+30,3</w:t>
            </w:r>
            <w:r w:rsidR="00A21624">
              <w:t> mld.</w:t>
            </w:r>
            <w:r>
              <w:t xml:space="preserve">). Na straně příjmů chyběl </w:t>
            </w:r>
            <w:r w:rsidR="001A33A3">
              <w:t>i </w:t>
            </w:r>
            <w:r>
              <w:t xml:space="preserve">výraznější přírůstek kapitálových transferů (ty loni klesly </w:t>
            </w:r>
            <w:r w:rsidR="001A33A3">
              <w:t>o </w:t>
            </w:r>
            <w:r>
              <w:t>2,2</w:t>
            </w:r>
            <w:r w:rsidR="00A21624">
              <w:t> mld.</w:t>
            </w:r>
            <w:r>
              <w:t>).</w:t>
            </w:r>
          </w:p>
        </w:tc>
      </w:tr>
      <w:tr w:rsidR="000979EC" w:rsidRPr="00894C66" w14:paraId="0BC3C5DB" w14:textId="77777777" w:rsidTr="00E503A5">
        <w:trPr>
          <w:trHeight w:val="145"/>
        </w:trPr>
        <w:tc>
          <w:tcPr>
            <w:tcW w:w="1976" w:type="dxa"/>
          </w:tcPr>
          <w:p w14:paraId="419B9F1F" w14:textId="77777777" w:rsidR="000979EC" w:rsidRDefault="000979EC" w:rsidP="00E503A5">
            <w:pPr>
              <w:pStyle w:val="Marginlie"/>
            </w:pPr>
            <w:r>
              <w:lastRenderedPageBreak/>
              <w:t>Zdravotní pojišťovny zaznamenaly oslabení růstu příjmů.</w:t>
            </w:r>
          </w:p>
        </w:tc>
        <w:tc>
          <w:tcPr>
            <w:tcW w:w="277" w:type="dxa"/>
          </w:tcPr>
          <w:p w14:paraId="0A344733" w14:textId="77777777" w:rsidR="000979EC" w:rsidRPr="005E4483" w:rsidRDefault="000979EC" w:rsidP="00E503A5">
            <w:pPr>
              <w:pStyle w:val="Textpoznpodarou"/>
              <w:jc w:val="both"/>
              <w:rPr>
                <w:spacing w:val="-4"/>
              </w:rPr>
            </w:pPr>
          </w:p>
        </w:tc>
        <w:tc>
          <w:tcPr>
            <w:tcW w:w="7391" w:type="dxa"/>
          </w:tcPr>
          <w:p w14:paraId="129C2853" w14:textId="3BBE4D7B" w:rsidR="000979EC" w:rsidRDefault="000979EC" w:rsidP="00E503A5">
            <w:r>
              <w:t>Fondy sociálního zabezpečení</w:t>
            </w:r>
            <w:r>
              <w:rPr>
                <w:rStyle w:val="Znakapoznpodarou"/>
              </w:rPr>
              <w:footnoteReference w:id="30"/>
            </w:r>
            <w:r>
              <w:t xml:space="preserve"> hospodařily s přebytkem pátý rok v řadě. Kladné saldo 11,1</w:t>
            </w:r>
            <w:r w:rsidR="00A21624">
              <w:t> mld.</w:t>
            </w:r>
            <w:r>
              <w:t xml:space="preserve"> korun bylo meziročně nižší </w:t>
            </w:r>
            <w:r w:rsidR="001A33A3">
              <w:t>o </w:t>
            </w:r>
            <w:r>
              <w:t>5,6</w:t>
            </w:r>
            <w:r w:rsidR="00A21624">
              <w:t> mld.</w:t>
            </w:r>
            <w:r>
              <w:t xml:space="preserve"> Důvodem bylo oslabení růstu příjmů na 21,3</w:t>
            </w:r>
            <w:r w:rsidR="00A21624">
              <w:t> mld.</w:t>
            </w:r>
            <w:r>
              <w:t xml:space="preserve"> (6,8</w:t>
            </w:r>
            <w:r w:rsidR="00F118D5">
              <w:t> %</w:t>
            </w:r>
            <w:r>
              <w:t xml:space="preserve">) </w:t>
            </w:r>
            <w:r w:rsidR="001A33A3">
              <w:t>a </w:t>
            </w:r>
            <w:r>
              <w:t>zároveň vyšší přírůstek výdajů (+26,9</w:t>
            </w:r>
            <w:r w:rsidR="00A21624">
              <w:t> mld.</w:t>
            </w:r>
            <w:r>
              <w:t xml:space="preserve">, 9,1 %). Subsektor totiž zasáhlo oslabení dynamiky vybraných sociálních příspěvků (21,3 mld. korun). Přitom výdaje na naturální sociální transfery posílily </w:t>
            </w:r>
            <w:r w:rsidR="001A33A3">
              <w:t>o </w:t>
            </w:r>
            <w:r>
              <w:t>13,3</w:t>
            </w:r>
            <w:r w:rsidR="00A21624">
              <w:t> mld.</w:t>
            </w:r>
            <w:r>
              <w:t xml:space="preserve"> (dvojnásobně oproti roku 2018). Silný zůstal přírůstek ostatních běžných transferů (12,8</w:t>
            </w:r>
            <w:r w:rsidR="00A21624">
              <w:t> mld.</w:t>
            </w:r>
            <w:r>
              <w:t>).</w:t>
            </w:r>
          </w:p>
        </w:tc>
      </w:tr>
      <w:tr w:rsidR="000979EC" w:rsidRPr="00894C66" w14:paraId="7F6B4CE4" w14:textId="77777777" w:rsidTr="00E503A5">
        <w:trPr>
          <w:trHeight w:val="145"/>
        </w:trPr>
        <w:tc>
          <w:tcPr>
            <w:tcW w:w="1976" w:type="dxa"/>
          </w:tcPr>
          <w:p w14:paraId="07774065" w14:textId="77777777" w:rsidR="00E364BB" w:rsidRDefault="000979EC" w:rsidP="00E503A5">
            <w:pPr>
              <w:pStyle w:val="Marginlie"/>
            </w:pPr>
            <w:r>
              <w:t>Celkový dluh vládních institucí v ČR se zvýšil.</w:t>
            </w:r>
          </w:p>
          <w:p w14:paraId="7E8FF103" w14:textId="64616547" w:rsidR="000979EC" w:rsidRDefault="000979EC" w:rsidP="00E503A5">
            <w:pPr>
              <w:pStyle w:val="Marginlie"/>
            </w:pPr>
          </w:p>
          <w:p w14:paraId="731E04C9" w14:textId="77777777" w:rsidR="000979EC" w:rsidRDefault="000979EC" w:rsidP="00E503A5">
            <w:pPr>
              <w:pStyle w:val="Marginlie"/>
            </w:pPr>
          </w:p>
          <w:p w14:paraId="61AA873B" w14:textId="77777777" w:rsidR="000979EC" w:rsidRDefault="000979EC" w:rsidP="00E503A5">
            <w:pPr>
              <w:pStyle w:val="Marginlie"/>
            </w:pPr>
          </w:p>
          <w:p w14:paraId="6612D825" w14:textId="77777777" w:rsidR="000979EC" w:rsidRDefault="000979EC" w:rsidP="00E503A5">
            <w:pPr>
              <w:pStyle w:val="Marginlie"/>
            </w:pPr>
          </w:p>
          <w:p w14:paraId="7BFAEAFD" w14:textId="77777777" w:rsidR="000979EC" w:rsidRDefault="000979EC" w:rsidP="00E503A5">
            <w:pPr>
              <w:pStyle w:val="Marginlie"/>
            </w:pPr>
          </w:p>
          <w:p w14:paraId="6415ED29" w14:textId="77777777" w:rsidR="000979EC" w:rsidRDefault="000979EC" w:rsidP="00E503A5">
            <w:pPr>
              <w:pStyle w:val="Marginlie"/>
            </w:pPr>
            <w:r>
              <w:t>Relativní dluh díky růstu HDP klesl, podobně jako ve většině zemí EU.</w:t>
            </w:r>
          </w:p>
        </w:tc>
        <w:tc>
          <w:tcPr>
            <w:tcW w:w="277" w:type="dxa"/>
          </w:tcPr>
          <w:p w14:paraId="38382479" w14:textId="77777777" w:rsidR="000979EC" w:rsidRPr="005E4483" w:rsidRDefault="000979EC" w:rsidP="00E503A5">
            <w:pPr>
              <w:pStyle w:val="Textpoznpodarou"/>
              <w:jc w:val="both"/>
              <w:rPr>
                <w:spacing w:val="-4"/>
              </w:rPr>
            </w:pPr>
          </w:p>
        </w:tc>
        <w:tc>
          <w:tcPr>
            <w:tcW w:w="7391" w:type="dxa"/>
          </w:tcPr>
          <w:p w14:paraId="5CDC02FB" w14:textId="3C5633DA" w:rsidR="000979EC" w:rsidRPr="007834C9" w:rsidRDefault="000979EC" w:rsidP="00E503A5">
            <w:r>
              <w:t>Celkový dlu</w:t>
            </w:r>
            <w:r w:rsidR="00343331">
              <w:t>h vládních institucí v roce 2019</w:t>
            </w:r>
            <w:r>
              <w:t xml:space="preserve"> dosáhl 1 738,7</w:t>
            </w:r>
            <w:r w:rsidR="00A21624">
              <w:t> mld.</w:t>
            </w:r>
            <w:r>
              <w:t xml:space="preserve"> korun </w:t>
            </w:r>
            <w:r w:rsidR="001A33A3">
              <w:t>a </w:t>
            </w:r>
            <w:r>
              <w:t xml:space="preserve">meziročně se zvýšil </w:t>
            </w:r>
            <w:r w:rsidR="001A33A3">
              <w:t>o </w:t>
            </w:r>
            <w:r>
              <w:t>4,1</w:t>
            </w:r>
            <w:r w:rsidR="00A21624">
              <w:t> mld.</w:t>
            </w:r>
            <w:r>
              <w:t xml:space="preserve"> Naposledy dluh rostl v roce 2015. V dluhovém portfoliu posílil objem cenných papírů (+41,8</w:t>
            </w:r>
            <w:r w:rsidR="00A21624">
              <w:t> mld.</w:t>
            </w:r>
            <w:r>
              <w:t xml:space="preserve">), hlavně </w:t>
            </w:r>
            <w:r w:rsidRPr="006829A2">
              <w:t xml:space="preserve">dlouhodobých </w:t>
            </w:r>
            <w:r>
              <w:t>(+42,2 mld.). Naopak klesl objem půjček (</w:t>
            </w:r>
            <w:r w:rsidR="00A21624">
              <w:t>–</w:t>
            </w:r>
            <w:r>
              <w:t>34,2</w:t>
            </w:r>
            <w:r w:rsidR="00A21624">
              <w:t> mld.</w:t>
            </w:r>
            <w:r>
              <w:t xml:space="preserve">). Ty výrazně narostly v roce 2018, hlavně kvůli úrokové optimalizaci (krátkodobé půjčky se zvýšily </w:t>
            </w:r>
            <w:r w:rsidR="001A33A3">
              <w:t>o </w:t>
            </w:r>
            <w:r>
              <w:t>42,8</w:t>
            </w:r>
            <w:r w:rsidR="00A21624">
              <w:t> mld.</w:t>
            </w:r>
            <w:r>
              <w:t xml:space="preserve"> korun). Podíl dluhu vládních institucí na HDP (relativní dluh) klesl </w:t>
            </w:r>
            <w:r w:rsidR="001A33A3">
              <w:t>o </w:t>
            </w:r>
            <w:r>
              <w:t>1,8</w:t>
            </w:r>
            <w:r w:rsidR="00F118D5">
              <w:t> p. b.</w:t>
            </w:r>
            <w:r>
              <w:t xml:space="preserve"> na 30,8</w:t>
            </w:r>
            <w:r w:rsidR="00F118D5">
              <w:t> %</w:t>
            </w:r>
            <w:r>
              <w:t>. Relativní dluh tak klesl pošesté v řadě, tentokrát ale snížení ukazatele plně ovlivnil příznivý vývoj HDP. Podíl dluhu vládních institucí na HDP v EU loni činil 77,8</w:t>
            </w:r>
            <w:r w:rsidR="00F118D5">
              <w:t> %</w:t>
            </w:r>
            <w:r>
              <w:t xml:space="preserve"> </w:t>
            </w:r>
            <w:r w:rsidR="001A33A3">
              <w:t>a </w:t>
            </w:r>
            <w:r>
              <w:t xml:space="preserve">snížil se </w:t>
            </w:r>
            <w:r w:rsidR="001A33A3">
              <w:t>o </w:t>
            </w:r>
            <w:r>
              <w:t>1,8</w:t>
            </w:r>
            <w:r w:rsidR="00F118D5">
              <w:t> p. b.</w:t>
            </w:r>
            <w:r>
              <w:t xml:space="preserve"> Relativní dluh klesal ve většině zemí EU, šlo ale </w:t>
            </w:r>
            <w:r w:rsidR="001A33A3">
              <w:t>o </w:t>
            </w:r>
            <w:r>
              <w:t xml:space="preserve">vliv rostoucího HDP, protože nominálně se </w:t>
            </w:r>
            <w:r w:rsidR="001A33A3">
              <w:t>u </w:t>
            </w:r>
            <w:r>
              <w:t>většiny států dluh ve skutečnosti zvyšoval. Relativní dluh se zvýšil jen v Litvě (+2,5</w:t>
            </w:r>
            <w:r w:rsidR="00BF6EE6">
              <w:t> </w:t>
            </w:r>
            <w:r>
              <w:t>p.</w:t>
            </w:r>
            <w:r w:rsidR="00142C1C">
              <w:t> </w:t>
            </w:r>
            <w:r>
              <w:t>b. na 36,3</w:t>
            </w:r>
            <w:r w:rsidR="00F118D5">
              <w:t> %</w:t>
            </w:r>
            <w:r>
              <w:t>), Lucembursku (+1,1</w:t>
            </w:r>
            <w:r w:rsidR="00F118D5">
              <w:t> p. b.</w:t>
            </w:r>
            <w:r>
              <w:t xml:space="preserve"> na 22,1</w:t>
            </w:r>
            <w:r w:rsidR="00F118D5">
              <w:t> %</w:t>
            </w:r>
            <w:r>
              <w:t xml:space="preserve">) </w:t>
            </w:r>
            <w:r w:rsidR="001A33A3">
              <w:t>a </w:t>
            </w:r>
            <w:r>
              <w:t>Rumunsku (+0,5</w:t>
            </w:r>
            <w:r w:rsidR="00F118D5">
              <w:t> p. b.</w:t>
            </w:r>
            <w:r>
              <w:t xml:space="preserve"> na 35,2</w:t>
            </w:r>
            <w:r w:rsidR="00F118D5">
              <w:t> %</w:t>
            </w:r>
            <w:r>
              <w:t>). Největší podíl dluhu vůči HDP má dlouhodobě Řecko (loni to bylo 176,6</w:t>
            </w:r>
            <w:r w:rsidR="00BF6EE6">
              <w:t> </w:t>
            </w:r>
            <w:r>
              <w:t xml:space="preserve">%, meziroční pokles </w:t>
            </w:r>
            <w:r w:rsidR="001A33A3">
              <w:t>o </w:t>
            </w:r>
            <w:r>
              <w:t>4,6 p. b.), dále Itálie (134,8</w:t>
            </w:r>
            <w:r w:rsidR="00F118D5">
              <w:t> %</w:t>
            </w:r>
            <w:r>
              <w:t xml:space="preserve">, stejně jako v roce 2018) </w:t>
            </w:r>
            <w:r w:rsidR="001A33A3">
              <w:t>a </w:t>
            </w:r>
            <w:r>
              <w:t>Portugalsko (117,7</w:t>
            </w:r>
            <w:r w:rsidR="00F118D5">
              <w:t> %</w:t>
            </w:r>
            <w:r>
              <w:t xml:space="preserve">, </w:t>
            </w:r>
            <w:r w:rsidR="00A21624">
              <w:t>–</w:t>
            </w:r>
            <w:r>
              <w:t>4,3</w:t>
            </w:r>
            <w:r w:rsidR="00F118D5">
              <w:t> p. b.</w:t>
            </w:r>
            <w:r>
              <w:t>). Nejmenší relativní dluh mělo Estonsko (8,4</w:t>
            </w:r>
            <w:r w:rsidR="00F118D5">
              <w:t> %</w:t>
            </w:r>
            <w:r>
              <w:t>, stejně jako v roce 2018), dále Bulharsko (20,4</w:t>
            </w:r>
            <w:r w:rsidR="00F118D5">
              <w:t> %</w:t>
            </w:r>
            <w:r>
              <w:t xml:space="preserve">, </w:t>
            </w:r>
            <w:r w:rsidR="00A21624">
              <w:t>–</w:t>
            </w:r>
            <w:r>
              <w:t>1,9</w:t>
            </w:r>
            <w:r w:rsidR="00F118D5">
              <w:t> p. b.</w:t>
            </w:r>
            <w:r>
              <w:t xml:space="preserve">) </w:t>
            </w:r>
            <w:r w:rsidR="001A33A3">
              <w:t>a </w:t>
            </w:r>
            <w:r>
              <w:t>výše zmíněné Lucembursko (22,1</w:t>
            </w:r>
            <w:r w:rsidR="00F118D5">
              <w:t> %</w:t>
            </w:r>
            <w:r>
              <w:t>). Šestnáct zemí udrželo dluh pod 60</w:t>
            </w:r>
            <w:r w:rsidR="00F118D5">
              <w:t> %</w:t>
            </w:r>
            <w:r>
              <w:t xml:space="preserve"> HDP (</w:t>
            </w:r>
            <w:r w:rsidR="001A33A3">
              <w:t>v </w:t>
            </w:r>
            <w:r>
              <w:t>roce 2018 to bylo 1</w:t>
            </w:r>
            <w:r w:rsidR="00A21624">
              <w:t>4 </w:t>
            </w:r>
            <w:r>
              <w:t xml:space="preserve">států). Česko mělo </w:t>
            </w:r>
            <w:r w:rsidR="001A33A3">
              <w:t>i </w:t>
            </w:r>
            <w:r>
              <w:t>loni čtvrtý nejnižší dluh v EU.</w:t>
            </w:r>
          </w:p>
        </w:tc>
      </w:tr>
      <w:tr w:rsidR="000979EC" w:rsidRPr="00894C66" w14:paraId="799687CA" w14:textId="77777777" w:rsidTr="00E503A5">
        <w:trPr>
          <w:trHeight w:val="170"/>
        </w:trPr>
        <w:tc>
          <w:tcPr>
            <w:tcW w:w="1976" w:type="dxa"/>
            <w:vMerge w:val="restart"/>
          </w:tcPr>
          <w:p w14:paraId="5271D4BE" w14:textId="77777777" w:rsidR="000979EC" w:rsidRDefault="000979EC" w:rsidP="00E503A5">
            <w:pPr>
              <w:pStyle w:val="Marginlie"/>
            </w:pPr>
          </w:p>
        </w:tc>
        <w:tc>
          <w:tcPr>
            <w:tcW w:w="277" w:type="dxa"/>
            <w:vMerge w:val="restart"/>
          </w:tcPr>
          <w:p w14:paraId="73FB580F" w14:textId="77777777" w:rsidR="000979EC" w:rsidRPr="005E4483" w:rsidRDefault="000979EC" w:rsidP="00E503A5">
            <w:pPr>
              <w:pStyle w:val="Textpoznpodarou"/>
              <w:jc w:val="both"/>
              <w:rPr>
                <w:spacing w:val="-4"/>
              </w:rPr>
            </w:pPr>
          </w:p>
        </w:tc>
        <w:tc>
          <w:tcPr>
            <w:tcW w:w="7391" w:type="dxa"/>
          </w:tcPr>
          <w:p w14:paraId="0C6E2BE4" w14:textId="3EC26C9F" w:rsidR="000979EC" w:rsidRPr="00D25CDB" w:rsidRDefault="000979EC" w:rsidP="00E503A5">
            <w:pPr>
              <w:spacing w:after="0"/>
              <w:rPr>
                <w:b/>
              </w:rPr>
            </w:pPr>
            <w:r w:rsidRPr="00976681">
              <w:rPr>
                <w:b/>
                <w:lang w:eastAsia="en-US"/>
              </w:rPr>
              <w:t xml:space="preserve">Graf </w:t>
            </w:r>
            <w:r w:rsidR="00A21624" w:rsidRPr="00976681">
              <w:rPr>
                <w:b/>
                <w:lang w:eastAsia="en-US"/>
              </w:rPr>
              <w:t>č. </w:t>
            </w:r>
            <w:r w:rsidR="00E503A5" w:rsidRPr="00976681">
              <w:rPr>
                <w:b/>
                <w:lang w:eastAsia="en-US"/>
              </w:rPr>
              <w:t>11</w:t>
            </w:r>
            <w:r>
              <w:rPr>
                <w:b/>
                <w:lang w:eastAsia="en-US"/>
              </w:rPr>
              <w:t xml:space="preserve">  Meziroční změna h</w:t>
            </w:r>
            <w:r w:rsidRPr="005263D4">
              <w:rPr>
                <w:b/>
                <w:lang w:eastAsia="en-US"/>
              </w:rPr>
              <w:t>rub</w:t>
            </w:r>
            <w:r>
              <w:rPr>
                <w:b/>
                <w:lang w:eastAsia="en-US"/>
              </w:rPr>
              <w:t>ého</w:t>
            </w:r>
            <w:r w:rsidRPr="005263D4">
              <w:rPr>
                <w:b/>
                <w:lang w:eastAsia="en-US"/>
              </w:rPr>
              <w:t xml:space="preserve"> konsolidovan</w:t>
            </w:r>
            <w:r>
              <w:rPr>
                <w:b/>
                <w:lang w:eastAsia="en-US"/>
              </w:rPr>
              <w:t>ého</w:t>
            </w:r>
            <w:r w:rsidRPr="005263D4">
              <w:rPr>
                <w:b/>
                <w:lang w:eastAsia="en-US"/>
              </w:rPr>
              <w:t xml:space="preserve"> dluh</w:t>
            </w:r>
            <w:r>
              <w:rPr>
                <w:b/>
                <w:lang w:eastAsia="en-US"/>
              </w:rPr>
              <w:t>u</w:t>
            </w:r>
            <w:r w:rsidRPr="005263D4">
              <w:rPr>
                <w:b/>
                <w:lang w:eastAsia="en-US"/>
              </w:rPr>
              <w:t xml:space="preserve"> sektoru vládních institucí </w:t>
            </w:r>
            <w:r w:rsidRPr="00ED61AD">
              <w:rPr>
                <w:lang w:eastAsia="en-US"/>
              </w:rPr>
              <w:t>(</w:t>
            </w:r>
            <w:r w:rsidRPr="005263D4">
              <w:rPr>
                <w:spacing w:val="-2"/>
                <w:lang w:eastAsia="en-US"/>
              </w:rPr>
              <w:t>v</w:t>
            </w:r>
            <w:r w:rsidR="00A21624">
              <w:rPr>
                <w:spacing w:val="-2"/>
                <w:lang w:eastAsia="en-US"/>
              </w:rPr>
              <w:t> mld.</w:t>
            </w:r>
            <w:r w:rsidRPr="005263D4">
              <w:rPr>
                <w:spacing w:val="-2"/>
                <w:lang w:eastAsia="en-US"/>
              </w:rPr>
              <w:t xml:space="preserve"> korun, běžné ceny</w:t>
            </w:r>
            <w:r w:rsidRPr="00ED61AD">
              <w:rPr>
                <w:lang w:eastAsia="en-US"/>
              </w:rPr>
              <w:t>)</w:t>
            </w:r>
          </w:p>
        </w:tc>
      </w:tr>
      <w:tr w:rsidR="000979EC" w:rsidRPr="00894C66" w14:paraId="0DDD98D2" w14:textId="77777777" w:rsidTr="00E503A5">
        <w:tblPrEx>
          <w:tblCellMar>
            <w:left w:w="70" w:type="dxa"/>
            <w:right w:w="70" w:type="dxa"/>
          </w:tblCellMar>
        </w:tblPrEx>
        <w:trPr>
          <w:trHeight w:val="170"/>
        </w:trPr>
        <w:tc>
          <w:tcPr>
            <w:tcW w:w="1976" w:type="dxa"/>
            <w:vMerge/>
          </w:tcPr>
          <w:p w14:paraId="1EE458E8" w14:textId="77777777" w:rsidR="000979EC" w:rsidRDefault="000979EC" w:rsidP="00E503A5">
            <w:pPr>
              <w:pStyle w:val="Marginlie"/>
            </w:pPr>
          </w:p>
        </w:tc>
        <w:tc>
          <w:tcPr>
            <w:tcW w:w="277" w:type="dxa"/>
            <w:vMerge/>
          </w:tcPr>
          <w:p w14:paraId="39336DF6" w14:textId="77777777" w:rsidR="000979EC" w:rsidRPr="005E4483" w:rsidRDefault="000979EC" w:rsidP="00E503A5">
            <w:pPr>
              <w:pStyle w:val="Textpoznpodarou"/>
              <w:jc w:val="both"/>
              <w:rPr>
                <w:spacing w:val="-4"/>
              </w:rPr>
            </w:pPr>
          </w:p>
        </w:tc>
        <w:tc>
          <w:tcPr>
            <w:tcW w:w="7391" w:type="dxa"/>
          </w:tcPr>
          <w:p w14:paraId="050E3A42" w14:textId="77777777" w:rsidR="000979EC" w:rsidRDefault="000979EC" w:rsidP="00E503A5">
            <w:pPr>
              <w:spacing w:after="0"/>
            </w:pPr>
            <w:r>
              <w:rPr>
                <w:noProof/>
              </w:rPr>
              <w:drawing>
                <wp:inline distT="0" distB="0" distL="0" distR="0" wp14:anchorId="50FAE525" wp14:editId="443591DC">
                  <wp:extent cx="4604385" cy="3453130"/>
                  <wp:effectExtent l="0" t="0" r="5715"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979EC" w:rsidRPr="00894C66" w14:paraId="2A7E8EA3" w14:textId="77777777" w:rsidTr="00E503A5">
        <w:trPr>
          <w:trHeight w:val="170"/>
        </w:trPr>
        <w:tc>
          <w:tcPr>
            <w:tcW w:w="1976" w:type="dxa"/>
            <w:vMerge/>
          </w:tcPr>
          <w:p w14:paraId="093C7587" w14:textId="77777777" w:rsidR="000979EC" w:rsidRDefault="000979EC" w:rsidP="00E503A5">
            <w:pPr>
              <w:pStyle w:val="Marginlie"/>
            </w:pPr>
          </w:p>
        </w:tc>
        <w:tc>
          <w:tcPr>
            <w:tcW w:w="277" w:type="dxa"/>
            <w:vMerge/>
          </w:tcPr>
          <w:p w14:paraId="6F756939" w14:textId="77777777" w:rsidR="000979EC" w:rsidRPr="005E4483" w:rsidRDefault="000979EC" w:rsidP="00E503A5">
            <w:pPr>
              <w:pStyle w:val="Textpoznpodarou"/>
              <w:jc w:val="both"/>
              <w:rPr>
                <w:spacing w:val="-4"/>
              </w:rPr>
            </w:pPr>
          </w:p>
        </w:tc>
        <w:tc>
          <w:tcPr>
            <w:tcW w:w="7391" w:type="dxa"/>
          </w:tcPr>
          <w:p w14:paraId="06529DDB" w14:textId="77777777" w:rsidR="000979EC" w:rsidRPr="00D25CDB" w:rsidRDefault="000979EC" w:rsidP="00E503A5">
            <w:pPr>
              <w:spacing w:after="0"/>
              <w:rPr>
                <w:sz w:val="14"/>
                <w:szCs w:val="14"/>
              </w:rPr>
            </w:pPr>
            <w:r>
              <w:rPr>
                <w:sz w:val="14"/>
                <w:szCs w:val="14"/>
              </w:rPr>
              <w:t>Zdroj: ČSÚ</w:t>
            </w:r>
          </w:p>
        </w:tc>
      </w:tr>
    </w:tbl>
    <w:p w14:paraId="5432BFE8" w14:textId="7A2B2447" w:rsidR="000979EC" w:rsidRPr="00184E20" w:rsidRDefault="001A33A3" w:rsidP="000979EC">
      <w:pPr>
        <w:pStyle w:val="Nadpis1"/>
      </w:pPr>
      <w:bookmarkStart w:id="10" w:name="_Toc48549438"/>
      <w:r>
        <w:lastRenderedPageBreak/>
        <w:t>8. </w:t>
      </w:r>
      <w:r w:rsidR="000979EC" w:rsidRPr="00184E20">
        <w:t>Domácnosti</w:t>
      </w:r>
      <w:bookmarkEnd w:id="10"/>
    </w:p>
    <w:p w14:paraId="39F90611" w14:textId="33519CB4" w:rsidR="000979EC" w:rsidRDefault="000979EC" w:rsidP="000979EC">
      <w:pPr>
        <w:pStyle w:val="Nadpis2"/>
      </w:pPr>
      <w:bookmarkStart w:id="11" w:name="_Toc48549439"/>
      <w:r>
        <w:t>8.</w:t>
      </w:r>
      <w:r w:rsidR="00A21624">
        <w:t>1 </w:t>
      </w:r>
      <w:r>
        <w:t>Příjmy domácností</w:t>
      </w:r>
      <w:bookmarkEnd w:id="11"/>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0979EC" w:rsidRPr="00157A87" w14:paraId="74E9385B" w14:textId="77777777" w:rsidTr="00E503A5">
        <w:trPr>
          <w:trHeight w:val="145"/>
        </w:trPr>
        <w:tc>
          <w:tcPr>
            <w:tcW w:w="1976" w:type="dxa"/>
          </w:tcPr>
          <w:p w14:paraId="216A8B66" w14:textId="77777777" w:rsidR="000979EC" w:rsidRPr="00157A87" w:rsidRDefault="000979EC" w:rsidP="00E503A5">
            <w:pPr>
              <w:pStyle w:val="Marginlie"/>
            </w:pPr>
            <w:r>
              <w:t>Hrubý disponibilní důchod domácností nadále silně rostl. Výrazně posílil objem naturálních sociálních transferů.</w:t>
            </w:r>
          </w:p>
        </w:tc>
        <w:tc>
          <w:tcPr>
            <w:tcW w:w="277" w:type="dxa"/>
          </w:tcPr>
          <w:p w14:paraId="0F729E00" w14:textId="77777777" w:rsidR="000979EC" w:rsidRPr="00157A87" w:rsidRDefault="000979EC" w:rsidP="00E503A5">
            <w:pPr>
              <w:pStyle w:val="Textpoznpodarou"/>
              <w:jc w:val="both"/>
              <w:rPr>
                <w:spacing w:val="-4"/>
              </w:rPr>
            </w:pPr>
          </w:p>
        </w:tc>
        <w:tc>
          <w:tcPr>
            <w:tcW w:w="7391" w:type="dxa"/>
          </w:tcPr>
          <w:p w14:paraId="3B242697" w14:textId="593045C8" w:rsidR="000979EC" w:rsidRPr="00157A87" w:rsidRDefault="000979EC" w:rsidP="00976681">
            <w:r>
              <w:t>Hrubý disponibilní důchod domácností v roce 2019 dosáhl 3 008,6</w:t>
            </w:r>
            <w:r w:rsidR="00A21624">
              <w:t> mld.</w:t>
            </w:r>
            <w:r>
              <w:t xml:space="preserve"> korun </w:t>
            </w:r>
            <w:r w:rsidR="001A33A3">
              <w:t>a </w:t>
            </w:r>
            <w:r>
              <w:t xml:space="preserve">meziročně se zvýšil </w:t>
            </w:r>
            <w:r w:rsidR="001A33A3">
              <w:t>o </w:t>
            </w:r>
            <w:r>
              <w:t>170,4</w:t>
            </w:r>
            <w:r w:rsidR="00A21624">
              <w:t> mld.</w:t>
            </w:r>
            <w:r>
              <w:rPr>
                <w:rStyle w:val="Znakapoznpodarou"/>
              </w:rPr>
              <w:footnoteReference w:id="31"/>
            </w:r>
            <w:r>
              <w:t xml:space="preserve"> V posledních třech letech se reálný </w:t>
            </w:r>
            <w:r w:rsidR="001A33A3">
              <w:t>a </w:t>
            </w:r>
            <w:r>
              <w:t xml:space="preserve">nominální růst příjmů </w:t>
            </w:r>
            <w:r w:rsidR="006A5C31">
              <w:t xml:space="preserve">domácností </w:t>
            </w:r>
            <w:r>
              <w:t>výrazněji rozcházel</w:t>
            </w:r>
            <w:r w:rsidR="006A5C31">
              <w:t>y</w:t>
            </w:r>
            <w:r>
              <w:t xml:space="preserve"> </w:t>
            </w:r>
            <w:r w:rsidR="001A33A3">
              <w:t>a </w:t>
            </w:r>
            <w:r>
              <w:t>loňské posílení cenového růstu tento trend dále prohloubilo. Reálný přírůstek HDD v roce 2019 činil 3,1</w:t>
            </w:r>
            <w:r w:rsidR="00F118D5">
              <w:t> %</w:t>
            </w:r>
            <w:r w:rsidRPr="009B00A5">
              <w:rPr>
                <w:rStyle w:val="Znakapoznpodarou"/>
              </w:rPr>
              <w:footnoteReference w:id="32"/>
            </w:r>
            <w:r>
              <w:t>, nejméně od roku 2016 (nominální růst činil 6,0</w:t>
            </w:r>
            <w:r w:rsidR="00F118D5">
              <w:t> %</w:t>
            </w:r>
            <w:r>
              <w:t xml:space="preserve"> </w:t>
            </w:r>
            <w:r w:rsidR="001A33A3">
              <w:t>a </w:t>
            </w:r>
            <w:r>
              <w:t xml:space="preserve">byl nejnižší za poslední tři roky, ale stále výrazně nadprůměrný). </w:t>
            </w:r>
            <w:r w:rsidR="001A33A3">
              <w:t>I </w:t>
            </w:r>
            <w:r>
              <w:t xml:space="preserve">nadále vývoj HDD nejsilněji ovlivňoval růst mezd </w:t>
            </w:r>
            <w:r w:rsidR="001A33A3">
              <w:t>a </w:t>
            </w:r>
            <w:r>
              <w:t xml:space="preserve">platů vyplacených domácnostem, ačkoli silná dynamika patrná v letech 2017 </w:t>
            </w:r>
            <w:r w:rsidR="001A33A3">
              <w:t>a </w:t>
            </w:r>
            <w:r>
              <w:t xml:space="preserve">2018 mírně oslabila. Stále se zvyšoval také hrubý provozní přebytek </w:t>
            </w:r>
            <w:r w:rsidR="001A33A3">
              <w:t>a </w:t>
            </w:r>
            <w:r>
              <w:t xml:space="preserve">hrubý smíšený důchod. Hodnota zboží </w:t>
            </w:r>
            <w:r w:rsidR="001A33A3">
              <w:t>a </w:t>
            </w:r>
            <w:r>
              <w:t>služeb, které domácnosti obdržely ve formě naturálních sociálních transferů</w:t>
            </w:r>
            <w:r>
              <w:rPr>
                <w:rStyle w:val="Znakapoznpodarou"/>
              </w:rPr>
              <w:footnoteReference w:id="33"/>
            </w:r>
            <w:r>
              <w:t>, dosáhla 674,9</w:t>
            </w:r>
            <w:r w:rsidR="00A21624">
              <w:t> mld.</w:t>
            </w:r>
            <w:r>
              <w:t xml:space="preserve"> korun. Meziročně se naturální sociální transfery navýšily </w:t>
            </w:r>
            <w:r w:rsidR="001A33A3">
              <w:t>o </w:t>
            </w:r>
            <w:r>
              <w:t>65,7</w:t>
            </w:r>
            <w:r w:rsidR="00A21624">
              <w:t> mld.</w:t>
            </w:r>
            <w:r>
              <w:t xml:space="preserve"> korun. Zároveň jejich podíl na hrubém upraveném disponibilním důchod</w:t>
            </w:r>
            <w:r w:rsidR="006A5C31">
              <w:t>u</w:t>
            </w:r>
            <w:r>
              <w:rPr>
                <w:rStyle w:val="Znakapoznpodarou"/>
              </w:rPr>
              <w:footnoteReference w:id="34"/>
            </w:r>
            <w:r>
              <w:t xml:space="preserve"> dosáhl 18,3</w:t>
            </w:r>
            <w:r w:rsidR="00F118D5">
              <w:t> %</w:t>
            </w:r>
            <w:r>
              <w:t xml:space="preserve">, nejvíce v celé časové řadě. Tuto položku </w:t>
            </w:r>
            <w:r w:rsidR="006A5C31">
              <w:t>táhly</w:t>
            </w:r>
            <w:r>
              <w:t xml:space="preserve"> vzhůru mimo jiné rostoucí mzdové náklady v odvětvích s dominancí vládního sektoru, která služby obyvatelstvu poskytují.</w:t>
            </w:r>
          </w:p>
        </w:tc>
      </w:tr>
      <w:tr w:rsidR="000979EC" w:rsidRPr="00894C66" w14:paraId="6950DF93" w14:textId="77777777" w:rsidTr="00E503A5">
        <w:tc>
          <w:tcPr>
            <w:tcW w:w="1976" w:type="dxa"/>
            <w:vMerge w:val="restart"/>
          </w:tcPr>
          <w:p w14:paraId="32240288" w14:textId="77777777" w:rsidR="000979EC" w:rsidRDefault="000979EC" w:rsidP="00E503A5">
            <w:pPr>
              <w:pStyle w:val="Marginlie"/>
            </w:pPr>
          </w:p>
        </w:tc>
        <w:tc>
          <w:tcPr>
            <w:tcW w:w="277" w:type="dxa"/>
            <w:vMerge w:val="restart"/>
          </w:tcPr>
          <w:p w14:paraId="2A81DE78" w14:textId="77777777" w:rsidR="000979EC" w:rsidRPr="005E4483" w:rsidRDefault="000979EC" w:rsidP="00E503A5">
            <w:pPr>
              <w:pStyle w:val="Textpoznpodarou"/>
              <w:jc w:val="both"/>
              <w:rPr>
                <w:spacing w:val="-4"/>
              </w:rPr>
            </w:pPr>
          </w:p>
        </w:tc>
        <w:tc>
          <w:tcPr>
            <w:tcW w:w="7391" w:type="dxa"/>
          </w:tcPr>
          <w:p w14:paraId="53406ADF" w14:textId="322FFA78" w:rsidR="000979EC" w:rsidRPr="004454DC" w:rsidRDefault="000979EC" w:rsidP="00E503A5">
            <w:pPr>
              <w:spacing w:after="0"/>
              <w:rPr>
                <w:b/>
              </w:rPr>
            </w:pPr>
            <w:r w:rsidRPr="00976681">
              <w:rPr>
                <w:b/>
              </w:rPr>
              <w:t xml:space="preserve">Graf </w:t>
            </w:r>
            <w:r w:rsidR="00A21624" w:rsidRPr="00976681">
              <w:rPr>
                <w:b/>
              </w:rPr>
              <w:t>č. </w:t>
            </w:r>
            <w:r w:rsidR="00E503A5" w:rsidRPr="00976681">
              <w:rPr>
                <w:b/>
              </w:rPr>
              <w:t>12</w:t>
            </w:r>
            <w:r>
              <w:rPr>
                <w:b/>
              </w:rPr>
              <w:t xml:space="preserve">  Hrubý disponibilní důchod </w:t>
            </w:r>
            <w:r w:rsidR="001A33A3">
              <w:rPr>
                <w:b/>
              </w:rPr>
              <w:t>a </w:t>
            </w:r>
            <w:r>
              <w:rPr>
                <w:b/>
              </w:rPr>
              <w:t xml:space="preserve">mzdy </w:t>
            </w:r>
            <w:r w:rsidR="001A33A3">
              <w:rPr>
                <w:b/>
              </w:rPr>
              <w:t>a </w:t>
            </w:r>
            <w:r>
              <w:rPr>
                <w:b/>
              </w:rPr>
              <w:t xml:space="preserve">platy </w:t>
            </w:r>
            <w:r w:rsidRPr="002B50CB">
              <w:t>(meziroční růst v</w:t>
            </w:r>
            <w:r w:rsidR="00F118D5">
              <w:t> %</w:t>
            </w:r>
            <w:r w:rsidRPr="002B50CB">
              <w:t>)</w:t>
            </w:r>
          </w:p>
        </w:tc>
      </w:tr>
      <w:tr w:rsidR="000979EC" w:rsidRPr="00894C66" w14:paraId="5EDDFC97" w14:textId="77777777" w:rsidTr="00E503A5">
        <w:tblPrEx>
          <w:tblCellMar>
            <w:left w:w="70" w:type="dxa"/>
            <w:right w:w="70" w:type="dxa"/>
          </w:tblCellMar>
        </w:tblPrEx>
        <w:trPr>
          <w:trHeight w:val="170"/>
        </w:trPr>
        <w:tc>
          <w:tcPr>
            <w:tcW w:w="1976" w:type="dxa"/>
            <w:vMerge/>
          </w:tcPr>
          <w:p w14:paraId="5E9E0030" w14:textId="77777777" w:rsidR="000979EC" w:rsidRDefault="000979EC" w:rsidP="00E503A5">
            <w:pPr>
              <w:pStyle w:val="Marginlie"/>
            </w:pPr>
          </w:p>
        </w:tc>
        <w:tc>
          <w:tcPr>
            <w:tcW w:w="277" w:type="dxa"/>
            <w:vMerge/>
          </w:tcPr>
          <w:p w14:paraId="6E7A1FF4" w14:textId="77777777" w:rsidR="000979EC" w:rsidRPr="005E4483" w:rsidRDefault="000979EC" w:rsidP="00E503A5">
            <w:pPr>
              <w:pStyle w:val="Textpoznpodarou"/>
              <w:jc w:val="both"/>
              <w:rPr>
                <w:spacing w:val="-4"/>
              </w:rPr>
            </w:pPr>
          </w:p>
        </w:tc>
        <w:tc>
          <w:tcPr>
            <w:tcW w:w="7391" w:type="dxa"/>
          </w:tcPr>
          <w:p w14:paraId="5E28D0C5" w14:textId="77777777" w:rsidR="000979EC" w:rsidRDefault="000979EC" w:rsidP="00E503A5">
            <w:pPr>
              <w:spacing w:after="0"/>
            </w:pPr>
            <w:r>
              <w:rPr>
                <w:noProof/>
              </w:rPr>
              <w:drawing>
                <wp:inline distT="0" distB="0" distL="0" distR="0" wp14:anchorId="56298175" wp14:editId="11584BDC">
                  <wp:extent cx="4604385" cy="345313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979EC" w:rsidRPr="00894C66" w14:paraId="4E6BAB8C" w14:textId="77777777" w:rsidTr="00E503A5">
        <w:trPr>
          <w:trHeight w:val="170"/>
        </w:trPr>
        <w:tc>
          <w:tcPr>
            <w:tcW w:w="1976" w:type="dxa"/>
            <w:vMerge/>
          </w:tcPr>
          <w:p w14:paraId="053023B2" w14:textId="77777777" w:rsidR="000979EC" w:rsidRDefault="000979EC" w:rsidP="00E503A5">
            <w:pPr>
              <w:pStyle w:val="Marginlie"/>
            </w:pPr>
          </w:p>
        </w:tc>
        <w:tc>
          <w:tcPr>
            <w:tcW w:w="277" w:type="dxa"/>
            <w:vMerge/>
          </w:tcPr>
          <w:p w14:paraId="22D61A4A" w14:textId="77777777" w:rsidR="000979EC" w:rsidRPr="005E4483" w:rsidRDefault="000979EC" w:rsidP="00E503A5">
            <w:pPr>
              <w:pStyle w:val="Textpoznpodarou"/>
              <w:jc w:val="both"/>
              <w:rPr>
                <w:spacing w:val="-4"/>
              </w:rPr>
            </w:pPr>
          </w:p>
        </w:tc>
        <w:tc>
          <w:tcPr>
            <w:tcW w:w="7391" w:type="dxa"/>
          </w:tcPr>
          <w:p w14:paraId="0ABB4C52" w14:textId="235DD91A" w:rsidR="000979EC" w:rsidRPr="00A1151F" w:rsidRDefault="000979EC" w:rsidP="00E503A5">
            <w:pPr>
              <w:rPr>
                <w:sz w:val="14"/>
                <w:szCs w:val="14"/>
              </w:rPr>
            </w:pPr>
            <w:r>
              <w:rPr>
                <w:sz w:val="14"/>
                <w:szCs w:val="14"/>
              </w:rPr>
              <w:t xml:space="preserve">Zdroj: </w:t>
            </w:r>
            <w:r w:rsidR="00400B82">
              <w:rPr>
                <w:sz w:val="14"/>
                <w:szCs w:val="14"/>
              </w:rPr>
              <w:t>Č</w:t>
            </w:r>
            <w:r>
              <w:rPr>
                <w:sz w:val="14"/>
                <w:szCs w:val="14"/>
              </w:rPr>
              <w:t>SÚ</w:t>
            </w:r>
          </w:p>
        </w:tc>
      </w:tr>
      <w:tr w:rsidR="000979EC" w:rsidRPr="00894C66" w14:paraId="6CA4113F" w14:textId="77777777" w:rsidTr="00E503A5">
        <w:trPr>
          <w:trHeight w:val="145"/>
        </w:trPr>
        <w:tc>
          <w:tcPr>
            <w:tcW w:w="1976" w:type="dxa"/>
          </w:tcPr>
          <w:p w14:paraId="13A0F7D3" w14:textId="358477F8" w:rsidR="000979EC" w:rsidRDefault="000979EC" w:rsidP="00E503A5">
            <w:pPr>
              <w:pStyle w:val="Marginlie"/>
            </w:pPr>
            <w:r>
              <w:t xml:space="preserve">Reálný růst mezd </w:t>
            </w:r>
            <w:r w:rsidR="001A33A3">
              <w:t>a </w:t>
            </w:r>
            <w:r>
              <w:t>platů výrazně zmírnil.</w:t>
            </w:r>
          </w:p>
        </w:tc>
        <w:tc>
          <w:tcPr>
            <w:tcW w:w="277" w:type="dxa"/>
          </w:tcPr>
          <w:p w14:paraId="21500497" w14:textId="77777777" w:rsidR="000979EC" w:rsidRPr="005E4483" w:rsidRDefault="000979EC" w:rsidP="00E503A5">
            <w:pPr>
              <w:pStyle w:val="Textpoznpodarou"/>
              <w:jc w:val="both"/>
              <w:rPr>
                <w:spacing w:val="-4"/>
              </w:rPr>
            </w:pPr>
          </w:p>
        </w:tc>
        <w:tc>
          <w:tcPr>
            <w:tcW w:w="7391" w:type="dxa"/>
          </w:tcPr>
          <w:p w14:paraId="15CCCB68" w14:textId="74044FA8" w:rsidR="000979EC" w:rsidRPr="007834C9" w:rsidRDefault="000979EC" w:rsidP="00E503A5">
            <w:r>
              <w:t>Většinu HDD domácností tvoří v českých podmínkách náhrady zaměstnancům. Ty loni dosáhly 2 577,9</w:t>
            </w:r>
            <w:r w:rsidR="00A21624">
              <w:t> mld.</w:t>
            </w:r>
            <w:r>
              <w:t xml:space="preserve"> korun. Po odečtení sociálních příspěvků zaměstnavatelů celkový objem mezd </w:t>
            </w:r>
            <w:r w:rsidR="001A33A3">
              <w:t>a </w:t>
            </w:r>
            <w:r>
              <w:t>platů, které byly loni vyplaceny domácnostem, dosáhl 1 978,9</w:t>
            </w:r>
            <w:r w:rsidR="00BF6EE6">
              <w:t> </w:t>
            </w:r>
            <w:r>
              <w:t xml:space="preserve">mld. korun </w:t>
            </w:r>
            <w:r w:rsidR="001A33A3">
              <w:t>a </w:t>
            </w:r>
            <w:r>
              <w:t xml:space="preserve">meziročně se zvýšil </w:t>
            </w:r>
            <w:r w:rsidR="001A33A3">
              <w:t>o </w:t>
            </w:r>
            <w:r>
              <w:t>111,5</w:t>
            </w:r>
            <w:r w:rsidR="00A21624">
              <w:t> mld.</w:t>
            </w:r>
            <w:r>
              <w:t xml:space="preserve"> Tvořil tedy většinu z nárůstu HDD. Nominální nárůst mezd </w:t>
            </w:r>
            <w:r w:rsidR="001A33A3">
              <w:t>a </w:t>
            </w:r>
            <w:r>
              <w:t xml:space="preserve">platů oproti letům 2017 </w:t>
            </w:r>
            <w:r w:rsidR="001A33A3">
              <w:t>a </w:t>
            </w:r>
            <w:r>
              <w:t xml:space="preserve">2018 zvolnil </w:t>
            </w:r>
            <w:r w:rsidR="001A33A3">
              <w:t>a </w:t>
            </w:r>
            <w:r>
              <w:t>činil 6,0</w:t>
            </w:r>
            <w:r w:rsidR="00F118D5">
              <w:t> %</w:t>
            </w:r>
            <w:r>
              <w:t xml:space="preserve">. Reálný růst mezd </w:t>
            </w:r>
            <w:r w:rsidR="001A33A3">
              <w:t>a </w:t>
            </w:r>
            <w:r>
              <w:t>platů dosáhl 3,1</w:t>
            </w:r>
            <w:r w:rsidR="00F118D5">
              <w:t> %</w:t>
            </w:r>
            <w:r>
              <w:t xml:space="preserve">, nejméně od roku 2013. K nárůstu HDD </w:t>
            </w:r>
            <w:r>
              <w:lastRenderedPageBreak/>
              <w:t>přispělo rovněž navýšení hrubého smíšeného důchodu</w:t>
            </w:r>
            <w:r>
              <w:rPr>
                <w:rStyle w:val="Znakapoznpodarou"/>
              </w:rPr>
              <w:footnoteReference w:id="35"/>
            </w:r>
            <w:r>
              <w:t xml:space="preserve"> </w:t>
            </w:r>
            <w:r w:rsidR="001A33A3">
              <w:t>o </w:t>
            </w:r>
            <w:r>
              <w:t>29,5</w:t>
            </w:r>
            <w:r w:rsidR="00A21624">
              <w:t> mld.</w:t>
            </w:r>
            <w:r>
              <w:t xml:space="preserve"> korun. Hrubý provozní přebytek</w:t>
            </w:r>
            <w:r>
              <w:rPr>
                <w:rStyle w:val="Znakapoznpodarou"/>
              </w:rPr>
              <w:footnoteReference w:id="36"/>
            </w:r>
            <w:r>
              <w:t xml:space="preserve"> narostl </w:t>
            </w:r>
            <w:r w:rsidR="001A33A3">
              <w:t>o </w:t>
            </w:r>
            <w:r>
              <w:t>24,0</w:t>
            </w:r>
            <w:r w:rsidR="00A21624">
              <w:t> mld.</w:t>
            </w:r>
            <w:r>
              <w:t xml:space="preserve"> korun. Poslední tři roky právě tato položka roste mimořádně vysokým tempem </w:t>
            </w:r>
            <w:r w:rsidR="001A33A3">
              <w:t>a </w:t>
            </w:r>
            <w:r>
              <w:t xml:space="preserve">jedním z důvodů </w:t>
            </w:r>
            <w:r w:rsidR="000A66F4">
              <w:t>jsou</w:t>
            </w:r>
            <w:r>
              <w:t xml:space="preserve"> rapidně se zvyšující ceny imputovaného nájemného.</w:t>
            </w:r>
          </w:p>
        </w:tc>
      </w:tr>
      <w:tr w:rsidR="000979EC" w:rsidRPr="00894C66" w14:paraId="22C64284" w14:textId="77777777" w:rsidTr="00E503A5">
        <w:trPr>
          <w:trHeight w:val="145"/>
        </w:trPr>
        <w:tc>
          <w:tcPr>
            <w:tcW w:w="1976" w:type="dxa"/>
          </w:tcPr>
          <w:p w14:paraId="6D368E20" w14:textId="77777777" w:rsidR="000979EC" w:rsidRDefault="000979EC" w:rsidP="00E503A5">
            <w:pPr>
              <w:pStyle w:val="Marginlie"/>
            </w:pPr>
            <w:r>
              <w:lastRenderedPageBreak/>
              <w:t>Saldo důchodů z vlastnictví rostlo.</w:t>
            </w:r>
          </w:p>
        </w:tc>
        <w:tc>
          <w:tcPr>
            <w:tcW w:w="277" w:type="dxa"/>
          </w:tcPr>
          <w:p w14:paraId="60F765B9" w14:textId="77777777" w:rsidR="000979EC" w:rsidRPr="005E4483" w:rsidRDefault="000979EC" w:rsidP="00E503A5">
            <w:pPr>
              <w:pStyle w:val="Textpoznpodarou"/>
              <w:jc w:val="both"/>
              <w:rPr>
                <w:spacing w:val="-4"/>
              </w:rPr>
            </w:pPr>
          </w:p>
        </w:tc>
        <w:tc>
          <w:tcPr>
            <w:tcW w:w="7391" w:type="dxa"/>
          </w:tcPr>
          <w:p w14:paraId="0E064D0A" w14:textId="1C6BEAE3" w:rsidR="000979EC" w:rsidRPr="007834C9" w:rsidRDefault="000979EC" w:rsidP="00E503A5">
            <w:r>
              <w:t>Důchody z vlastnictví nejsou v českých podmínkách podstatným příjmem domácností</w:t>
            </w:r>
            <w:r>
              <w:rPr>
                <w:rStyle w:val="Znakapoznpodarou"/>
              </w:rPr>
              <w:footnoteReference w:id="37"/>
            </w:r>
            <w:r>
              <w:t xml:space="preserve">. V loňském roce jejich kladné saldo vzrostlo </w:t>
            </w:r>
            <w:r w:rsidR="001A33A3">
              <w:t>o </w:t>
            </w:r>
            <w:r>
              <w:t>11,4</w:t>
            </w:r>
            <w:r w:rsidR="00A21624">
              <w:t> mld.</w:t>
            </w:r>
            <w:r>
              <w:t xml:space="preserve"> korun. Poměrně málo se zvyšovaly přijaté úroky (+1,1</w:t>
            </w:r>
            <w:r w:rsidR="00A21624">
              <w:t> mld.</w:t>
            </w:r>
            <w:r>
              <w:t xml:space="preserve">), větší nárůst proběhl </w:t>
            </w:r>
            <w:r w:rsidR="001A33A3">
              <w:t>u </w:t>
            </w:r>
            <w:r>
              <w:t>rozdělovaných důchodů společností (+4,4</w:t>
            </w:r>
            <w:r w:rsidR="00A21624">
              <w:t> mld.</w:t>
            </w:r>
            <w:r>
              <w:t xml:space="preserve">) </w:t>
            </w:r>
            <w:r w:rsidR="001A33A3">
              <w:t>a </w:t>
            </w:r>
            <w:r>
              <w:t xml:space="preserve">dále </w:t>
            </w:r>
            <w:r w:rsidR="001A33A3">
              <w:t>u </w:t>
            </w:r>
            <w:r>
              <w:t xml:space="preserve">reinvestovaných zisků z přímých investic (+5,2 mld.). Na straně užití domácnosti vyplácejí hlavně úroky. Jejich objem se ale skokově navýšil již v roce 2018 </w:t>
            </w:r>
            <w:r w:rsidR="001A33A3">
              <w:t>a </w:t>
            </w:r>
            <w:r>
              <w:t>v loňském roce výrazněji nenarůstal.</w:t>
            </w:r>
          </w:p>
        </w:tc>
      </w:tr>
      <w:tr w:rsidR="000979EC" w:rsidRPr="00894C66" w14:paraId="2F3920E3" w14:textId="77777777" w:rsidTr="00E503A5">
        <w:trPr>
          <w:trHeight w:val="145"/>
        </w:trPr>
        <w:tc>
          <w:tcPr>
            <w:tcW w:w="1976" w:type="dxa"/>
          </w:tcPr>
          <w:p w14:paraId="2AF2792D" w14:textId="7E36107A" w:rsidR="000979EC" w:rsidRDefault="000979EC" w:rsidP="00E503A5">
            <w:pPr>
              <w:pStyle w:val="Marginlie"/>
            </w:pPr>
            <w:r>
              <w:t xml:space="preserve">Kladné saldo druhotného rozdělení se loni snížilo. Výrazně posílil objem sociálních dávek </w:t>
            </w:r>
            <w:r w:rsidR="001A33A3">
              <w:t>a </w:t>
            </w:r>
            <w:r>
              <w:t>příspěvků vyplacených domácnostem.</w:t>
            </w:r>
          </w:p>
        </w:tc>
        <w:tc>
          <w:tcPr>
            <w:tcW w:w="277" w:type="dxa"/>
          </w:tcPr>
          <w:p w14:paraId="331F882B" w14:textId="77777777" w:rsidR="000979EC" w:rsidRPr="005E4483" w:rsidRDefault="000979EC" w:rsidP="00E503A5">
            <w:pPr>
              <w:pStyle w:val="Textpoznpodarou"/>
              <w:jc w:val="both"/>
              <w:rPr>
                <w:spacing w:val="-4"/>
              </w:rPr>
            </w:pPr>
          </w:p>
        </w:tc>
        <w:tc>
          <w:tcPr>
            <w:tcW w:w="7391" w:type="dxa"/>
          </w:tcPr>
          <w:p w14:paraId="5BB7A4C6" w14:textId="086D026F" w:rsidR="000979EC" w:rsidRPr="007834C9" w:rsidRDefault="001A33A3" w:rsidP="00E503A5">
            <w:r>
              <w:t>I </w:t>
            </w:r>
            <w:r w:rsidR="000979EC">
              <w:t>loni pokračoval pokles salda druhotného rozdělení. To dosáhlo 24,8</w:t>
            </w:r>
            <w:r w:rsidR="00A21624">
              <w:t> mld.</w:t>
            </w:r>
            <w:r w:rsidR="000979EC">
              <w:t xml:space="preserve"> korun </w:t>
            </w:r>
            <w:r>
              <w:t>a </w:t>
            </w:r>
            <w:r w:rsidR="000979EC">
              <w:t xml:space="preserve">meziročně se snížilo </w:t>
            </w:r>
            <w:r>
              <w:t>o </w:t>
            </w:r>
            <w:r w:rsidR="000979EC">
              <w:t>5,9</w:t>
            </w:r>
            <w:r w:rsidR="00A21624">
              <w:t> mld.</w:t>
            </w:r>
            <w:r w:rsidR="000979EC">
              <w:t xml:space="preserve">, což bylo nejméně od roku 2016. Důvodem bylo zejména menší navýšení objemu prostředků odvedených domácnostmi než v letech 2017 </w:t>
            </w:r>
            <w:r>
              <w:t>a </w:t>
            </w:r>
            <w:r w:rsidR="000979EC">
              <w:t xml:space="preserve">2018. Na straně zdrojů významně posílil růst objemu vyplacených sociálních dávek </w:t>
            </w:r>
            <w:r>
              <w:t>a </w:t>
            </w:r>
            <w:r w:rsidR="000979EC">
              <w:t>příspěvků. Ty činily 734,5</w:t>
            </w:r>
            <w:r w:rsidR="00A21624">
              <w:t> mld.</w:t>
            </w:r>
            <w:r w:rsidR="000979EC">
              <w:t xml:space="preserve"> korun </w:t>
            </w:r>
            <w:r>
              <w:t>a </w:t>
            </w:r>
            <w:r w:rsidR="000979EC">
              <w:t xml:space="preserve">meziročně se zvýšily </w:t>
            </w:r>
            <w:r>
              <w:t>o </w:t>
            </w:r>
            <w:r w:rsidR="000979EC">
              <w:t>49,1</w:t>
            </w:r>
            <w:r w:rsidR="00A21624">
              <w:t> mld.</w:t>
            </w:r>
            <w:r w:rsidR="000979EC">
              <w:t xml:space="preserve"> K posílení přispělo zejména navýšení starobních důchodů. Ostatní běžné transfery se zvýšily </w:t>
            </w:r>
            <w:r>
              <w:t>o </w:t>
            </w:r>
            <w:r w:rsidR="000979EC">
              <w:t>23,8</w:t>
            </w:r>
            <w:r w:rsidR="00A21624">
              <w:t> mld.</w:t>
            </w:r>
            <w:r w:rsidR="000979EC">
              <w:t xml:space="preserve"> korun na 304,9</w:t>
            </w:r>
            <w:r w:rsidR="00A21624">
              <w:t> mld.</w:t>
            </w:r>
            <w:r w:rsidR="000979EC">
              <w:t xml:space="preserve"> Oslabení </w:t>
            </w:r>
            <w:r w:rsidR="008B2636">
              <w:t xml:space="preserve">silné </w:t>
            </w:r>
            <w:r w:rsidR="000979EC">
              <w:t>dynamiky na straně užití se týkalo většiny položek. Domácnosti odvedly 334,8</w:t>
            </w:r>
            <w:r w:rsidR="00A21624">
              <w:t> mld.</w:t>
            </w:r>
            <w:r w:rsidR="000979EC">
              <w:t xml:space="preserve"> korun ve formě běžných daní z důchodů </w:t>
            </w:r>
            <w:r>
              <w:t>a </w:t>
            </w:r>
            <w:r w:rsidR="000979EC">
              <w:t>jmění (+25,8</w:t>
            </w:r>
            <w:r w:rsidR="00A21624">
              <w:t> mld.</w:t>
            </w:r>
            <w:r w:rsidR="000979EC">
              <w:t xml:space="preserve">). Odvedené sociální příspěvky domácností se zvýšily </w:t>
            </w:r>
            <w:r>
              <w:t>o </w:t>
            </w:r>
            <w:r w:rsidR="000979EC">
              <w:t>26,5</w:t>
            </w:r>
            <w:r w:rsidR="00A21624">
              <w:t> mld.</w:t>
            </w:r>
            <w:r w:rsidR="000979EC">
              <w:t xml:space="preserve"> korun</w:t>
            </w:r>
            <w:r w:rsidR="000979EC">
              <w:rPr>
                <w:rStyle w:val="Znakapoznpodarou"/>
              </w:rPr>
              <w:footnoteReference w:id="38"/>
            </w:r>
            <w:r w:rsidR="000979EC">
              <w:t xml:space="preserve">. Ostatní běžné transfery vzrostly </w:t>
            </w:r>
            <w:r w:rsidR="008B2636">
              <w:t xml:space="preserve">také </w:t>
            </w:r>
            <w:r>
              <w:t>o </w:t>
            </w:r>
            <w:r w:rsidR="000979EC">
              <w:t>26,5</w:t>
            </w:r>
            <w:r w:rsidR="00A21624">
              <w:t> mld.</w:t>
            </w:r>
            <w:r w:rsidR="000979EC">
              <w:t xml:space="preserve"> korun.</w:t>
            </w:r>
          </w:p>
        </w:tc>
      </w:tr>
      <w:tr w:rsidR="000979EC" w:rsidRPr="00894C66" w14:paraId="30208796" w14:textId="77777777" w:rsidTr="00E503A5">
        <w:trPr>
          <w:trHeight w:val="170"/>
        </w:trPr>
        <w:tc>
          <w:tcPr>
            <w:tcW w:w="1976" w:type="dxa"/>
            <w:vMerge w:val="restart"/>
          </w:tcPr>
          <w:p w14:paraId="3DAF7FF4" w14:textId="77777777" w:rsidR="000979EC" w:rsidRDefault="000979EC" w:rsidP="00E503A5">
            <w:pPr>
              <w:pStyle w:val="Marginlie"/>
            </w:pPr>
          </w:p>
        </w:tc>
        <w:tc>
          <w:tcPr>
            <w:tcW w:w="277" w:type="dxa"/>
            <w:vMerge w:val="restart"/>
          </w:tcPr>
          <w:p w14:paraId="10CC852A" w14:textId="77777777" w:rsidR="000979EC" w:rsidRPr="005E4483" w:rsidRDefault="000979EC" w:rsidP="00E503A5">
            <w:pPr>
              <w:pStyle w:val="Textpoznpodarou"/>
              <w:jc w:val="both"/>
              <w:rPr>
                <w:spacing w:val="-4"/>
              </w:rPr>
            </w:pPr>
          </w:p>
        </w:tc>
        <w:tc>
          <w:tcPr>
            <w:tcW w:w="7391" w:type="dxa"/>
          </w:tcPr>
          <w:p w14:paraId="111D67B7" w14:textId="4EB413EE" w:rsidR="000979EC" w:rsidRPr="00D25CDB" w:rsidRDefault="000979EC" w:rsidP="00E503A5">
            <w:pPr>
              <w:spacing w:after="0"/>
              <w:rPr>
                <w:b/>
              </w:rPr>
            </w:pPr>
            <w:r w:rsidRPr="00976681">
              <w:rPr>
                <w:b/>
              </w:rPr>
              <w:t xml:space="preserve">Graf </w:t>
            </w:r>
            <w:r w:rsidR="00A21624" w:rsidRPr="00976681">
              <w:rPr>
                <w:b/>
              </w:rPr>
              <w:t>č. </w:t>
            </w:r>
            <w:r w:rsidR="00E503A5" w:rsidRPr="00976681">
              <w:rPr>
                <w:b/>
              </w:rPr>
              <w:t>13</w:t>
            </w:r>
            <w:r>
              <w:rPr>
                <w:b/>
              </w:rPr>
              <w:t xml:space="preserve">  </w:t>
            </w:r>
            <w:r w:rsidRPr="009B00A5">
              <w:rPr>
                <w:b/>
              </w:rPr>
              <w:t>Hrubý disponibilní důchod domácností</w:t>
            </w:r>
            <w:r w:rsidRPr="009B00A5">
              <w:t xml:space="preserve"> (meziroční změna v mld. korun)</w:t>
            </w:r>
          </w:p>
        </w:tc>
      </w:tr>
      <w:tr w:rsidR="000979EC" w:rsidRPr="00894C66" w14:paraId="29A8781D" w14:textId="77777777" w:rsidTr="00E503A5">
        <w:tblPrEx>
          <w:tblCellMar>
            <w:left w:w="70" w:type="dxa"/>
            <w:right w:w="70" w:type="dxa"/>
          </w:tblCellMar>
        </w:tblPrEx>
        <w:trPr>
          <w:trHeight w:val="170"/>
        </w:trPr>
        <w:tc>
          <w:tcPr>
            <w:tcW w:w="1976" w:type="dxa"/>
            <w:vMerge/>
          </w:tcPr>
          <w:p w14:paraId="6AFE507E" w14:textId="77777777" w:rsidR="000979EC" w:rsidRDefault="000979EC" w:rsidP="00E503A5">
            <w:pPr>
              <w:pStyle w:val="Marginlie"/>
            </w:pPr>
          </w:p>
        </w:tc>
        <w:tc>
          <w:tcPr>
            <w:tcW w:w="277" w:type="dxa"/>
            <w:vMerge/>
          </w:tcPr>
          <w:p w14:paraId="3962EB28" w14:textId="77777777" w:rsidR="000979EC" w:rsidRPr="005E4483" w:rsidRDefault="000979EC" w:rsidP="00E503A5">
            <w:pPr>
              <w:pStyle w:val="Textpoznpodarou"/>
              <w:jc w:val="both"/>
              <w:rPr>
                <w:spacing w:val="-4"/>
              </w:rPr>
            </w:pPr>
          </w:p>
        </w:tc>
        <w:tc>
          <w:tcPr>
            <w:tcW w:w="7391" w:type="dxa"/>
          </w:tcPr>
          <w:p w14:paraId="22E44143" w14:textId="77777777" w:rsidR="000979EC" w:rsidRDefault="000979EC" w:rsidP="00E503A5">
            <w:pPr>
              <w:spacing w:after="0"/>
            </w:pPr>
            <w:r>
              <w:rPr>
                <w:noProof/>
              </w:rPr>
              <w:drawing>
                <wp:inline distT="0" distB="0" distL="0" distR="0" wp14:anchorId="0362EF0C" wp14:editId="057954B6">
                  <wp:extent cx="4604385" cy="345313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979EC" w:rsidRPr="00894C66" w14:paraId="7027B4E9" w14:textId="77777777" w:rsidTr="00E503A5">
        <w:trPr>
          <w:trHeight w:val="170"/>
        </w:trPr>
        <w:tc>
          <w:tcPr>
            <w:tcW w:w="1976" w:type="dxa"/>
            <w:vMerge/>
          </w:tcPr>
          <w:p w14:paraId="3F14C308" w14:textId="77777777" w:rsidR="000979EC" w:rsidRDefault="000979EC" w:rsidP="00E503A5">
            <w:pPr>
              <w:pStyle w:val="Marginlie"/>
            </w:pPr>
          </w:p>
        </w:tc>
        <w:tc>
          <w:tcPr>
            <w:tcW w:w="277" w:type="dxa"/>
            <w:vMerge/>
          </w:tcPr>
          <w:p w14:paraId="1A8AE339" w14:textId="77777777" w:rsidR="000979EC" w:rsidRPr="005E4483" w:rsidRDefault="000979EC" w:rsidP="00E503A5">
            <w:pPr>
              <w:pStyle w:val="Textpoznpodarou"/>
              <w:jc w:val="both"/>
              <w:rPr>
                <w:spacing w:val="-4"/>
              </w:rPr>
            </w:pPr>
          </w:p>
        </w:tc>
        <w:tc>
          <w:tcPr>
            <w:tcW w:w="7391" w:type="dxa"/>
          </w:tcPr>
          <w:p w14:paraId="5D3BC8F6" w14:textId="77777777" w:rsidR="000979EC" w:rsidRDefault="000979EC" w:rsidP="00E503A5">
            <w:pPr>
              <w:spacing w:after="0"/>
              <w:rPr>
                <w:sz w:val="14"/>
                <w:szCs w:val="14"/>
              </w:rPr>
            </w:pPr>
            <w:r>
              <w:rPr>
                <w:sz w:val="14"/>
                <w:szCs w:val="14"/>
              </w:rPr>
              <w:t>Zdroj: ČSÚ</w:t>
            </w:r>
          </w:p>
          <w:p w14:paraId="59997B9A" w14:textId="6D6D7197" w:rsidR="000979EC" w:rsidRPr="00D25CDB" w:rsidRDefault="000979EC" w:rsidP="00E503A5">
            <w:pPr>
              <w:spacing w:after="0"/>
              <w:rPr>
                <w:sz w:val="14"/>
                <w:szCs w:val="14"/>
              </w:rPr>
            </w:pPr>
            <w:r>
              <w:rPr>
                <w:sz w:val="14"/>
                <w:szCs w:val="14"/>
              </w:rPr>
              <w:t>*Po vyloučení sociálních příspěvků zaměstnavatelů</w:t>
            </w:r>
          </w:p>
        </w:tc>
      </w:tr>
    </w:tbl>
    <w:p w14:paraId="3E54330D" w14:textId="11B64F95" w:rsidR="000979EC" w:rsidRDefault="000979EC" w:rsidP="000979EC">
      <w:pPr>
        <w:pStyle w:val="Nadpis2"/>
      </w:pPr>
      <w:bookmarkStart w:id="12" w:name="_Toc511215218"/>
      <w:bookmarkStart w:id="13" w:name="_Toc48549440"/>
      <w:r>
        <w:lastRenderedPageBreak/>
        <w:t>8.</w:t>
      </w:r>
      <w:r w:rsidR="00A21624">
        <w:t>2 </w:t>
      </w:r>
      <w:r>
        <w:t>Výdaje domácností</w:t>
      </w:r>
      <w:bookmarkEnd w:id="12"/>
      <w:bookmarkEnd w:id="13"/>
    </w:p>
    <w:tbl>
      <w:tblPr>
        <w:tblW w:w="9644" w:type="dxa"/>
        <w:tblInd w:w="-15" w:type="dxa"/>
        <w:tblLayout w:type="fixed"/>
        <w:tblCellMar>
          <w:left w:w="0" w:type="dxa"/>
          <w:right w:w="0" w:type="dxa"/>
        </w:tblCellMar>
        <w:tblLook w:val="00A0" w:firstRow="1" w:lastRow="0" w:firstColumn="1" w:lastColumn="0" w:noHBand="0" w:noVBand="0"/>
      </w:tblPr>
      <w:tblGrid>
        <w:gridCol w:w="1976"/>
        <w:gridCol w:w="277"/>
        <w:gridCol w:w="7391"/>
      </w:tblGrid>
      <w:tr w:rsidR="000979EC" w:rsidRPr="00157A87" w14:paraId="7369DEF5" w14:textId="77777777" w:rsidTr="00E503A5">
        <w:trPr>
          <w:trHeight w:val="145"/>
        </w:trPr>
        <w:tc>
          <w:tcPr>
            <w:tcW w:w="1976" w:type="dxa"/>
          </w:tcPr>
          <w:p w14:paraId="3F373C7C" w14:textId="7630B0B3" w:rsidR="000979EC" w:rsidRPr="00157A87" w:rsidRDefault="000979EC" w:rsidP="00E503A5">
            <w:pPr>
              <w:pStyle w:val="Marginlie"/>
            </w:pPr>
            <w:r>
              <w:t xml:space="preserve">Spotřeba domácností se loni reálně zvýšila </w:t>
            </w:r>
            <w:r w:rsidR="001A33A3">
              <w:t>o </w:t>
            </w:r>
            <w:r>
              <w:t>2,9</w:t>
            </w:r>
            <w:r w:rsidR="00F118D5">
              <w:t> %</w:t>
            </w:r>
            <w:r>
              <w:t>.</w:t>
            </w:r>
          </w:p>
        </w:tc>
        <w:tc>
          <w:tcPr>
            <w:tcW w:w="277" w:type="dxa"/>
          </w:tcPr>
          <w:p w14:paraId="451834D1" w14:textId="77777777" w:rsidR="000979EC" w:rsidRPr="00157A87" w:rsidRDefault="000979EC" w:rsidP="00E503A5">
            <w:pPr>
              <w:pStyle w:val="Textpoznpodarou"/>
              <w:jc w:val="both"/>
              <w:rPr>
                <w:spacing w:val="-4"/>
              </w:rPr>
            </w:pPr>
          </w:p>
        </w:tc>
        <w:tc>
          <w:tcPr>
            <w:tcW w:w="7391" w:type="dxa"/>
          </w:tcPr>
          <w:p w14:paraId="4CAF129D" w14:textId="5E52475A" w:rsidR="000979EC" w:rsidRPr="00157A87" w:rsidRDefault="000979EC" w:rsidP="00E503A5">
            <w:r>
              <w:t>Výdaje na konečnou spotřebu domácností loni činily 2 670,3</w:t>
            </w:r>
            <w:r w:rsidR="00A21624">
              <w:t> mld.</w:t>
            </w:r>
            <w:r>
              <w:t xml:space="preserve"> korun </w:t>
            </w:r>
            <w:r w:rsidR="001A33A3">
              <w:t>a </w:t>
            </w:r>
            <w:r>
              <w:t xml:space="preserve">meziročně se zvýšily </w:t>
            </w:r>
            <w:r w:rsidR="001A33A3">
              <w:t>o </w:t>
            </w:r>
            <w:r>
              <w:t>146,8</w:t>
            </w:r>
            <w:r w:rsidR="00A21624">
              <w:t> mld.</w:t>
            </w:r>
            <w:r>
              <w:t xml:space="preserve"> Pokračoval tak masivní nárůst spotřeby z let 2017 </w:t>
            </w:r>
            <w:r w:rsidR="001A33A3">
              <w:t>a </w:t>
            </w:r>
            <w:r>
              <w:t xml:space="preserve">2018, který byl rovněž významným zdrojem celkového růstu HDP. Reálně se spotřeba loni zvýšila </w:t>
            </w:r>
            <w:r w:rsidR="001A33A3">
              <w:t>o </w:t>
            </w:r>
            <w:r>
              <w:t>2,9</w:t>
            </w:r>
            <w:r w:rsidR="00F118D5">
              <w:t> %</w:t>
            </w:r>
            <w:r>
              <w:t xml:space="preserve">. Pod 3% hranici </w:t>
            </w:r>
            <w:r w:rsidR="0030150E">
              <w:t>růstu přitom</w:t>
            </w:r>
            <w:r>
              <w:t xml:space="preserve"> klesla poprvé od roku 2014, vzhledem k výše uvedenému nominálnímu přírůstku šlo hlavně </w:t>
            </w:r>
            <w:r w:rsidR="001A33A3">
              <w:t>o </w:t>
            </w:r>
            <w:r>
              <w:t xml:space="preserve">vliv silného růstu cenové hladiny. Hodnota spotřeby zboží </w:t>
            </w:r>
            <w:r w:rsidR="001A33A3">
              <w:t>a </w:t>
            </w:r>
            <w:r>
              <w:t>služeb v podobě naturálních sociálních transferů dosáhla 674,9</w:t>
            </w:r>
            <w:r w:rsidR="00A21624">
              <w:t> mld.</w:t>
            </w:r>
            <w:r>
              <w:t xml:space="preserve"> korun </w:t>
            </w:r>
            <w:r w:rsidR="001A33A3">
              <w:t>a </w:t>
            </w:r>
            <w:r>
              <w:t xml:space="preserve">zvýšila se </w:t>
            </w:r>
            <w:r w:rsidR="001A33A3">
              <w:t>o </w:t>
            </w:r>
            <w:r>
              <w:t>65,7</w:t>
            </w:r>
            <w:r w:rsidR="00A21624">
              <w:t> mld.</w:t>
            </w:r>
            <w:r>
              <w:t xml:space="preserve"> Hodnota netržní produkce vládních institucí </w:t>
            </w:r>
            <w:r w:rsidR="001A33A3">
              <w:t>a </w:t>
            </w:r>
            <w:r>
              <w:t>neziskových institucí sloužících domácnostem (NISD) z toho tvořila 73,7</w:t>
            </w:r>
            <w:r w:rsidR="00BF6EE6">
              <w:t> </w:t>
            </w:r>
            <w:r>
              <w:t xml:space="preserve">% </w:t>
            </w:r>
            <w:r w:rsidR="001A33A3">
              <w:t>a </w:t>
            </w:r>
            <w:r>
              <w:t xml:space="preserve">vzrostla </w:t>
            </w:r>
            <w:r w:rsidR="001A33A3">
              <w:t>o </w:t>
            </w:r>
            <w:r>
              <w:t>49,0</w:t>
            </w:r>
            <w:r w:rsidR="00A21624">
              <w:t> mld.</w:t>
            </w:r>
            <w:r>
              <w:t>, téměř stejně jako v roce 2018. Oproti předchozím letům výrazně posílil přírůstek hodnoty tržní produkce nakoupené vládními institucemi (16,7</w:t>
            </w:r>
            <w:r w:rsidR="00A21624">
              <w:t> mld.</w:t>
            </w:r>
            <w:r>
              <w:t xml:space="preserve"> korun). Hodnota hrubých úspor domácností se loni zvýšila </w:t>
            </w:r>
            <w:r w:rsidR="001A33A3">
              <w:t>o </w:t>
            </w:r>
            <w:r>
              <w:t>29,0</w:t>
            </w:r>
            <w:r w:rsidR="00A21624">
              <w:t> mld.</w:t>
            </w:r>
            <w:r>
              <w:t xml:space="preserve"> korun na 376,5</w:t>
            </w:r>
            <w:r w:rsidR="00A21624">
              <w:t> mld.</w:t>
            </w:r>
            <w:r>
              <w:t xml:space="preserve"> Míra úspor</w:t>
            </w:r>
            <w:r>
              <w:rPr>
                <w:rStyle w:val="Znakapoznpodarou"/>
              </w:rPr>
              <w:footnoteReference w:id="39"/>
            </w:r>
            <w:r>
              <w:t xml:space="preserve"> se rovněž mírně navýšila na 12,4</w:t>
            </w:r>
            <w:r w:rsidR="00F118D5">
              <w:t> %</w:t>
            </w:r>
            <w:r>
              <w:t>.</w:t>
            </w:r>
          </w:p>
        </w:tc>
      </w:tr>
      <w:tr w:rsidR="000979EC" w:rsidRPr="00894C66" w14:paraId="13ADD5CC" w14:textId="77777777" w:rsidTr="00E503A5">
        <w:tc>
          <w:tcPr>
            <w:tcW w:w="1976" w:type="dxa"/>
            <w:vMerge w:val="restart"/>
          </w:tcPr>
          <w:p w14:paraId="3F9B599C" w14:textId="77777777" w:rsidR="000979EC" w:rsidRDefault="000979EC" w:rsidP="00E503A5">
            <w:pPr>
              <w:pStyle w:val="Marginlie"/>
            </w:pPr>
          </w:p>
        </w:tc>
        <w:tc>
          <w:tcPr>
            <w:tcW w:w="277" w:type="dxa"/>
            <w:vMerge w:val="restart"/>
          </w:tcPr>
          <w:p w14:paraId="45C99235" w14:textId="77777777" w:rsidR="000979EC" w:rsidRPr="005E4483" w:rsidRDefault="000979EC" w:rsidP="00E503A5">
            <w:pPr>
              <w:pStyle w:val="Textpoznpodarou"/>
              <w:jc w:val="both"/>
              <w:rPr>
                <w:spacing w:val="-4"/>
              </w:rPr>
            </w:pPr>
          </w:p>
        </w:tc>
        <w:tc>
          <w:tcPr>
            <w:tcW w:w="7391" w:type="dxa"/>
          </w:tcPr>
          <w:p w14:paraId="60FAE19B" w14:textId="638462ED" w:rsidR="000979EC" w:rsidRPr="004454DC" w:rsidRDefault="000979EC" w:rsidP="00E503A5">
            <w:pPr>
              <w:spacing w:after="0"/>
              <w:rPr>
                <w:b/>
              </w:rPr>
            </w:pPr>
            <w:r>
              <w:rPr>
                <w:b/>
              </w:rPr>
              <w:t xml:space="preserve">Graf </w:t>
            </w:r>
            <w:r w:rsidR="001A480E">
              <w:rPr>
                <w:b/>
              </w:rPr>
              <w:t>č. </w:t>
            </w:r>
            <w:r w:rsidR="00E503A5">
              <w:rPr>
                <w:b/>
              </w:rPr>
              <w:t>14</w:t>
            </w:r>
            <w:r w:rsidR="001A480E">
              <w:rPr>
                <w:b/>
              </w:rPr>
              <w:t xml:space="preserve"> </w:t>
            </w:r>
            <w:r>
              <w:rPr>
                <w:b/>
              </w:rPr>
              <w:t xml:space="preserve"> </w:t>
            </w:r>
            <w:r w:rsidRPr="00234275">
              <w:rPr>
                <w:b/>
              </w:rPr>
              <w:t>Meziroční změna výdajů na konečnou spotřebu domácností</w:t>
            </w:r>
            <w:r w:rsidR="001A480E">
              <w:rPr>
                <w:b/>
              </w:rPr>
              <w:br/>
            </w:r>
            <w:r w:rsidRPr="00234275">
              <w:t>(</w:t>
            </w:r>
            <w:r w:rsidR="0030150E">
              <w:t>v </w:t>
            </w:r>
            <w:r w:rsidRPr="00234275">
              <w:t>mld. korun)</w:t>
            </w:r>
            <w:r w:rsidRPr="00234275">
              <w:rPr>
                <w:b/>
              </w:rPr>
              <w:t xml:space="preserve">, míra úspor </w:t>
            </w:r>
            <w:r w:rsidR="001A33A3" w:rsidRPr="00234275">
              <w:rPr>
                <w:b/>
              </w:rPr>
              <w:t>a</w:t>
            </w:r>
            <w:r w:rsidR="001A33A3">
              <w:rPr>
                <w:b/>
              </w:rPr>
              <w:t> </w:t>
            </w:r>
            <w:r w:rsidRPr="00234275">
              <w:rPr>
                <w:b/>
              </w:rPr>
              <w:t xml:space="preserve">míra investic </w:t>
            </w:r>
            <w:r w:rsidRPr="00234275">
              <w:t>(</w:t>
            </w:r>
            <w:r w:rsidR="0030150E">
              <w:t>v </w:t>
            </w:r>
            <w:r w:rsidRPr="00234275">
              <w:t>%)</w:t>
            </w:r>
          </w:p>
        </w:tc>
      </w:tr>
      <w:tr w:rsidR="000979EC" w:rsidRPr="00894C66" w14:paraId="0316819A" w14:textId="77777777" w:rsidTr="00E503A5">
        <w:tblPrEx>
          <w:tblCellMar>
            <w:left w:w="70" w:type="dxa"/>
            <w:right w:w="70" w:type="dxa"/>
          </w:tblCellMar>
        </w:tblPrEx>
        <w:trPr>
          <w:trHeight w:val="170"/>
        </w:trPr>
        <w:tc>
          <w:tcPr>
            <w:tcW w:w="1976" w:type="dxa"/>
            <w:vMerge/>
          </w:tcPr>
          <w:p w14:paraId="0EEFA876" w14:textId="77777777" w:rsidR="000979EC" w:rsidRDefault="000979EC" w:rsidP="00E503A5">
            <w:pPr>
              <w:pStyle w:val="Marginlie"/>
            </w:pPr>
          </w:p>
        </w:tc>
        <w:tc>
          <w:tcPr>
            <w:tcW w:w="277" w:type="dxa"/>
            <w:vMerge/>
          </w:tcPr>
          <w:p w14:paraId="1B1E76EF" w14:textId="77777777" w:rsidR="000979EC" w:rsidRPr="005E4483" w:rsidRDefault="000979EC" w:rsidP="00E503A5">
            <w:pPr>
              <w:pStyle w:val="Textpoznpodarou"/>
              <w:jc w:val="both"/>
              <w:rPr>
                <w:spacing w:val="-4"/>
              </w:rPr>
            </w:pPr>
          </w:p>
        </w:tc>
        <w:tc>
          <w:tcPr>
            <w:tcW w:w="7391" w:type="dxa"/>
          </w:tcPr>
          <w:p w14:paraId="7AC56DE9" w14:textId="77777777" w:rsidR="000979EC" w:rsidRDefault="000979EC" w:rsidP="00E503A5">
            <w:pPr>
              <w:spacing w:after="0"/>
            </w:pPr>
            <w:r>
              <w:rPr>
                <w:noProof/>
              </w:rPr>
              <w:drawing>
                <wp:inline distT="0" distB="0" distL="0" distR="0" wp14:anchorId="1AB38A2F" wp14:editId="74C8EC29">
                  <wp:extent cx="4604385" cy="345313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979EC" w:rsidRPr="00894C66" w14:paraId="3447CD4A" w14:textId="77777777" w:rsidTr="00E503A5">
        <w:trPr>
          <w:trHeight w:val="170"/>
        </w:trPr>
        <w:tc>
          <w:tcPr>
            <w:tcW w:w="1976" w:type="dxa"/>
            <w:vMerge/>
          </w:tcPr>
          <w:p w14:paraId="1176B176" w14:textId="77777777" w:rsidR="000979EC" w:rsidRDefault="000979EC" w:rsidP="00E503A5">
            <w:pPr>
              <w:pStyle w:val="Marginlie"/>
            </w:pPr>
          </w:p>
        </w:tc>
        <w:tc>
          <w:tcPr>
            <w:tcW w:w="277" w:type="dxa"/>
            <w:vMerge/>
          </w:tcPr>
          <w:p w14:paraId="1182BE69" w14:textId="77777777" w:rsidR="000979EC" w:rsidRPr="005E4483" w:rsidRDefault="000979EC" w:rsidP="00E503A5">
            <w:pPr>
              <w:pStyle w:val="Textpoznpodarou"/>
              <w:jc w:val="both"/>
              <w:rPr>
                <w:spacing w:val="-4"/>
              </w:rPr>
            </w:pPr>
          </w:p>
        </w:tc>
        <w:tc>
          <w:tcPr>
            <w:tcW w:w="7391" w:type="dxa"/>
          </w:tcPr>
          <w:p w14:paraId="5FCF71A6" w14:textId="77777777" w:rsidR="000979EC" w:rsidRPr="00A1151F" w:rsidRDefault="000979EC" w:rsidP="00E503A5">
            <w:pPr>
              <w:rPr>
                <w:sz w:val="14"/>
                <w:szCs w:val="14"/>
              </w:rPr>
            </w:pPr>
            <w:r>
              <w:rPr>
                <w:sz w:val="14"/>
                <w:szCs w:val="14"/>
              </w:rPr>
              <w:t>Zdroj: ČSÚ</w:t>
            </w:r>
          </w:p>
        </w:tc>
      </w:tr>
      <w:tr w:rsidR="000979EC" w:rsidRPr="00894C66" w14:paraId="3EB2C32A" w14:textId="77777777" w:rsidTr="00E503A5">
        <w:trPr>
          <w:trHeight w:val="145"/>
        </w:trPr>
        <w:tc>
          <w:tcPr>
            <w:tcW w:w="1976" w:type="dxa"/>
          </w:tcPr>
          <w:p w14:paraId="419B5D82" w14:textId="7223C43F" w:rsidR="000979EC" w:rsidRPr="004A24B0" w:rsidRDefault="000979EC" w:rsidP="00E503A5">
            <w:pPr>
              <w:pStyle w:val="Marginlie"/>
            </w:pPr>
            <w:r>
              <w:t xml:space="preserve">Oslabil růst spotřeby zboží dlouhodobé spotřeby. </w:t>
            </w:r>
            <w:r w:rsidR="001A33A3">
              <w:t>U </w:t>
            </w:r>
            <w:r>
              <w:t>střednědobých statků spotřeba zrychlila.</w:t>
            </w:r>
          </w:p>
        </w:tc>
        <w:tc>
          <w:tcPr>
            <w:tcW w:w="277" w:type="dxa"/>
          </w:tcPr>
          <w:p w14:paraId="005F24F7" w14:textId="77777777" w:rsidR="000979EC" w:rsidRPr="005E4483" w:rsidRDefault="000979EC" w:rsidP="00E503A5">
            <w:pPr>
              <w:pStyle w:val="Textpoznpodarou"/>
              <w:jc w:val="both"/>
              <w:rPr>
                <w:spacing w:val="-4"/>
              </w:rPr>
            </w:pPr>
          </w:p>
        </w:tc>
        <w:tc>
          <w:tcPr>
            <w:tcW w:w="7391" w:type="dxa"/>
          </w:tcPr>
          <w:p w14:paraId="5D19B7F3" w14:textId="1E167BB4" w:rsidR="000979EC" w:rsidRPr="001502B1" w:rsidRDefault="000979EC" w:rsidP="00E503A5">
            <w:r>
              <w:t>Mírné zpomalení celkové reálné dynamiky spotřeby lze přičíst zejména redukci reálného přírůstku spotřeby předmětů krátkodobé spotřeby</w:t>
            </w:r>
            <w:r>
              <w:rPr>
                <w:rStyle w:val="Znakapoznpodarou"/>
              </w:rPr>
              <w:footnoteReference w:id="40"/>
            </w:r>
            <w:r>
              <w:rPr>
                <w:vertAlign w:val="superscript"/>
              </w:rPr>
              <w:t>,</w:t>
            </w:r>
            <w:r>
              <w:rPr>
                <w:rStyle w:val="Znakapoznpodarou"/>
              </w:rPr>
              <w:footnoteReference w:id="41"/>
            </w:r>
            <w:r>
              <w:t xml:space="preserve"> (ze 2,7</w:t>
            </w:r>
            <w:r w:rsidR="00F118D5">
              <w:t> %</w:t>
            </w:r>
            <w:r>
              <w:t xml:space="preserve"> na 2,0 %). Mírně zpomalil také růst </w:t>
            </w:r>
            <w:r w:rsidR="001A33A3">
              <w:t>u </w:t>
            </w:r>
            <w:r>
              <w:t>statků dlouhodobé spotřeby</w:t>
            </w:r>
            <w:r>
              <w:rPr>
                <w:rStyle w:val="Znakapoznpodarou"/>
              </w:rPr>
              <w:footnoteReference w:id="42"/>
            </w:r>
            <w:r>
              <w:t xml:space="preserve"> (na 4,3</w:t>
            </w:r>
            <w:r w:rsidR="00F118D5">
              <w:t> %</w:t>
            </w:r>
            <w:r>
              <w:t>). Ty ale představují podstatně menší část spotřeby než právě netrvanlivé zboží. Naopak poměrně výrazně posílila dynamika střednědobé spotřeby (na 5,6</w:t>
            </w:r>
            <w:r w:rsidR="00F118D5">
              <w:t> %</w:t>
            </w:r>
            <w:r>
              <w:t xml:space="preserve">). Spotřeba služeb se loni reálně zvýšila </w:t>
            </w:r>
            <w:r w:rsidR="001A33A3">
              <w:t>o </w:t>
            </w:r>
            <w:r>
              <w:t>3,1</w:t>
            </w:r>
            <w:r w:rsidR="00F118D5">
              <w:t> %</w:t>
            </w:r>
            <w:r>
              <w:t xml:space="preserve">, podobně jako v předchozím roce. Celkově bylo patrné určité vyrovnání tempa mezi jednotlivými složkami spotřeby. Zejména </w:t>
            </w:r>
            <w:r>
              <w:lastRenderedPageBreak/>
              <w:t xml:space="preserve">v prvních letech ekonomického oživení (2015–2016) mnohem rychleji narůstaly výdaje na statky dlouhodobé spotřeby, jejichž pořízení domácnosti v prostředí nejistého ekonomického vývoje </w:t>
            </w:r>
            <w:r w:rsidR="001A33A3">
              <w:t>i </w:t>
            </w:r>
            <w:r>
              <w:t>nižšího růstu výdělků předtím více odkládaly. V loňském roce nadále pokračovalo výrazné navyšování mezd, společně s </w:t>
            </w:r>
            <w:r w:rsidR="007C2D23">
              <w:t xml:space="preserve">tím </w:t>
            </w:r>
            <w:r>
              <w:t xml:space="preserve">ale narůstala nejistota, zda se ekonomice bude dařit </w:t>
            </w:r>
            <w:r w:rsidR="001A33A3">
              <w:t>i </w:t>
            </w:r>
            <w:r>
              <w:t>nadále</w:t>
            </w:r>
            <w:r>
              <w:rPr>
                <w:rStyle w:val="Znakapoznpodarou"/>
              </w:rPr>
              <w:footnoteReference w:id="43"/>
            </w:r>
            <w:r>
              <w:t>.</w:t>
            </w:r>
          </w:p>
        </w:tc>
      </w:tr>
      <w:tr w:rsidR="000979EC" w:rsidRPr="00894C66" w14:paraId="5D13DCFE" w14:textId="77777777" w:rsidTr="00E503A5">
        <w:trPr>
          <w:trHeight w:val="145"/>
        </w:trPr>
        <w:tc>
          <w:tcPr>
            <w:tcW w:w="1976" w:type="dxa"/>
          </w:tcPr>
          <w:p w14:paraId="6AF5FAF8" w14:textId="6FA362D6" w:rsidR="000979EC" w:rsidRDefault="000979EC" w:rsidP="00E503A5">
            <w:pPr>
              <w:pStyle w:val="Marginlie"/>
            </w:pPr>
            <w:r>
              <w:lastRenderedPageBreak/>
              <w:t xml:space="preserve">Výrazně rostly výdaje na oděvy </w:t>
            </w:r>
            <w:r w:rsidR="001A33A3">
              <w:t>a </w:t>
            </w:r>
            <w:r>
              <w:t xml:space="preserve">obuv </w:t>
            </w:r>
            <w:r w:rsidR="001A33A3">
              <w:t>a </w:t>
            </w:r>
            <w:r>
              <w:t xml:space="preserve">kulturu </w:t>
            </w:r>
            <w:r w:rsidR="001A33A3">
              <w:t>a </w:t>
            </w:r>
            <w:r>
              <w:t>rekreaci.</w:t>
            </w:r>
          </w:p>
        </w:tc>
        <w:tc>
          <w:tcPr>
            <w:tcW w:w="277" w:type="dxa"/>
          </w:tcPr>
          <w:p w14:paraId="79A9FEB1" w14:textId="77777777" w:rsidR="000979EC" w:rsidRPr="005E4483" w:rsidRDefault="000979EC" w:rsidP="00E503A5">
            <w:pPr>
              <w:pStyle w:val="Textpoznpodarou"/>
              <w:jc w:val="both"/>
              <w:rPr>
                <w:spacing w:val="-4"/>
              </w:rPr>
            </w:pPr>
          </w:p>
        </w:tc>
        <w:tc>
          <w:tcPr>
            <w:tcW w:w="7391" w:type="dxa"/>
          </w:tcPr>
          <w:p w14:paraId="099CBD39" w14:textId="179693AA" w:rsidR="000979EC" w:rsidRPr="007834C9" w:rsidRDefault="000979EC" w:rsidP="00E503A5">
            <w:r>
              <w:t xml:space="preserve">Věcné členění výdajů na konečnou spotřebu rovněž ukazuje, že domácnosti svou rostoucí kupní sílu směřovaly zejména na zbytné zboží, které nepředstavovalo dlouhodobější zátěž </w:t>
            </w:r>
            <w:r w:rsidR="00873072">
              <w:t>pro</w:t>
            </w:r>
            <w:r>
              <w:t xml:space="preserve"> jejich rozpočet. Platilo to pro výdaje na odívání </w:t>
            </w:r>
            <w:r w:rsidR="001A33A3">
              <w:t>a </w:t>
            </w:r>
            <w:r>
              <w:t xml:space="preserve">obuv, které loni reálně vzrostly </w:t>
            </w:r>
            <w:r w:rsidR="001A33A3">
              <w:t>o </w:t>
            </w:r>
            <w:r>
              <w:t>8,5</w:t>
            </w:r>
            <w:r w:rsidR="00F118D5">
              <w:t> %</w:t>
            </w:r>
            <w:r>
              <w:t xml:space="preserve"> (5,3</w:t>
            </w:r>
            <w:r w:rsidR="00F118D5">
              <w:t> %</w:t>
            </w:r>
            <w:r>
              <w:t xml:space="preserve"> v roce 2018). Zrychlila rovněž dynamika výdajů na bytové vybavení (7,1</w:t>
            </w:r>
            <w:r w:rsidR="00F118D5">
              <w:t> %</w:t>
            </w:r>
            <w:r>
              <w:t xml:space="preserve">, zejména přístroje </w:t>
            </w:r>
            <w:r w:rsidR="001A33A3">
              <w:t>a </w:t>
            </w:r>
            <w:r>
              <w:t>spotřebiče, kuchyňské potřeby, nářadí a</w:t>
            </w:r>
            <w:r w:rsidR="00873072">
              <w:t> </w:t>
            </w:r>
            <w:r>
              <w:t>pod</w:t>
            </w:r>
            <w:r w:rsidR="00873072">
              <w:t>obně</w:t>
            </w:r>
            <w:r>
              <w:t xml:space="preserve">, méně pak nábytek). Nejvíce od roku 1996 se reálně zvýšily výdaje na rekreaci, kulturu </w:t>
            </w:r>
            <w:r w:rsidR="001A33A3">
              <w:t>a </w:t>
            </w:r>
            <w:r>
              <w:t>sport (8,1</w:t>
            </w:r>
            <w:r w:rsidR="00F118D5">
              <w:t> %</w:t>
            </w:r>
            <w:r>
              <w:t xml:space="preserve">, posílení proběhlo napříč celou spotřební kategorií, nejvíce zrychlil nákup zařízení </w:t>
            </w:r>
            <w:r w:rsidR="001A33A3">
              <w:t>a </w:t>
            </w:r>
            <w:r>
              <w:t>vybavení pro audio</w:t>
            </w:r>
            <w:r w:rsidR="00873072">
              <w:noBreakHyphen/>
            </w:r>
            <w:r>
              <w:t xml:space="preserve">video </w:t>
            </w:r>
            <w:r w:rsidR="001A33A3">
              <w:t>a </w:t>
            </w:r>
            <w:r>
              <w:t xml:space="preserve">dále rekreačních </w:t>
            </w:r>
            <w:r w:rsidR="001A33A3">
              <w:t>a </w:t>
            </w:r>
            <w:r>
              <w:t xml:space="preserve">kulturních služeb). Silný byl nárůst výdajů na pošty </w:t>
            </w:r>
            <w:r w:rsidR="001A33A3">
              <w:t>a </w:t>
            </w:r>
            <w:r>
              <w:t>telekomunikace (7,5</w:t>
            </w:r>
            <w:r w:rsidR="00F118D5">
              <w:t> %</w:t>
            </w:r>
            <w:r>
              <w:t xml:space="preserve">), zejména pod vlivem posílení výdajů na poštovní služby. Po dvou slabších letech loni posílila </w:t>
            </w:r>
            <w:r w:rsidR="001A33A3">
              <w:t>i </w:t>
            </w:r>
            <w:r>
              <w:t xml:space="preserve">spotřeba potravin </w:t>
            </w:r>
            <w:r w:rsidR="001A33A3">
              <w:t>a </w:t>
            </w:r>
            <w:r>
              <w:t>nealkoholických nápojů (4,5</w:t>
            </w:r>
            <w:r w:rsidR="00F118D5">
              <w:t> %</w:t>
            </w:r>
            <w:r>
              <w:t>, silně nadprůměrný přírůstek). Nejvíce za posledních deset let se zvýšily výdaje na zdraví (8,4</w:t>
            </w:r>
            <w:r w:rsidR="00F118D5">
              <w:t> %</w:t>
            </w:r>
            <w:r>
              <w:t xml:space="preserve">) </w:t>
            </w:r>
            <w:r w:rsidR="001A33A3">
              <w:t>a </w:t>
            </w:r>
            <w:r>
              <w:t>vzdělávání (6,3</w:t>
            </w:r>
            <w:r w:rsidR="00F118D5">
              <w:t> %</w:t>
            </w:r>
            <w:r>
              <w:t>).</w:t>
            </w:r>
          </w:p>
        </w:tc>
      </w:tr>
      <w:tr w:rsidR="000979EC" w:rsidRPr="00894C66" w14:paraId="7F858AE2" w14:textId="77777777" w:rsidTr="00E503A5">
        <w:trPr>
          <w:trHeight w:val="145"/>
        </w:trPr>
        <w:tc>
          <w:tcPr>
            <w:tcW w:w="1976" w:type="dxa"/>
          </w:tcPr>
          <w:p w14:paraId="5E11D955" w14:textId="77777777" w:rsidR="000979EC" w:rsidRDefault="000979EC" w:rsidP="00E503A5">
            <w:pPr>
              <w:pStyle w:val="Marginlie"/>
            </w:pPr>
            <w:r>
              <w:t>Klesly výdaje na koupi osobních dopravních prostředků.</w:t>
            </w:r>
          </w:p>
        </w:tc>
        <w:tc>
          <w:tcPr>
            <w:tcW w:w="277" w:type="dxa"/>
          </w:tcPr>
          <w:p w14:paraId="6DCB82A5" w14:textId="77777777" w:rsidR="000979EC" w:rsidRPr="005E4483" w:rsidRDefault="000979EC" w:rsidP="00E503A5">
            <w:pPr>
              <w:pStyle w:val="Textpoznpodarou"/>
              <w:jc w:val="both"/>
              <w:rPr>
                <w:spacing w:val="-4"/>
              </w:rPr>
            </w:pPr>
          </w:p>
        </w:tc>
        <w:tc>
          <w:tcPr>
            <w:tcW w:w="7391" w:type="dxa"/>
          </w:tcPr>
          <w:p w14:paraId="335FDBF1" w14:textId="0131EADD" w:rsidR="000979EC" w:rsidRDefault="000979EC" w:rsidP="00E503A5">
            <w:r>
              <w:t>Mírně reálně klesly výdaje na bydlení, vodu</w:t>
            </w:r>
            <w:r w:rsidR="00873072">
              <w:t>,</w:t>
            </w:r>
            <w:r>
              <w:t xml:space="preserve"> energie </w:t>
            </w:r>
            <w:r w:rsidR="001A33A3">
              <w:t>a </w:t>
            </w:r>
            <w:r>
              <w:t>paliva (</w:t>
            </w:r>
            <w:r w:rsidR="00A21624">
              <w:t>–</w:t>
            </w:r>
            <w:r>
              <w:t>0,2</w:t>
            </w:r>
            <w:r w:rsidR="00F118D5">
              <w:t> %</w:t>
            </w:r>
            <w:r>
              <w:t xml:space="preserve">). V loňském roce se v této kategorii plošně zvyšovaly ceny – nájemné </w:t>
            </w:r>
            <w:r w:rsidR="001A33A3">
              <w:t>i </w:t>
            </w:r>
            <w:r>
              <w:t xml:space="preserve">ceny elektřiny </w:t>
            </w:r>
            <w:r w:rsidR="001A33A3">
              <w:t>a </w:t>
            </w:r>
            <w:r>
              <w:t xml:space="preserve">energií. Domácnosti reálně snížily svou spotřebu elektřiny, tepla, plynu </w:t>
            </w:r>
            <w:r w:rsidR="001A33A3">
              <w:t>a </w:t>
            </w:r>
            <w:r>
              <w:t xml:space="preserve">paliv </w:t>
            </w:r>
            <w:r w:rsidR="001A33A3">
              <w:t>o </w:t>
            </w:r>
            <w:r>
              <w:t>2,1</w:t>
            </w:r>
            <w:r w:rsidR="00F118D5">
              <w:t> %</w:t>
            </w:r>
            <w:r>
              <w:t xml:space="preserve">. Reálně </w:t>
            </w:r>
            <w:r w:rsidR="001A33A3">
              <w:t>o </w:t>
            </w:r>
            <w:r>
              <w:t>1,3</w:t>
            </w:r>
            <w:r w:rsidR="00F118D5">
              <w:t> %</w:t>
            </w:r>
            <w:r>
              <w:t xml:space="preserve"> klesly </w:t>
            </w:r>
            <w:r w:rsidR="00873072">
              <w:t xml:space="preserve">také </w:t>
            </w:r>
            <w:r>
              <w:t xml:space="preserve">výdaje na nájemné z bytu. Výrazně rostla jen běžná údržba </w:t>
            </w:r>
            <w:r w:rsidR="001A33A3">
              <w:t>a </w:t>
            </w:r>
            <w:r>
              <w:t>opravy bytu (11,0</w:t>
            </w:r>
            <w:r w:rsidR="00F118D5">
              <w:t> %</w:t>
            </w:r>
            <w:r>
              <w:t xml:space="preserve">). Po šesti letech růstu se do reálného poklesu dostaly </w:t>
            </w:r>
            <w:r w:rsidR="001A33A3">
              <w:t>i </w:t>
            </w:r>
            <w:r>
              <w:t>výdaje na dopravu (</w:t>
            </w:r>
            <w:r w:rsidR="00A21624">
              <w:t>–</w:t>
            </w:r>
            <w:r>
              <w:t>0,1</w:t>
            </w:r>
            <w:r w:rsidR="00F118D5">
              <w:t> %</w:t>
            </w:r>
            <w:r>
              <w:t xml:space="preserve">). Zde šlo zejména </w:t>
            </w:r>
            <w:r w:rsidR="001A33A3">
              <w:t>o </w:t>
            </w:r>
            <w:r>
              <w:t xml:space="preserve">propad nákupů osobních dopravních prostředků </w:t>
            </w:r>
            <w:r w:rsidR="001A33A3">
              <w:t>o </w:t>
            </w:r>
            <w:r>
              <w:t>3,0</w:t>
            </w:r>
            <w:r w:rsidR="00F118D5">
              <w:t> %</w:t>
            </w:r>
            <w:r>
              <w:t xml:space="preserve"> (největší zaznamenaný pokles v celé časové řadě). Naopak výdaje na jejich provoz se zvýšily </w:t>
            </w:r>
            <w:r w:rsidR="001A33A3">
              <w:t>o </w:t>
            </w:r>
            <w:r>
              <w:t>2,2</w:t>
            </w:r>
            <w:r w:rsidR="00F118D5">
              <w:t> %</w:t>
            </w:r>
            <w:r>
              <w:t>.</w:t>
            </w:r>
          </w:p>
        </w:tc>
      </w:tr>
      <w:tr w:rsidR="000979EC" w:rsidRPr="00894C66" w14:paraId="3E289043" w14:textId="77777777" w:rsidTr="00E503A5">
        <w:trPr>
          <w:trHeight w:val="170"/>
        </w:trPr>
        <w:tc>
          <w:tcPr>
            <w:tcW w:w="1976" w:type="dxa"/>
          </w:tcPr>
          <w:p w14:paraId="412DF43E" w14:textId="27E1C6FF" w:rsidR="000979EC" w:rsidRDefault="000979EC" w:rsidP="00E503A5">
            <w:pPr>
              <w:pStyle w:val="Marginlie"/>
            </w:pPr>
            <w:r>
              <w:t xml:space="preserve">Investiční aktivita domácností se loni zvýšila. Rostla </w:t>
            </w:r>
            <w:r w:rsidR="001A33A3">
              <w:t>i </w:t>
            </w:r>
            <w:r>
              <w:t>míra investic.</w:t>
            </w:r>
          </w:p>
        </w:tc>
        <w:tc>
          <w:tcPr>
            <w:tcW w:w="277" w:type="dxa"/>
          </w:tcPr>
          <w:p w14:paraId="1AFFB6FB" w14:textId="77777777" w:rsidR="000979EC" w:rsidRPr="005E4483" w:rsidRDefault="000979EC" w:rsidP="00E503A5">
            <w:pPr>
              <w:pStyle w:val="Textpoznpodarou"/>
              <w:jc w:val="both"/>
              <w:rPr>
                <w:spacing w:val="-4"/>
              </w:rPr>
            </w:pPr>
          </w:p>
        </w:tc>
        <w:tc>
          <w:tcPr>
            <w:tcW w:w="7391" w:type="dxa"/>
          </w:tcPr>
          <w:p w14:paraId="5F1B8776" w14:textId="44078893" w:rsidR="000979EC" w:rsidRDefault="000979EC" w:rsidP="00E503A5">
            <w:r>
              <w:t>Výdaje domácností na tvorbu hrubého fixního kapitálu loni dosáhly 285,5</w:t>
            </w:r>
            <w:r w:rsidR="00A21624">
              <w:t> mld.</w:t>
            </w:r>
            <w:r>
              <w:t xml:space="preserve"> korun </w:t>
            </w:r>
            <w:r w:rsidR="001A33A3">
              <w:t>a </w:t>
            </w:r>
            <w:r>
              <w:t xml:space="preserve">meziročně se zvýšily </w:t>
            </w:r>
            <w:r w:rsidR="001A33A3">
              <w:t>o </w:t>
            </w:r>
            <w:r>
              <w:t>26,8</w:t>
            </w:r>
            <w:r w:rsidR="00A21624">
              <w:t> mld.</w:t>
            </w:r>
            <w:r>
              <w:t xml:space="preserve"> Nominální přírůstek byl tak oproti roku 2018 zhruba poloviční. Míra investic</w:t>
            </w:r>
            <w:r>
              <w:rPr>
                <w:rStyle w:val="Znakapoznpodarou"/>
              </w:rPr>
              <w:footnoteReference w:id="44"/>
            </w:r>
            <w:r>
              <w:t xml:space="preserve"> domácností dosáhla loni 9,4</w:t>
            </w:r>
            <w:r w:rsidR="00F118D5">
              <w:t> %</w:t>
            </w:r>
            <w:r>
              <w:t xml:space="preserve"> </w:t>
            </w:r>
            <w:r w:rsidR="001A33A3">
              <w:t>a </w:t>
            </w:r>
            <w:r>
              <w:t xml:space="preserve">meziročně se zvýšila </w:t>
            </w:r>
            <w:r w:rsidR="001A33A3">
              <w:t>o </w:t>
            </w:r>
            <w:r>
              <w:t>0,4</w:t>
            </w:r>
            <w:r w:rsidR="00F118D5">
              <w:t> p. b.</w:t>
            </w:r>
            <w:r>
              <w:t xml:space="preserve"> Nad 10% hranicí tak </w:t>
            </w:r>
            <w:r w:rsidR="001B5C4D">
              <w:t xml:space="preserve">byla </w:t>
            </w:r>
            <w:r>
              <w:t>míra investic naposledy v roce 2010. Podíl disponibilního příjmu, který domácnosti investují, se tak nedostal k předkrizovým hodnotám ani po několika příjmově bohatších letech.</w:t>
            </w:r>
          </w:p>
        </w:tc>
      </w:tr>
      <w:tr w:rsidR="000979EC" w:rsidRPr="00894C66" w14:paraId="4B1C057E" w14:textId="77777777" w:rsidTr="00E503A5">
        <w:trPr>
          <w:trHeight w:val="170"/>
        </w:trPr>
        <w:tc>
          <w:tcPr>
            <w:tcW w:w="1976" w:type="dxa"/>
          </w:tcPr>
          <w:p w14:paraId="35331E60" w14:textId="2A536336" w:rsidR="000979EC" w:rsidRDefault="000979EC" w:rsidP="00E503A5">
            <w:pPr>
              <w:pStyle w:val="Marginlie"/>
            </w:pPr>
            <w:r>
              <w:t xml:space="preserve">Spotřeba domácností v EU se loni zvýšila </w:t>
            </w:r>
            <w:r w:rsidR="001A33A3">
              <w:t>o </w:t>
            </w:r>
            <w:r>
              <w:t>1,6</w:t>
            </w:r>
            <w:r w:rsidR="00F118D5">
              <w:t> %</w:t>
            </w:r>
            <w:r>
              <w:t>.</w:t>
            </w:r>
          </w:p>
        </w:tc>
        <w:tc>
          <w:tcPr>
            <w:tcW w:w="277" w:type="dxa"/>
          </w:tcPr>
          <w:p w14:paraId="05212005" w14:textId="77777777" w:rsidR="000979EC" w:rsidRPr="005E4483" w:rsidRDefault="000979EC" w:rsidP="00E503A5">
            <w:pPr>
              <w:pStyle w:val="Textpoznpodarou"/>
              <w:jc w:val="both"/>
              <w:rPr>
                <w:spacing w:val="-4"/>
              </w:rPr>
            </w:pPr>
          </w:p>
        </w:tc>
        <w:tc>
          <w:tcPr>
            <w:tcW w:w="7391" w:type="dxa"/>
          </w:tcPr>
          <w:p w14:paraId="62D61CCE" w14:textId="263D1350" w:rsidR="000979EC" w:rsidRDefault="000979EC" w:rsidP="00E503A5">
            <w:pPr>
              <w:spacing w:after="0"/>
            </w:pPr>
            <w:r>
              <w:t>Celkový reálný růst výdajů na konečnou spotřebu v EU</w:t>
            </w:r>
            <w:r>
              <w:rPr>
                <w:rStyle w:val="Znakapoznpodarou"/>
              </w:rPr>
              <w:footnoteReference w:id="45"/>
            </w:r>
            <w:r>
              <w:t xml:space="preserve"> loni dosáhl 1,6</w:t>
            </w:r>
            <w:r w:rsidR="00F118D5">
              <w:t> %</w:t>
            </w:r>
            <w:r>
              <w:t xml:space="preserve"> </w:t>
            </w:r>
            <w:r w:rsidR="001A33A3">
              <w:t>a </w:t>
            </w:r>
            <w:r>
              <w:t>oproti předchozímu roku se snížil jen nepatrně. Ve všech zemích EU spotřeba domácností rostla. Mezi státy s nejrychlejším tempem růstu se umístily zejména</w:t>
            </w:r>
            <w:r w:rsidR="00F118D5">
              <w:t xml:space="preserve"> </w:t>
            </w:r>
            <w:r>
              <w:t>členské státy, které vstoupily po roce 2000. Ty na předních místech v dynamice setrvávají již více než pět let. Spotřeba domácností společně s investiční aktivitou podpořenou dotacemi tak přispívala k jejich konvergenci ke starším členům EU. Nejvíce narostla spotřeba domácností v Rumunsku (6,0</w:t>
            </w:r>
            <w:r w:rsidR="00F118D5">
              <w:t> %</w:t>
            </w:r>
            <w:r>
              <w:t>), Bulharsku (5,8</w:t>
            </w:r>
            <w:r w:rsidR="00F118D5">
              <w:t> %</w:t>
            </w:r>
            <w:r>
              <w:t xml:space="preserve">) </w:t>
            </w:r>
            <w:r w:rsidR="001A33A3">
              <w:t>a </w:t>
            </w:r>
            <w:r>
              <w:t>Maďarsku (5,0</w:t>
            </w:r>
            <w:r w:rsidR="00F118D5">
              <w:t> %</w:t>
            </w:r>
            <w:r>
              <w:t xml:space="preserve">). To se projevuje </w:t>
            </w:r>
            <w:r w:rsidR="001A33A3">
              <w:t>i </w:t>
            </w:r>
            <w:r>
              <w:t xml:space="preserve">na individuální spotřebě očištěné </w:t>
            </w:r>
            <w:r w:rsidR="001A33A3">
              <w:t>o </w:t>
            </w:r>
            <w:r>
              <w:t>vliv cenové hladiny – Rumunsko se loni posunulo ze 75</w:t>
            </w:r>
            <w:r w:rsidR="00F118D5">
              <w:t> %</w:t>
            </w:r>
            <w:r>
              <w:t xml:space="preserve"> na 79</w:t>
            </w:r>
            <w:r w:rsidR="00F118D5">
              <w:t> %</w:t>
            </w:r>
            <w:r>
              <w:t xml:space="preserve"> průměru EU (v roce 2015 bylo Rumunsko na 60</w:t>
            </w:r>
            <w:r w:rsidR="00BF6EE6">
              <w:t> </w:t>
            </w:r>
            <w:r>
              <w:t>%, Česku trval posun z 80</w:t>
            </w:r>
            <w:r w:rsidR="00F118D5">
              <w:t> %</w:t>
            </w:r>
            <w:r>
              <w:t xml:space="preserve"> na současných 85</w:t>
            </w:r>
            <w:r w:rsidR="00F118D5">
              <w:t> %</w:t>
            </w:r>
            <w:r>
              <w:t xml:space="preserve"> tři roky). Pod 1% hranicí byl přírůstek spotřeby v Itálii (0,4</w:t>
            </w:r>
            <w:r w:rsidR="00F118D5">
              <w:t> %</w:t>
            </w:r>
            <w:r>
              <w:t xml:space="preserve">), Řecku (0,8 %) </w:t>
            </w:r>
            <w:r w:rsidR="001A33A3">
              <w:t>a </w:t>
            </w:r>
            <w:r>
              <w:t>Finsku (0,9 %).</w:t>
            </w:r>
          </w:p>
        </w:tc>
      </w:tr>
    </w:tbl>
    <w:p w14:paraId="0D0B99E1" w14:textId="6E25C91E" w:rsidR="0060404F" w:rsidRDefault="0060404F" w:rsidP="00B54294">
      <w:pPr>
        <w:pStyle w:val="Marginlie"/>
        <w:rPr>
          <w:lang w:eastAsia="en-US"/>
        </w:rPr>
      </w:pPr>
    </w:p>
    <w:sectPr w:rsidR="0060404F" w:rsidSect="006F5416">
      <w:headerReference w:type="even" r:id="rId22"/>
      <w:headerReference w:type="default" r:id="rId23"/>
      <w:footerReference w:type="even" r:id="rId24"/>
      <w:footerReference w:type="default" r:id="rId25"/>
      <w:pgSz w:w="11906" w:h="16838" w:code="9"/>
      <w:pgMar w:top="1134" w:right="1134" w:bottom="1418" w:left="1134" w:header="68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A7FAE8" w16cid:durableId="22D3FA44"/>
  <w16cid:commentId w16cid:paraId="1C72AF4D" w16cid:durableId="22D64A75"/>
  <w16cid:commentId w16cid:paraId="282A67DB" w16cid:durableId="22D40348"/>
  <w16cid:commentId w16cid:paraId="74131377" w16cid:durableId="22D405B0"/>
  <w16cid:commentId w16cid:paraId="7D1A41B8" w16cid:durableId="22D40777"/>
  <w16cid:commentId w16cid:paraId="01FFE40C" w16cid:durableId="22D41165"/>
  <w16cid:commentId w16cid:paraId="6EBCA2E2" w16cid:durableId="22D42359"/>
  <w16cid:commentId w16cid:paraId="506DC739" w16cid:durableId="22D64B1C"/>
  <w16cid:commentId w16cid:paraId="014CC69D" w16cid:durableId="22D6A1C4"/>
  <w16cid:commentId w16cid:paraId="28552269" w16cid:durableId="22D6A357"/>
  <w16cid:commentId w16cid:paraId="05257285" w16cid:durableId="22D6FF5C"/>
  <w16cid:commentId w16cid:paraId="65249E36" w16cid:durableId="22D70089"/>
  <w16cid:commentId w16cid:paraId="3DEEA2F9" w16cid:durableId="22D7B641"/>
  <w16cid:commentId w16cid:paraId="51E0656F" w16cid:durableId="22D7B96C"/>
  <w16cid:commentId w16cid:paraId="319DD0C7" w16cid:durableId="22D7BBCD"/>
  <w16cid:commentId w16cid:paraId="2DB24C55" w16cid:durableId="22D80165"/>
  <w16cid:commentId w16cid:paraId="07B9B879" w16cid:durableId="22D809B2"/>
  <w16cid:commentId w16cid:paraId="7C9C8F73" w16cid:durableId="22D824B1"/>
  <w16cid:commentId w16cid:paraId="5483C675" w16cid:durableId="22D81600"/>
  <w16cid:commentId w16cid:paraId="7AA21C0F" w16cid:durableId="22D819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BDDA4" w14:textId="77777777" w:rsidR="00002B85" w:rsidRDefault="00002B85" w:rsidP="00E71A58">
      <w:r>
        <w:separator/>
      </w:r>
    </w:p>
  </w:endnote>
  <w:endnote w:type="continuationSeparator" w:id="0">
    <w:p w14:paraId="18A98FFE" w14:textId="77777777" w:rsidR="00002B85" w:rsidRDefault="00002B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694B" w14:textId="1B3FC5C9" w:rsidR="00B606BE" w:rsidRPr="00932443" w:rsidRDefault="00B606BE" w:rsidP="00A418BC">
    <w:pPr>
      <w:pStyle w:val="Zpat"/>
      <w:rPr>
        <w:szCs w:val="16"/>
      </w:rPr>
    </w:pPr>
    <w:r>
      <w:rPr>
        <w:szCs w:val="16"/>
        <w:lang w:eastAsia="cs-CZ"/>
      </w:rPr>
      <w:drawing>
        <wp:anchor distT="0" distB="0" distL="114300" distR="114300" simplePos="0" relativeHeight="251658752" behindDoc="0" locked="0" layoutInCell="1" allowOverlap="1" wp14:anchorId="1384CD77" wp14:editId="68CB0E97">
          <wp:simplePos x="0" y="0"/>
          <wp:positionH relativeFrom="column">
            <wp:align>right</wp:align>
          </wp:positionH>
          <wp:positionV relativeFrom="paragraph">
            <wp:posOffset>-64770</wp:posOffset>
          </wp:positionV>
          <wp:extent cx="428625" cy="201295"/>
          <wp:effectExtent l="0" t="0" r="3175" b="1905"/>
          <wp:wrapNone/>
          <wp:docPr id="113"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91728">
      <w:rPr>
        <w:szCs w:val="16"/>
      </w:rPr>
      <w:t>20</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5AA9" w14:textId="4A56E58F" w:rsidR="00B606BE" w:rsidRPr="00932443" w:rsidRDefault="00B606BE" w:rsidP="00A418BC">
    <w:pPr>
      <w:pStyle w:val="Zpat"/>
      <w:rPr>
        <w:szCs w:val="16"/>
      </w:rPr>
    </w:pPr>
    <w:r>
      <w:rPr>
        <w:szCs w:val="16"/>
        <w:lang w:eastAsia="cs-CZ"/>
      </w:rPr>
      <w:drawing>
        <wp:anchor distT="0" distB="0" distL="114300" distR="114300" simplePos="0" relativeHeight="251656704" behindDoc="0" locked="0" layoutInCell="1" allowOverlap="1" wp14:anchorId="50FBB82E" wp14:editId="63D5AA2E">
          <wp:simplePos x="0" y="0"/>
          <wp:positionH relativeFrom="column">
            <wp:align>left</wp:align>
          </wp:positionH>
          <wp:positionV relativeFrom="paragraph">
            <wp:posOffset>-122555</wp:posOffset>
          </wp:positionV>
          <wp:extent cx="510540" cy="272415"/>
          <wp:effectExtent l="0" t="0" r="0" b="6985"/>
          <wp:wrapNone/>
          <wp:docPr id="11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91728">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9726D" w14:textId="77777777" w:rsidR="00002B85" w:rsidRDefault="00002B85" w:rsidP="0084727E">
      <w:pPr>
        <w:spacing w:after="0"/>
      </w:pPr>
      <w:r>
        <w:separator/>
      </w:r>
    </w:p>
  </w:footnote>
  <w:footnote w:type="continuationSeparator" w:id="0">
    <w:p w14:paraId="36F18355" w14:textId="77777777" w:rsidR="00002B85" w:rsidRDefault="00002B85" w:rsidP="00E71A58">
      <w:r>
        <w:continuationSeparator/>
      </w:r>
    </w:p>
  </w:footnote>
  <w:footnote w:id="1">
    <w:p w14:paraId="16EE8F04" w14:textId="2F82FC3C" w:rsidR="00B606BE" w:rsidRPr="00331D04" w:rsidRDefault="00B606BE" w:rsidP="00817FDA">
      <w:pPr>
        <w:pStyle w:val="Textpoznpodarou"/>
        <w:rPr>
          <w:sz w:val="16"/>
          <w:szCs w:val="16"/>
        </w:rPr>
      </w:pPr>
      <w:r w:rsidRPr="00331D04">
        <w:rPr>
          <w:rStyle w:val="Znakapoznpodarou"/>
          <w:sz w:val="16"/>
          <w:szCs w:val="16"/>
        </w:rPr>
        <w:footnoteRef/>
      </w:r>
      <w:r w:rsidRPr="00331D04">
        <w:rPr>
          <w:sz w:val="16"/>
          <w:szCs w:val="16"/>
        </w:rPr>
        <w:t xml:space="preserve"> Není-li uvedeno jinak, jsou údaje o</w:t>
      </w:r>
      <w:r>
        <w:rPr>
          <w:sz w:val="16"/>
          <w:szCs w:val="16"/>
        </w:rPr>
        <w:t> </w:t>
      </w:r>
      <w:r w:rsidRPr="00331D04">
        <w:rPr>
          <w:sz w:val="16"/>
          <w:szCs w:val="16"/>
        </w:rPr>
        <w:t>HDP a</w:t>
      </w:r>
      <w:r>
        <w:rPr>
          <w:sz w:val="16"/>
          <w:szCs w:val="16"/>
        </w:rPr>
        <w:t> </w:t>
      </w:r>
      <w:r w:rsidRPr="00331D04">
        <w:rPr>
          <w:sz w:val="16"/>
          <w:szCs w:val="16"/>
        </w:rPr>
        <w:t>jeho složkách uváděny bez sezónního očištění.</w:t>
      </w:r>
    </w:p>
  </w:footnote>
  <w:footnote w:id="2">
    <w:p w14:paraId="58F139EF" w14:textId="0D5AF6B7" w:rsidR="00B606BE" w:rsidRPr="00752D8D" w:rsidRDefault="00B606BE" w:rsidP="00817FDA">
      <w:pPr>
        <w:pStyle w:val="Textpoznpodarou"/>
        <w:rPr>
          <w:sz w:val="16"/>
          <w:szCs w:val="16"/>
        </w:rPr>
      </w:pPr>
      <w:r w:rsidRPr="00752D8D">
        <w:rPr>
          <w:rStyle w:val="Znakapoznpodarou"/>
          <w:sz w:val="16"/>
          <w:szCs w:val="16"/>
        </w:rPr>
        <w:footnoteRef/>
      </w:r>
      <w:r w:rsidRPr="00752D8D">
        <w:rPr>
          <w:sz w:val="16"/>
          <w:szCs w:val="16"/>
        </w:rPr>
        <w:t xml:space="preserve"> Příspěvek po vyloučení dovozu pro konečné užití.</w:t>
      </w:r>
      <w:r>
        <w:rPr>
          <w:sz w:val="16"/>
          <w:szCs w:val="16"/>
        </w:rPr>
        <w:t xml:space="preserve"> Příspěvky vycházejí ze sezónně očištěných údajů.</w:t>
      </w:r>
    </w:p>
  </w:footnote>
  <w:footnote w:id="3">
    <w:p w14:paraId="3948697B" w14:textId="15835E1C" w:rsidR="00B606BE" w:rsidRPr="00415A93" w:rsidRDefault="00B606BE" w:rsidP="00817FDA">
      <w:pPr>
        <w:pStyle w:val="Textpoznpodarou"/>
        <w:rPr>
          <w:sz w:val="16"/>
          <w:szCs w:val="16"/>
        </w:rPr>
      </w:pPr>
      <w:r w:rsidRPr="00415A93">
        <w:rPr>
          <w:rStyle w:val="Znakapoznpodarou"/>
          <w:sz w:val="16"/>
          <w:szCs w:val="16"/>
        </w:rPr>
        <w:footnoteRef/>
      </w:r>
      <w:r w:rsidRPr="00415A93">
        <w:rPr>
          <w:sz w:val="16"/>
          <w:szCs w:val="16"/>
        </w:rPr>
        <w:t xml:space="preserve"> EU27 bez Velké Británie.</w:t>
      </w:r>
    </w:p>
  </w:footnote>
  <w:footnote w:id="4">
    <w:p w14:paraId="2A035D7D" w14:textId="7FA7FD4F" w:rsidR="00B606BE" w:rsidRPr="001802AA" w:rsidRDefault="00B606BE" w:rsidP="00817FDA">
      <w:pPr>
        <w:pStyle w:val="Textpoznpodarou"/>
        <w:rPr>
          <w:rFonts w:cs="Arial"/>
          <w:sz w:val="16"/>
          <w:szCs w:val="16"/>
        </w:rPr>
      </w:pPr>
      <w:r w:rsidRPr="001802AA">
        <w:rPr>
          <w:rStyle w:val="Znakapoznpodarou"/>
          <w:rFonts w:cs="Arial"/>
          <w:sz w:val="16"/>
          <w:szCs w:val="16"/>
        </w:rPr>
        <w:footnoteRef/>
      </w:r>
      <w:r w:rsidRPr="001802AA">
        <w:rPr>
          <w:rFonts w:cs="Arial"/>
          <w:sz w:val="16"/>
          <w:szCs w:val="16"/>
        </w:rPr>
        <w:t xml:space="preserve"> Časové řady čtvrtletních </w:t>
      </w:r>
      <w:r>
        <w:rPr>
          <w:rFonts w:cs="Arial"/>
          <w:sz w:val="16"/>
          <w:szCs w:val="16"/>
        </w:rPr>
        <w:t>národních</w:t>
      </w:r>
      <w:r w:rsidRPr="001802AA">
        <w:rPr>
          <w:rFonts w:cs="Arial"/>
          <w:sz w:val="16"/>
          <w:szCs w:val="16"/>
        </w:rPr>
        <w:t xml:space="preserve"> účtů</w:t>
      </w:r>
      <w:r>
        <w:rPr>
          <w:rFonts w:cs="Arial"/>
          <w:sz w:val="16"/>
          <w:szCs w:val="16"/>
        </w:rPr>
        <w:t>.</w:t>
      </w:r>
    </w:p>
  </w:footnote>
  <w:footnote w:id="5">
    <w:p w14:paraId="5E265B07" w14:textId="4BC0186E" w:rsidR="00B606BE" w:rsidRPr="001802AA" w:rsidRDefault="00B606BE" w:rsidP="00817FDA">
      <w:pPr>
        <w:pStyle w:val="Textpoznpodarou"/>
        <w:rPr>
          <w:rFonts w:cs="Arial"/>
          <w:sz w:val="16"/>
          <w:szCs w:val="16"/>
        </w:rPr>
      </w:pPr>
      <w:r w:rsidRPr="001802AA">
        <w:rPr>
          <w:rStyle w:val="Znakapoznpodarou"/>
          <w:rFonts w:cs="Arial"/>
          <w:sz w:val="16"/>
          <w:szCs w:val="16"/>
        </w:rPr>
        <w:footnoteRef/>
      </w:r>
      <w:r w:rsidRPr="001802AA">
        <w:rPr>
          <w:rFonts w:cs="Arial"/>
          <w:sz w:val="16"/>
          <w:szCs w:val="16"/>
        </w:rPr>
        <w:t xml:space="preserve"> </w:t>
      </w:r>
      <w:r w:rsidRPr="001802AA">
        <w:rPr>
          <w:rStyle w:val="odkaz-style-wrapper"/>
          <w:bCs/>
          <w:sz w:val="16"/>
          <w:szCs w:val="16"/>
        </w:rPr>
        <w:t xml:space="preserve">Nerezidenti </w:t>
      </w:r>
      <w:r w:rsidRPr="001802AA">
        <w:rPr>
          <w:rStyle w:val="odkaz-style-wrapper"/>
          <w:sz w:val="16"/>
          <w:szCs w:val="16"/>
        </w:rPr>
        <w:t>představují seskupení jednotek bez ohledu na charakteristiku jejich funkcí a</w:t>
      </w:r>
      <w:r>
        <w:rPr>
          <w:rStyle w:val="odkaz-style-wrapper"/>
          <w:sz w:val="16"/>
          <w:szCs w:val="16"/>
        </w:rPr>
        <w:t> </w:t>
      </w:r>
      <w:r w:rsidRPr="001802AA">
        <w:rPr>
          <w:rStyle w:val="odkaz-style-wrapper"/>
          <w:sz w:val="16"/>
          <w:szCs w:val="16"/>
        </w:rPr>
        <w:t>zdrojů. Jsou to např</w:t>
      </w:r>
      <w:r>
        <w:rPr>
          <w:rStyle w:val="odkaz-style-wrapper"/>
          <w:sz w:val="16"/>
          <w:szCs w:val="16"/>
        </w:rPr>
        <w:t>íklad</w:t>
      </w:r>
      <w:r w:rsidRPr="001802AA">
        <w:rPr>
          <w:rStyle w:val="odkaz-style-wrapper"/>
          <w:sz w:val="16"/>
          <w:szCs w:val="16"/>
        </w:rPr>
        <w:t xml:space="preserve"> zastupitelské úřady cizích států nebo mezinárodní organizace, které byly založeny a</w:t>
      </w:r>
      <w:r>
        <w:rPr>
          <w:rStyle w:val="odkaz-style-wrapper"/>
          <w:sz w:val="16"/>
          <w:szCs w:val="16"/>
        </w:rPr>
        <w:t> </w:t>
      </w:r>
      <w:r w:rsidRPr="001802AA">
        <w:rPr>
          <w:rStyle w:val="odkaz-style-wrapper"/>
          <w:sz w:val="16"/>
          <w:szCs w:val="16"/>
        </w:rPr>
        <w:t>fungují na základě mezinárodních dohod</w:t>
      </w:r>
      <w:r>
        <w:rPr>
          <w:rStyle w:val="odkaz-style-wrapper"/>
          <w:sz w:val="16"/>
          <w:szCs w:val="16"/>
        </w:rPr>
        <w:t>,</w:t>
      </w:r>
      <w:r w:rsidRPr="001802AA">
        <w:rPr>
          <w:rStyle w:val="odkaz-style-wrapper"/>
          <w:sz w:val="16"/>
          <w:szCs w:val="16"/>
        </w:rPr>
        <w:t xml:space="preserve"> nebo oddělené části mateřských společností (např</w:t>
      </w:r>
      <w:r>
        <w:rPr>
          <w:rStyle w:val="odkaz-style-wrapper"/>
          <w:sz w:val="16"/>
          <w:szCs w:val="16"/>
        </w:rPr>
        <w:t>íklad</w:t>
      </w:r>
      <w:r w:rsidRPr="001802AA">
        <w:rPr>
          <w:rStyle w:val="odkaz-style-wrapper"/>
          <w:sz w:val="16"/>
          <w:szCs w:val="16"/>
        </w:rPr>
        <w:t xml:space="preserve"> pobočky výrobních podniků, bank a</w:t>
      </w:r>
      <w:r>
        <w:rPr>
          <w:rStyle w:val="odkaz-style-wrapper"/>
          <w:sz w:val="16"/>
          <w:szCs w:val="16"/>
        </w:rPr>
        <w:t> </w:t>
      </w:r>
      <w:r w:rsidRPr="001802AA">
        <w:rPr>
          <w:rStyle w:val="odkaz-style-wrapper"/>
          <w:sz w:val="16"/>
          <w:szCs w:val="16"/>
        </w:rPr>
        <w:t>pojišťovacích společností).</w:t>
      </w:r>
    </w:p>
  </w:footnote>
  <w:footnote w:id="6">
    <w:p w14:paraId="007EF47D" w14:textId="01CB3879" w:rsidR="00B606BE" w:rsidRPr="00231CC2" w:rsidRDefault="00B606BE">
      <w:pPr>
        <w:pStyle w:val="Textpoznpodarou"/>
        <w:rPr>
          <w:rFonts w:cs="Arial"/>
          <w:sz w:val="16"/>
          <w:szCs w:val="16"/>
        </w:rPr>
      </w:pPr>
      <w:r w:rsidRPr="00231CC2">
        <w:rPr>
          <w:rStyle w:val="Znakapoznpodarou"/>
          <w:rFonts w:cs="Arial"/>
          <w:sz w:val="16"/>
          <w:szCs w:val="16"/>
        </w:rPr>
        <w:footnoteRef/>
      </w:r>
      <w:r w:rsidRPr="00231CC2">
        <w:rPr>
          <w:rFonts w:cs="Arial"/>
          <w:sz w:val="16"/>
          <w:szCs w:val="16"/>
        </w:rPr>
        <w:t xml:space="preserve"> Položka reprezentuje přecenění nefinančních aktiv (NFA) na tržní hodnotu. Tato hodnota je alokována konečnému vlastníkovi aktiva (ve formě účastí). Důsledkem je přeřazení části aktiv (a</w:t>
      </w:r>
      <w:r>
        <w:rPr>
          <w:rFonts w:cs="Arial"/>
          <w:sz w:val="16"/>
          <w:szCs w:val="16"/>
        </w:rPr>
        <w:t> </w:t>
      </w:r>
      <w:r w:rsidRPr="00231CC2">
        <w:rPr>
          <w:rFonts w:cs="Arial"/>
          <w:sz w:val="16"/>
          <w:szCs w:val="16"/>
        </w:rPr>
        <w:t>čistého jmění), která byl</w:t>
      </w:r>
      <w:r>
        <w:rPr>
          <w:rFonts w:cs="Arial"/>
          <w:sz w:val="16"/>
          <w:szCs w:val="16"/>
        </w:rPr>
        <w:t>a</w:t>
      </w:r>
      <w:r w:rsidRPr="00231CC2">
        <w:rPr>
          <w:rFonts w:cs="Arial"/>
          <w:sz w:val="16"/>
          <w:szCs w:val="16"/>
        </w:rPr>
        <w:t xml:space="preserve"> dříve přiznávána nefinančním podnikům</w:t>
      </w:r>
      <w:r>
        <w:rPr>
          <w:rFonts w:cs="Arial"/>
          <w:sz w:val="16"/>
          <w:szCs w:val="16"/>
        </w:rPr>
        <w:t>,</w:t>
      </w:r>
      <w:r w:rsidRPr="00231CC2">
        <w:rPr>
          <w:rFonts w:cs="Arial"/>
          <w:sz w:val="16"/>
          <w:szCs w:val="16"/>
        </w:rPr>
        <w:t xml:space="preserve"> k jejich konečným vlastníkům. Mezi konečné vlastníky řadíme vládu, domácnosti a</w:t>
      </w:r>
      <w:r>
        <w:rPr>
          <w:rFonts w:cs="Arial"/>
          <w:sz w:val="16"/>
          <w:szCs w:val="16"/>
        </w:rPr>
        <w:t> </w:t>
      </w:r>
      <w:r w:rsidRPr="00231CC2">
        <w:rPr>
          <w:rFonts w:cs="Arial"/>
          <w:sz w:val="16"/>
          <w:szCs w:val="16"/>
        </w:rPr>
        <w:t>nerezidenty. Položka AF.51n byla nově zapracována do národních účtů v</w:t>
      </w:r>
      <w:r>
        <w:rPr>
          <w:rFonts w:cs="Arial"/>
          <w:sz w:val="16"/>
          <w:szCs w:val="16"/>
        </w:rPr>
        <w:t> </w:t>
      </w:r>
      <w:r w:rsidRPr="00231CC2">
        <w:rPr>
          <w:rFonts w:cs="Arial"/>
          <w:sz w:val="16"/>
          <w:szCs w:val="16"/>
        </w:rPr>
        <w:t>rámci revize</w:t>
      </w:r>
      <w:r>
        <w:rPr>
          <w:rFonts w:cs="Arial"/>
          <w:sz w:val="16"/>
          <w:szCs w:val="16"/>
        </w:rPr>
        <w:t> </w:t>
      </w:r>
      <w:r w:rsidRPr="00231CC2">
        <w:rPr>
          <w:rFonts w:cs="Arial"/>
          <w:sz w:val="16"/>
          <w:szCs w:val="16"/>
        </w:rPr>
        <w:t>2020.</w:t>
      </w:r>
    </w:p>
  </w:footnote>
  <w:footnote w:id="7">
    <w:p w14:paraId="217603D4" w14:textId="2568C0F2" w:rsidR="00B606BE" w:rsidRPr="00C12F3B" w:rsidRDefault="00B606BE" w:rsidP="00817FDA">
      <w:pPr>
        <w:pStyle w:val="Textpoznpodarou"/>
        <w:rPr>
          <w:sz w:val="16"/>
          <w:szCs w:val="16"/>
        </w:rPr>
      </w:pPr>
      <w:r w:rsidRPr="00C12F3B">
        <w:rPr>
          <w:rStyle w:val="Znakapoznpodarou"/>
          <w:szCs w:val="16"/>
        </w:rPr>
        <w:footnoteRef/>
      </w:r>
      <w:r w:rsidRPr="00C12F3B">
        <w:rPr>
          <w:sz w:val="16"/>
          <w:szCs w:val="16"/>
        </w:rPr>
        <w:t xml:space="preserve"> Meziroční růst cenové hladiny podle deflátoru výdajů na tvorbu hrubého fixního kapitálu v roce 2019 dosáhl 3,7</w:t>
      </w:r>
      <w:r>
        <w:rPr>
          <w:sz w:val="16"/>
          <w:szCs w:val="16"/>
        </w:rPr>
        <w:t> %</w:t>
      </w:r>
      <w:r w:rsidRPr="00C12F3B">
        <w:rPr>
          <w:sz w:val="16"/>
          <w:szCs w:val="16"/>
        </w:rPr>
        <w:t>, nejvíce od konce 90</w:t>
      </w:r>
      <w:r>
        <w:rPr>
          <w:sz w:val="16"/>
          <w:szCs w:val="16"/>
        </w:rPr>
        <w:t>. </w:t>
      </w:r>
      <w:r w:rsidRPr="00C12F3B">
        <w:rPr>
          <w:sz w:val="16"/>
          <w:szCs w:val="16"/>
        </w:rPr>
        <w:t xml:space="preserve">let. </w:t>
      </w:r>
      <w:r>
        <w:rPr>
          <w:sz w:val="16"/>
          <w:szCs w:val="16"/>
        </w:rPr>
        <w:t>Tempo bylo více než dvojnásobné oproti letům 2017 i 2018.</w:t>
      </w:r>
    </w:p>
  </w:footnote>
  <w:footnote w:id="8">
    <w:p w14:paraId="477D9A22" w14:textId="5552B164" w:rsidR="00B606BE" w:rsidRPr="00131A35" w:rsidRDefault="00B606BE" w:rsidP="00817FDA">
      <w:pPr>
        <w:pStyle w:val="Textpoznpodarou"/>
        <w:rPr>
          <w:sz w:val="16"/>
          <w:szCs w:val="16"/>
        </w:rPr>
      </w:pPr>
      <w:r w:rsidRPr="00131A35">
        <w:rPr>
          <w:rStyle w:val="Znakapoznpodarou"/>
          <w:szCs w:val="16"/>
        </w:rPr>
        <w:footnoteRef/>
      </w:r>
      <w:r w:rsidRPr="00131A35">
        <w:rPr>
          <w:sz w:val="16"/>
          <w:szCs w:val="16"/>
        </w:rPr>
        <w:t xml:space="preserve"> </w:t>
      </w:r>
      <w:r>
        <w:rPr>
          <w:sz w:val="16"/>
          <w:szCs w:val="16"/>
        </w:rPr>
        <w:t xml:space="preserve">Dvacet sedm </w:t>
      </w:r>
      <w:r w:rsidRPr="00131A35">
        <w:rPr>
          <w:sz w:val="16"/>
          <w:szCs w:val="16"/>
        </w:rPr>
        <w:t>států bez Velké Británie.</w:t>
      </w:r>
    </w:p>
  </w:footnote>
  <w:footnote w:id="9">
    <w:p w14:paraId="388EDF95" w14:textId="3B282B19" w:rsidR="00B606BE" w:rsidRPr="00B82A9C" w:rsidRDefault="00B606BE" w:rsidP="00817FDA">
      <w:pPr>
        <w:pStyle w:val="Textpoznpodarou"/>
        <w:rPr>
          <w:sz w:val="16"/>
          <w:szCs w:val="16"/>
        </w:rPr>
      </w:pPr>
      <w:r w:rsidRPr="00B82A9C">
        <w:rPr>
          <w:rStyle w:val="Znakapoznpodarou"/>
          <w:szCs w:val="16"/>
        </w:rPr>
        <w:footnoteRef/>
      </w:r>
      <w:r w:rsidRPr="00B82A9C">
        <w:rPr>
          <w:sz w:val="16"/>
          <w:szCs w:val="16"/>
        </w:rPr>
        <w:t xml:space="preserve"> Údaje o</w:t>
      </w:r>
      <w:r>
        <w:rPr>
          <w:sz w:val="16"/>
          <w:szCs w:val="16"/>
        </w:rPr>
        <w:t> </w:t>
      </w:r>
      <w:r w:rsidRPr="00B82A9C">
        <w:rPr>
          <w:sz w:val="16"/>
          <w:szCs w:val="16"/>
        </w:rPr>
        <w:t>irském HDP a</w:t>
      </w:r>
      <w:r>
        <w:rPr>
          <w:sz w:val="16"/>
          <w:szCs w:val="16"/>
        </w:rPr>
        <w:t> </w:t>
      </w:r>
      <w:r w:rsidRPr="00B82A9C">
        <w:rPr>
          <w:sz w:val="16"/>
          <w:szCs w:val="16"/>
        </w:rPr>
        <w:t>jeho složkách (zejména investicích) v posledních letech vykazují velké výkyvy související s přítomností a</w:t>
      </w:r>
      <w:r>
        <w:rPr>
          <w:sz w:val="16"/>
          <w:szCs w:val="16"/>
        </w:rPr>
        <w:t> </w:t>
      </w:r>
      <w:r w:rsidRPr="00B82A9C">
        <w:rPr>
          <w:sz w:val="16"/>
          <w:szCs w:val="16"/>
        </w:rPr>
        <w:t>příchody velkých internetových firem</w:t>
      </w:r>
      <w:r>
        <w:rPr>
          <w:sz w:val="16"/>
          <w:szCs w:val="16"/>
        </w:rPr>
        <w:t>,</w:t>
      </w:r>
      <w:r w:rsidRPr="00B82A9C">
        <w:rPr>
          <w:sz w:val="16"/>
          <w:szCs w:val="16"/>
        </w:rPr>
        <w:t xml:space="preserve"> </w:t>
      </w:r>
      <w:r>
        <w:rPr>
          <w:sz w:val="16"/>
          <w:szCs w:val="16"/>
        </w:rPr>
        <w:t xml:space="preserve">které </w:t>
      </w:r>
      <w:r w:rsidRPr="00B82A9C">
        <w:rPr>
          <w:sz w:val="16"/>
          <w:szCs w:val="16"/>
        </w:rPr>
        <w:t>využívají příznivé daňové prostředí v zemi.</w:t>
      </w:r>
    </w:p>
  </w:footnote>
  <w:footnote w:id="10">
    <w:p w14:paraId="5C243563" w14:textId="38EB5788" w:rsidR="00B606BE" w:rsidRPr="0026417E" w:rsidRDefault="00B606BE" w:rsidP="00817FDA">
      <w:pPr>
        <w:pStyle w:val="Textpoznpodarou"/>
        <w:rPr>
          <w:sz w:val="16"/>
          <w:szCs w:val="16"/>
        </w:rPr>
      </w:pPr>
      <w:r w:rsidRPr="0026417E">
        <w:rPr>
          <w:rStyle w:val="Znakapoznpodarou"/>
          <w:szCs w:val="16"/>
        </w:rPr>
        <w:footnoteRef/>
      </w:r>
      <w:r w:rsidRPr="0026417E">
        <w:rPr>
          <w:sz w:val="16"/>
          <w:szCs w:val="16"/>
        </w:rPr>
        <w:t xml:space="preserve"> </w:t>
      </w:r>
      <w:r>
        <w:rPr>
          <w:sz w:val="16"/>
          <w:szCs w:val="16"/>
        </w:rPr>
        <w:t>Podle odhadů v</w:t>
      </w:r>
      <w:r w:rsidRPr="0026417E">
        <w:rPr>
          <w:sz w:val="16"/>
          <w:szCs w:val="16"/>
        </w:rPr>
        <w:t> roce 2019 ceny stavebních prací</w:t>
      </w:r>
      <w:r>
        <w:rPr>
          <w:sz w:val="16"/>
          <w:szCs w:val="16"/>
        </w:rPr>
        <w:t xml:space="preserve"> vzrostly o 4,6 %</w:t>
      </w:r>
      <w:r w:rsidRPr="0026417E">
        <w:rPr>
          <w:sz w:val="16"/>
          <w:szCs w:val="16"/>
        </w:rPr>
        <w:t>.</w:t>
      </w:r>
    </w:p>
  </w:footnote>
  <w:footnote w:id="11">
    <w:p w14:paraId="74210422" w14:textId="77777777" w:rsidR="00B606BE" w:rsidRPr="00541CFE" w:rsidRDefault="00B606BE" w:rsidP="00817FDA">
      <w:pPr>
        <w:pStyle w:val="Textpoznpodarou"/>
        <w:rPr>
          <w:sz w:val="16"/>
          <w:szCs w:val="16"/>
        </w:rPr>
      </w:pPr>
      <w:r w:rsidRPr="00541CFE">
        <w:rPr>
          <w:rStyle w:val="Znakapoznpodarou"/>
          <w:szCs w:val="16"/>
        </w:rPr>
        <w:footnoteRef/>
      </w:r>
      <w:r w:rsidRPr="00541CFE">
        <w:rPr>
          <w:sz w:val="16"/>
          <w:szCs w:val="16"/>
        </w:rPr>
        <w:t xml:space="preserve"> Například v roce 2018 bylo nutné dočerpat část alokovaných prostředků, což navýšilo celkové výdaje.</w:t>
      </w:r>
    </w:p>
  </w:footnote>
  <w:footnote w:id="12">
    <w:p w14:paraId="31A87F25" w14:textId="51D40C91" w:rsidR="00B606BE" w:rsidRPr="0051191B" w:rsidRDefault="00B606BE" w:rsidP="00817FDA">
      <w:pPr>
        <w:pStyle w:val="Textpoznpodarou"/>
        <w:rPr>
          <w:sz w:val="16"/>
          <w:szCs w:val="16"/>
        </w:rPr>
      </w:pPr>
      <w:r w:rsidRPr="0051191B">
        <w:rPr>
          <w:rStyle w:val="Znakapoznpodarou"/>
          <w:szCs w:val="16"/>
        </w:rPr>
        <w:footnoteRef/>
      </w:r>
      <w:r w:rsidRPr="0051191B">
        <w:rPr>
          <w:sz w:val="16"/>
          <w:szCs w:val="16"/>
        </w:rPr>
        <w:t xml:space="preserve"> Průměrná hodnota nově poskytnuté hypoteční smlouvy ke konci roku 2019 dosáhla 2,0</w:t>
      </w:r>
      <w:r>
        <w:rPr>
          <w:sz w:val="16"/>
          <w:szCs w:val="16"/>
        </w:rPr>
        <w:t> </w:t>
      </w:r>
      <w:r w:rsidRPr="0051191B">
        <w:rPr>
          <w:sz w:val="16"/>
          <w:szCs w:val="16"/>
        </w:rPr>
        <w:t>milionu korun. Ke konci roku 2018 to bylo 1,9</w:t>
      </w:r>
      <w:r>
        <w:rPr>
          <w:sz w:val="16"/>
          <w:szCs w:val="16"/>
        </w:rPr>
        <w:t> </w:t>
      </w:r>
      <w:r w:rsidRPr="0051191B">
        <w:rPr>
          <w:sz w:val="16"/>
          <w:szCs w:val="16"/>
        </w:rPr>
        <w:t>milionu. Na konci roku 2015 byla průměrná smlouva na 1,5</w:t>
      </w:r>
      <w:r>
        <w:rPr>
          <w:sz w:val="16"/>
          <w:szCs w:val="16"/>
        </w:rPr>
        <w:t> </w:t>
      </w:r>
      <w:r w:rsidRPr="0051191B">
        <w:rPr>
          <w:sz w:val="16"/>
          <w:szCs w:val="16"/>
        </w:rPr>
        <w:t>milionu.</w:t>
      </w:r>
    </w:p>
  </w:footnote>
  <w:footnote w:id="13">
    <w:p w14:paraId="28226C69" w14:textId="52621B3A" w:rsidR="00B606BE" w:rsidRPr="003D70D7" w:rsidRDefault="00B606BE" w:rsidP="000979EC">
      <w:pPr>
        <w:pStyle w:val="Textpoznpodarou"/>
        <w:rPr>
          <w:sz w:val="16"/>
          <w:szCs w:val="16"/>
        </w:rPr>
      </w:pPr>
      <w:r w:rsidRPr="003D70D7">
        <w:rPr>
          <w:rStyle w:val="Znakapoznpodarou"/>
          <w:sz w:val="16"/>
          <w:szCs w:val="16"/>
        </w:rPr>
        <w:footnoteRef/>
      </w:r>
      <w:r w:rsidRPr="003D70D7">
        <w:rPr>
          <w:sz w:val="16"/>
          <w:szCs w:val="16"/>
        </w:rPr>
        <w:t xml:space="preserve"> Není-li uvedeno jinak, jsou údaje o</w:t>
      </w:r>
      <w:r>
        <w:rPr>
          <w:sz w:val="16"/>
          <w:szCs w:val="16"/>
        </w:rPr>
        <w:t> </w:t>
      </w:r>
      <w:r w:rsidRPr="003D70D7">
        <w:rPr>
          <w:sz w:val="16"/>
          <w:szCs w:val="16"/>
        </w:rPr>
        <w:t>hrubé přidané hodnotě uvedeny v běžných cenách.</w:t>
      </w:r>
    </w:p>
  </w:footnote>
  <w:footnote w:id="14">
    <w:p w14:paraId="4BA5B3F0" w14:textId="77777777" w:rsidR="00B606BE" w:rsidRPr="003D70D7" w:rsidRDefault="00B606BE" w:rsidP="000979EC">
      <w:pPr>
        <w:pStyle w:val="Textpoznpodarou"/>
        <w:rPr>
          <w:sz w:val="16"/>
          <w:szCs w:val="16"/>
        </w:rPr>
      </w:pPr>
      <w:r w:rsidRPr="003D70D7">
        <w:rPr>
          <w:rStyle w:val="Znakapoznpodarou"/>
          <w:sz w:val="16"/>
          <w:szCs w:val="16"/>
        </w:rPr>
        <w:footnoteRef/>
      </w:r>
      <w:r w:rsidRPr="003D70D7">
        <w:rPr>
          <w:sz w:val="16"/>
          <w:szCs w:val="16"/>
        </w:rPr>
        <w:t xml:space="preserve"> Do reálného vyjádření převedeno pomocí deflátoru HPH.</w:t>
      </w:r>
    </w:p>
  </w:footnote>
  <w:footnote w:id="15">
    <w:p w14:paraId="2EF4D614" w14:textId="77777777" w:rsidR="00B606BE" w:rsidRPr="003D70D7" w:rsidRDefault="00B606BE" w:rsidP="000979EC">
      <w:pPr>
        <w:pStyle w:val="Textpoznpodarou"/>
        <w:rPr>
          <w:sz w:val="16"/>
          <w:szCs w:val="16"/>
        </w:rPr>
      </w:pPr>
      <w:r w:rsidRPr="003D70D7">
        <w:rPr>
          <w:rStyle w:val="Znakapoznpodarou"/>
          <w:sz w:val="16"/>
          <w:szCs w:val="16"/>
        </w:rPr>
        <w:footnoteRef/>
      </w:r>
      <w:r w:rsidRPr="003D70D7">
        <w:rPr>
          <w:sz w:val="16"/>
          <w:szCs w:val="16"/>
        </w:rPr>
        <w:t xml:space="preserve"> Přepočteno na úvazky na plnou pracovní dobu.</w:t>
      </w:r>
    </w:p>
  </w:footnote>
  <w:footnote w:id="16">
    <w:p w14:paraId="01C59995" w14:textId="3ACCAC9B" w:rsidR="00B606BE" w:rsidRPr="00CD0610" w:rsidRDefault="00B606BE" w:rsidP="000979EC">
      <w:pPr>
        <w:pStyle w:val="Textpoznpodarou"/>
        <w:rPr>
          <w:sz w:val="16"/>
          <w:szCs w:val="16"/>
        </w:rPr>
      </w:pPr>
      <w:r w:rsidRPr="003D70D7">
        <w:rPr>
          <w:rStyle w:val="Znakapoznpodarou"/>
          <w:sz w:val="16"/>
          <w:szCs w:val="16"/>
        </w:rPr>
        <w:footnoteRef/>
      </w:r>
      <w:r w:rsidRPr="003D70D7">
        <w:rPr>
          <w:sz w:val="16"/>
          <w:szCs w:val="16"/>
        </w:rPr>
        <w:t xml:space="preserve"> Sekce klasifikace NACE: B</w:t>
      </w:r>
      <w:r>
        <w:rPr>
          <w:sz w:val="16"/>
          <w:szCs w:val="16"/>
        </w:rPr>
        <w:t> </w:t>
      </w:r>
      <w:r w:rsidRPr="003D70D7">
        <w:rPr>
          <w:sz w:val="16"/>
          <w:szCs w:val="16"/>
        </w:rPr>
        <w:t>Těžba a</w:t>
      </w:r>
      <w:r>
        <w:rPr>
          <w:sz w:val="16"/>
          <w:szCs w:val="16"/>
        </w:rPr>
        <w:t> </w:t>
      </w:r>
      <w:r w:rsidRPr="003D70D7">
        <w:rPr>
          <w:sz w:val="16"/>
          <w:szCs w:val="16"/>
        </w:rPr>
        <w:t>dobývání, C</w:t>
      </w:r>
      <w:r>
        <w:rPr>
          <w:sz w:val="16"/>
          <w:szCs w:val="16"/>
        </w:rPr>
        <w:t> </w:t>
      </w:r>
      <w:r w:rsidRPr="003D70D7">
        <w:rPr>
          <w:sz w:val="16"/>
          <w:szCs w:val="16"/>
        </w:rPr>
        <w:t>Zpracovatelský průmysl, D</w:t>
      </w:r>
      <w:r>
        <w:rPr>
          <w:sz w:val="16"/>
          <w:szCs w:val="16"/>
        </w:rPr>
        <w:t> </w:t>
      </w:r>
      <w:r w:rsidRPr="003D70D7">
        <w:rPr>
          <w:sz w:val="16"/>
          <w:szCs w:val="16"/>
        </w:rPr>
        <w:t>Výroba a</w:t>
      </w:r>
      <w:r>
        <w:rPr>
          <w:sz w:val="16"/>
          <w:szCs w:val="16"/>
        </w:rPr>
        <w:t> </w:t>
      </w:r>
      <w:r w:rsidRPr="003D70D7">
        <w:rPr>
          <w:sz w:val="16"/>
          <w:szCs w:val="16"/>
        </w:rPr>
        <w:t>rozvod elektřiny, plynu, tepla a</w:t>
      </w:r>
      <w:r>
        <w:rPr>
          <w:sz w:val="16"/>
          <w:szCs w:val="16"/>
        </w:rPr>
        <w:t> </w:t>
      </w:r>
      <w:r w:rsidRPr="003D70D7">
        <w:rPr>
          <w:sz w:val="16"/>
          <w:szCs w:val="16"/>
        </w:rPr>
        <w:t>klimatizovaného</w:t>
      </w:r>
      <w:r w:rsidRPr="00CD0610">
        <w:rPr>
          <w:sz w:val="16"/>
          <w:szCs w:val="16"/>
        </w:rPr>
        <w:t xml:space="preserve"> vzduchu, E</w:t>
      </w:r>
      <w:r>
        <w:rPr>
          <w:sz w:val="16"/>
          <w:szCs w:val="16"/>
        </w:rPr>
        <w:t> </w:t>
      </w:r>
      <w:r w:rsidRPr="00CD0610">
        <w:rPr>
          <w:sz w:val="16"/>
          <w:szCs w:val="16"/>
        </w:rPr>
        <w:t>Zásobování vodou; činnosti související s odpadními vodami, odpady a</w:t>
      </w:r>
      <w:r>
        <w:rPr>
          <w:sz w:val="16"/>
          <w:szCs w:val="16"/>
        </w:rPr>
        <w:t> </w:t>
      </w:r>
      <w:r w:rsidRPr="00CD0610">
        <w:rPr>
          <w:sz w:val="16"/>
          <w:szCs w:val="16"/>
        </w:rPr>
        <w:t>sanacemi</w:t>
      </w:r>
      <w:r>
        <w:rPr>
          <w:sz w:val="16"/>
          <w:szCs w:val="16"/>
        </w:rPr>
        <w:t>.</w:t>
      </w:r>
    </w:p>
  </w:footnote>
  <w:footnote w:id="17">
    <w:p w14:paraId="14A19437" w14:textId="6ACF3F3E" w:rsidR="00B606BE" w:rsidRPr="00E364BB" w:rsidRDefault="00B606BE" w:rsidP="000979EC">
      <w:pPr>
        <w:autoSpaceDE w:val="0"/>
        <w:autoSpaceDN w:val="0"/>
        <w:adjustRightInd w:val="0"/>
        <w:spacing w:after="0" w:line="240" w:lineRule="auto"/>
        <w:jc w:val="left"/>
        <w:rPr>
          <w:rFonts w:eastAsiaTheme="minorHAnsi" w:cs="Arial"/>
          <w:iCs/>
          <w:sz w:val="16"/>
          <w:szCs w:val="16"/>
          <w:lang w:eastAsia="en-US"/>
        </w:rPr>
      </w:pPr>
      <w:r w:rsidRPr="00130759">
        <w:rPr>
          <w:rStyle w:val="Znakapoznpodarou"/>
          <w:rFonts w:cs="Arial"/>
          <w:sz w:val="16"/>
          <w:szCs w:val="16"/>
        </w:rPr>
        <w:footnoteRef/>
      </w:r>
      <w:r w:rsidRPr="00130759">
        <w:rPr>
          <w:rFonts w:cs="Arial"/>
          <w:sz w:val="16"/>
          <w:szCs w:val="16"/>
        </w:rPr>
        <w:t xml:space="preserve"> </w:t>
      </w:r>
      <w:r w:rsidRPr="00130759">
        <w:rPr>
          <w:rFonts w:eastAsiaTheme="minorHAnsi" w:cs="Arial"/>
          <w:bCs/>
          <w:iCs/>
          <w:sz w:val="16"/>
          <w:szCs w:val="16"/>
          <w:lang w:eastAsia="en-US"/>
        </w:rPr>
        <w:t xml:space="preserve">Míra zisku nefinančních podniků </w:t>
      </w:r>
      <w:r w:rsidRPr="00130759">
        <w:rPr>
          <w:rFonts w:eastAsiaTheme="minorHAnsi" w:cs="Arial"/>
          <w:iCs/>
          <w:sz w:val="16"/>
          <w:szCs w:val="16"/>
          <w:lang w:eastAsia="en-US"/>
        </w:rPr>
        <w:t>je definována jako podíl hrubého provozního přebytku k</w:t>
      </w:r>
      <w:r>
        <w:rPr>
          <w:rFonts w:eastAsiaTheme="minorHAnsi" w:cs="Arial"/>
          <w:iCs/>
          <w:sz w:val="16"/>
          <w:szCs w:val="16"/>
          <w:lang w:eastAsia="en-US"/>
        </w:rPr>
        <w:t> </w:t>
      </w:r>
      <w:r w:rsidRPr="00130759">
        <w:rPr>
          <w:rFonts w:eastAsiaTheme="minorHAnsi" w:cs="Arial"/>
          <w:iCs/>
          <w:sz w:val="16"/>
          <w:szCs w:val="16"/>
          <w:lang w:eastAsia="en-US"/>
        </w:rPr>
        <w:t>hrubé přidané</w:t>
      </w:r>
      <w:r>
        <w:rPr>
          <w:rFonts w:eastAsiaTheme="minorHAnsi" w:cs="Arial"/>
          <w:iCs/>
          <w:sz w:val="16"/>
          <w:szCs w:val="16"/>
          <w:lang w:eastAsia="en-US"/>
        </w:rPr>
        <w:t xml:space="preserve"> </w:t>
      </w:r>
      <w:r w:rsidRPr="00130759">
        <w:rPr>
          <w:rFonts w:eastAsiaTheme="minorHAnsi" w:cs="Arial"/>
          <w:iCs/>
          <w:sz w:val="16"/>
          <w:szCs w:val="16"/>
          <w:lang w:eastAsia="en-US"/>
        </w:rPr>
        <w:t>hodnotě (B.2g/B.1g).</w:t>
      </w:r>
    </w:p>
  </w:footnote>
  <w:footnote w:id="18">
    <w:p w14:paraId="15BFC678" w14:textId="5FC7E527" w:rsidR="00B606BE" w:rsidRPr="00BB104D" w:rsidRDefault="00B606BE" w:rsidP="000979EC">
      <w:pPr>
        <w:pStyle w:val="Textpoznpodarou"/>
        <w:rPr>
          <w:sz w:val="16"/>
          <w:szCs w:val="16"/>
        </w:rPr>
      </w:pPr>
      <w:r w:rsidRPr="00BB104D">
        <w:rPr>
          <w:rStyle w:val="Znakapoznpodarou"/>
          <w:sz w:val="16"/>
          <w:szCs w:val="16"/>
        </w:rPr>
        <w:footnoteRef/>
      </w:r>
      <w:r w:rsidRPr="00BB104D">
        <w:rPr>
          <w:sz w:val="16"/>
          <w:szCs w:val="16"/>
        </w:rPr>
        <w:t xml:space="preserve"> Míra úspor nefinančních podniků je definována jako podíl hrubých úspor k hrubé přidané hodnotě (B.8g/B.1g)</w:t>
      </w:r>
      <w:r>
        <w:rPr>
          <w:sz w:val="16"/>
          <w:szCs w:val="16"/>
        </w:rPr>
        <w:t>.</w:t>
      </w:r>
    </w:p>
  </w:footnote>
  <w:footnote w:id="19">
    <w:p w14:paraId="792DB4D2" w14:textId="1F1D3A0B" w:rsidR="00B606BE" w:rsidRPr="000006D0" w:rsidRDefault="00B606BE" w:rsidP="000979EC">
      <w:pPr>
        <w:pStyle w:val="Textpoznpodarou"/>
        <w:rPr>
          <w:sz w:val="16"/>
          <w:szCs w:val="16"/>
        </w:rPr>
      </w:pPr>
      <w:r w:rsidRPr="000006D0">
        <w:rPr>
          <w:rStyle w:val="Znakapoznpodarou"/>
          <w:sz w:val="16"/>
          <w:szCs w:val="16"/>
        </w:rPr>
        <w:footnoteRef/>
      </w:r>
      <w:r w:rsidRPr="000006D0">
        <w:rPr>
          <w:sz w:val="16"/>
          <w:szCs w:val="16"/>
        </w:rPr>
        <w:t xml:space="preserve"> Průměr posledních deseti let (2010–2019) činil 25,0</w:t>
      </w:r>
      <w:r>
        <w:rPr>
          <w:sz w:val="16"/>
          <w:szCs w:val="16"/>
        </w:rPr>
        <w:t> %</w:t>
      </w:r>
      <w:r w:rsidRPr="000006D0">
        <w:rPr>
          <w:sz w:val="16"/>
          <w:szCs w:val="16"/>
        </w:rPr>
        <w:t>, za období 2005–2019 to bylo 25,7</w:t>
      </w:r>
      <w:r>
        <w:rPr>
          <w:sz w:val="16"/>
          <w:szCs w:val="16"/>
        </w:rPr>
        <w:t> %</w:t>
      </w:r>
      <w:r w:rsidRPr="000006D0">
        <w:rPr>
          <w:sz w:val="16"/>
          <w:szCs w:val="16"/>
        </w:rPr>
        <w:t>.</w:t>
      </w:r>
    </w:p>
  </w:footnote>
  <w:footnote w:id="20">
    <w:p w14:paraId="697EC436" w14:textId="5A525B7A" w:rsidR="00B606BE" w:rsidRPr="00E364BB" w:rsidRDefault="00B606BE" w:rsidP="000979EC">
      <w:pPr>
        <w:autoSpaceDE w:val="0"/>
        <w:autoSpaceDN w:val="0"/>
        <w:adjustRightInd w:val="0"/>
        <w:spacing w:after="0" w:line="240" w:lineRule="auto"/>
        <w:jc w:val="left"/>
        <w:rPr>
          <w:rFonts w:eastAsiaTheme="minorHAnsi" w:cs="Arial"/>
          <w:iCs/>
          <w:sz w:val="16"/>
          <w:szCs w:val="16"/>
          <w:lang w:eastAsia="en-US"/>
        </w:rPr>
      </w:pPr>
      <w:r w:rsidRPr="00F675EC">
        <w:rPr>
          <w:rStyle w:val="Znakapoznpodarou"/>
          <w:rFonts w:cs="Arial"/>
          <w:sz w:val="16"/>
          <w:szCs w:val="16"/>
        </w:rPr>
        <w:footnoteRef/>
      </w:r>
      <w:r w:rsidRPr="00F675EC">
        <w:rPr>
          <w:rFonts w:cs="Arial"/>
          <w:sz w:val="16"/>
          <w:szCs w:val="16"/>
        </w:rPr>
        <w:t xml:space="preserve"> </w:t>
      </w:r>
      <w:r w:rsidRPr="00F675EC">
        <w:rPr>
          <w:rFonts w:eastAsiaTheme="minorHAnsi" w:cs="Arial"/>
          <w:bCs/>
          <w:iCs/>
          <w:sz w:val="16"/>
          <w:szCs w:val="16"/>
          <w:lang w:eastAsia="en-US"/>
        </w:rPr>
        <w:t xml:space="preserve">Míra investic nefinančních podniků </w:t>
      </w:r>
      <w:r w:rsidRPr="00F675EC">
        <w:rPr>
          <w:rFonts w:eastAsiaTheme="minorHAnsi" w:cs="Arial"/>
          <w:iCs/>
          <w:sz w:val="16"/>
          <w:szCs w:val="16"/>
          <w:lang w:eastAsia="en-US"/>
        </w:rPr>
        <w:t>je definována jako podíl hrubé tvorby fixního kapitálu k</w:t>
      </w:r>
      <w:r>
        <w:rPr>
          <w:rFonts w:eastAsiaTheme="minorHAnsi" w:cs="Arial"/>
          <w:iCs/>
          <w:sz w:val="16"/>
          <w:szCs w:val="16"/>
          <w:lang w:eastAsia="en-US"/>
        </w:rPr>
        <w:t> </w:t>
      </w:r>
      <w:r w:rsidRPr="00F675EC">
        <w:rPr>
          <w:rFonts w:eastAsiaTheme="minorHAnsi" w:cs="Arial"/>
          <w:iCs/>
          <w:sz w:val="16"/>
          <w:szCs w:val="16"/>
          <w:lang w:eastAsia="en-US"/>
        </w:rPr>
        <w:t>hrubé přidané</w:t>
      </w:r>
      <w:r>
        <w:rPr>
          <w:rFonts w:eastAsiaTheme="minorHAnsi" w:cs="Arial"/>
          <w:iCs/>
          <w:sz w:val="16"/>
          <w:szCs w:val="16"/>
          <w:lang w:eastAsia="en-US"/>
        </w:rPr>
        <w:t xml:space="preserve"> </w:t>
      </w:r>
      <w:r w:rsidRPr="00F675EC">
        <w:rPr>
          <w:rFonts w:eastAsiaTheme="minorHAnsi" w:cs="Arial"/>
          <w:iCs/>
          <w:sz w:val="16"/>
          <w:szCs w:val="16"/>
          <w:lang w:eastAsia="en-US"/>
        </w:rPr>
        <w:t>hodnotě (P.51g/B.1g).</w:t>
      </w:r>
    </w:p>
  </w:footnote>
  <w:footnote w:id="21">
    <w:p w14:paraId="3F3A496C" w14:textId="12AF02B4" w:rsidR="00B606BE" w:rsidRPr="00BB104D" w:rsidRDefault="00B606BE" w:rsidP="000979EC">
      <w:pPr>
        <w:pStyle w:val="Textpoznpodarou"/>
        <w:rPr>
          <w:sz w:val="16"/>
          <w:szCs w:val="16"/>
        </w:rPr>
      </w:pPr>
      <w:r w:rsidRPr="00BB104D">
        <w:rPr>
          <w:rStyle w:val="Znakapoznpodarou"/>
          <w:sz w:val="16"/>
          <w:szCs w:val="16"/>
        </w:rPr>
        <w:footnoteRef/>
      </w:r>
      <w:r w:rsidRPr="00BB104D">
        <w:rPr>
          <w:sz w:val="16"/>
          <w:szCs w:val="16"/>
        </w:rPr>
        <w:t xml:space="preserve"> Míra samofinancování nefinančních podniků je definována jako podíl hrubých úspor k hrubé tvorbě fixního kapitálu (B.8g/P.51g)</w:t>
      </w:r>
      <w:r>
        <w:rPr>
          <w:sz w:val="16"/>
          <w:szCs w:val="16"/>
        </w:rPr>
        <w:t>.</w:t>
      </w:r>
    </w:p>
  </w:footnote>
  <w:footnote w:id="22">
    <w:p w14:paraId="3A1F8D1A" w14:textId="1C5EC383" w:rsidR="00B606BE" w:rsidRPr="00E446A2" w:rsidRDefault="00B606BE" w:rsidP="000979EC">
      <w:pPr>
        <w:pStyle w:val="Textpoznpodarou"/>
        <w:rPr>
          <w:sz w:val="16"/>
          <w:szCs w:val="16"/>
        </w:rPr>
      </w:pPr>
      <w:r w:rsidRPr="00E446A2">
        <w:rPr>
          <w:rStyle w:val="Znakapoznpodarou"/>
          <w:sz w:val="16"/>
          <w:szCs w:val="16"/>
        </w:rPr>
        <w:footnoteRef/>
      </w:r>
      <w:r w:rsidRPr="00E446A2">
        <w:rPr>
          <w:sz w:val="16"/>
          <w:szCs w:val="16"/>
        </w:rPr>
        <w:t xml:space="preserve"> Podíl hrubých provozních nákladů </w:t>
      </w:r>
      <w:r>
        <w:rPr>
          <w:sz w:val="16"/>
          <w:szCs w:val="16"/>
        </w:rPr>
        <w:t>plus </w:t>
      </w:r>
      <w:r w:rsidRPr="00E446A2">
        <w:rPr>
          <w:sz w:val="16"/>
          <w:szCs w:val="16"/>
        </w:rPr>
        <w:t xml:space="preserve">smíšeného důchodu </w:t>
      </w:r>
      <w:r>
        <w:rPr>
          <w:sz w:val="16"/>
          <w:szCs w:val="16"/>
        </w:rPr>
        <w:t>n</w:t>
      </w:r>
      <w:r w:rsidRPr="00E446A2">
        <w:rPr>
          <w:sz w:val="16"/>
          <w:szCs w:val="16"/>
        </w:rPr>
        <w:t>a</w:t>
      </w:r>
      <w:r>
        <w:rPr>
          <w:sz w:val="16"/>
          <w:szCs w:val="16"/>
        </w:rPr>
        <w:t> </w:t>
      </w:r>
      <w:r w:rsidRPr="00E446A2">
        <w:rPr>
          <w:sz w:val="16"/>
          <w:szCs w:val="16"/>
        </w:rPr>
        <w:t>hrubé přidané hodnot</w:t>
      </w:r>
      <w:r>
        <w:rPr>
          <w:sz w:val="16"/>
          <w:szCs w:val="16"/>
        </w:rPr>
        <w:t>ě</w:t>
      </w:r>
      <w:r w:rsidRPr="00E446A2">
        <w:rPr>
          <w:sz w:val="16"/>
          <w:szCs w:val="16"/>
        </w:rPr>
        <w:t xml:space="preserve"> ((B.2g+B.3g)/B.1g)</w:t>
      </w:r>
      <w:r>
        <w:rPr>
          <w:sz w:val="16"/>
          <w:szCs w:val="16"/>
        </w:rPr>
        <w:t>.</w:t>
      </w:r>
    </w:p>
  </w:footnote>
  <w:footnote w:id="23">
    <w:p w14:paraId="6774E241" w14:textId="5353EAC9" w:rsidR="00B606BE" w:rsidRPr="00E446A2" w:rsidRDefault="00B606BE" w:rsidP="000979EC">
      <w:pPr>
        <w:pStyle w:val="Textpoznpodarou"/>
        <w:rPr>
          <w:sz w:val="16"/>
          <w:szCs w:val="16"/>
        </w:rPr>
      </w:pPr>
      <w:r w:rsidRPr="00E446A2">
        <w:rPr>
          <w:rStyle w:val="Znakapoznpodarou"/>
          <w:sz w:val="16"/>
          <w:szCs w:val="16"/>
        </w:rPr>
        <w:footnoteRef/>
      </w:r>
      <w:r w:rsidRPr="00E446A2">
        <w:rPr>
          <w:sz w:val="16"/>
          <w:szCs w:val="16"/>
        </w:rPr>
        <w:t xml:space="preserve"> HPH v</w:t>
      </w:r>
      <w:r>
        <w:rPr>
          <w:sz w:val="16"/>
          <w:szCs w:val="16"/>
        </w:rPr>
        <w:t> </w:t>
      </w:r>
      <w:r w:rsidRPr="00E446A2">
        <w:rPr>
          <w:sz w:val="16"/>
          <w:szCs w:val="16"/>
        </w:rPr>
        <w:t>sekci klasifikace NACE Peněžnictví a</w:t>
      </w:r>
      <w:r>
        <w:rPr>
          <w:sz w:val="16"/>
          <w:szCs w:val="16"/>
        </w:rPr>
        <w:t> </w:t>
      </w:r>
      <w:r w:rsidRPr="00E446A2">
        <w:rPr>
          <w:sz w:val="16"/>
          <w:szCs w:val="16"/>
        </w:rPr>
        <w:t>pojišťovnictví z 96,7</w:t>
      </w:r>
      <w:r>
        <w:rPr>
          <w:sz w:val="16"/>
          <w:szCs w:val="16"/>
        </w:rPr>
        <w:t> %</w:t>
      </w:r>
      <w:r w:rsidRPr="00E446A2">
        <w:rPr>
          <w:sz w:val="16"/>
          <w:szCs w:val="16"/>
        </w:rPr>
        <w:t xml:space="preserve"> tvořily finanční instituce, domácnosti </w:t>
      </w:r>
      <w:r>
        <w:rPr>
          <w:sz w:val="16"/>
          <w:szCs w:val="16"/>
        </w:rPr>
        <w:t xml:space="preserve">představovaly </w:t>
      </w:r>
      <w:r w:rsidRPr="00E446A2">
        <w:rPr>
          <w:sz w:val="16"/>
          <w:szCs w:val="16"/>
        </w:rPr>
        <w:t>2,9</w:t>
      </w:r>
      <w:r>
        <w:rPr>
          <w:sz w:val="16"/>
          <w:szCs w:val="16"/>
        </w:rPr>
        <w:t> %</w:t>
      </w:r>
      <w:r w:rsidRPr="00E446A2">
        <w:rPr>
          <w:sz w:val="16"/>
          <w:szCs w:val="16"/>
        </w:rPr>
        <w:t xml:space="preserve"> a</w:t>
      </w:r>
      <w:r>
        <w:rPr>
          <w:sz w:val="16"/>
          <w:szCs w:val="16"/>
        </w:rPr>
        <w:t> </w:t>
      </w:r>
      <w:r w:rsidRPr="00E446A2">
        <w:rPr>
          <w:sz w:val="16"/>
          <w:szCs w:val="16"/>
        </w:rPr>
        <w:t>malou část (0,4</w:t>
      </w:r>
      <w:r>
        <w:rPr>
          <w:sz w:val="16"/>
          <w:szCs w:val="16"/>
        </w:rPr>
        <w:t> %</w:t>
      </w:r>
      <w:r w:rsidRPr="00E446A2">
        <w:rPr>
          <w:sz w:val="16"/>
          <w:szCs w:val="16"/>
        </w:rPr>
        <w:t>) vládní instituce.</w:t>
      </w:r>
    </w:p>
  </w:footnote>
  <w:footnote w:id="24">
    <w:p w14:paraId="0A18C037" w14:textId="07131848" w:rsidR="00B606BE" w:rsidRPr="00A544C7" w:rsidRDefault="00B606BE" w:rsidP="000979EC">
      <w:pPr>
        <w:pStyle w:val="Textpoznpodarou"/>
        <w:rPr>
          <w:sz w:val="16"/>
          <w:szCs w:val="16"/>
        </w:rPr>
      </w:pPr>
      <w:r w:rsidRPr="00A544C7">
        <w:rPr>
          <w:rStyle w:val="Znakapoznpodarou"/>
          <w:sz w:val="16"/>
          <w:szCs w:val="16"/>
        </w:rPr>
        <w:footnoteRef/>
      </w:r>
      <w:r w:rsidRPr="00A544C7">
        <w:rPr>
          <w:sz w:val="16"/>
          <w:szCs w:val="16"/>
        </w:rPr>
        <w:t xml:space="preserve"> V loňském roce došlo k několika snížením měnověpolitických sazeb, na které jsou navázány i</w:t>
      </w:r>
      <w:r>
        <w:rPr>
          <w:sz w:val="16"/>
          <w:szCs w:val="16"/>
        </w:rPr>
        <w:t> </w:t>
      </w:r>
      <w:r w:rsidRPr="00A544C7">
        <w:rPr>
          <w:sz w:val="16"/>
          <w:szCs w:val="16"/>
        </w:rPr>
        <w:t>úrokové sazby na mezibankovním trhu. Zvýšení úroků z úvěrů bylo patrné spíše u</w:t>
      </w:r>
      <w:r>
        <w:rPr>
          <w:sz w:val="16"/>
          <w:szCs w:val="16"/>
        </w:rPr>
        <w:t> </w:t>
      </w:r>
      <w:r w:rsidRPr="00A544C7">
        <w:rPr>
          <w:sz w:val="16"/>
          <w:szCs w:val="16"/>
        </w:rPr>
        <w:t>firemních půjček, ale nebylo příliš výrazné. Výdajovou stranu ale ovlivnil prudký nárůst prostředků na termínovaných vkladech, kde se úročení zvyšovalo už v roce 2018.</w:t>
      </w:r>
      <w:r>
        <w:rPr>
          <w:sz w:val="16"/>
          <w:szCs w:val="16"/>
        </w:rPr>
        <w:t xml:space="preserve"> To vše vedlo k nerovnoměrnému nárůstu úroků na straně zdrojů a užití.</w:t>
      </w:r>
    </w:p>
  </w:footnote>
  <w:footnote w:id="25">
    <w:p w14:paraId="7292C755" w14:textId="08D1C307" w:rsidR="00B606BE" w:rsidRPr="00E446A2" w:rsidRDefault="00B606BE" w:rsidP="000979EC">
      <w:pPr>
        <w:pStyle w:val="Textpoznpodarou"/>
        <w:rPr>
          <w:sz w:val="16"/>
          <w:szCs w:val="16"/>
        </w:rPr>
      </w:pPr>
      <w:r w:rsidRPr="00E446A2">
        <w:rPr>
          <w:rStyle w:val="Znakapoznpodarou"/>
          <w:sz w:val="16"/>
          <w:szCs w:val="16"/>
        </w:rPr>
        <w:footnoteRef/>
      </w:r>
      <w:r w:rsidRPr="00E446A2">
        <w:rPr>
          <w:sz w:val="16"/>
          <w:szCs w:val="16"/>
        </w:rPr>
        <w:t xml:space="preserve"> Největší část tvoří položka D.441 Důchody z investic přisouzené pojistníkům. Další jsou D.442 Důchody z investic na základě penzijních nároků a</w:t>
      </w:r>
      <w:r>
        <w:rPr>
          <w:sz w:val="16"/>
          <w:szCs w:val="16"/>
        </w:rPr>
        <w:t> </w:t>
      </w:r>
      <w:r w:rsidRPr="00E446A2">
        <w:rPr>
          <w:sz w:val="16"/>
          <w:szCs w:val="16"/>
        </w:rPr>
        <w:t>D.443 Důchody z investic přisouzené podílníkům investičních fondů.</w:t>
      </w:r>
    </w:p>
  </w:footnote>
  <w:footnote w:id="26">
    <w:p w14:paraId="03F6016B" w14:textId="77777777" w:rsidR="00B606BE" w:rsidRPr="00E446A2" w:rsidRDefault="00B606BE" w:rsidP="000979EC">
      <w:pPr>
        <w:pStyle w:val="Textpoznpodarou"/>
        <w:rPr>
          <w:sz w:val="16"/>
          <w:szCs w:val="16"/>
        </w:rPr>
      </w:pPr>
      <w:r w:rsidRPr="00E446A2">
        <w:rPr>
          <w:rStyle w:val="Znakapoznpodarou"/>
          <w:sz w:val="16"/>
          <w:szCs w:val="16"/>
        </w:rPr>
        <w:footnoteRef/>
      </w:r>
      <w:r w:rsidRPr="00E446A2">
        <w:rPr>
          <w:sz w:val="16"/>
          <w:szCs w:val="16"/>
        </w:rPr>
        <w:t xml:space="preserve"> Podíl tvorby hrubého fixního kapitálu na hrubé přidané hodnotě</w:t>
      </w:r>
      <w:r>
        <w:rPr>
          <w:sz w:val="16"/>
          <w:szCs w:val="16"/>
        </w:rPr>
        <w:t xml:space="preserve"> (P.51g/B.1g)</w:t>
      </w:r>
      <w:r w:rsidRPr="00E446A2">
        <w:rPr>
          <w:sz w:val="16"/>
          <w:szCs w:val="16"/>
        </w:rPr>
        <w:t>.</w:t>
      </w:r>
    </w:p>
  </w:footnote>
  <w:footnote w:id="27">
    <w:p w14:paraId="0FA10AF7" w14:textId="273B6587" w:rsidR="00B606BE" w:rsidRPr="004439E5" w:rsidRDefault="00B606BE" w:rsidP="000979EC">
      <w:pPr>
        <w:pStyle w:val="Textpoznpodarou"/>
        <w:rPr>
          <w:sz w:val="16"/>
          <w:szCs w:val="16"/>
        </w:rPr>
      </w:pPr>
      <w:r w:rsidRPr="004439E5">
        <w:rPr>
          <w:rStyle w:val="Znakapoznpodarou"/>
          <w:sz w:val="16"/>
          <w:szCs w:val="16"/>
        </w:rPr>
        <w:footnoteRef/>
      </w:r>
      <w:r w:rsidRPr="004439E5">
        <w:rPr>
          <w:sz w:val="16"/>
          <w:szCs w:val="16"/>
        </w:rPr>
        <w:t xml:space="preserve"> V letech 2017 a</w:t>
      </w:r>
      <w:r>
        <w:rPr>
          <w:sz w:val="16"/>
          <w:szCs w:val="16"/>
        </w:rPr>
        <w:t> </w:t>
      </w:r>
      <w:r w:rsidRPr="004439E5">
        <w:rPr>
          <w:sz w:val="16"/>
          <w:szCs w:val="16"/>
        </w:rPr>
        <w:t>2018 ztráta dosáhla 171,9</w:t>
      </w:r>
      <w:r>
        <w:rPr>
          <w:sz w:val="16"/>
          <w:szCs w:val="16"/>
        </w:rPr>
        <w:t xml:space="preserve"> </w:t>
      </w:r>
      <w:r w:rsidRPr="004439E5">
        <w:rPr>
          <w:sz w:val="16"/>
          <w:szCs w:val="16"/>
        </w:rPr>
        <w:t>a</w:t>
      </w:r>
      <w:r>
        <w:rPr>
          <w:sz w:val="16"/>
          <w:szCs w:val="16"/>
        </w:rPr>
        <w:t> </w:t>
      </w:r>
      <w:r w:rsidRPr="004439E5">
        <w:rPr>
          <w:sz w:val="16"/>
          <w:szCs w:val="16"/>
        </w:rPr>
        <w:t>377,6</w:t>
      </w:r>
      <w:r>
        <w:rPr>
          <w:sz w:val="16"/>
          <w:szCs w:val="16"/>
        </w:rPr>
        <w:t> mld.</w:t>
      </w:r>
      <w:r w:rsidRPr="004439E5">
        <w:rPr>
          <w:sz w:val="16"/>
          <w:szCs w:val="16"/>
        </w:rPr>
        <w:t xml:space="preserve"> korun.</w:t>
      </w:r>
    </w:p>
  </w:footnote>
  <w:footnote w:id="28">
    <w:p w14:paraId="302E55D6" w14:textId="7189E1AD" w:rsidR="00B606BE" w:rsidRPr="008B5600" w:rsidRDefault="00B606BE" w:rsidP="000979EC">
      <w:pPr>
        <w:pStyle w:val="Textpoznpodarou"/>
        <w:rPr>
          <w:sz w:val="16"/>
          <w:szCs w:val="16"/>
        </w:rPr>
      </w:pPr>
      <w:r w:rsidRPr="008B5600">
        <w:rPr>
          <w:rStyle w:val="Znakapoznpodarou"/>
          <w:sz w:val="16"/>
          <w:szCs w:val="16"/>
        </w:rPr>
        <w:footnoteRef/>
      </w:r>
      <w:r w:rsidRPr="008B5600">
        <w:rPr>
          <w:sz w:val="16"/>
          <w:szCs w:val="16"/>
        </w:rPr>
        <w:t xml:space="preserve"> EU27 bez </w:t>
      </w:r>
      <w:r>
        <w:rPr>
          <w:sz w:val="16"/>
          <w:szCs w:val="16"/>
        </w:rPr>
        <w:t>V</w:t>
      </w:r>
      <w:r w:rsidRPr="008B5600">
        <w:rPr>
          <w:sz w:val="16"/>
          <w:szCs w:val="16"/>
        </w:rPr>
        <w:t>elké Británie</w:t>
      </w:r>
    </w:p>
  </w:footnote>
  <w:footnote w:id="29">
    <w:p w14:paraId="7C9FBDBE" w14:textId="5FBFFB97" w:rsidR="00B606BE" w:rsidRPr="0026119B" w:rsidRDefault="00B606BE" w:rsidP="000979EC">
      <w:pPr>
        <w:pStyle w:val="Textpoznpodarou"/>
        <w:rPr>
          <w:sz w:val="16"/>
          <w:szCs w:val="16"/>
        </w:rPr>
      </w:pPr>
      <w:r w:rsidRPr="0026119B">
        <w:rPr>
          <w:rStyle w:val="Znakapoznpodarou"/>
          <w:sz w:val="16"/>
          <w:szCs w:val="16"/>
        </w:rPr>
        <w:footnoteRef/>
      </w:r>
      <w:r w:rsidRPr="0026119B">
        <w:rPr>
          <w:sz w:val="16"/>
          <w:szCs w:val="16"/>
        </w:rPr>
        <w:t xml:space="preserve"> Zejména daně ze znečištění, konkrétně emisní povolenky. Jejich cena prudce narostla již v roce 2018, kdy došlo k omezení množství povolenek na trhu</w:t>
      </w:r>
      <w:r>
        <w:rPr>
          <w:sz w:val="16"/>
          <w:szCs w:val="16"/>
        </w:rPr>
        <w:t xml:space="preserve"> s nimi</w:t>
      </w:r>
      <w:r w:rsidRPr="0026119B">
        <w:rPr>
          <w:sz w:val="16"/>
          <w:szCs w:val="16"/>
        </w:rPr>
        <w:t>, což byl také jeden z důvodů tehdejšího zdražení elektřiny.</w:t>
      </w:r>
    </w:p>
  </w:footnote>
  <w:footnote w:id="30">
    <w:p w14:paraId="173F1B69" w14:textId="77777777" w:rsidR="00B606BE" w:rsidRPr="00233DA3" w:rsidRDefault="00B606BE" w:rsidP="000979EC">
      <w:pPr>
        <w:pStyle w:val="Textpoznpodarou"/>
        <w:rPr>
          <w:sz w:val="16"/>
          <w:szCs w:val="16"/>
        </w:rPr>
      </w:pPr>
      <w:r w:rsidRPr="00233DA3">
        <w:rPr>
          <w:rStyle w:val="Znakapoznpodarou"/>
          <w:sz w:val="16"/>
          <w:szCs w:val="16"/>
        </w:rPr>
        <w:footnoteRef/>
      </w:r>
      <w:r w:rsidRPr="00233DA3">
        <w:rPr>
          <w:sz w:val="16"/>
          <w:szCs w:val="16"/>
        </w:rPr>
        <w:t xml:space="preserve"> Zahrnuje především zdravotní pojišťovny.</w:t>
      </w:r>
    </w:p>
  </w:footnote>
  <w:footnote w:id="31">
    <w:p w14:paraId="6B0B4882" w14:textId="55EA81E9" w:rsidR="00B606BE" w:rsidRPr="00EF6D28" w:rsidRDefault="00B606BE" w:rsidP="000979EC">
      <w:pPr>
        <w:pStyle w:val="Textpoznpodarou"/>
        <w:rPr>
          <w:sz w:val="16"/>
          <w:szCs w:val="16"/>
        </w:rPr>
      </w:pPr>
      <w:r w:rsidRPr="00EF6D28">
        <w:rPr>
          <w:rStyle w:val="Znakapoznpodarou"/>
          <w:sz w:val="16"/>
          <w:szCs w:val="16"/>
        </w:rPr>
        <w:footnoteRef/>
      </w:r>
      <w:r w:rsidRPr="00EF6D28">
        <w:rPr>
          <w:sz w:val="16"/>
          <w:szCs w:val="16"/>
        </w:rPr>
        <w:t xml:space="preserve"> </w:t>
      </w:r>
      <w:r>
        <w:rPr>
          <w:sz w:val="16"/>
          <w:szCs w:val="16"/>
        </w:rPr>
        <w:t>Okolo 170 mld. se přírůstek držel i v letech 2017 a 2018</w:t>
      </w:r>
      <w:r w:rsidRPr="00EF6D28">
        <w:rPr>
          <w:sz w:val="16"/>
          <w:szCs w:val="16"/>
        </w:rPr>
        <w:t>.</w:t>
      </w:r>
      <w:r>
        <w:rPr>
          <w:sz w:val="16"/>
          <w:szCs w:val="16"/>
        </w:rPr>
        <w:t xml:space="preserve"> V roce 2018 byl nárůst nejvyšší, a to 171,8 mld.</w:t>
      </w:r>
    </w:p>
  </w:footnote>
  <w:footnote w:id="32">
    <w:p w14:paraId="2AE99A5D" w14:textId="78C5D6DC" w:rsidR="00B606BE" w:rsidRPr="00202B22" w:rsidRDefault="00B606BE" w:rsidP="000979EC">
      <w:pPr>
        <w:pStyle w:val="Textpoznpodarou"/>
        <w:rPr>
          <w:sz w:val="16"/>
          <w:szCs w:val="16"/>
        </w:rPr>
      </w:pPr>
      <w:r w:rsidRPr="00202B22">
        <w:rPr>
          <w:rStyle w:val="Znakapoznpodarou"/>
          <w:sz w:val="16"/>
          <w:szCs w:val="16"/>
        </w:rPr>
        <w:footnoteRef/>
      </w:r>
      <w:r w:rsidRPr="00202B22">
        <w:rPr>
          <w:sz w:val="16"/>
          <w:szCs w:val="16"/>
        </w:rPr>
        <w:t xml:space="preserve"> </w:t>
      </w:r>
      <w:r>
        <w:rPr>
          <w:sz w:val="16"/>
          <w:szCs w:val="16"/>
        </w:rPr>
        <w:t xml:space="preserve">Reálný růst hrubého disponibilního důchodu i vyplacených mezd a platů byl vypočítán </w:t>
      </w:r>
      <w:r w:rsidRPr="00202B22">
        <w:rPr>
          <w:sz w:val="16"/>
          <w:szCs w:val="16"/>
        </w:rPr>
        <w:t>pomocí deflátoru výdajů na spotřebu domácností.</w:t>
      </w:r>
    </w:p>
  </w:footnote>
  <w:footnote w:id="33">
    <w:p w14:paraId="5ED3B46E" w14:textId="64F47220" w:rsidR="00B606BE" w:rsidRDefault="00B606BE" w:rsidP="000979EC">
      <w:pPr>
        <w:pStyle w:val="Normlnweb"/>
        <w:spacing w:before="0" w:beforeAutospacing="0" w:after="0" w:afterAutospacing="0"/>
      </w:pPr>
      <w:r w:rsidRPr="002F08C0">
        <w:rPr>
          <w:rStyle w:val="Znakapoznpodarou"/>
          <w:rFonts w:ascii="Arial" w:hAnsi="Arial" w:cs="Arial"/>
          <w:sz w:val="16"/>
          <w:szCs w:val="16"/>
        </w:rPr>
        <w:footnoteRef/>
      </w:r>
      <w:r w:rsidRPr="002F08C0">
        <w:rPr>
          <w:rFonts w:ascii="Arial" w:hAnsi="Arial" w:cs="Arial"/>
          <w:sz w:val="16"/>
          <w:szCs w:val="16"/>
        </w:rPr>
        <w:t xml:space="preserve"> </w:t>
      </w:r>
      <w:r>
        <w:rPr>
          <w:rFonts w:ascii="Arial" w:hAnsi="Arial" w:cs="Arial"/>
          <w:sz w:val="16"/>
          <w:szCs w:val="16"/>
        </w:rPr>
        <w:t>Jde o transfery od vládních institucí nebo neziskových institucí sloužících domácnostem (NISD). P</w:t>
      </w:r>
      <w:r w:rsidRPr="002F08C0">
        <w:rPr>
          <w:rFonts w:ascii="Arial" w:hAnsi="Arial" w:cs="Arial"/>
          <w:sz w:val="16"/>
          <w:szCs w:val="16"/>
        </w:rPr>
        <w:t>ředstavují hodnotu zboží a</w:t>
      </w:r>
      <w:r>
        <w:rPr>
          <w:rFonts w:ascii="Arial" w:hAnsi="Arial" w:cs="Arial"/>
          <w:sz w:val="16"/>
          <w:szCs w:val="16"/>
        </w:rPr>
        <w:t> </w:t>
      </w:r>
      <w:r w:rsidRPr="002F08C0">
        <w:rPr>
          <w:rFonts w:ascii="Arial" w:hAnsi="Arial" w:cs="Arial"/>
          <w:sz w:val="16"/>
          <w:szCs w:val="16"/>
        </w:rPr>
        <w:t>služeb poskytnutých zejména ve formě zdravotní a</w:t>
      </w:r>
      <w:r>
        <w:rPr>
          <w:rFonts w:ascii="Arial" w:hAnsi="Arial" w:cs="Arial"/>
          <w:sz w:val="16"/>
          <w:szCs w:val="16"/>
        </w:rPr>
        <w:t> </w:t>
      </w:r>
      <w:r w:rsidRPr="002F08C0">
        <w:rPr>
          <w:rFonts w:ascii="Arial" w:hAnsi="Arial" w:cs="Arial"/>
          <w:sz w:val="16"/>
          <w:szCs w:val="16"/>
        </w:rPr>
        <w:t>sociální péče, vzdělání, bydlení.</w:t>
      </w:r>
    </w:p>
  </w:footnote>
  <w:footnote w:id="34">
    <w:p w14:paraId="7ABDC735" w14:textId="456B5231" w:rsidR="00B606BE" w:rsidRPr="00F32D34" w:rsidRDefault="00B606BE" w:rsidP="000979EC">
      <w:pPr>
        <w:pStyle w:val="Textpoznpodarou"/>
        <w:rPr>
          <w:sz w:val="16"/>
          <w:szCs w:val="16"/>
        </w:rPr>
      </w:pPr>
      <w:r w:rsidRPr="00F32D34">
        <w:rPr>
          <w:rStyle w:val="Znakapoznpodarou"/>
          <w:sz w:val="16"/>
          <w:szCs w:val="16"/>
        </w:rPr>
        <w:footnoteRef/>
      </w:r>
      <w:r w:rsidRPr="00F32D34">
        <w:rPr>
          <w:sz w:val="16"/>
          <w:szCs w:val="16"/>
        </w:rPr>
        <w:t xml:space="preserve"> Jde o</w:t>
      </w:r>
      <w:r>
        <w:rPr>
          <w:sz w:val="16"/>
          <w:szCs w:val="16"/>
        </w:rPr>
        <w:t> </w:t>
      </w:r>
      <w:r w:rsidRPr="00F32D34">
        <w:rPr>
          <w:sz w:val="16"/>
          <w:szCs w:val="16"/>
        </w:rPr>
        <w:t>součet hrubého disponibilního důchodu a</w:t>
      </w:r>
      <w:r>
        <w:rPr>
          <w:sz w:val="16"/>
          <w:szCs w:val="16"/>
        </w:rPr>
        <w:t> </w:t>
      </w:r>
      <w:r w:rsidRPr="00F32D34">
        <w:rPr>
          <w:sz w:val="16"/>
          <w:szCs w:val="16"/>
        </w:rPr>
        <w:t>naturálních sociálních transferů.</w:t>
      </w:r>
    </w:p>
  </w:footnote>
  <w:footnote w:id="35">
    <w:p w14:paraId="5D9047FE" w14:textId="77777777" w:rsidR="00B606BE" w:rsidRPr="00EB5544" w:rsidRDefault="00B606BE" w:rsidP="000979EC">
      <w:pPr>
        <w:pStyle w:val="Textpoznpodarou"/>
        <w:rPr>
          <w:sz w:val="16"/>
          <w:szCs w:val="16"/>
        </w:rPr>
      </w:pPr>
      <w:r w:rsidRPr="00EB5544">
        <w:rPr>
          <w:rStyle w:val="Znakapoznpodarou"/>
          <w:sz w:val="16"/>
          <w:szCs w:val="16"/>
        </w:rPr>
        <w:footnoteRef/>
      </w:r>
      <w:r w:rsidRPr="00EB5544">
        <w:rPr>
          <w:sz w:val="16"/>
          <w:szCs w:val="16"/>
        </w:rPr>
        <w:t xml:space="preserve"> Zachycuje příjmy z podnikání drobných podnikatelů zařazených do sektorů domácností</w:t>
      </w:r>
      <w:r>
        <w:rPr>
          <w:sz w:val="16"/>
          <w:szCs w:val="16"/>
        </w:rPr>
        <w:t>.</w:t>
      </w:r>
    </w:p>
  </w:footnote>
  <w:footnote w:id="36">
    <w:p w14:paraId="0326D257" w14:textId="158C0477" w:rsidR="00B606BE" w:rsidRPr="00EB5544" w:rsidRDefault="00B606BE" w:rsidP="000979EC">
      <w:pPr>
        <w:pStyle w:val="Textpoznpodarou"/>
        <w:rPr>
          <w:sz w:val="16"/>
          <w:szCs w:val="16"/>
        </w:rPr>
      </w:pPr>
      <w:r w:rsidRPr="00EB5544">
        <w:rPr>
          <w:rStyle w:val="Znakapoznpodarou"/>
          <w:sz w:val="16"/>
          <w:szCs w:val="16"/>
        </w:rPr>
        <w:footnoteRef/>
      </w:r>
      <w:r w:rsidRPr="00EB5544">
        <w:rPr>
          <w:sz w:val="16"/>
          <w:szCs w:val="16"/>
        </w:rPr>
        <w:t xml:space="preserve"> Zachycuje hodnotu produkce domácností pro vlastní spotřebu a</w:t>
      </w:r>
      <w:r>
        <w:rPr>
          <w:sz w:val="16"/>
          <w:szCs w:val="16"/>
        </w:rPr>
        <w:t> </w:t>
      </w:r>
      <w:r w:rsidRPr="00EB5544">
        <w:rPr>
          <w:sz w:val="16"/>
          <w:szCs w:val="16"/>
        </w:rPr>
        <w:t>rovněž imputované nájemné a</w:t>
      </w:r>
      <w:r>
        <w:rPr>
          <w:sz w:val="16"/>
          <w:szCs w:val="16"/>
        </w:rPr>
        <w:t> </w:t>
      </w:r>
      <w:r w:rsidRPr="00EB5544">
        <w:rPr>
          <w:sz w:val="16"/>
          <w:szCs w:val="16"/>
        </w:rPr>
        <w:t>poskytování služeb bydlení</w:t>
      </w:r>
      <w:r>
        <w:rPr>
          <w:sz w:val="16"/>
          <w:szCs w:val="16"/>
        </w:rPr>
        <w:t>.</w:t>
      </w:r>
    </w:p>
  </w:footnote>
  <w:footnote w:id="37">
    <w:p w14:paraId="035FF8C6" w14:textId="43241C06" w:rsidR="00B606BE" w:rsidRPr="002154E1" w:rsidRDefault="00B606BE" w:rsidP="000979EC">
      <w:pPr>
        <w:pStyle w:val="Textpoznpodarou"/>
        <w:rPr>
          <w:sz w:val="16"/>
          <w:szCs w:val="16"/>
        </w:rPr>
      </w:pPr>
      <w:r w:rsidRPr="002154E1">
        <w:rPr>
          <w:rStyle w:val="Znakapoznpodarou"/>
          <w:sz w:val="16"/>
          <w:szCs w:val="16"/>
        </w:rPr>
        <w:footnoteRef/>
      </w:r>
      <w:r w:rsidRPr="002154E1">
        <w:rPr>
          <w:sz w:val="16"/>
          <w:szCs w:val="16"/>
        </w:rPr>
        <w:t xml:space="preserve"> </w:t>
      </w:r>
      <w:r>
        <w:rPr>
          <w:sz w:val="16"/>
          <w:szCs w:val="16"/>
        </w:rPr>
        <w:t>Na straně zdrojů důchody z vlastnictví loni činily 173 mld. korun. J</w:t>
      </w:r>
      <w:r w:rsidRPr="002154E1">
        <w:rPr>
          <w:sz w:val="16"/>
          <w:szCs w:val="16"/>
        </w:rPr>
        <w:t>ejich saldo tvořilo 5,1</w:t>
      </w:r>
      <w:r>
        <w:rPr>
          <w:sz w:val="16"/>
          <w:szCs w:val="16"/>
        </w:rPr>
        <w:t> %</w:t>
      </w:r>
      <w:r w:rsidRPr="002154E1">
        <w:rPr>
          <w:sz w:val="16"/>
          <w:szCs w:val="16"/>
        </w:rPr>
        <w:t xml:space="preserve"> HDD</w:t>
      </w:r>
      <w:r>
        <w:rPr>
          <w:sz w:val="16"/>
          <w:szCs w:val="16"/>
        </w:rPr>
        <w:t>.</w:t>
      </w:r>
    </w:p>
  </w:footnote>
  <w:footnote w:id="38">
    <w:p w14:paraId="13D77B02" w14:textId="7D813E90" w:rsidR="00B606BE" w:rsidRPr="00E755AF" w:rsidRDefault="00B606BE" w:rsidP="000979EC">
      <w:pPr>
        <w:pStyle w:val="Textpoznpodarou"/>
        <w:rPr>
          <w:sz w:val="16"/>
          <w:szCs w:val="16"/>
        </w:rPr>
      </w:pPr>
      <w:r w:rsidRPr="00E755AF">
        <w:rPr>
          <w:rStyle w:val="Znakapoznpodarou"/>
          <w:sz w:val="16"/>
          <w:szCs w:val="16"/>
        </w:rPr>
        <w:footnoteRef/>
      </w:r>
      <w:r w:rsidRPr="00E755AF">
        <w:rPr>
          <w:sz w:val="16"/>
          <w:szCs w:val="16"/>
        </w:rPr>
        <w:t xml:space="preserve"> Sociální příspěvky po odečtení sociálních příspěvků zaměstnavatelů.</w:t>
      </w:r>
    </w:p>
  </w:footnote>
  <w:footnote w:id="39">
    <w:p w14:paraId="4C96B33D" w14:textId="1CC208F8" w:rsidR="00B606BE" w:rsidRPr="003D6F54" w:rsidRDefault="00B606BE" w:rsidP="000979EC">
      <w:pPr>
        <w:autoSpaceDE w:val="0"/>
        <w:autoSpaceDN w:val="0"/>
        <w:adjustRightInd w:val="0"/>
        <w:spacing w:after="0" w:line="240" w:lineRule="auto"/>
        <w:jc w:val="left"/>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3D6F54">
        <w:rPr>
          <w:rFonts w:eastAsia="Calibri" w:cs="Arial"/>
          <w:bCs/>
          <w:iCs/>
          <w:sz w:val="16"/>
          <w:szCs w:val="16"/>
          <w:lang w:eastAsia="en-US"/>
        </w:rPr>
        <w:t xml:space="preserve">Míra úspor domácností </w:t>
      </w:r>
      <w:r w:rsidRPr="003D6F54">
        <w:rPr>
          <w:rFonts w:eastAsia="Calibri" w:cs="Arial"/>
          <w:iCs/>
          <w:sz w:val="16"/>
          <w:szCs w:val="16"/>
          <w:lang w:eastAsia="en-US"/>
        </w:rPr>
        <w:t>je definována jako podíl hrubých úspor a</w:t>
      </w:r>
      <w:r>
        <w:rPr>
          <w:rFonts w:eastAsia="Calibri" w:cs="Arial"/>
          <w:iCs/>
          <w:sz w:val="16"/>
          <w:szCs w:val="16"/>
          <w:lang w:eastAsia="en-US"/>
        </w:rPr>
        <w:t> </w:t>
      </w:r>
      <w:r w:rsidRPr="003D6F54">
        <w:rPr>
          <w:rFonts w:eastAsia="Calibri" w:cs="Arial"/>
          <w:iCs/>
          <w:sz w:val="16"/>
          <w:szCs w:val="16"/>
          <w:lang w:eastAsia="en-US"/>
        </w:rPr>
        <w:t>hrubého disponibilního důchodu</w:t>
      </w:r>
      <w:r>
        <w:rPr>
          <w:rFonts w:eastAsia="Calibri" w:cs="Arial"/>
          <w:iCs/>
          <w:sz w:val="16"/>
          <w:szCs w:val="16"/>
          <w:lang w:eastAsia="en-US"/>
        </w:rPr>
        <w:t xml:space="preserve"> </w:t>
      </w:r>
      <w:r w:rsidRPr="003D6F54">
        <w:rPr>
          <w:rFonts w:eastAsia="Calibri" w:cs="Arial"/>
          <w:iCs/>
          <w:sz w:val="16"/>
          <w:szCs w:val="16"/>
          <w:lang w:eastAsia="en-US"/>
        </w:rPr>
        <w:t>se zahrnutím úpravy o</w:t>
      </w:r>
      <w:r>
        <w:rPr>
          <w:rFonts w:eastAsia="Calibri" w:cs="Arial"/>
          <w:iCs/>
          <w:sz w:val="16"/>
          <w:szCs w:val="16"/>
          <w:lang w:eastAsia="en-US"/>
        </w:rPr>
        <w:t> </w:t>
      </w:r>
      <w:r w:rsidRPr="003D6F54">
        <w:rPr>
          <w:rFonts w:eastAsia="Calibri" w:cs="Arial"/>
          <w:iCs/>
          <w:sz w:val="16"/>
          <w:szCs w:val="16"/>
          <w:lang w:eastAsia="en-US"/>
        </w:rPr>
        <w:t>čistý podíl domácností na rezervách penzijních fondů (B.8g/(B.6g+D.8)). Hrubé úspory</w:t>
      </w:r>
      <w:r>
        <w:rPr>
          <w:rFonts w:eastAsia="Calibri" w:cs="Arial"/>
          <w:iCs/>
          <w:sz w:val="16"/>
          <w:szCs w:val="16"/>
          <w:lang w:eastAsia="en-US"/>
        </w:rPr>
        <w:t xml:space="preserve"> </w:t>
      </w:r>
      <w:r w:rsidRPr="003D6F54">
        <w:rPr>
          <w:rFonts w:eastAsia="Calibri" w:cs="Arial"/>
          <w:iCs/>
          <w:sz w:val="16"/>
          <w:szCs w:val="16"/>
          <w:lang w:eastAsia="en-US"/>
        </w:rPr>
        <w:t>představují část hrubého disponibilního důchodu, který nebyl spotřebován ve formě výdajů na konečnou</w:t>
      </w:r>
      <w:r>
        <w:rPr>
          <w:rFonts w:eastAsia="Calibri" w:cs="Arial"/>
          <w:iCs/>
          <w:sz w:val="16"/>
          <w:szCs w:val="16"/>
          <w:lang w:eastAsia="en-US"/>
        </w:rPr>
        <w:t xml:space="preserve"> </w:t>
      </w:r>
      <w:r w:rsidRPr="003D6F54">
        <w:rPr>
          <w:rFonts w:eastAsia="Calibri" w:cs="Arial"/>
          <w:iCs/>
          <w:sz w:val="16"/>
          <w:szCs w:val="16"/>
          <w:lang w:eastAsia="en-US"/>
        </w:rPr>
        <w:t>spotřebu.</w:t>
      </w:r>
    </w:p>
  </w:footnote>
  <w:footnote w:id="40">
    <w:p w14:paraId="4C670C9B" w14:textId="46E19CBB" w:rsidR="00B606BE" w:rsidRPr="00406F21" w:rsidRDefault="00B606BE" w:rsidP="000979EC">
      <w:pPr>
        <w:pStyle w:val="Textpoznpodarou"/>
        <w:rPr>
          <w:sz w:val="16"/>
          <w:szCs w:val="16"/>
        </w:rPr>
      </w:pPr>
      <w:r w:rsidRPr="00406F21">
        <w:rPr>
          <w:rStyle w:val="Znakapoznpodarou"/>
          <w:sz w:val="16"/>
          <w:szCs w:val="16"/>
        </w:rPr>
        <w:footnoteRef/>
      </w:r>
      <w:r w:rsidRPr="00406F21">
        <w:rPr>
          <w:sz w:val="16"/>
          <w:szCs w:val="16"/>
        </w:rPr>
        <w:t xml:space="preserve"> Údaje o</w:t>
      </w:r>
      <w:r>
        <w:rPr>
          <w:sz w:val="16"/>
          <w:szCs w:val="16"/>
        </w:rPr>
        <w:t> </w:t>
      </w:r>
      <w:r w:rsidRPr="00406F21">
        <w:rPr>
          <w:sz w:val="16"/>
          <w:szCs w:val="16"/>
        </w:rPr>
        <w:t>spotřebě podle trvanlivosti i</w:t>
      </w:r>
      <w:r>
        <w:rPr>
          <w:sz w:val="16"/>
          <w:szCs w:val="16"/>
        </w:rPr>
        <w:t> </w:t>
      </w:r>
      <w:r w:rsidRPr="00406F21">
        <w:rPr>
          <w:sz w:val="16"/>
          <w:szCs w:val="16"/>
        </w:rPr>
        <w:t>účelové struktuře výdajů jsou v národním pojetí</w:t>
      </w:r>
      <w:r>
        <w:rPr>
          <w:sz w:val="16"/>
          <w:szCs w:val="16"/>
        </w:rPr>
        <w:t>.</w:t>
      </w:r>
    </w:p>
  </w:footnote>
  <w:footnote w:id="41">
    <w:p w14:paraId="285B6596" w14:textId="0B67967B" w:rsidR="00B606BE" w:rsidRPr="00406F21" w:rsidRDefault="00B606BE" w:rsidP="000979EC">
      <w:pPr>
        <w:pStyle w:val="Textpoznpodarou"/>
        <w:rPr>
          <w:sz w:val="16"/>
          <w:szCs w:val="16"/>
        </w:rPr>
      </w:pPr>
      <w:r w:rsidRPr="00406F21">
        <w:rPr>
          <w:rStyle w:val="Znakapoznpodarou"/>
          <w:sz w:val="16"/>
          <w:szCs w:val="16"/>
        </w:rPr>
        <w:footnoteRef/>
      </w:r>
      <w:r w:rsidRPr="00406F21">
        <w:rPr>
          <w:sz w:val="16"/>
          <w:szCs w:val="16"/>
        </w:rPr>
        <w:t xml:space="preserve"> Jedná se o</w:t>
      </w:r>
      <w:r>
        <w:rPr>
          <w:sz w:val="16"/>
          <w:szCs w:val="16"/>
        </w:rPr>
        <w:t> </w:t>
      </w:r>
      <w:r w:rsidRPr="00406F21">
        <w:rPr>
          <w:sz w:val="16"/>
          <w:szCs w:val="16"/>
        </w:rPr>
        <w:t>potraviny, nápoje, tabák, farmaceutické výrobky, pohonné hmoty, kosmetiku apod.</w:t>
      </w:r>
    </w:p>
  </w:footnote>
  <w:footnote w:id="42">
    <w:p w14:paraId="5554E5B6" w14:textId="540AAFBC" w:rsidR="00B606BE" w:rsidRPr="00406F21" w:rsidRDefault="00B606BE" w:rsidP="000979EC">
      <w:pPr>
        <w:pStyle w:val="Textpoznpodarou"/>
        <w:rPr>
          <w:sz w:val="16"/>
          <w:szCs w:val="16"/>
        </w:rPr>
      </w:pPr>
      <w:r w:rsidRPr="00406F21">
        <w:rPr>
          <w:rStyle w:val="Znakapoznpodarou"/>
          <w:sz w:val="16"/>
          <w:szCs w:val="16"/>
        </w:rPr>
        <w:footnoteRef/>
      </w:r>
      <w:r w:rsidRPr="00406F21">
        <w:rPr>
          <w:sz w:val="16"/>
          <w:szCs w:val="16"/>
        </w:rPr>
        <w:t xml:space="preserve"> Obecně jsou trvanliv</w:t>
      </w:r>
      <w:r>
        <w:rPr>
          <w:sz w:val="16"/>
          <w:szCs w:val="16"/>
        </w:rPr>
        <w:t>ými</w:t>
      </w:r>
      <w:r w:rsidRPr="00406F21">
        <w:rPr>
          <w:sz w:val="16"/>
          <w:szCs w:val="16"/>
        </w:rPr>
        <w:t xml:space="preserve"> statky ty, které lze používat opakovaně nebo kontinuálně po časové období jednoho roku a</w:t>
      </w:r>
      <w:r>
        <w:rPr>
          <w:sz w:val="16"/>
          <w:szCs w:val="16"/>
        </w:rPr>
        <w:t> </w:t>
      </w:r>
      <w:r w:rsidRPr="00406F21">
        <w:rPr>
          <w:sz w:val="16"/>
          <w:szCs w:val="16"/>
        </w:rPr>
        <w:t xml:space="preserve">více. </w:t>
      </w:r>
      <w:r>
        <w:rPr>
          <w:sz w:val="16"/>
          <w:szCs w:val="16"/>
        </w:rPr>
        <w:t>Dělí se na statky</w:t>
      </w:r>
      <w:r w:rsidRPr="00406F21">
        <w:rPr>
          <w:sz w:val="16"/>
          <w:szCs w:val="16"/>
        </w:rPr>
        <w:t xml:space="preserve"> dlouhodobé spotřeby</w:t>
      </w:r>
      <w:r>
        <w:rPr>
          <w:sz w:val="16"/>
          <w:szCs w:val="16"/>
        </w:rPr>
        <w:t xml:space="preserve">, kam se </w:t>
      </w:r>
      <w:r w:rsidRPr="00406F21">
        <w:rPr>
          <w:sz w:val="16"/>
          <w:szCs w:val="16"/>
        </w:rPr>
        <w:t>řadí mimo jiné motorová vozidla, nábytek, ledničky, pračky, hudební vybavení, počítačové vybavení či šperky</w:t>
      </w:r>
      <w:r>
        <w:rPr>
          <w:sz w:val="16"/>
          <w:szCs w:val="16"/>
        </w:rPr>
        <w:t>, a s</w:t>
      </w:r>
      <w:r w:rsidRPr="00406F21">
        <w:rPr>
          <w:sz w:val="16"/>
          <w:szCs w:val="16"/>
        </w:rPr>
        <w:t>třednědob</w:t>
      </w:r>
      <w:r>
        <w:rPr>
          <w:sz w:val="16"/>
          <w:szCs w:val="16"/>
        </w:rPr>
        <w:t>é spotřeby, které</w:t>
      </w:r>
      <w:r w:rsidRPr="00406F21">
        <w:rPr>
          <w:sz w:val="16"/>
          <w:szCs w:val="16"/>
        </w:rPr>
        <w:t xml:space="preserve"> zahrnuj</w:t>
      </w:r>
      <w:r>
        <w:rPr>
          <w:sz w:val="16"/>
          <w:szCs w:val="16"/>
        </w:rPr>
        <w:t>í</w:t>
      </w:r>
      <w:r w:rsidRPr="00406F21">
        <w:rPr>
          <w:sz w:val="16"/>
          <w:szCs w:val="16"/>
        </w:rPr>
        <w:t xml:space="preserve"> oblečení, obuv, potřeby v domácnosti, vybavení pro sport a</w:t>
      </w:r>
      <w:r>
        <w:rPr>
          <w:sz w:val="16"/>
          <w:szCs w:val="16"/>
        </w:rPr>
        <w:t> </w:t>
      </w:r>
      <w:r w:rsidRPr="00406F21">
        <w:rPr>
          <w:sz w:val="16"/>
          <w:szCs w:val="16"/>
        </w:rPr>
        <w:t>knihy.</w:t>
      </w:r>
    </w:p>
  </w:footnote>
  <w:footnote w:id="43">
    <w:p w14:paraId="34FD5621" w14:textId="1824BD6D" w:rsidR="00B606BE" w:rsidRPr="00147050" w:rsidRDefault="00B606BE" w:rsidP="000979EC">
      <w:pPr>
        <w:pStyle w:val="Textpoznpodarou"/>
        <w:rPr>
          <w:sz w:val="16"/>
          <w:szCs w:val="16"/>
        </w:rPr>
      </w:pPr>
      <w:r w:rsidRPr="00147050">
        <w:rPr>
          <w:rStyle w:val="Znakapoznpodarou"/>
          <w:sz w:val="16"/>
          <w:szCs w:val="16"/>
        </w:rPr>
        <w:footnoteRef/>
      </w:r>
      <w:r w:rsidRPr="00147050">
        <w:rPr>
          <w:sz w:val="16"/>
          <w:szCs w:val="16"/>
        </w:rPr>
        <w:t xml:space="preserve"> </w:t>
      </w:r>
      <w:r>
        <w:rPr>
          <w:sz w:val="16"/>
          <w:szCs w:val="16"/>
        </w:rPr>
        <w:t xml:space="preserve">Konjunkturální průzkumy ukazují pokles důvěry spotřebitelů již od druhé poloviny roku 2018. </w:t>
      </w:r>
      <w:r w:rsidRPr="00147050">
        <w:rPr>
          <w:sz w:val="16"/>
          <w:szCs w:val="16"/>
        </w:rPr>
        <w:t>Srovnání s vývojem maloobchodních tržeb</w:t>
      </w:r>
      <w:r>
        <w:rPr>
          <w:sz w:val="16"/>
          <w:szCs w:val="16"/>
        </w:rPr>
        <w:t xml:space="preserve"> pak</w:t>
      </w:r>
      <w:r w:rsidRPr="00147050">
        <w:rPr>
          <w:sz w:val="16"/>
          <w:szCs w:val="16"/>
        </w:rPr>
        <w:t xml:space="preserve"> tento sentiment</w:t>
      </w:r>
      <w:r>
        <w:rPr>
          <w:sz w:val="16"/>
          <w:szCs w:val="16"/>
        </w:rPr>
        <w:t xml:space="preserve"> domácností</w:t>
      </w:r>
      <w:r w:rsidRPr="00147050">
        <w:rPr>
          <w:sz w:val="16"/>
          <w:szCs w:val="16"/>
        </w:rPr>
        <w:t xml:space="preserve"> potvrzuje – zatímco obchod s motorovými vozidly loni spíše stagnoval, růst tržeb podporovaly výrobky</w:t>
      </w:r>
      <w:r>
        <w:rPr>
          <w:sz w:val="16"/>
          <w:szCs w:val="16"/>
        </w:rPr>
        <w:t xml:space="preserve"> pro domácnost, výrobky pro kulturu a rekreaci, počítačové a komunikační zařízení a podobně. Spotřebitelé tak své prostředky směřovali do služeb a jen části trvanlivého zboží.</w:t>
      </w:r>
    </w:p>
  </w:footnote>
  <w:footnote w:id="44">
    <w:p w14:paraId="75DDEFC0" w14:textId="6F2B6BAE" w:rsidR="00B606BE" w:rsidRPr="00D20875" w:rsidRDefault="00B606BE" w:rsidP="000979EC">
      <w:pPr>
        <w:autoSpaceDE w:val="0"/>
        <w:autoSpaceDN w:val="0"/>
        <w:adjustRightInd w:val="0"/>
        <w:spacing w:after="0" w:line="240" w:lineRule="auto"/>
        <w:jc w:val="left"/>
        <w:rPr>
          <w:rFonts w:cs="Arial"/>
          <w:sz w:val="16"/>
          <w:szCs w:val="16"/>
        </w:rPr>
      </w:pPr>
      <w:r w:rsidRPr="00D20875">
        <w:rPr>
          <w:rStyle w:val="Znakapoznpodarou"/>
          <w:rFonts w:cs="Arial"/>
          <w:sz w:val="16"/>
          <w:szCs w:val="16"/>
        </w:rPr>
        <w:footnoteRef/>
      </w:r>
      <w:r w:rsidRPr="00D20875">
        <w:rPr>
          <w:rFonts w:cs="Arial"/>
          <w:sz w:val="16"/>
          <w:szCs w:val="16"/>
        </w:rPr>
        <w:t xml:space="preserve"> </w:t>
      </w:r>
      <w:r w:rsidRPr="00D20875">
        <w:rPr>
          <w:rFonts w:eastAsia="Calibri" w:cs="Arial"/>
          <w:bCs/>
          <w:iCs/>
          <w:sz w:val="16"/>
          <w:szCs w:val="16"/>
          <w:lang w:eastAsia="en-US"/>
        </w:rPr>
        <w:t xml:space="preserve">Míra investic domácností </w:t>
      </w:r>
      <w:r w:rsidRPr="00D20875">
        <w:rPr>
          <w:rFonts w:eastAsia="Calibri" w:cs="Arial"/>
          <w:iCs/>
          <w:sz w:val="16"/>
          <w:szCs w:val="16"/>
          <w:lang w:eastAsia="en-US"/>
        </w:rPr>
        <w:t>je definována jako podíl hrubé tvorby fixního kapitálu k hrubému disponibilnímu důchodu se zahrnutím</w:t>
      </w:r>
      <w:r>
        <w:rPr>
          <w:rFonts w:eastAsia="Calibri" w:cs="Arial"/>
          <w:iCs/>
          <w:sz w:val="16"/>
          <w:szCs w:val="16"/>
          <w:lang w:eastAsia="en-US"/>
        </w:rPr>
        <w:t xml:space="preserve"> </w:t>
      </w:r>
      <w:r w:rsidRPr="00D20875">
        <w:rPr>
          <w:rFonts w:eastAsia="Calibri" w:cs="Arial"/>
          <w:iCs/>
          <w:sz w:val="16"/>
          <w:szCs w:val="16"/>
          <w:lang w:eastAsia="en-US"/>
        </w:rPr>
        <w:t>úpravy o</w:t>
      </w:r>
      <w:r>
        <w:rPr>
          <w:rFonts w:eastAsia="Calibri" w:cs="Arial"/>
          <w:iCs/>
          <w:sz w:val="16"/>
          <w:szCs w:val="16"/>
          <w:lang w:eastAsia="en-US"/>
        </w:rPr>
        <w:t> </w:t>
      </w:r>
      <w:r w:rsidRPr="00D20875">
        <w:rPr>
          <w:rFonts w:eastAsia="Calibri" w:cs="Arial"/>
          <w:iCs/>
          <w:sz w:val="16"/>
          <w:szCs w:val="16"/>
          <w:lang w:eastAsia="en-US"/>
        </w:rPr>
        <w:t>čistý podíl domácností na rezervách penzijních fondů (P.51g/B.6g</w:t>
      </w:r>
      <w:r w:rsidR="00976681">
        <w:rPr>
          <w:rFonts w:eastAsia="Calibri" w:cs="Arial"/>
          <w:iCs/>
          <w:sz w:val="16"/>
          <w:szCs w:val="16"/>
          <w:lang w:eastAsia="en-US"/>
        </w:rPr>
        <w:t>+</w:t>
      </w:r>
      <w:r w:rsidRPr="00D20875">
        <w:rPr>
          <w:rFonts w:eastAsia="Calibri" w:cs="Arial"/>
          <w:iCs/>
          <w:sz w:val="16"/>
          <w:szCs w:val="16"/>
          <w:lang w:eastAsia="en-US"/>
        </w:rPr>
        <w:t>D.8).</w:t>
      </w:r>
    </w:p>
  </w:footnote>
  <w:footnote w:id="45">
    <w:p w14:paraId="5E4388B1" w14:textId="73D06DF6" w:rsidR="00B606BE" w:rsidRPr="003C0B68" w:rsidRDefault="00B606BE" w:rsidP="000979EC">
      <w:pPr>
        <w:pStyle w:val="Textpoznpodarou"/>
        <w:rPr>
          <w:sz w:val="16"/>
          <w:szCs w:val="16"/>
        </w:rPr>
      </w:pPr>
      <w:r w:rsidRPr="003C0B68">
        <w:rPr>
          <w:rStyle w:val="Znakapoznpodarou"/>
          <w:sz w:val="16"/>
          <w:szCs w:val="16"/>
        </w:rPr>
        <w:footnoteRef/>
      </w:r>
      <w:r w:rsidRPr="003C0B68">
        <w:rPr>
          <w:sz w:val="16"/>
          <w:szCs w:val="16"/>
        </w:rPr>
        <w:t xml:space="preserve"> EU – 27</w:t>
      </w:r>
      <w:r>
        <w:rPr>
          <w:sz w:val="16"/>
          <w:szCs w:val="16"/>
        </w:rPr>
        <w:t> </w:t>
      </w:r>
      <w:r w:rsidRPr="003C0B68">
        <w:rPr>
          <w:sz w:val="16"/>
          <w:szCs w:val="16"/>
        </w:rPr>
        <w:t>států bez Velké Británie.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1C6B" w14:textId="77777777" w:rsidR="00B606BE" w:rsidRPr="00601A2E" w:rsidRDefault="00B606BE" w:rsidP="00601A2E">
    <w:pPr>
      <w:pStyle w:val="Zhlav"/>
    </w:pPr>
    <w:r>
      <w:t>Analýza ekonomického vývoje v roce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F4E2" w14:textId="77777777" w:rsidR="00B606BE" w:rsidRDefault="00B606BE" w:rsidP="00937AE2">
    <w:pPr>
      <w:pStyle w:val="Zhlav"/>
    </w:pPr>
    <w:r>
      <w:t>Analýza ekonomického vývoje v roce 2019</w:t>
    </w:r>
  </w:p>
  <w:p w14:paraId="525077D0" w14:textId="77777777" w:rsidR="00B606BE" w:rsidRPr="006F5416" w:rsidRDefault="00B606B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59DB8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0"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415AC1"/>
    <w:multiLevelType w:val="hybridMultilevel"/>
    <w:tmpl w:val="7464A696"/>
    <w:lvl w:ilvl="0" w:tplc="4246FC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0"/>
  </w:num>
  <w:num w:numId="14">
    <w:abstractNumId w:val="10"/>
  </w:num>
  <w:num w:numId="15">
    <w:abstractNumId w:val="16"/>
  </w:num>
  <w:num w:numId="16">
    <w:abstractNumId w:val="12"/>
  </w:num>
  <w:num w:numId="17">
    <w:abstractNumId w:val="21"/>
  </w:num>
  <w:num w:numId="18">
    <w:abstractNumId w:val="17"/>
  </w:num>
  <w:num w:numId="19">
    <w:abstractNumId w:val="22"/>
  </w:num>
  <w:num w:numId="20">
    <w:abstractNumId w:val="24"/>
  </w:num>
  <w:num w:numId="21">
    <w:abstractNumId w:val="19"/>
  </w:num>
  <w:num w:numId="22">
    <w:abstractNumId w:val="15"/>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02"/>
    <w:rsid w:val="0000083D"/>
    <w:rsid w:val="0000209D"/>
    <w:rsid w:val="00002B85"/>
    <w:rsid w:val="00004D5A"/>
    <w:rsid w:val="000056D5"/>
    <w:rsid w:val="00006ABD"/>
    <w:rsid w:val="0000767A"/>
    <w:rsid w:val="00007BEF"/>
    <w:rsid w:val="00010256"/>
    <w:rsid w:val="00010702"/>
    <w:rsid w:val="00011912"/>
    <w:rsid w:val="00012408"/>
    <w:rsid w:val="00014E7F"/>
    <w:rsid w:val="0002195D"/>
    <w:rsid w:val="000234D6"/>
    <w:rsid w:val="00023D29"/>
    <w:rsid w:val="00026389"/>
    <w:rsid w:val="00031AE0"/>
    <w:rsid w:val="000322EF"/>
    <w:rsid w:val="000333B9"/>
    <w:rsid w:val="00033FCD"/>
    <w:rsid w:val="00037A79"/>
    <w:rsid w:val="00041CEC"/>
    <w:rsid w:val="0004694F"/>
    <w:rsid w:val="000500AB"/>
    <w:rsid w:val="000522E4"/>
    <w:rsid w:val="000610E1"/>
    <w:rsid w:val="00062EC5"/>
    <w:rsid w:val="00062F22"/>
    <w:rsid w:val="00064B6A"/>
    <w:rsid w:val="00067A82"/>
    <w:rsid w:val="000712B3"/>
    <w:rsid w:val="000748F2"/>
    <w:rsid w:val="0008263E"/>
    <w:rsid w:val="00082A55"/>
    <w:rsid w:val="00082C19"/>
    <w:rsid w:val="00085395"/>
    <w:rsid w:val="00087634"/>
    <w:rsid w:val="00087F2B"/>
    <w:rsid w:val="00093E3F"/>
    <w:rsid w:val="00093E53"/>
    <w:rsid w:val="00095135"/>
    <w:rsid w:val="00096085"/>
    <w:rsid w:val="000974D1"/>
    <w:rsid w:val="0009799E"/>
    <w:rsid w:val="000979EC"/>
    <w:rsid w:val="000A1183"/>
    <w:rsid w:val="000A256D"/>
    <w:rsid w:val="000A3A2C"/>
    <w:rsid w:val="000A66F4"/>
    <w:rsid w:val="000A75F4"/>
    <w:rsid w:val="000B525B"/>
    <w:rsid w:val="000C1D78"/>
    <w:rsid w:val="000C3408"/>
    <w:rsid w:val="000C6AFD"/>
    <w:rsid w:val="000D2C3F"/>
    <w:rsid w:val="000D5637"/>
    <w:rsid w:val="000E3D0E"/>
    <w:rsid w:val="000E53C3"/>
    <w:rsid w:val="000E6C04"/>
    <w:rsid w:val="000E6FBD"/>
    <w:rsid w:val="000F7084"/>
    <w:rsid w:val="00100F5C"/>
    <w:rsid w:val="0010106F"/>
    <w:rsid w:val="00101CDA"/>
    <w:rsid w:val="0010268C"/>
    <w:rsid w:val="00104C4C"/>
    <w:rsid w:val="00117623"/>
    <w:rsid w:val="0012192F"/>
    <w:rsid w:val="00122BB3"/>
    <w:rsid w:val="00125A9C"/>
    <w:rsid w:val="00125D69"/>
    <w:rsid w:val="00135FEE"/>
    <w:rsid w:val="00137DF7"/>
    <w:rsid w:val="001405FA"/>
    <w:rsid w:val="00141782"/>
    <w:rsid w:val="001425C3"/>
    <w:rsid w:val="00142C1C"/>
    <w:rsid w:val="001457AA"/>
    <w:rsid w:val="0014794C"/>
    <w:rsid w:val="0015085A"/>
    <w:rsid w:val="001528B9"/>
    <w:rsid w:val="001612F4"/>
    <w:rsid w:val="00162312"/>
    <w:rsid w:val="0016256B"/>
    <w:rsid w:val="00163793"/>
    <w:rsid w:val="001671FF"/>
    <w:rsid w:val="001706D6"/>
    <w:rsid w:val="001714F2"/>
    <w:rsid w:val="00175B9F"/>
    <w:rsid w:val="00175F48"/>
    <w:rsid w:val="00181BBC"/>
    <w:rsid w:val="00182799"/>
    <w:rsid w:val="00184B08"/>
    <w:rsid w:val="00185010"/>
    <w:rsid w:val="00186919"/>
    <w:rsid w:val="001916DB"/>
    <w:rsid w:val="00193818"/>
    <w:rsid w:val="00194520"/>
    <w:rsid w:val="001969D1"/>
    <w:rsid w:val="001A0487"/>
    <w:rsid w:val="001A0D6B"/>
    <w:rsid w:val="001A33A3"/>
    <w:rsid w:val="001A480E"/>
    <w:rsid w:val="001A5387"/>
    <w:rsid w:val="001A552F"/>
    <w:rsid w:val="001B28D3"/>
    <w:rsid w:val="001B2CA9"/>
    <w:rsid w:val="001B3110"/>
    <w:rsid w:val="001B4729"/>
    <w:rsid w:val="001B5C4D"/>
    <w:rsid w:val="001B6310"/>
    <w:rsid w:val="001B6C09"/>
    <w:rsid w:val="001C05CD"/>
    <w:rsid w:val="001C1B66"/>
    <w:rsid w:val="001C487C"/>
    <w:rsid w:val="001D198A"/>
    <w:rsid w:val="001D463E"/>
    <w:rsid w:val="001D51EB"/>
    <w:rsid w:val="001D68B2"/>
    <w:rsid w:val="001D70E9"/>
    <w:rsid w:val="001E504C"/>
    <w:rsid w:val="001F138C"/>
    <w:rsid w:val="001F4063"/>
    <w:rsid w:val="001F4597"/>
    <w:rsid w:val="001F52D6"/>
    <w:rsid w:val="00203DA4"/>
    <w:rsid w:val="002052C6"/>
    <w:rsid w:val="002054B4"/>
    <w:rsid w:val="002118B9"/>
    <w:rsid w:val="00217C5B"/>
    <w:rsid w:val="0022139E"/>
    <w:rsid w:val="00222729"/>
    <w:rsid w:val="00222FFB"/>
    <w:rsid w:val="002252E0"/>
    <w:rsid w:val="002255F6"/>
    <w:rsid w:val="00227850"/>
    <w:rsid w:val="00227A53"/>
    <w:rsid w:val="00230C6E"/>
    <w:rsid w:val="00231CC2"/>
    <w:rsid w:val="00236443"/>
    <w:rsid w:val="00241035"/>
    <w:rsid w:val="00241B06"/>
    <w:rsid w:val="002436BA"/>
    <w:rsid w:val="00244A15"/>
    <w:rsid w:val="00244EB3"/>
    <w:rsid w:val="00247319"/>
    <w:rsid w:val="0024799E"/>
    <w:rsid w:val="00253C0F"/>
    <w:rsid w:val="002558C1"/>
    <w:rsid w:val="00255943"/>
    <w:rsid w:val="00260FC5"/>
    <w:rsid w:val="002632EC"/>
    <w:rsid w:val="00271465"/>
    <w:rsid w:val="00274037"/>
    <w:rsid w:val="00285412"/>
    <w:rsid w:val="0028587B"/>
    <w:rsid w:val="00291640"/>
    <w:rsid w:val="002A16D4"/>
    <w:rsid w:val="002A230C"/>
    <w:rsid w:val="002A5D97"/>
    <w:rsid w:val="002A7679"/>
    <w:rsid w:val="002B2127"/>
    <w:rsid w:val="002B213A"/>
    <w:rsid w:val="002B4845"/>
    <w:rsid w:val="002B6B06"/>
    <w:rsid w:val="002C43BD"/>
    <w:rsid w:val="002D0E59"/>
    <w:rsid w:val="002D2D9F"/>
    <w:rsid w:val="002D6BD2"/>
    <w:rsid w:val="002E02A1"/>
    <w:rsid w:val="002E1A9C"/>
    <w:rsid w:val="002E32FC"/>
    <w:rsid w:val="002E4E4C"/>
    <w:rsid w:val="002F4860"/>
    <w:rsid w:val="002F550B"/>
    <w:rsid w:val="0030150E"/>
    <w:rsid w:val="00303533"/>
    <w:rsid w:val="00304771"/>
    <w:rsid w:val="003052D4"/>
    <w:rsid w:val="00306C5B"/>
    <w:rsid w:val="00314A41"/>
    <w:rsid w:val="003209D6"/>
    <w:rsid w:val="00321924"/>
    <w:rsid w:val="0032314C"/>
    <w:rsid w:val="0032656E"/>
    <w:rsid w:val="003268DD"/>
    <w:rsid w:val="00330060"/>
    <w:rsid w:val="00332190"/>
    <w:rsid w:val="0033250B"/>
    <w:rsid w:val="00343331"/>
    <w:rsid w:val="0034335E"/>
    <w:rsid w:val="00344668"/>
    <w:rsid w:val="003462D9"/>
    <w:rsid w:val="00347378"/>
    <w:rsid w:val="00347604"/>
    <w:rsid w:val="003576EB"/>
    <w:rsid w:val="00357908"/>
    <w:rsid w:val="00360C86"/>
    <w:rsid w:val="00360DE3"/>
    <w:rsid w:val="00360FBC"/>
    <w:rsid w:val="00362E90"/>
    <w:rsid w:val="00364C32"/>
    <w:rsid w:val="00364FA0"/>
    <w:rsid w:val="003657F3"/>
    <w:rsid w:val="003733A0"/>
    <w:rsid w:val="00376C3B"/>
    <w:rsid w:val="003818DC"/>
    <w:rsid w:val="00384327"/>
    <w:rsid w:val="003852A9"/>
    <w:rsid w:val="00385D98"/>
    <w:rsid w:val="003870EE"/>
    <w:rsid w:val="003A2B4D"/>
    <w:rsid w:val="003A2D12"/>
    <w:rsid w:val="003A478C"/>
    <w:rsid w:val="003A5525"/>
    <w:rsid w:val="003A6B38"/>
    <w:rsid w:val="003B461F"/>
    <w:rsid w:val="003B5A32"/>
    <w:rsid w:val="003B6B9E"/>
    <w:rsid w:val="003C3490"/>
    <w:rsid w:val="003C4BE8"/>
    <w:rsid w:val="003C77D0"/>
    <w:rsid w:val="003C7E62"/>
    <w:rsid w:val="003D6920"/>
    <w:rsid w:val="003E38BA"/>
    <w:rsid w:val="003E4C91"/>
    <w:rsid w:val="003F313C"/>
    <w:rsid w:val="003F37FC"/>
    <w:rsid w:val="003F3890"/>
    <w:rsid w:val="003F4B2C"/>
    <w:rsid w:val="003F551C"/>
    <w:rsid w:val="003F72ED"/>
    <w:rsid w:val="003F7D23"/>
    <w:rsid w:val="00400B82"/>
    <w:rsid w:val="00407C13"/>
    <w:rsid w:val="00410638"/>
    <w:rsid w:val="0041215C"/>
    <w:rsid w:val="0041501E"/>
    <w:rsid w:val="004159C3"/>
    <w:rsid w:val="00425F45"/>
    <w:rsid w:val="00432A58"/>
    <w:rsid w:val="00433C0C"/>
    <w:rsid w:val="00434617"/>
    <w:rsid w:val="00436778"/>
    <w:rsid w:val="00437E53"/>
    <w:rsid w:val="00440900"/>
    <w:rsid w:val="00441BF6"/>
    <w:rsid w:val="004441A0"/>
    <w:rsid w:val="0045078A"/>
    <w:rsid w:val="0045086D"/>
    <w:rsid w:val="00460FB3"/>
    <w:rsid w:val="00467ABC"/>
    <w:rsid w:val="00476240"/>
    <w:rsid w:val="00476439"/>
    <w:rsid w:val="0047735C"/>
    <w:rsid w:val="004776BC"/>
    <w:rsid w:val="0048139F"/>
    <w:rsid w:val="00481E40"/>
    <w:rsid w:val="00484ECE"/>
    <w:rsid w:val="004915CB"/>
    <w:rsid w:val="004924DC"/>
    <w:rsid w:val="004948F4"/>
    <w:rsid w:val="004A14E4"/>
    <w:rsid w:val="004A3212"/>
    <w:rsid w:val="004A5494"/>
    <w:rsid w:val="004A61C5"/>
    <w:rsid w:val="004A670E"/>
    <w:rsid w:val="004A77DF"/>
    <w:rsid w:val="004B1417"/>
    <w:rsid w:val="004B1B28"/>
    <w:rsid w:val="004B481B"/>
    <w:rsid w:val="004B48DF"/>
    <w:rsid w:val="004B55B7"/>
    <w:rsid w:val="004B6468"/>
    <w:rsid w:val="004B7125"/>
    <w:rsid w:val="004C26B0"/>
    <w:rsid w:val="004C384C"/>
    <w:rsid w:val="004C3867"/>
    <w:rsid w:val="004C4CD0"/>
    <w:rsid w:val="004C5FBF"/>
    <w:rsid w:val="004C70DC"/>
    <w:rsid w:val="004D0211"/>
    <w:rsid w:val="004D0794"/>
    <w:rsid w:val="004D3177"/>
    <w:rsid w:val="004E326C"/>
    <w:rsid w:val="004F06F5"/>
    <w:rsid w:val="004F16F7"/>
    <w:rsid w:val="004F1879"/>
    <w:rsid w:val="004F33A0"/>
    <w:rsid w:val="004F6EDC"/>
    <w:rsid w:val="0050689D"/>
    <w:rsid w:val="0051031A"/>
    <w:rsid w:val="005108C0"/>
    <w:rsid w:val="00511873"/>
    <w:rsid w:val="00512A2F"/>
    <w:rsid w:val="00513B7E"/>
    <w:rsid w:val="0051465A"/>
    <w:rsid w:val="005152D9"/>
    <w:rsid w:val="00515C74"/>
    <w:rsid w:val="00515FFA"/>
    <w:rsid w:val="005172FF"/>
    <w:rsid w:val="005173AF"/>
    <w:rsid w:val="0052007E"/>
    <w:rsid w:val="0052337A"/>
    <w:rsid w:val="00525137"/>
    <w:rsid w:val="005251DD"/>
    <w:rsid w:val="00532CE7"/>
    <w:rsid w:val="0053324C"/>
    <w:rsid w:val="00534A28"/>
    <w:rsid w:val="00541508"/>
    <w:rsid w:val="00543498"/>
    <w:rsid w:val="00551238"/>
    <w:rsid w:val="0055599F"/>
    <w:rsid w:val="00556D68"/>
    <w:rsid w:val="00561B03"/>
    <w:rsid w:val="00563EB8"/>
    <w:rsid w:val="005647BF"/>
    <w:rsid w:val="00564AF1"/>
    <w:rsid w:val="00570D95"/>
    <w:rsid w:val="0057364B"/>
    <w:rsid w:val="00574773"/>
    <w:rsid w:val="00581AC8"/>
    <w:rsid w:val="00583FFD"/>
    <w:rsid w:val="005901E9"/>
    <w:rsid w:val="005911BE"/>
    <w:rsid w:val="00593152"/>
    <w:rsid w:val="00596F92"/>
    <w:rsid w:val="005A10F2"/>
    <w:rsid w:val="005A21E0"/>
    <w:rsid w:val="005A28FF"/>
    <w:rsid w:val="005A2A19"/>
    <w:rsid w:val="005A2C7B"/>
    <w:rsid w:val="005A3DF8"/>
    <w:rsid w:val="005A5549"/>
    <w:rsid w:val="005A5D45"/>
    <w:rsid w:val="005A655B"/>
    <w:rsid w:val="005A7666"/>
    <w:rsid w:val="005B121D"/>
    <w:rsid w:val="005C06ED"/>
    <w:rsid w:val="005C2609"/>
    <w:rsid w:val="005C35A1"/>
    <w:rsid w:val="005D3386"/>
    <w:rsid w:val="005D5802"/>
    <w:rsid w:val="005D7119"/>
    <w:rsid w:val="005D7890"/>
    <w:rsid w:val="005E2A7C"/>
    <w:rsid w:val="005E7C78"/>
    <w:rsid w:val="005F18C5"/>
    <w:rsid w:val="005F3EB1"/>
    <w:rsid w:val="005F46D8"/>
    <w:rsid w:val="005F5469"/>
    <w:rsid w:val="00600079"/>
    <w:rsid w:val="006003D1"/>
    <w:rsid w:val="00601A2E"/>
    <w:rsid w:val="0060404F"/>
    <w:rsid w:val="00604307"/>
    <w:rsid w:val="0060487F"/>
    <w:rsid w:val="00604EAD"/>
    <w:rsid w:val="006104FB"/>
    <w:rsid w:val="0061249B"/>
    <w:rsid w:val="00612A2F"/>
    <w:rsid w:val="00614586"/>
    <w:rsid w:val="00616E05"/>
    <w:rsid w:val="00624093"/>
    <w:rsid w:val="006254CB"/>
    <w:rsid w:val="0063201A"/>
    <w:rsid w:val="006350D5"/>
    <w:rsid w:val="006404A7"/>
    <w:rsid w:val="006451E4"/>
    <w:rsid w:val="00645B33"/>
    <w:rsid w:val="00650330"/>
    <w:rsid w:val="006516CB"/>
    <w:rsid w:val="006558BD"/>
    <w:rsid w:val="00657E87"/>
    <w:rsid w:val="00664803"/>
    <w:rsid w:val="00665BA4"/>
    <w:rsid w:val="00666D91"/>
    <w:rsid w:val="00667AF2"/>
    <w:rsid w:val="006710C9"/>
    <w:rsid w:val="00674D89"/>
    <w:rsid w:val="00675E37"/>
    <w:rsid w:val="00680001"/>
    <w:rsid w:val="0068174E"/>
    <w:rsid w:val="00681DCE"/>
    <w:rsid w:val="0068260E"/>
    <w:rsid w:val="006863B2"/>
    <w:rsid w:val="00695BEF"/>
    <w:rsid w:val="006977F6"/>
    <w:rsid w:val="00697A13"/>
    <w:rsid w:val="006A109C"/>
    <w:rsid w:val="006A3E08"/>
    <w:rsid w:val="006A5C31"/>
    <w:rsid w:val="006A73A6"/>
    <w:rsid w:val="006B0F92"/>
    <w:rsid w:val="006B344A"/>
    <w:rsid w:val="006B4B7B"/>
    <w:rsid w:val="006B78D8"/>
    <w:rsid w:val="006C113F"/>
    <w:rsid w:val="006C123E"/>
    <w:rsid w:val="006C1752"/>
    <w:rsid w:val="006C33B2"/>
    <w:rsid w:val="006C56D4"/>
    <w:rsid w:val="006C6924"/>
    <w:rsid w:val="006C6AF4"/>
    <w:rsid w:val="006C7CA6"/>
    <w:rsid w:val="006D3E8A"/>
    <w:rsid w:val="006D5C0C"/>
    <w:rsid w:val="006D61F6"/>
    <w:rsid w:val="006D64C2"/>
    <w:rsid w:val="006E279A"/>
    <w:rsid w:val="006E313B"/>
    <w:rsid w:val="006E7227"/>
    <w:rsid w:val="006F0AC6"/>
    <w:rsid w:val="006F2595"/>
    <w:rsid w:val="006F438E"/>
    <w:rsid w:val="006F5416"/>
    <w:rsid w:val="00705242"/>
    <w:rsid w:val="00706AD4"/>
    <w:rsid w:val="00707150"/>
    <w:rsid w:val="00711BB0"/>
    <w:rsid w:val="007140BE"/>
    <w:rsid w:val="00716E3F"/>
    <w:rsid w:val="007211F5"/>
    <w:rsid w:val="007240E2"/>
    <w:rsid w:val="00725BB5"/>
    <w:rsid w:val="00730AE8"/>
    <w:rsid w:val="00730F1B"/>
    <w:rsid w:val="00740575"/>
    <w:rsid w:val="00741493"/>
    <w:rsid w:val="0074369B"/>
    <w:rsid w:val="00744EE6"/>
    <w:rsid w:val="00745062"/>
    <w:rsid w:val="00745BC3"/>
    <w:rsid w:val="007506A5"/>
    <w:rsid w:val="00750EF8"/>
    <w:rsid w:val="00752180"/>
    <w:rsid w:val="00753CAB"/>
    <w:rsid w:val="00755202"/>
    <w:rsid w:val="00755D3A"/>
    <w:rsid w:val="007578D3"/>
    <w:rsid w:val="007609C6"/>
    <w:rsid w:val="0076175D"/>
    <w:rsid w:val="00763B85"/>
    <w:rsid w:val="0076521E"/>
    <w:rsid w:val="00765698"/>
    <w:rsid w:val="007661E9"/>
    <w:rsid w:val="00774779"/>
    <w:rsid w:val="00775F45"/>
    <w:rsid w:val="00776169"/>
    <w:rsid w:val="00776527"/>
    <w:rsid w:val="00780EF1"/>
    <w:rsid w:val="00785232"/>
    <w:rsid w:val="00790764"/>
    <w:rsid w:val="00791728"/>
    <w:rsid w:val="0079343E"/>
    <w:rsid w:val="0079453C"/>
    <w:rsid w:val="00794677"/>
    <w:rsid w:val="007A38F2"/>
    <w:rsid w:val="007A3F0C"/>
    <w:rsid w:val="007A516D"/>
    <w:rsid w:val="007B0750"/>
    <w:rsid w:val="007B6689"/>
    <w:rsid w:val="007C13A4"/>
    <w:rsid w:val="007C2D23"/>
    <w:rsid w:val="007C6BBD"/>
    <w:rsid w:val="007C7BAE"/>
    <w:rsid w:val="007D0C24"/>
    <w:rsid w:val="007D106B"/>
    <w:rsid w:val="007D1AEA"/>
    <w:rsid w:val="007D40DF"/>
    <w:rsid w:val="007E29B4"/>
    <w:rsid w:val="007E435A"/>
    <w:rsid w:val="007E7E61"/>
    <w:rsid w:val="007F0845"/>
    <w:rsid w:val="007F661C"/>
    <w:rsid w:val="007F708D"/>
    <w:rsid w:val="00801E13"/>
    <w:rsid w:val="00805381"/>
    <w:rsid w:val="00807674"/>
    <w:rsid w:val="00807C82"/>
    <w:rsid w:val="00816905"/>
    <w:rsid w:val="00817FDA"/>
    <w:rsid w:val="00821FF6"/>
    <w:rsid w:val="00822574"/>
    <w:rsid w:val="00825C4D"/>
    <w:rsid w:val="0083143E"/>
    <w:rsid w:val="00831CDE"/>
    <w:rsid w:val="00833BF2"/>
    <w:rsid w:val="00834304"/>
    <w:rsid w:val="00834FAA"/>
    <w:rsid w:val="00836086"/>
    <w:rsid w:val="008364D5"/>
    <w:rsid w:val="00846121"/>
    <w:rsid w:val="0084708F"/>
    <w:rsid w:val="0084727E"/>
    <w:rsid w:val="008477C8"/>
    <w:rsid w:val="00847931"/>
    <w:rsid w:val="0085114D"/>
    <w:rsid w:val="00852217"/>
    <w:rsid w:val="00855408"/>
    <w:rsid w:val="00856D65"/>
    <w:rsid w:val="00857658"/>
    <w:rsid w:val="00861B41"/>
    <w:rsid w:val="00861BE3"/>
    <w:rsid w:val="00863434"/>
    <w:rsid w:val="008637A2"/>
    <w:rsid w:val="00865E4C"/>
    <w:rsid w:val="008701E4"/>
    <w:rsid w:val="00873072"/>
    <w:rsid w:val="00875A32"/>
    <w:rsid w:val="00876086"/>
    <w:rsid w:val="00884A6F"/>
    <w:rsid w:val="008856A3"/>
    <w:rsid w:val="008873D4"/>
    <w:rsid w:val="0089296D"/>
    <w:rsid w:val="00893E85"/>
    <w:rsid w:val="00894031"/>
    <w:rsid w:val="00894C3D"/>
    <w:rsid w:val="00895508"/>
    <w:rsid w:val="00895A7B"/>
    <w:rsid w:val="008B1391"/>
    <w:rsid w:val="008B2636"/>
    <w:rsid w:val="008B7C02"/>
    <w:rsid w:val="008B7D2B"/>
    <w:rsid w:val="008C0049"/>
    <w:rsid w:val="008C0E88"/>
    <w:rsid w:val="008D0DBD"/>
    <w:rsid w:val="008D1E6A"/>
    <w:rsid w:val="008D2A16"/>
    <w:rsid w:val="008D664D"/>
    <w:rsid w:val="008D7BE5"/>
    <w:rsid w:val="008E0DC9"/>
    <w:rsid w:val="008E2830"/>
    <w:rsid w:val="008E2C57"/>
    <w:rsid w:val="008E31FF"/>
    <w:rsid w:val="008E6F06"/>
    <w:rsid w:val="008E7FC9"/>
    <w:rsid w:val="008F029B"/>
    <w:rsid w:val="008F3FC9"/>
    <w:rsid w:val="008F585B"/>
    <w:rsid w:val="009003A8"/>
    <w:rsid w:val="00902500"/>
    <w:rsid w:val="00902EFF"/>
    <w:rsid w:val="00906401"/>
    <w:rsid w:val="0091155E"/>
    <w:rsid w:val="00912A92"/>
    <w:rsid w:val="00915CF4"/>
    <w:rsid w:val="0091728D"/>
    <w:rsid w:val="009177D4"/>
    <w:rsid w:val="0092180B"/>
    <w:rsid w:val="00921F14"/>
    <w:rsid w:val="0092434D"/>
    <w:rsid w:val="00924AC8"/>
    <w:rsid w:val="0092597A"/>
    <w:rsid w:val="00930FB1"/>
    <w:rsid w:val="0093139F"/>
    <w:rsid w:val="00932443"/>
    <w:rsid w:val="00937AE2"/>
    <w:rsid w:val="00942C19"/>
    <w:rsid w:val="0094427A"/>
    <w:rsid w:val="00945245"/>
    <w:rsid w:val="00953F28"/>
    <w:rsid w:val="009540B7"/>
    <w:rsid w:val="0095759C"/>
    <w:rsid w:val="0096154D"/>
    <w:rsid w:val="0096221A"/>
    <w:rsid w:val="00972F87"/>
    <w:rsid w:val="00974923"/>
    <w:rsid w:val="00976681"/>
    <w:rsid w:val="00976BAF"/>
    <w:rsid w:val="00980D3D"/>
    <w:rsid w:val="00987A30"/>
    <w:rsid w:val="00992CF3"/>
    <w:rsid w:val="009942B6"/>
    <w:rsid w:val="00994868"/>
    <w:rsid w:val="009968D6"/>
    <w:rsid w:val="009A1CAB"/>
    <w:rsid w:val="009A4901"/>
    <w:rsid w:val="009A60D1"/>
    <w:rsid w:val="009B6FD3"/>
    <w:rsid w:val="009B7C82"/>
    <w:rsid w:val="009C0293"/>
    <w:rsid w:val="009C03C8"/>
    <w:rsid w:val="009C1750"/>
    <w:rsid w:val="009C1EEA"/>
    <w:rsid w:val="009C2E29"/>
    <w:rsid w:val="009C554B"/>
    <w:rsid w:val="009C719E"/>
    <w:rsid w:val="009D3ACD"/>
    <w:rsid w:val="009E0DD4"/>
    <w:rsid w:val="009E42ED"/>
    <w:rsid w:val="009E5273"/>
    <w:rsid w:val="009E5DDB"/>
    <w:rsid w:val="009F46EA"/>
    <w:rsid w:val="009F4CA7"/>
    <w:rsid w:val="00A01CA0"/>
    <w:rsid w:val="00A10D66"/>
    <w:rsid w:val="00A1260E"/>
    <w:rsid w:val="00A14114"/>
    <w:rsid w:val="00A16413"/>
    <w:rsid w:val="00A16E1D"/>
    <w:rsid w:val="00A17D5B"/>
    <w:rsid w:val="00A20028"/>
    <w:rsid w:val="00A21624"/>
    <w:rsid w:val="00A2181F"/>
    <w:rsid w:val="00A230A8"/>
    <w:rsid w:val="00A23E43"/>
    <w:rsid w:val="00A25216"/>
    <w:rsid w:val="00A27420"/>
    <w:rsid w:val="00A27C85"/>
    <w:rsid w:val="00A30F65"/>
    <w:rsid w:val="00A32759"/>
    <w:rsid w:val="00A329DF"/>
    <w:rsid w:val="00A35142"/>
    <w:rsid w:val="00A35EA6"/>
    <w:rsid w:val="00A40EAC"/>
    <w:rsid w:val="00A416D4"/>
    <w:rsid w:val="00A418BC"/>
    <w:rsid w:val="00A46DE0"/>
    <w:rsid w:val="00A4750C"/>
    <w:rsid w:val="00A50D73"/>
    <w:rsid w:val="00A51F19"/>
    <w:rsid w:val="00A51F45"/>
    <w:rsid w:val="00A52CAD"/>
    <w:rsid w:val="00A537F0"/>
    <w:rsid w:val="00A53FC7"/>
    <w:rsid w:val="00A54250"/>
    <w:rsid w:val="00A55161"/>
    <w:rsid w:val="00A55593"/>
    <w:rsid w:val="00A62B23"/>
    <w:rsid w:val="00A62CE1"/>
    <w:rsid w:val="00A66A11"/>
    <w:rsid w:val="00A6741E"/>
    <w:rsid w:val="00A73C77"/>
    <w:rsid w:val="00A75E40"/>
    <w:rsid w:val="00A77D1D"/>
    <w:rsid w:val="00A84923"/>
    <w:rsid w:val="00A857C0"/>
    <w:rsid w:val="00A90FED"/>
    <w:rsid w:val="00A97A1E"/>
    <w:rsid w:val="00AA2996"/>
    <w:rsid w:val="00AA52BF"/>
    <w:rsid w:val="00AA559A"/>
    <w:rsid w:val="00AB2AF1"/>
    <w:rsid w:val="00AB5421"/>
    <w:rsid w:val="00AB5F7B"/>
    <w:rsid w:val="00AC45BD"/>
    <w:rsid w:val="00AC46DA"/>
    <w:rsid w:val="00AD1355"/>
    <w:rsid w:val="00AD168E"/>
    <w:rsid w:val="00AD306C"/>
    <w:rsid w:val="00AD68C4"/>
    <w:rsid w:val="00AD7D0B"/>
    <w:rsid w:val="00AE09B3"/>
    <w:rsid w:val="00AE1A83"/>
    <w:rsid w:val="00AE7FB2"/>
    <w:rsid w:val="00AF71EC"/>
    <w:rsid w:val="00B00913"/>
    <w:rsid w:val="00B01593"/>
    <w:rsid w:val="00B023F2"/>
    <w:rsid w:val="00B04B4A"/>
    <w:rsid w:val="00B07379"/>
    <w:rsid w:val="00B10A4D"/>
    <w:rsid w:val="00B120A1"/>
    <w:rsid w:val="00B12AA6"/>
    <w:rsid w:val="00B14BC1"/>
    <w:rsid w:val="00B17E71"/>
    <w:rsid w:val="00B17FDE"/>
    <w:rsid w:val="00B20632"/>
    <w:rsid w:val="00B22CD2"/>
    <w:rsid w:val="00B23055"/>
    <w:rsid w:val="00B2379C"/>
    <w:rsid w:val="00B2687D"/>
    <w:rsid w:val="00B32DDB"/>
    <w:rsid w:val="00B34528"/>
    <w:rsid w:val="00B34CC9"/>
    <w:rsid w:val="00B357BF"/>
    <w:rsid w:val="00B366E5"/>
    <w:rsid w:val="00B402FC"/>
    <w:rsid w:val="00B40FF9"/>
    <w:rsid w:val="00B42470"/>
    <w:rsid w:val="00B439DA"/>
    <w:rsid w:val="00B46604"/>
    <w:rsid w:val="00B530CD"/>
    <w:rsid w:val="00B53AB0"/>
    <w:rsid w:val="00B54294"/>
    <w:rsid w:val="00B55F5E"/>
    <w:rsid w:val="00B57338"/>
    <w:rsid w:val="00B5752E"/>
    <w:rsid w:val="00B57E25"/>
    <w:rsid w:val="00B606BE"/>
    <w:rsid w:val="00B619A9"/>
    <w:rsid w:val="00B63A11"/>
    <w:rsid w:val="00B64C24"/>
    <w:rsid w:val="00B6608F"/>
    <w:rsid w:val="00B679FB"/>
    <w:rsid w:val="00B76D1E"/>
    <w:rsid w:val="00B80EC6"/>
    <w:rsid w:val="00B84CF6"/>
    <w:rsid w:val="00B86F03"/>
    <w:rsid w:val="00B9088A"/>
    <w:rsid w:val="00B9200E"/>
    <w:rsid w:val="00B92D1D"/>
    <w:rsid w:val="00B938C5"/>
    <w:rsid w:val="00B9432C"/>
    <w:rsid w:val="00B950E3"/>
    <w:rsid w:val="00B95940"/>
    <w:rsid w:val="00B962D2"/>
    <w:rsid w:val="00B97434"/>
    <w:rsid w:val="00BA0DD3"/>
    <w:rsid w:val="00BA6C2B"/>
    <w:rsid w:val="00BA76E6"/>
    <w:rsid w:val="00BB2F03"/>
    <w:rsid w:val="00BB46F3"/>
    <w:rsid w:val="00BB4AF6"/>
    <w:rsid w:val="00BB4CB1"/>
    <w:rsid w:val="00BB4F98"/>
    <w:rsid w:val="00BC0E31"/>
    <w:rsid w:val="00BC5C12"/>
    <w:rsid w:val="00BC7075"/>
    <w:rsid w:val="00BC7154"/>
    <w:rsid w:val="00BC731E"/>
    <w:rsid w:val="00BD163C"/>
    <w:rsid w:val="00BD1B27"/>
    <w:rsid w:val="00BD2991"/>
    <w:rsid w:val="00BD366B"/>
    <w:rsid w:val="00BD6D50"/>
    <w:rsid w:val="00BE18B9"/>
    <w:rsid w:val="00BE2495"/>
    <w:rsid w:val="00BE468E"/>
    <w:rsid w:val="00BE6186"/>
    <w:rsid w:val="00BF1578"/>
    <w:rsid w:val="00BF45D9"/>
    <w:rsid w:val="00BF4B4B"/>
    <w:rsid w:val="00BF6EE6"/>
    <w:rsid w:val="00C024B1"/>
    <w:rsid w:val="00C12D52"/>
    <w:rsid w:val="00C21405"/>
    <w:rsid w:val="00C21F94"/>
    <w:rsid w:val="00C25709"/>
    <w:rsid w:val="00C27913"/>
    <w:rsid w:val="00C33B68"/>
    <w:rsid w:val="00C36A79"/>
    <w:rsid w:val="00C401D2"/>
    <w:rsid w:val="00C405D4"/>
    <w:rsid w:val="00C4513B"/>
    <w:rsid w:val="00C466D2"/>
    <w:rsid w:val="00C53576"/>
    <w:rsid w:val="00C5390B"/>
    <w:rsid w:val="00C54697"/>
    <w:rsid w:val="00C60191"/>
    <w:rsid w:val="00C609C9"/>
    <w:rsid w:val="00C6152B"/>
    <w:rsid w:val="00C73885"/>
    <w:rsid w:val="00C747B1"/>
    <w:rsid w:val="00C82191"/>
    <w:rsid w:val="00C83134"/>
    <w:rsid w:val="00C83FAA"/>
    <w:rsid w:val="00C8418E"/>
    <w:rsid w:val="00C85545"/>
    <w:rsid w:val="00C86B84"/>
    <w:rsid w:val="00C90CF4"/>
    <w:rsid w:val="00C90F53"/>
    <w:rsid w:val="00C92EB6"/>
    <w:rsid w:val="00C93389"/>
    <w:rsid w:val="00C936C3"/>
    <w:rsid w:val="00C96D08"/>
    <w:rsid w:val="00CA28BC"/>
    <w:rsid w:val="00CA6668"/>
    <w:rsid w:val="00CA6AB4"/>
    <w:rsid w:val="00CB259D"/>
    <w:rsid w:val="00CB390A"/>
    <w:rsid w:val="00CB4930"/>
    <w:rsid w:val="00CC2E7D"/>
    <w:rsid w:val="00CC71EC"/>
    <w:rsid w:val="00CD10A5"/>
    <w:rsid w:val="00CD2076"/>
    <w:rsid w:val="00CD29B5"/>
    <w:rsid w:val="00CD6331"/>
    <w:rsid w:val="00CE153B"/>
    <w:rsid w:val="00CE670B"/>
    <w:rsid w:val="00CE7F95"/>
    <w:rsid w:val="00CF1C4C"/>
    <w:rsid w:val="00CF4908"/>
    <w:rsid w:val="00CF51EC"/>
    <w:rsid w:val="00CF73AE"/>
    <w:rsid w:val="00D040DD"/>
    <w:rsid w:val="00D050F8"/>
    <w:rsid w:val="00D075BE"/>
    <w:rsid w:val="00D1005A"/>
    <w:rsid w:val="00D11854"/>
    <w:rsid w:val="00D120FA"/>
    <w:rsid w:val="00D13986"/>
    <w:rsid w:val="00D21D83"/>
    <w:rsid w:val="00D22038"/>
    <w:rsid w:val="00D235B7"/>
    <w:rsid w:val="00D25F28"/>
    <w:rsid w:val="00D26071"/>
    <w:rsid w:val="00D27973"/>
    <w:rsid w:val="00D32F90"/>
    <w:rsid w:val="00D35E1A"/>
    <w:rsid w:val="00D50F46"/>
    <w:rsid w:val="00D52BE2"/>
    <w:rsid w:val="00D57677"/>
    <w:rsid w:val="00D62FF4"/>
    <w:rsid w:val="00D64227"/>
    <w:rsid w:val="00D64F56"/>
    <w:rsid w:val="00D66223"/>
    <w:rsid w:val="00D67375"/>
    <w:rsid w:val="00D73384"/>
    <w:rsid w:val="00D8084C"/>
    <w:rsid w:val="00D85980"/>
    <w:rsid w:val="00D915EA"/>
    <w:rsid w:val="00D92FD1"/>
    <w:rsid w:val="00D93CE2"/>
    <w:rsid w:val="00D943C6"/>
    <w:rsid w:val="00D965EC"/>
    <w:rsid w:val="00DA0BBD"/>
    <w:rsid w:val="00DA7C0C"/>
    <w:rsid w:val="00DB08A9"/>
    <w:rsid w:val="00DB2EC8"/>
    <w:rsid w:val="00DC37E3"/>
    <w:rsid w:val="00DC5B3B"/>
    <w:rsid w:val="00DC76ED"/>
    <w:rsid w:val="00DD0AE9"/>
    <w:rsid w:val="00DD129F"/>
    <w:rsid w:val="00DD242A"/>
    <w:rsid w:val="00DD6B52"/>
    <w:rsid w:val="00DE0F63"/>
    <w:rsid w:val="00DE4C19"/>
    <w:rsid w:val="00DF317B"/>
    <w:rsid w:val="00DF42FF"/>
    <w:rsid w:val="00DF7190"/>
    <w:rsid w:val="00DF7AD4"/>
    <w:rsid w:val="00E01C0E"/>
    <w:rsid w:val="00E03F9A"/>
    <w:rsid w:val="00E04694"/>
    <w:rsid w:val="00E04F27"/>
    <w:rsid w:val="00E102BD"/>
    <w:rsid w:val="00E10A2E"/>
    <w:rsid w:val="00E11DE1"/>
    <w:rsid w:val="00E12B1E"/>
    <w:rsid w:val="00E17262"/>
    <w:rsid w:val="00E212C9"/>
    <w:rsid w:val="00E2394F"/>
    <w:rsid w:val="00E253A2"/>
    <w:rsid w:val="00E305C8"/>
    <w:rsid w:val="00E3309D"/>
    <w:rsid w:val="00E333BA"/>
    <w:rsid w:val="00E364BB"/>
    <w:rsid w:val="00E453F9"/>
    <w:rsid w:val="00E47EBA"/>
    <w:rsid w:val="00E50156"/>
    <w:rsid w:val="00E503A5"/>
    <w:rsid w:val="00E53470"/>
    <w:rsid w:val="00E539F6"/>
    <w:rsid w:val="00E6519D"/>
    <w:rsid w:val="00E67696"/>
    <w:rsid w:val="00E711D1"/>
    <w:rsid w:val="00E71A58"/>
    <w:rsid w:val="00E72A7A"/>
    <w:rsid w:val="00E733C7"/>
    <w:rsid w:val="00E75C94"/>
    <w:rsid w:val="00E76E61"/>
    <w:rsid w:val="00E8168E"/>
    <w:rsid w:val="00E924B2"/>
    <w:rsid w:val="00E93820"/>
    <w:rsid w:val="00E94A86"/>
    <w:rsid w:val="00E96143"/>
    <w:rsid w:val="00E972A9"/>
    <w:rsid w:val="00E972B3"/>
    <w:rsid w:val="00EA0840"/>
    <w:rsid w:val="00EA0C68"/>
    <w:rsid w:val="00EA17B0"/>
    <w:rsid w:val="00EA32BC"/>
    <w:rsid w:val="00EA405F"/>
    <w:rsid w:val="00EB4511"/>
    <w:rsid w:val="00EC03D7"/>
    <w:rsid w:val="00EC25F0"/>
    <w:rsid w:val="00ED62C6"/>
    <w:rsid w:val="00ED64C1"/>
    <w:rsid w:val="00ED7B65"/>
    <w:rsid w:val="00EE160E"/>
    <w:rsid w:val="00EE3446"/>
    <w:rsid w:val="00EE3C8D"/>
    <w:rsid w:val="00EE3E78"/>
    <w:rsid w:val="00EE466C"/>
    <w:rsid w:val="00EE4B1B"/>
    <w:rsid w:val="00EE50DB"/>
    <w:rsid w:val="00EF150D"/>
    <w:rsid w:val="00EF1F5A"/>
    <w:rsid w:val="00EF348D"/>
    <w:rsid w:val="00EF47BF"/>
    <w:rsid w:val="00F04811"/>
    <w:rsid w:val="00F0488C"/>
    <w:rsid w:val="00F05E10"/>
    <w:rsid w:val="00F10F11"/>
    <w:rsid w:val="00F118D5"/>
    <w:rsid w:val="00F13819"/>
    <w:rsid w:val="00F13C9C"/>
    <w:rsid w:val="00F15AAA"/>
    <w:rsid w:val="00F15BEF"/>
    <w:rsid w:val="00F160CE"/>
    <w:rsid w:val="00F161E1"/>
    <w:rsid w:val="00F162B3"/>
    <w:rsid w:val="00F231AE"/>
    <w:rsid w:val="00F24407"/>
    <w:rsid w:val="00F24FAA"/>
    <w:rsid w:val="00F26590"/>
    <w:rsid w:val="00F3364D"/>
    <w:rsid w:val="00F33926"/>
    <w:rsid w:val="00F33E56"/>
    <w:rsid w:val="00F41068"/>
    <w:rsid w:val="00F433FE"/>
    <w:rsid w:val="00F437CC"/>
    <w:rsid w:val="00F44537"/>
    <w:rsid w:val="00F4530D"/>
    <w:rsid w:val="00F46502"/>
    <w:rsid w:val="00F47067"/>
    <w:rsid w:val="00F525EB"/>
    <w:rsid w:val="00F55E08"/>
    <w:rsid w:val="00F56129"/>
    <w:rsid w:val="00F63DDE"/>
    <w:rsid w:val="00F63FB7"/>
    <w:rsid w:val="00F6421B"/>
    <w:rsid w:val="00F649D2"/>
    <w:rsid w:val="00F6602B"/>
    <w:rsid w:val="00F73A0C"/>
    <w:rsid w:val="00F73D08"/>
    <w:rsid w:val="00F756DB"/>
    <w:rsid w:val="00F8090E"/>
    <w:rsid w:val="00F84E7D"/>
    <w:rsid w:val="00F85066"/>
    <w:rsid w:val="00F853A9"/>
    <w:rsid w:val="00F859D0"/>
    <w:rsid w:val="00F87A4D"/>
    <w:rsid w:val="00F87A8D"/>
    <w:rsid w:val="00FA5D4D"/>
    <w:rsid w:val="00FB0EE2"/>
    <w:rsid w:val="00FB542E"/>
    <w:rsid w:val="00FC0359"/>
    <w:rsid w:val="00FC0E5F"/>
    <w:rsid w:val="00FC1A95"/>
    <w:rsid w:val="00FC56DE"/>
    <w:rsid w:val="00FC684B"/>
    <w:rsid w:val="00FD3265"/>
    <w:rsid w:val="00FD4916"/>
    <w:rsid w:val="00FE2F78"/>
    <w:rsid w:val="00FF3E63"/>
    <w:rsid w:val="00FF3EE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C691A96"/>
  <w15:docId w15:val="{A4C7AF56-5B51-4067-BDB9-17A6C36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qFormat/>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EA0840"/>
    <w:rPr>
      <w:noProof/>
      <w:lang w:eastAsia="en-US"/>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F46502"/>
    <w:pPr>
      <w:keepNext/>
      <w:keepLines/>
      <w:spacing w:after="100"/>
      <w:contextualSpacing/>
      <w:jc w:val="left"/>
      <w:outlineLvl w:val="0"/>
    </w:pPr>
    <w:rPr>
      <w:rFonts w:eastAsia="MS Gothic"/>
      <w:b/>
      <w:bCs/>
      <w:color w:val="71818C"/>
      <w:sz w:val="32"/>
      <w:szCs w:val="28"/>
    </w:rPr>
  </w:style>
  <w:style w:type="paragraph" w:customStyle="1" w:styleId="Nadpis21">
    <w:name w:val="Nadpis 21"/>
    <w:basedOn w:val="Normln"/>
    <w:uiPriority w:val="9"/>
    <w:qFormat/>
    <w:rsid w:val="00F46502"/>
    <w:pPr>
      <w:keepNext/>
      <w:keepLines/>
      <w:spacing w:after="0"/>
      <w:jc w:val="left"/>
      <w:outlineLvl w:val="1"/>
    </w:pPr>
    <w:rPr>
      <w:rFonts w:eastAsia="MS Gothic"/>
      <w:b/>
      <w:bCs/>
      <w:color w:val="71818C"/>
      <w:sz w:val="28"/>
      <w:szCs w:val="26"/>
    </w:rPr>
  </w:style>
  <w:style w:type="paragraph" w:customStyle="1" w:styleId="Textpoznpodarou1">
    <w:name w:val="Text pozn. pod čarou1"/>
    <w:basedOn w:val="Normln"/>
    <w:rsid w:val="00F46502"/>
    <w:pPr>
      <w:spacing w:after="0" w:line="240" w:lineRule="auto"/>
      <w:jc w:val="left"/>
    </w:pPr>
    <w:rPr>
      <w:rFonts w:eastAsia="Calibri"/>
      <w:color w:val="00000A"/>
      <w:szCs w:val="20"/>
    </w:rPr>
  </w:style>
  <w:style w:type="character" w:customStyle="1" w:styleId="TextpoznpodarouChar1">
    <w:name w:val="Text pozn. pod čarou Char1"/>
    <w:aliases w:val="Text pozn. pod čarou_martin_ang Char1"/>
    <w:basedOn w:val="Standardnpsmoodstavce"/>
    <w:semiHidden/>
    <w:rsid w:val="00F46502"/>
    <w:rPr>
      <w:rFonts w:ascii="Arial" w:eastAsia="Times New Roman" w:hAnsi="Arial" w:cs="Times New Roman"/>
      <w:color w:val="00000A"/>
      <w:szCs w:val="20"/>
      <w:lang w:eastAsia="cs-CZ"/>
    </w:rPr>
  </w:style>
  <w:style w:type="character" w:styleId="Znakapoznpodarou">
    <w:name w:val="footnote reference"/>
    <w:basedOn w:val="Standardnpsmoodstavce"/>
    <w:rsid w:val="00F46502"/>
    <w:rPr>
      <w:rFonts w:cs="Times New Roman"/>
      <w:vertAlign w:val="superscript"/>
    </w:rPr>
  </w:style>
  <w:style w:type="character" w:customStyle="1" w:styleId="odkaz-style-wrapper">
    <w:name w:val="odkaz-style-wrapper"/>
    <w:basedOn w:val="Standardnpsmoodstavce"/>
    <w:rsid w:val="00BE6186"/>
  </w:style>
  <w:style w:type="paragraph" w:customStyle="1" w:styleId="Nadpis110">
    <w:name w:val="Nadpis 11"/>
    <w:basedOn w:val="Normln"/>
    <w:uiPriority w:val="9"/>
    <w:qFormat/>
    <w:rsid w:val="00BE6186"/>
    <w:pPr>
      <w:keepNext/>
      <w:keepLines/>
      <w:spacing w:after="100"/>
      <w:contextualSpacing/>
      <w:jc w:val="left"/>
      <w:outlineLvl w:val="0"/>
    </w:pPr>
    <w:rPr>
      <w:rFonts w:eastAsia="MS Gothic"/>
      <w:b/>
      <w:bCs/>
      <w:color w:val="71818C"/>
      <w:sz w:val="32"/>
      <w:szCs w:val="28"/>
    </w:rPr>
  </w:style>
  <w:style w:type="paragraph" w:customStyle="1" w:styleId="Nadpis210">
    <w:name w:val="Nadpis 21"/>
    <w:basedOn w:val="Normln"/>
    <w:uiPriority w:val="9"/>
    <w:qFormat/>
    <w:rsid w:val="00BE6186"/>
    <w:pPr>
      <w:keepNext/>
      <w:keepLines/>
      <w:spacing w:after="0"/>
      <w:jc w:val="left"/>
      <w:outlineLvl w:val="1"/>
    </w:pPr>
    <w:rPr>
      <w:rFonts w:eastAsia="MS Gothic"/>
      <w:b/>
      <w:bCs/>
      <w:color w:val="71818C"/>
      <w:sz w:val="28"/>
      <w:szCs w:val="26"/>
    </w:rPr>
  </w:style>
  <w:style w:type="paragraph" w:customStyle="1" w:styleId="Textpoznpodarou10">
    <w:name w:val="Text pozn. pod čarou1"/>
    <w:basedOn w:val="Normln"/>
    <w:rsid w:val="00BE6186"/>
    <w:pPr>
      <w:spacing w:after="0" w:line="240" w:lineRule="auto"/>
      <w:jc w:val="left"/>
    </w:pPr>
    <w:rPr>
      <w:rFonts w:eastAsia="Calibri"/>
      <w:color w:val="00000A"/>
      <w:szCs w:val="20"/>
    </w:rPr>
  </w:style>
  <w:style w:type="paragraph" w:styleId="Normlnweb">
    <w:name w:val="Normal (Web)"/>
    <w:basedOn w:val="Normln"/>
    <w:uiPriority w:val="99"/>
    <w:unhideWhenUsed/>
    <w:rsid w:val="00C96D08"/>
    <w:pPr>
      <w:spacing w:before="100" w:beforeAutospacing="1" w:after="100" w:afterAutospacing="1" w:line="240" w:lineRule="auto"/>
      <w:jc w:val="left"/>
    </w:pPr>
    <w:rPr>
      <w:rFonts w:ascii="Times New Roman" w:hAnsi="Times New Roman"/>
      <w:sz w:val="24"/>
    </w:rPr>
  </w:style>
  <w:style w:type="paragraph" w:styleId="Zkladntext">
    <w:name w:val="Body Text"/>
    <w:basedOn w:val="Normln"/>
    <w:link w:val="ZkladntextChar"/>
    <w:semiHidden/>
    <w:rsid w:val="004C5FBF"/>
    <w:pPr>
      <w:widowControl w:val="0"/>
      <w:suppressAutoHyphens/>
      <w:autoSpaceDE w:val="0"/>
      <w:autoSpaceDN w:val="0"/>
      <w:adjustRightInd w:val="0"/>
      <w:spacing w:before="120" w:after="0" w:line="215" w:lineRule="exact"/>
    </w:pPr>
    <w:rPr>
      <w:rFonts w:ascii="Times New Roman CE obyèejné" w:hAnsi="Times New Roman CE obyèejné"/>
      <w:szCs w:val="20"/>
    </w:rPr>
  </w:style>
  <w:style w:type="character" w:customStyle="1" w:styleId="ZkladntextChar">
    <w:name w:val="Základní text Char"/>
    <w:basedOn w:val="Standardnpsmoodstavce"/>
    <w:link w:val="Zkladntext"/>
    <w:semiHidden/>
    <w:rsid w:val="004C5FBF"/>
    <w:rPr>
      <w:rFonts w:ascii="Times New Roman CE obyèejné" w:eastAsia="Times New Roman" w:hAnsi="Times New Roman CE obyèejné"/>
      <w:lang w:eastAsia="cs-CZ"/>
    </w:rPr>
  </w:style>
  <w:style w:type="character" w:customStyle="1" w:styleId="content">
    <w:name w:val="content"/>
    <w:basedOn w:val="Standardnpsmoodstavce"/>
    <w:rsid w:val="003C4BE8"/>
  </w:style>
  <w:style w:type="paragraph" w:styleId="Textvysvtlivek">
    <w:name w:val="endnote text"/>
    <w:basedOn w:val="Normln"/>
    <w:link w:val="TextvysvtlivekChar"/>
    <w:uiPriority w:val="99"/>
    <w:semiHidden/>
    <w:unhideWhenUsed/>
    <w:rsid w:val="00744EE6"/>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744EE6"/>
    <w:rPr>
      <w:rFonts w:ascii="Arial" w:eastAsia="Times New Roman" w:hAnsi="Arial"/>
      <w:lang w:eastAsia="cs-CZ"/>
    </w:rPr>
  </w:style>
  <w:style w:type="character" w:styleId="Odkaznavysvtlivky">
    <w:name w:val="endnote reference"/>
    <w:basedOn w:val="Standardnpsmoodstavce"/>
    <w:uiPriority w:val="99"/>
    <w:semiHidden/>
    <w:unhideWhenUsed/>
    <w:rsid w:val="00744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615720">
      <w:bodyDiv w:val="1"/>
      <w:marLeft w:val="60"/>
      <w:marRight w:val="60"/>
      <w:marTop w:val="60"/>
      <w:marBottom w:val="15"/>
      <w:divBdr>
        <w:top w:val="none" w:sz="0" w:space="0" w:color="auto"/>
        <w:left w:val="none" w:sz="0" w:space="0" w:color="auto"/>
        <w:bottom w:val="none" w:sz="0" w:space="0" w:color="auto"/>
        <w:right w:val="none" w:sz="0" w:space="0" w:color="auto"/>
      </w:divBdr>
      <w:divsChild>
        <w:div w:id="658968227">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535664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2060051">
          <w:marLeft w:val="0"/>
          <w:marRight w:val="0"/>
          <w:marTop w:val="0"/>
          <w:marBottom w:val="0"/>
          <w:divBdr>
            <w:top w:val="none" w:sz="0" w:space="0" w:color="auto"/>
            <w:left w:val="none" w:sz="0" w:space="0" w:color="auto"/>
            <w:bottom w:val="none" w:sz="0" w:space="0" w:color="auto"/>
            <w:right w:val="none" w:sz="0" w:space="0" w:color="auto"/>
          </w:divBdr>
          <w:divsChild>
            <w:div w:id="1352418194">
              <w:marLeft w:val="0"/>
              <w:marRight w:val="0"/>
              <w:marTop w:val="0"/>
              <w:marBottom w:val="0"/>
              <w:divBdr>
                <w:top w:val="none" w:sz="0" w:space="0" w:color="auto"/>
                <w:left w:val="none" w:sz="0" w:space="0" w:color="auto"/>
                <w:bottom w:val="none" w:sz="0" w:space="0" w:color="auto"/>
                <w:right w:val="none" w:sz="0" w:space="0" w:color="auto"/>
              </w:divBdr>
            </w:div>
            <w:div w:id="1419256889">
              <w:marLeft w:val="0"/>
              <w:marRight w:val="0"/>
              <w:marTop w:val="0"/>
              <w:marBottom w:val="0"/>
              <w:divBdr>
                <w:top w:val="none" w:sz="0" w:space="0" w:color="auto"/>
                <w:left w:val="none" w:sz="0" w:space="0" w:color="auto"/>
                <w:bottom w:val="none" w:sz="0" w:space="0" w:color="auto"/>
                <w:right w:val="none" w:sz="0" w:space="0" w:color="auto"/>
              </w:divBdr>
            </w:div>
            <w:div w:id="1012336419">
              <w:marLeft w:val="0"/>
              <w:marRight w:val="0"/>
              <w:marTop w:val="0"/>
              <w:marBottom w:val="0"/>
              <w:divBdr>
                <w:top w:val="none" w:sz="0" w:space="0" w:color="auto"/>
                <w:left w:val="none" w:sz="0" w:space="0" w:color="auto"/>
                <w:bottom w:val="none" w:sz="0" w:space="0" w:color="auto"/>
                <w:right w:val="none" w:sz="0" w:space="0" w:color="auto"/>
              </w:divBdr>
            </w:div>
            <w:div w:id="1187673128">
              <w:marLeft w:val="0"/>
              <w:marRight w:val="0"/>
              <w:marTop w:val="0"/>
              <w:marBottom w:val="0"/>
              <w:divBdr>
                <w:top w:val="none" w:sz="0" w:space="0" w:color="auto"/>
                <w:left w:val="none" w:sz="0" w:space="0" w:color="auto"/>
                <w:bottom w:val="none" w:sz="0" w:space="0" w:color="auto"/>
                <w:right w:val="none" w:sz="0" w:space="0" w:color="auto"/>
              </w:divBdr>
            </w:div>
            <w:div w:id="1325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226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18138374">
          <w:marLeft w:val="0"/>
          <w:marRight w:val="0"/>
          <w:marTop w:val="0"/>
          <w:marBottom w:val="0"/>
          <w:divBdr>
            <w:top w:val="none" w:sz="0" w:space="0" w:color="auto"/>
            <w:left w:val="none" w:sz="0" w:space="0" w:color="auto"/>
            <w:bottom w:val="none" w:sz="0" w:space="0" w:color="auto"/>
            <w:right w:val="none" w:sz="0" w:space="0" w:color="auto"/>
          </w:divBdr>
        </w:div>
      </w:divsChild>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Ro&#269;n&#237;%20anal&#253;za%202018\Ana&#253;za%20ekonomick&#233;ho%20v&#253;voje%20v%20roce%2020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Souhrnn&#225;%20v&#253;konnost\Kopie%20-%20hdpcr063020_g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Hospoda&#345;en&#237;%20vl&#225;dn&#237;ho%20sektoru\GOV_TR130_CZ.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Hospoda&#345;en&#237;%20vl&#225;dn&#237;ho%20sektoru\GOV_DEBT_CZ.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Dom&#225;cnosti\QSA_S14_2020q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Dom&#225;cnosti\QSA_S14_2020q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Dom&#225;cnosti\QSA_S14_2020q1.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Souhrnn&#225;%20v&#253;konnost\Kopie%20-%20hdpcr063020_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zabojnikova31519\AppData\Local\Temp\nama_10_gdp-1.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Investice\THFK_S_bc_CZ.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zabojnikova31519\AppData\Local\Temp\THFK_V_iscpr_CZ.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Nefinan&#269;n&#237;%20podniky\TB0001B1Ga_CZ.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Nefinan&#269;n&#237;%20podniky\QSA_S11_2020q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Hospoda&#345;en&#237;%20vl&#225;dn&#237;ho%20sektoru\gov_10dd_edpt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zabojnikova31519\Documents\Anal&#253;za\Ro&#269;n&#237;%20n&#225;rodn&#237;%20&#250;&#269;ty\Hospoda&#345;en&#237;%20vl&#225;dn&#237;ho%20sektoru\GOV_TR130_CZ.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72398724958299E-2"/>
          <c:y val="3.9316672295395698E-2"/>
          <c:w val="0.88608304658968562"/>
          <c:h val="0.71742007204773151"/>
        </c:manualLayout>
      </c:layout>
      <c:barChart>
        <c:barDir val="col"/>
        <c:grouping val="stacked"/>
        <c:varyColors val="0"/>
        <c:ser>
          <c:idx val="0"/>
          <c:order val="0"/>
          <c:tx>
            <c:strRef>
              <c:f>HDP_minus!$T$116</c:f>
              <c:strCache>
                <c:ptCount val="1"/>
                <c:pt idx="0">
                  <c:v>Spotřeba domácností</c:v>
                </c:pt>
              </c:strCache>
            </c:strRef>
          </c:tx>
          <c:spPr>
            <a:solidFill>
              <a:srgbClr val="FF7171"/>
            </a:solidFill>
            <a:ln>
              <a:noFill/>
            </a:ln>
            <a:effectLst/>
          </c:spPr>
          <c:invertIfNegative val="0"/>
          <c:cat>
            <c:multiLvlStrRef>
              <c:f>HDP_minus!$R$117:$S$132</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HDP_minus!$T$117:$T$132</c:f>
              <c:numCache>
                <c:formatCode>0.0</c:formatCode>
                <c:ptCount val="16"/>
                <c:pt idx="0">
                  <c:v>-0.18481744017213947</c:v>
                </c:pt>
                <c:pt idx="1">
                  <c:v>0.26165815080780858</c:v>
                </c:pt>
                <c:pt idx="2">
                  <c:v>-6.0752948657134334E-2</c:v>
                </c:pt>
                <c:pt idx="3">
                  <c:v>-0.69919952325884471</c:v>
                </c:pt>
                <c:pt idx="4">
                  <c:v>0.4721507786563014</c:v>
                </c:pt>
                <c:pt idx="5">
                  <c:v>0.15648455912441961</c:v>
                </c:pt>
                <c:pt idx="6">
                  <c:v>1.2252538759790008</c:v>
                </c:pt>
                <c:pt idx="7">
                  <c:v>0.97302688689801087</c:v>
                </c:pt>
                <c:pt idx="8">
                  <c:v>1.2283045114993791</c:v>
                </c:pt>
                <c:pt idx="9">
                  <c:v>1.152049193857505</c:v>
                </c:pt>
                <c:pt idx="10">
                  <c:v>1.2110373488122279</c:v>
                </c:pt>
                <c:pt idx="12" formatCode="#\ ##0.0">
                  <c:v>0.95709419842434051</c:v>
                </c:pt>
                <c:pt idx="13" formatCode="#\ ##0.0">
                  <c:v>1.3452005145206245</c:v>
                </c:pt>
                <c:pt idx="14" formatCode="#\ ##0.0">
                  <c:v>1.1867517998339108</c:v>
                </c:pt>
                <c:pt idx="15" formatCode="#\ ##0.0">
                  <c:v>1.3517576838625602</c:v>
                </c:pt>
              </c:numCache>
            </c:numRef>
          </c:val>
          <c:extLst>
            <c:ext xmlns:c16="http://schemas.microsoft.com/office/drawing/2014/chart" uri="{C3380CC4-5D6E-409C-BE32-E72D297353CC}">
              <c16:uniqueId val="{00000000-413A-4F1C-94F4-8C9D533056E9}"/>
            </c:ext>
          </c:extLst>
        </c:ser>
        <c:ser>
          <c:idx val="1"/>
          <c:order val="1"/>
          <c:tx>
            <c:strRef>
              <c:f>HDP_minus!$U$116</c:f>
              <c:strCache>
                <c:ptCount val="1"/>
                <c:pt idx="0">
                  <c:v>Spotřeba vládních institucí</c:v>
                </c:pt>
              </c:strCache>
            </c:strRef>
          </c:tx>
          <c:spPr>
            <a:solidFill>
              <a:srgbClr val="FF0000"/>
            </a:solidFill>
            <a:ln>
              <a:noFill/>
            </a:ln>
            <a:effectLst/>
          </c:spPr>
          <c:invertIfNegative val="0"/>
          <c:cat>
            <c:multiLvlStrRef>
              <c:f>HDP_minus!$R$117:$S$132</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HDP_minus!$U$117:$U$132</c:f>
              <c:numCache>
                <c:formatCode>0.0</c:formatCode>
                <c:ptCount val="16"/>
                <c:pt idx="0">
                  <c:v>0.47774363952464166</c:v>
                </c:pt>
                <c:pt idx="1">
                  <c:v>0.20509629240858784</c:v>
                </c:pt>
                <c:pt idx="2">
                  <c:v>-0.70050396342467613</c:v>
                </c:pt>
                <c:pt idx="3">
                  <c:v>-0.42608907287380743</c:v>
                </c:pt>
                <c:pt idx="4">
                  <c:v>0.43573741424918655</c:v>
                </c:pt>
                <c:pt idx="5">
                  <c:v>0.22501023260069708</c:v>
                </c:pt>
                <c:pt idx="6">
                  <c:v>0.44475521853604733</c:v>
                </c:pt>
                <c:pt idx="7">
                  <c:v>0.45065281387674672</c:v>
                </c:pt>
                <c:pt idx="8">
                  <c:v>0.31682494863206317</c:v>
                </c:pt>
                <c:pt idx="9">
                  <c:v>0.6969974425218104</c:v>
                </c:pt>
                <c:pt idx="10">
                  <c:v>0.42039460239058524</c:v>
                </c:pt>
                <c:pt idx="12" formatCode="#\ ##0.0">
                  <c:v>0.36969712355591594</c:v>
                </c:pt>
                <c:pt idx="13" formatCode="#\ ##0.0">
                  <c:v>0.50543252930386484</c:v>
                </c:pt>
                <c:pt idx="14" formatCode="#\ ##0.0">
                  <c:v>0.40522723257515153</c:v>
                </c:pt>
                <c:pt idx="15" formatCode="#\ ##0.0">
                  <c:v>0.4012060779431087</c:v>
                </c:pt>
              </c:numCache>
            </c:numRef>
          </c:val>
          <c:extLst>
            <c:ext xmlns:c16="http://schemas.microsoft.com/office/drawing/2014/chart" uri="{C3380CC4-5D6E-409C-BE32-E72D297353CC}">
              <c16:uniqueId val="{00000001-413A-4F1C-94F4-8C9D533056E9}"/>
            </c:ext>
          </c:extLst>
        </c:ser>
        <c:ser>
          <c:idx val="2"/>
          <c:order val="2"/>
          <c:tx>
            <c:strRef>
              <c:f>HDP_minus!$V$116</c:f>
              <c:strCache>
                <c:ptCount val="1"/>
                <c:pt idx="0">
                  <c:v>Tvorba hrubého kapitálu</c:v>
                </c:pt>
              </c:strCache>
            </c:strRef>
          </c:tx>
          <c:spPr>
            <a:solidFill>
              <a:srgbClr val="0070C0"/>
            </a:solidFill>
            <a:ln>
              <a:noFill/>
            </a:ln>
            <a:effectLst/>
          </c:spPr>
          <c:invertIfNegative val="0"/>
          <c:cat>
            <c:multiLvlStrRef>
              <c:f>HDP_minus!$R$117:$S$132</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HDP_minus!$V$117:$V$132</c:f>
              <c:numCache>
                <c:formatCode>0.0</c:formatCode>
                <c:ptCount val="16"/>
                <c:pt idx="0">
                  <c:v>-3.2147063396535871</c:v>
                </c:pt>
                <c:pt idx="1">
                  <c:v>-1.5065315181599839E-2</c:v>
                </c:pt>
                <c:pt idx="2">
                  <c:v>0.18766960559764126</c:v>
                </c:pt>
                <c:pt idx="3">
                  <c:v>-1.3189197297638056</c:v>
                </c:pt>
                <c:pt idx="4">
                  <c:v>-0.82376208248876404</c:v>
                </c:pt>
                <c:pt idx="5">
                  <c:v>0.70761456534473688</c:v>
                </c:pt>
                <c:pt idx="6">
                  <c:v>2.5475684289779674</c:v>
                </c:pt>
                <c:pt idx="7">
                  <c:v>-0.72898004065655464</c:v>
                </c:pt>
                <c:pt idx="8">
                  <c:v>0.88814096135943232</c:v>
                </c:pt>
                <c:pt idx="9">
                  <c:v>1.7232950085321357</c:v>
                </c:pt>
                <c:pt idx="10">
                  <c:v>-8.3462888032666799E-2</c:v>
                </c:pt>
                <c:pt idx="12" formatCode="#\ ##0.0">
                  <c:v>0.91852512375984641</c:v>
                </c:pt>
                <c:pt idx="13" formatCode="#\ ##0.0">
                  <c:v>-1.1054000753810638</c:v>
                </c:pt>
                <c:pt idx="14" formatCode="#\ ##0.0">
                  <c:v>-1.1725505853239804</c:v>
                </c:pt>
                <c:pt idx="15" formatCode="#\ ##0.0">
                  <c:v>1.02328337892609</c:v>
                </c:pt>
              </c:numCache>
            </c:numRef>
          </c:val>
          <c:extLst>
            <c:ext xmlns:c16="http://schemas.microsoft.com/office/drawing/2014/chart" uri="{C3380CC4-5D6E-409C-BE32-E72D297353CC}">
              <c16:uniqueId val="{00000002-413A-4F1C-94F4-8C9D533056E9}"/>
            </c:ext>
          </c:extLst>
        </c:ser>
        <c:ser>
          <c:idx val="3"/>
          <c:order val="3"/>
          <c:tx>
            <c:strRef>
              <c:f>HDP_minus!$W$116</c:f>
              <c:strCache>
                <c:ptCount val="1"/>
                <c:pt idx="0">
                  <c:v>Bilance zahraničního obchodu</c:v>
                </c:pt>
              </c:strCache>
            </c:strRef>
          </c:tx>
          <c:spPr>
            <a:solidFill>
              <a:srgbClr val="00B050"/>
            </a:solidFill>
            <a:ln>
              <a:noFill/>
            </a:ln>
            <a:effectLst/>
          </c:spPr>
          <c:invertIfNegative val="0"/>
          <c:cat>
            <c:multiLvlStrRef>
              <c:f>HDP_minus!$R$117:$S$132</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HDP_minus!$W$117:$W$132</c:f>
              <c:numCache>
                <c:formatCode>0.0</c:formatCode>
                <c:ptCount val="16"/>
                <c:pt idx="0">
                  <c:v>-1.6045488791464697</c:v>
                </c:pt>
                <c:pt idx="1">
                  <c:v>1.8411051094102584</c:v>
                </c:pt>
                <c:pt idx="2">
                  <c:v>2.3276118294176036</c:v>
                </c:pt>
                <c:pt idx="3">
                  <c:v>1.7282908698432407</c:v>
                </c:pt>
                <c:pt idx="4">
                  <c:v>-0.1635905107950576</c:v>
                </c:pt>
                <c:pt idx="5">
                  <c:v>1.1488991220949361</c:v>
                </c:pt>
                <c:pt idx="6">
                  <c:v>1.2330671583211297</c:v>
                </c:pt>
                <c:pt idx="7">
                  <c:v>1.6930577548603101</c:v>
                </c:pt>
                <c:pt idx="8">
                  <c:v>2.845394599578261</c:v>
                </c:pt>
                <c:pt idx="9">
                  <c:v>-0.5197447707350924</c:v>
                </c:pt>
                <c:pt idx="10">
                  <c:v>0.64161541144667511</c:v>
                </c:pt>
                <c:pt idx="12" formatCode="#\ ##0.0">
                  <c:v>0.12604869637815186</c:v>
                </c:pt>
                <c:pt idx="13" formatCode="#\ ##0.0">
                  <c:v>1.5557019835323573</c:v>
                </c:pt>
                <c:pt idx="14" formatCode="#\ ##0.0">
                  <c:v>1.7857076729316352</c:v>
                </c:pt>
                <c:pt idx="15" formatCode="#\ ##0.0">
                  <c:v>-0.89056835169597359</c:v>
                </c:pt>
              </c:numCache>
            </c:numRef>
          </c:val>
          <c:extLst>
            <c:ext xmlns:c16="http://schemas.microsoft.com/office/drawing/2014/chart" uri="{C3380CC4-5D6E-409C-BE32-E72D297353CC}">
              <c16:uniqueId val="{00000003-413A-4F1C-94F4-8C9D533056E9}"/>
            </c:ext>
          </c:extLst>
        </c:ser>
        <c:dLbls>
          <c:showLegendKey val="0"/>
          <c:showVal val="0"/>
          <c:showCatName val="0"/>
          <c:showSerName val="0"/>
          <c:showPercent val="0"/>
          <c:showBubbleSize val="0"/>
        </c:dLbls>
        <c:gapWidth val="100"/>
        <c:overlap val="100"/>
        <c:axId val="300152447"/>
        <c:axId val="300152863"/>
      </c:barChart>
      <c:lineChart>
        <c:grouping val="standard"/>
        <c:varyColors val="0"/>
        <c:ser>
          <c:idx val="4"/>
          <c:order val="4"/>
          <c:tx>
            <c:strRef>
              <c:f>HDP_minus!$X$116</c:f>
              <c:strCache>
                <c:ptCount val="1"/>
                <c:pt idx="0">
                  <c:v>HDP</c:v>
                </c:pt>
              </c:strCache>
            </c:strRef>
          </c:tx>
          <c:spPr>
            <a:ln w="28575" cap="rnd">
              <a:solidFill>
                <a:schemeClr val="tx1"/>
              </a:solidFill>
              <a:round/>
            </a:ln>
            <a:effectLst/>
          </c:spPr>
          <c:marker>
            <c:symbol val="none"/>
          </c:marker>
          <c:cat>
            <c:multiLvlStrRef>
              <c:f>HDP_minus!$R$117:$S$132</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HDP_minus!$X$117:$X$132</c:f>
              <c:numCache>
                <c:formatCode>0.0</c:formatCode>
                <c:ptCount val="16"/>
                <c:pt idx="0">
                  <c:v>-4.5170074899662085</c:v>
                </c:pt>
                <c:pt idx="1">
                  <c:v>2.2825772898006358</c:v>
                </c:pt>
                <c:pt idx="2">
                  <c:v>1.7614978096604592</c:v>
                </c:pt>
                <c:pt idx="3">
                  <c:v>-0.71155865769536508</c:v>
                </c:pt>
                <c:pt idx="4">
                  <c:v>-4.3740197902378632E-2</c:v>
                </c:pt>
                <c:pt idx="5">
                  <c:v>2.2616450382011144</c:v>
                </c:pt>
                <c:pt idx="6">
                  <c:v>5.4646131919584233</c:v>
                </c:pt>
                <c:pt idx="7">
                  <c:v>2.4456049020148094</c:v>
                </c:pt>
                <c:pt idx="8">
                  <c:v>5.358605753909659</c:v>
                </c:pt>
                <c:pt idx="9">
                  <c:v>3.1642785607855592</c:v>
                </c:pt>
                <c:pt idx="10">
                  <c:v>2.2673845775963404</c:v>
                </c:pt>
                <c:pt idx="12" formatCode="#\ ##0.0">
                  <c:v>2.4492683454218138</c:v>
                </c:pt>
                <c:pt idx="13" formatCode="#\ ##0.0">
                  <c:v>2.3738828500299576</c:v>
                </c:pt>
                <c:pt idx="14" formatCode="#\ ##0.0">
                  <c:v>2.2829391747994663</c:v>
                </c:pt>
                <c:pt idx="15" formatCode="#\ ##0.0">
                  <c:v>1.9683208351430466</c:v>
                </c:pt>
              </c:numCache>
            </c:numRef>
          </c:val>
          <c:smooth val="0"/>
          <c:extLst>
            <c:ext xmlns:c16="http://schemas.microsoft.com/office/drawing/2014/chart" uri="{C3380CC4-5D6E-409C-BE32-E72D297353CC}">
              <c16:uniqueId val="{00000004-413A-4F1C-94F4-8C9D533056E9}"/>
            </c:ext>
          </c:extLst>
        </c:ser>
        <c:dLbls>
          <c:showLegendKey val="0"/>
          <c:showVal val="0"/>
          <c:showCatName val="0"/>
          <c:showSerName val="0"/>
          <c:showPercent val="0"/>
          <c:showBubbleSize val="0"/>
        </c:dLbls>
        <c:marker val="1"/>
        <c:smooth val="0"/>
        <c:axId val="300152447"/>
        <c:axId val="300152863"/>
      </c:lineChart>
      <c:catAx>
        <c:axId val="3001524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0152863"/>
        <c:crosses val="autoZero"/>
        <c:auto val="1"/>
        <c:lblAlgn val="ctr"/>
        <c:lblOffset val="100"/>
        <c:tickLblSkip val="1"/>
        <c:noMultiLvlLbl val="0"/>
      </c:catAx>
      <c:valAx>
        <c:axId val="3001528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HDP </a:t>
                </a:r>
                <a:r>
                  <a:rPr lang="en-US" sz="800" b="0" i="0" u="none" strike="noStrike" kern="1200" baseline="0">
                    <a:solidFill>
                      <a:sysClr val="windowText" lastClr="000000"/>
                    </a:solidFill>
                    <a:latin typeface="Arial" panose="020B0604020202020204" pitchFamily="34" charset="0"/>
                    <a:ea typeface="+mn-ea"/>
                    <a:cs typeface="+mn-cs"/>
                  </a:rPr>
                  <a:t>Změna výdajů na konečnou spotřebu ( </a:t>
                </a:r>
                <a:r>
                  <a:rPr lang="en-US"/>
                  <a:t>jeho složky (v</a:t>
                </a:r>
                <a:r>
                  <a:rPr lang="en-US" sz="800" b="0" i="0" u="none" strike="noStrike" kern="1200" baseline="0">
                    <a:solidFill>
                      <a:sysClr val="windowText" lastClr="000000"/>
                    </a:solidFill>
                    <a:latin typeface="Arial" panose="020B0604020202020204" pitchFamily="34" charset="0"/>
                    <a:ea typeface="+mn-ea"/>
                    <a:cs typeface="+mn-cs"/>
                  </a:rPr>
                  <a:t> %</a:t>
                </a:r>
                <a:r>
                  <a:rPr lang="en-US"/>
                  <a:t>, příspěvky v</a:t>
                </a:r>
                <a:r>
                  <a:rPr lang="en-US" sz="800" b="0" i="0" u="none" strike="noStrike" kern="1200" baseline="0">
                    <a:solidFill>
                      <a:sysClr val="windowText" lastClr="000000"/>
                    </a:solidFill>
                    <a:latin typeface="Arial" panose="020B0604020202020204" pitchFamily="34" charset="0"/>
                    <a:ea typeface="+mn-ea"/>
                    <a:cs typeface="+mn-cs"/>
                  </a:rPr>
                  <a:t> p. b.</a:t>
                </a:r>
                <a:r>
                  <a:rPr lang="en-US"/>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00152447"/>
        <c:crosses val="autoZero"/>
        <c:crossBetween val="between"/>
      </c:valAx>
      <c:spPr>
        <a:noFill/>
        <a:ln>
          <a:noFill/>
        </a:ln>
        <a:effectLst/>
      </c:spPr>
    </c:plotArea>
    <c:legend>
      <c:legendPos val="b"/>
      <c:layout>
        <c:manualLayout>
          <c:xMode val="edge"/>
          <c:yMode val="edge"/>
          <c:x val="5.4469773725092874E-2"/>
          <c:y val="0.86404733761116737"/>
          <c:w val="0.91518659236744349"/>
          <c:h val="0.1145072047731622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23598446470801E-2"/>
          <c:y val="3.9316672295395698E-2"/>
          <c:w val="0.88098889733198249"/>
          <c:h val="0.71712006079027357"/>
        </c:manualLayout>
      </c:layout>
      <c:barChart>
        <c:barDir val="col"/>
        <c:grouping val="stacked"/>
        <c:varyColors val="0"/>
        <c:ser>
          <c:idx val="3"/>
          <c:order val="1"/>
          <c:tx>
            <c:strRef>
              <c:f>List1!$N$5</c:f>
              <c:strCache>
                <c:ptCount val="1"/>
                <c:pt idx="0">
                  <c:v>Fondy sociálního zabezpečení (zdravotní pojišťovny)</c:v>
                </c:pt>
              </c:strCache>
            </c:strRef>
          </c:tx>
          <c:spPr>
            <a:solidFill>
              <a:srgbClr val="00B050"/>
            </a:solidFill>
            <a:ln>
              <a:noFill/>
            </a:ln>
            <a:effectLst/>
          </c:spPr>
          <c:invertIfNegative val="0"/>
          <c:cat>
            <c:numRef>
              <c:f>List1!$J$6:$J$16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List1!$N$6:$N$16</c:f>
              <c:numCache>
                <c:formatCode>General</c:formatCode>
                <c:ptCount val="11"/>
                <c:pt idx="0">
                  <c:v>-10.648999999999999</c:v>
                </c:pt>
                <c:pt idx="1">
                  <c:v>-8.7189999999999994</c:v>
                </c:pt>
                <c:pt idx="2">
                  <c:v>-6.9260000000000002</c:v>
                </c:pt>
                <c:pt idx="3">
                  <c:v>-6.8280000000000003</c:v>
                </c:pt>
                <c:pt idx="4">
                  <c:v>0.91500000000000004</c:v>
                </c:pt>
                <c:pt idx="5">
                  <c:v>-2.6930000000000001</c:v>
                </c:pt>
                <c:pt idx="6">
                  <c:v>1.913</c:v>
                </c:pt>
                <c:pt idx="7">
                  <c:v>4.8860000000000001</c:v>
                </c:pt>
                <c:pt idx="8">
                  <c:v>8.1820000000000004</c:v>
                </c:pt>
                <c:pt idx="9">
                  <c:v>16.646000000000001</c:v>
                </c:pt>
                <c:pt idx="10">
                  <c:v>11.09</c:v>
                </c:pt>
              </c:numCache>
            </c:numRef>
          </c:val>
          <c:extLst>
            <c:ext xmlns:c16="http://schemas.microsoft.com/office/drawing/2014/chart" uri="{C3380CC4-5D6E-409C-BE32-E72D297353CC}">
              <c16:uniqueId val="{00000000-800F-40C9-860C-73CB6F9825F5}"/>
            </c:ext>
          </c:extLst>
        </c:ser>
        <c:ser>
          <c:idx val="2"/>
          <c:order val="2"/>
          <c:tx>
            <c:strRef>
              <c:f>List1!$M$5</c:f>
              <c:strCache>
                <c:ptCount val="1"/>
                <c:pt idx="0">
                  <c:v>Místní vládní instituce</c:v>
                </c:pt>
              </c:strCache>
            </c:strRef>
          </c:tx>
          <c:spPr>
            <a:solidFill>
              <a:srgbClr val="FF0000"/>
            </a:solidFill>
            <a:ln>
              <a:noFill/>
            </a:ln>
            <a:effectLst/>
          </c:spPr>
          <c:invertIfNegative val="0"/>
          <c:cat>
            <c:numRef>
              <c:f>List1!$J$6:$J$16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List1!$M$6:$M$16</c:f>
              <c:numCache>
                <c:formatCode>General</c:formatCode>
                <c:ptCount val="11"/>
                <c:pt idx="0">
                  <c:v>-24.731000000000002</c:v>
                </c:pt>
                <c:pt idx="1">
                  <c:v>-15.188000000000001</c:v>
                </c:pt>
                <c:pt idx="2">
                  <c:v>-11.268000000000001</c:v>
                </c:pt>
                <c:pt idx="3">
                  <c:v>-2.0920000000000001</c:v>
                </c:pt>
                <c:pt idx="4">
                  <c:v>12.135</c:v>
                </c:pt>
                <c:pt idx="5">
                  <c:v>7.6749999999999998</c:v>
                </c:pt>
                <c:pt idx="6">
                  <c:v>25.989000000000001</c:v>
                </c:pt>
                <c:pt idx="7">
                  <c:v>49.677999999999997</c:v>
                </c:pt>
                <c:pt idx="8">
                  <c:v>41.924999999999997</c:v>
                </c:pt>
                <c:pt idx="9">
                  <c:v>23.565000000000001</c:v>
                </c:pt>
                <c:pt idx="10">
                  <c:v>35.950000000000003</c:v>
                </c:pt>
              </c:numCache>
            </c:numRef>
          </c:val>
          <c:extLst>
            <c:ext xmlns:c16="http://schemas.microsoft.com/office/drawing/2014/chart" uri="{C3380CC4-5D6E-409C-BE32-E72D297353CC}">
              <c16:uniqueId val="{00000001-800F-40C9-860C-73CB6F9825F5}"/>
            </c:ext>
          </c:extLst>
        </c:ser>
        <c:ser>
          <c:idx val="1"/>
          <c:order val="3"/>
          <c:tx>
            <c:strRef>
              <c:f>List1!$L$5</c:f>
              <c:strCache>
                <c:ptCount val="1"/>
                <c:pt idx="0">
                  <c:v>Ústřední vládní instituce</c:v>
                </c:pt>
              </c:strCache>
            </c:strRef>
          </c:tx>
          <c:spPr>
            <a:solidFill>
              <a:srgbClr val="0070C0"/>
            </a:solidFill>
            <a:ln>
              <a:noFill/>
            </a:ln>
            <a:effectLst/>
          </c:spPr>
          <c:invertIfNegative val="0"/>
          <c:cat>
            <c:numRef>
              <c:f>List1!$J$6:$J$16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List1!$L$6:$L$16</c:f>
              <c:numCache>
                <c:formatCode>General</c:formatCode>
                <c:ptCount val="11"/>
                <c:pt idx="0">
                  <c:v>-178.602</c:v>
                </c:pt>
                <c:pt idx="1">
                  <c:v>-141.87700000000001</c:v>
                </c:pt>
                <c:pt idx="2">
                  <c:v>-91.503</c:v>
                </c:pt>
                <c:pt idx="3">
                  <c:v>-150.429</c:v>
                </c:pt>
                <c:pt idx="4">
                  <c:v>-66.239000000000004</c:v>
                </c:pt>
                <c:pt idx="5">
                  <c:v>-95.177999999999997</c:v>
                </c:pt>
                <c:pt idx="6">
                  <c:v>-57.680999999999997</c:v>
                </c:pt>
                <c:pt idx="7">
                  <c:v>-20.420999999999999</c:v>
                </c:pt>
                <c:pt idx="8">
                  <c:v>26.626000000000001</c:v>
                </c:pt>
                <c:pt idx="9">
                  <c:v>9.0440000000000005</c:v>
                </c:pt>
                <c:pt idx="10">
                  <c:v>-31.675000000000001</c:v>
                </c:pt>
              </c:numCache>
            </c:numRef>
          </c:val>
          <c:extLst>
            <c:ext xmlns:c16="http://schemas.microsoft.com/office/drawing/2014/chart" uri="{C3380CC4-5D6E-409C-BE32-E72D297353CC}">
              <c16:uniqueId val="{00000002-800F-40C9-860C-73CB6F9825F5}"/>
            </c:ext>
          </c:extLst>
        </c:ser>
        <c:dLbls>
          <c:showLegendKey val="0"/>
          <c:showVal val="0"/>
          <c:showCatName val="0"/>
          <c:showSerName val="0"/>
          <c:showPercent val="0"/>
          <c:showBubbleSize val="0"/>
        </c:dLbls>
        <c:gapWidth val="100"/>
        <c:overlap val="100"/>
        <c:axId val="362697039"/>
        <c:axId val="362711599"/>
      </c:barChart>
      <c:lineChart>
        <c:grouping val="standard"/>
        <c:varyColors val="0"/>
        <c:ser>
          <c:idx val="0"/>
          <c:order val="0"/>
          <c:tx>
            <c:strRef>
              <c:f>List1!$K$5</c:f>
              <c:strCache>
                <c:ptCount val="1"/>
                <c:pt idx="0">
                  <c:v>Celkem</c:v>
                </c:pt>
              </c:strCache>
            </c:strRef>
          </c:tx>
          <c:spPr>
            <a:ln w="28575" cap="rnd">
              <a:solidFill>
                <a:schemeClr val="tx1"/>
              </a:solidFill>
              <a:round/>
            </a:ln>
            <a:effectLst/>
          </c:spPr>
          <c:marker>
            <c:symbol val="none"/>
          </c:marker>
          <c:cat>
            <c:numRef>
              <c:f>List1!$J$6:$J$16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List1!$K$6:$K$16</c:f>
              <c:numCache>
                <c:formatCode>General</c:formatCode>
                <c:ptCount val="11"/>
                <c:pt idx="0">
                  <c:v>-213.982</c:v>
                </c:pt>
                <c:pt idx="1">
                  <c:v>-165.78399999999999</c:v>
                </c:pt>
                <c:pt idx="2">
                  <c:v>-109.697</c:v>
                </c:pt>
                <c:pt idx="3">
                  <c:v>-159.34899999999999</c:v>
                </c:pt>
                <c:pt idx="4">
                  <c:v>-53.189</c:v>
                </c:pt>
                <c:pt idx="5">
                  <c:v>-90.195999999999998</c:v>
                </c:pt>
                <c:pt idx="6">
                  <c:v>-29.779</c:v>
                </c:pt>
                <c:pt idx="7">
                  <c:v>34.143000000000001</c:v>
                </c:pt>
                <c:pt idx="8">
                  <c:v>76.733000000000004</c:v>
                </c:pt>
                <c:pt idx="9">
                  <c:v>49.255000000000003</c:v>
                </c:pt>
                <c:pt idx="10">
                  <c:v>15.365</c:v>
                </c:pt>
              </c:numCache>
            </c:numRef>
          </c:val>
          <c:smooth val="0"/>
          <c:extLst>
            <c:ext xmlns:c16="http://schemas.microsoft.com/office/drawing/2014/chart" uri="{C3380CC4-5D6E-409C-BE32-E72D297353CC}">
              <c16:uniqueId val="{00000003-800F-40C9-860C-73CB6F9825F5}"/>
            </c:ext>
          </c:extLst>
        </c:ser>
        <c:dLbls>
          <c:showLegendKey val="0"/>
          <c:showVal val="0"/>
          <c:showCatName val="0"/>
          <c:showSerName val="0"/>
          <c:showPercent val="0"/>
          <c:showBubbleSize val="0"/>
        </c:dLbls>
        <c:marker val="1"/>
        <c:smooth val="0"/>
        <c:axId val="362697039"/>
        <c:axId val="362711599"/>
      </c:lineChart>
      <c:catAx>
        <c:axId val="36269703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62711599"/>
        <c:crosses val="autoZero"/>
        <c:auto val="1"/>
        <c:lblAlgn val="ctr"/>
        <c:lblOffset val="100"/>
        <c:noMultiLvlLbl val="0"/>
      </c:catAx>
      <c:valAx>
        <c:axId val="3627115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Čisté půjčky/výpůjčky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62697039"/>
        <c:crosses val="autoZero"/>
        <c:crossBetween val="between"/>
      </c:valAx>
      <c:spPr>
        <a:noFill/>
        <a:ln>
          <a:noFill/>
        </a:ln>
        <a:effectLst/>
      </c:spPr>
    </c:plotArea>
    <c:legend>
      <c:legendPos val="b"/>
      <c:layout>
        <c:manualLayout>
          <c:xMode val="edge"/>
          <c:yMode val="edge"/>
          <c:x val="8.0298041202296527E-2"/>
          <c:y val="0.81813407632556567"/>
          <c:w val="0.89033666835528558"/>
          <c:h val="0.1604204660587639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6633738601824E-2"/>
          <c:y val="3.9316672295395698E-2"/>
          <c:w val="0.87324615839243502"/>
          <c:h val="0.76651750534729246"/>
        </c:manualLayout>
      </c:layout>
      <c:barChart>
        <c:barDir val="col"/>
        <c:grouping val="stacked"/>
        <c:varyColors val="0"/>
        <c:ser>
          <c:idx val="6"/>
          <c:order val="0"/>
          <c:tx>
            <c:strRef>
              <c:f>GOV_DEBT_CZ!$T$32</c:f>
              <c:strCache>
                <c:ptCount val="1"/>
                <c:pt idx="0">
                  <c:v>Dlouhodobé dluhové cenné papíry</c:v>
                </c:pt>
              </c:strCache>
            </c:strRef>
          </c:tx>
          <c:spPr>
            <a:solidFill>
              <a:srgbClr val="FF0000"/>
            </a:solidFill>
            <a:ln>
              <a:noFill/>
            </a:ln>
            <a:effectLst/>
          </c:spPr>
          <c:invertIfNegative val="0"/>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GOV_DEBT_CZ!$T$34:$T$44</c:f>
              <c:numCache>
                <c:formatCode>General</c:formatCode>
                <c:ptCount val="11"/>
                <c:pt idx="0">
                  <c:v>142.77800000000013</c:v>
                </c:pt>
                <c:pt idx="1">
                  <c:v>132.60500000000002</c:v>
                </c:pt>
                <c:pt idx="2">
                  <c:v>86.786999999999807</c:v>
                </c:pt>
                <c:pt idx="3">
                  <c:v>153.67100000000005</c:v>
                </c:pt>
                <c:pt idx="4">
                  <c:v>93.644999999999982</c:v>
                </c:pt>
                <c:pt idx="5">
                  <c:v>-2.1150000000000091</c:v>
                </c:pt>
                <c:pt idx="6">
                  <c:v>48.032000000000153</c:v>
                </c:pt>
                <c:pt idx="7">
                  <c:v>24.29099999999994</c:v>
                </c:pt>
                <c:pt idx="8">
                  <c:v>-30.150000000000091</c:v>
                </c:pt>
                <c:pt idx="9">
                  <c:v>-8.4459999999999127</c:v>
                </c:pt>
                <c:pt idx="10">
                  <c:v>42.247000000000071</c:v>
                </c:pt>
              </c:numCache>
            </c:numRef>
          </c:val>
          <c:extLst>
            <c:ext xmlns:c16="http://schemas.microsoft.com/office/drawing/2014/chart" uri="{C3380CC4-5D6E-409C-BE32-E72D297353CC}">
              <c16:uniqueId val="{00000000-58B9-42AD-AC98-6C6F53237563}"/>
            </c:ext>
          </c:extLst>
        </c:ser>
        <c:ser>
          <c:idx val="5"/>
          <c:order val="2"/>
          <c:tx>
            <c:strRef>
              <c:f>GOV_DEBT_CZ!$S$32</c:f>
              <c:strCache>
                <c:ptCount val="1"/>
                <c:pt idx="0">
                  <c:v>Krátkodobé dluhové cenné papíry</c:v>
                </c:pt>
              </c:strCache>
            </c:strRef>
          </c:tx>
          <c:spPr>
            <a:solidFill>
              <a:srgbClr val="FF9B9B"/>
            </a:solidFill>
            <a:ln>
              <a:noFill/>
            </a:ln>
            <a:effectLst/>
          </c:spPr>
          <c:invertIfNegative val="0"/>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GOV_DEBT_CZ!$S$34:$S$44</c:f>
              <c:numCache>
                <c:formatCode>General</c:formatCode>
                <c:ptCount val="11"/>
                <c:pt idx="0">
                  <c:v>15.194000000000003</c:v>
                </c:pt>
                <c:pt idx="1">
                  <c:v>22.599999999999994</c:v>
                </c:pt>
                <c:pt idx="2">
                  <c:v>41.106999999999999</c:v>
                </c:pt>
                <c:pt idx="3">
                  <c:v>41.652000000000015</c:v>
                </c:pt>
                <c:pt idx="4">
                  <c:v>-58.018000000000015</c:v>
                </c:pt>
                <c:pt idx="5">
                  <c:v>-14.031999999999996</c:v>
                </c:pt>
                <c:pt idx="6">
                  <c:v>-22.658000000000001</c:v>
                </c:pt>
                <c:pt idx="7">
                  <c:v>-79.730999999999995</c:v>
                </c:pt>
                <c:pt idx="8">
                  <c:v>39.607999999999997</c:v>
                </c:pt>
                <c:pt idx="9">
                  <c:v>-40.204999999999998</c:v>
                </c:pt>
                <c:pt idx="10">
                  <c:v>-0.41400000000000015</c:v>
                </c:pt>
              </c:numCache>
            </c:numRef>
          </c:val>
          <c:extLst>
            <c:ext xmlns:c16="http://schemas.microsoft.com/office/drawing/2014/chart" uri="{C3380CC4-5D6E-409C-BE32-E72D297353CC}">
              <c16:uniqueId val="{00000001-58B9-42AD-AC98-6C6F53237563}"/>
            </c:ext>
          </c:extLst>
        </c:ser>
        <c:ser>
          <c:idx val="9"/>
          <c:order val="3"/>
          <c:tx>
            <c:strRef>
              <c:f>GOV_DEBT_CZ!$W$32</c:f>
              <c:strCache>
                <c:ptCount val="1"/>
                <c:pt idx="0">
                  <c:v>Dlouhodobé půjčky</c:v>
                </c:pt>
              </c:strCache>
            </c:strRef>
          </c:tx>
          <c:spPr>
            <a:solidFill>
              <a:srgbClr val="0070C0"/>
            </a:solidFill>
            <a:ln>
              <a:noFill/>
            </a:ln>
            <a:effectLst/>
          </c:spPr>
          <c:invertIfNegative val="0"/>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GOV_DEBT_CZ!$W$34:$W$44</c:f>
              <c:numCache>
                <c:formatCode>General</c:formatCode>
                <c:ptCount val="11"/>
                <c:pt idx="0">
                  <c:v>18.286000000000001</c:v>
                </c:pt>
                <c:pt idx="1">
                  <c:v>8.1639999999999873</c:v>
                </c:pt>
                <c:pt idx="2">
                  <c:v>2.6310000000000002</c:v>
                </c:pt>
                <c:pt idx="3">
                  <c:v>3.8550000000000182</c:v>
                </c:pt>
                <c:pt idx="4">
                  <c:v>-0.10800000000000409</c:v>
                </c:pt>
                <c:pt idx="5">
                  <c:v>-13.024000000000001</c:v>
                </c:pt>
                <c:pt idx="6">
                  <c:v>-3.4690000000000225</c:v>
                </c:pt>
                <c:pt idx="7">
                  <c:v>-22.611999999999995</c:v>
                </c:pt>
                <c:pt idx="8">
                  <c:v>-12.262</c:v>
                </c:pt>
                <c:pt idx="9">
                  <c:v>-11.948999999999998</c:v>
                </c:pt>
                <c:pt idx="10">
                  <c:v>-3.7269999999999897</c:v>
                </c:pt>
              </c:numCache>
            </c:numRef>
          </c:val>
          <c:extLst>
            <c:ext xmlns:c16="http://schemas.microsoft.com/office/drawing/2014/chart" uri="{C3380CC4-5D6E-409C-BE32-E72D297353CC}">
              <c16:uniqueId val="{00000002-58B9-42AD-AC98-6C6F53237563}"/>
            </c:ext>
          </c:extLst>
        </c:ser>
        <c:ser>
          <c:idx val="8"/>
          <c:order val="4"/>
          <c:tx>
            <c:strRef>
              <c:f>GOV_DEBT_CZ!$V$32</c:f>
              <c:strCache>
                <c:ptCount val="1"/>
                <c:pt idx="0">
                  <c:v>Krátkodobé půjčky</c:v>
                </c:pt>
              </c:strCache>
            </c:strRef>
          </c:tx>
          <c:spPr>
            <a:solidFill>
              <a:schemeClr val="accent1">
                <a:lumMod val="40000"/>
                <a:lumOff val="60000"/>
              </a:schemeClr>
            </a:solidFill>
            <a:ln>
              <a:noFill/>
            </a:ln>
            <a:effectLst/>
          </c:spPr>
          <c:invertIfNegative val="0"/>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GOV_DEBT_CZ!$V$34:$V$44</c:f>
              <c:numCache>
                <c:formatCode>General</c:formatCode>
                <c:ptCount val="11"/>
                <c:pt idx="0">
                  <c:v>4.6549999999999994</c:v>
                </c:pt>
                <c:pt idx="1">
                  <c:v>-2.7509999999999994</c:v>
                </c:pt>
                <c:pt idx="2">
                  <c:v>0.12399999999999967</c:v>
                </c:pt>
                <c:pt idx="3">
                  <c:v>-2.3260000000000001</c:v>
                </c:pt>
                <c:pt idx="4">
                  <c:v>-9.5999999999999641E-2</c:v>
                </c:pt>
                <c:pt idx="5">
                  <c:v>2.9089999999999998</c:v>
                </c:pt>
                <c:pt idx="6">
                  <c:v>1.899</c:v>
                </c:pt>
                <c:pt idx="7">
                  <c:v>-5.4249999999999998</c:v>
                </c:pt>
                <c:pt idx="8">
                  <c:v>1.0019999999999998</c:v>
                </c:pt>
                <c:pt idx="9">
                  <c:v>42.76</c:v>
                </c:pt>
                <c:pt idx="10">
                  <c:v>-30.451000000000001</c:v>
                </c:pt>
              </c:numCache>
            </c:numRef>
          </c:val>
          <c:extLst>
            <c:ext xmlns:c16="http://schemas.microsoft.com/office/drawing/2014/chart" uri="{C3380CC4-5D6E-409C-BE32-E72D297353CC}">
              <c16:uniqueId val="{00000003-58B9-42AD-AC98-6C6F53237563}"/>
            </c:ext>
          </c:extLst>
        </c:ser>
        <c:ser>
          <c:idx val="1"/>
          <c:order val="5"/>
          <c:tx>
            <c:strRef>
              <c:f>GOV_DEBT_CZ!$O$32</c:f>
              <c:strCache>
                <c:ptCount val="1"/>
                <c:pt idx="0">
                  <c:v>Oběživo a vklady</c:v>
                </c:pt>
              </c:strCache>
            </c:strRef>
          </c:tx>
          <c:spPr>
            <a:solidFill>
              <a:srgbClr val="00B050"/>
            </a:solidFill>
            <a:ln>
              <a:noFill/>
            </a:ln>
            <a:effectLst/>
          </c:spPr>
          <c:invertIfNegative val="0"/>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GOV_DEBT_CZ!$O$34:$O$44</c:f>
              <c:numCache>
                <c:formatCode>General</c:formatCode>
                <c:ptCount val="11"/>
                <c:pt idx="0">
                  <c:v>1.3149999999999995</c:v>
                </c:pt>
                <c:pt idx="1">
                  <c:v>0.47700000000000031</c:v>
                </c:pt>
                <c:pt idx="2">
                  <c:v>2.9039999999999999</c:v>
                </c:pt>
                <c:pt idx="3">
                  <c:v>-5.1950000000000003</c:v>
                </c:pt>
                <c:pt idx="4">
                  <c:v>-0.48299999999999876</c:v>
                </c:pt>
                <c:pt idx="5">
                  <c:v>4.9029999999999987</c:v>
                </c:pt>
                <c:pt idx="6">
                  <c:v>-6.6449999999999996</c:v>
                </c:pt>
                <c:pt idx="7">
                  <c:v>2.1669999999999998</c:v>
                </c:pt>
                <c:pt idx="8">
                  <c:v>-3.258</c:v>
                </c:pt>
                <c:pt idx="9">
                  <c:v>2.7649999999999997</c:v>
                </c:pt>
                <c:pt idx="10">
                  <c:v>-3.5339999999999989</c:v>
                </c:pt>
              </c:numCache>
            </c:numRef>
          </c:val>
          <c:extLst>
            <c:ext xmlns:c16="http://schemas.microsoft.com/office/drawing/2014/chart" uri="{C3380CC4-5D6E-409C-BE32-E72D297353CC}">
              <c16:uniqueId val="{00000004-58B9-42AD-AC98-6C6F53237563}"/>
            </c:ext>
          </c:extLst>
        </c:ser>
        <c:dLbls>
          <c:showLegendKey val="0"/>
          <c:showVal val="0"/>
          <c:showCatName val="0"/>
          <c:showSerName val="0"/>
          <c:showPercent val="0"/>
          <c:showBubbleSize val="0"/>
        </c:dLbls>
        <c:gapWidth val="100"/>
        <c:overlap val="100"/>
        <c:axId val="910004479"/>
        <c:axId val="910001151"/>
      </c:barChart>
      <c:lineChart>
        <c:grouping val="standard"/>
        <c:varyColors val="0"/>
        <c:ser>
          <c:idx val="0"/>
          <c:order val="1"/>
          <c:tx>
            <c:strRef>
              <c:f>GOV_DEBT_CZ!$N$32</c:f>
              <c:strCache>
                <c:ptCount val="1"/>
                <c:pt idx="0">
                  <c:v>Celkem</c:v>
                </c:pt>
              </c:strCache>
            </c:strRef>
          </c:tx>
          <c:spPr>
            <a:ln w="28575" cap="rnd">
              <a:solidFill>
                <a:schemeClr val="tx1"/>
              </a:solidFill>
              <a:round/>
            </a:ln>
            <a:effectLst/>
          </c:spPr>
          <c:marker>
            <c:symbol val="none"/>
          </c:marker>
          <c:cat>
            <c:numRef>
              <c:f>GOV_DEBT_CZ!$M$34:$M$44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GOV_DEBT_CZ!$N$34:$N$44</c:f>
              <c:numCache>
                <c:formatCode>General</c:formatCode>
                <c:ptCount val="11"/>
                <c:pt idx="0">
                  <c:v>182.22800000000007</c:v>
                </c:pt>
                <c:pt idx="1">
                  <c:v>161.09500000000003</c:v>
                </c:pt>
                <c:pt idx="2">
                  <c:v>133.55300000000011</c:v>
                </c:pt>
                <c:pt idx="3">
                  <c:v>191.65699999999993</c:v>
                </c:pt>
                <c:pt idx="4">
                  <c:v>34.940000000000055</c:v>
                </c:pt>
                <c:pt idx="5">
                  <c:v>-21.359000000000151</c:v>
                </c:pt>
                <c:pt idx="6">
                  <c:v>17.159000000000106</c:v>
                </c:pt>
                <c:pt idx="7">
                  <c:v>-81.309999999999945</c:v>
                </c:pt>
                <c:pt idx="8">
                  <c:v>-5.0600000000001728</c:v>
                </c:pt>
                <c:pt idx="9">
                  <c:v>-15.074999999999818</c:v>
                </c:pt>
                <c:pt idx="10">
                  <c:v>4.1209999999998672</c:v>
                </c:pt>
              </c:numCache>
            </c:numRef>
          </c:val>
          <c:smooth val="0"/>
          <c:extLst>
            <c:ext xmlns:c16="http://schemas.microsoft.com/office/drawing/2014/chart" uri="{C3380CC4-5D6E-409C-BE32-E72D297353CC}">
              <c16:uniqueId val="{00000005-58B9-42AD-AC98-6C6F53237563}"/>
            </c:ext>
          </c:extLst>
        </c:ser>
        <c:dLbls>
          <c:showLegendKey val="0"/>
          <c:showVal val="0"/>
          <c:showCatName val="0"/>
          <c:showSerName val="0"/>
          <c:showPercent val="0"/>
          <c:showBubbleSize val="0"/>
        </c:dLbls>
        <c:marker val="1"/>
        <c:smooth val="0"/>
        <c:axId val="910004479"/>
        <c:axId val="910001151"/>
      </c:lineChart>
      <c:catAx>
        <c:axId val="91000447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910001151"/>
        <c:crosses val="autoZero"/>
        <c:auto val="1"/>
        <c:lblAlgn val="ctr"/>
        <c:lblOffset val="100"/>
        <c:noMultiLvlLbl val="0"/>
      </c:catAx>
      <c:valAx>
        <c:axId val="910001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Meziroční změna dluhu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910004479"/>
        <c:crosses val="autoZero"/>
        <c:crossBetween val="between"/>
      </c:valAx>
      <c:spPr>
        <a:noFill/>
        <a:ln>
          <a:noFill/>
        </a:ln>
        <a:effectLst/>
      </c:spPr>
    </c:plotArea>
    <c:legend>
      <c:legendPos val="b"/>
      <c:layout>
        <c:manualLayout>
          <c:xMode val="edge"/>
          <c:yMode val="edge"/>
          <c:x val="8.1383189800742994E-2"/>
          <c:y val="0.86730496453900707"/>
          <c:w val="0.88012453562985493"/>
          <c:h val="0.1112495778453225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1021037554418E-2"/>
          <c:y val="4.0456050018389117E-2"/>
          <c:w val="0.90214914695447923"/>
          <c:h val="0.75927607706631373"/>
        </c:manualLayout>
      </c:layout>
      <c:barChart>
        <c:barDir val="col"/>
        <c:grouping val="clustered"/>
        <c:varyColors val="0"/>
        <c:ser>
          <c:idx val="2"/>
          <c:order val="1"/>
          <c:tx>
            <c:strRef>
              <c:f>'S14'!$E$157</c:f>
              <c:strCache>
                <c:ptCount val="1"/>
                <c:pt idx="0">
                  <c:v>Mzdy a platy (reálné)</c:v>
                </c:pt>
              </c:strCache>
            </c:strRef>
          </c:tx>
          <c:spPr>
            <a:solidFill>
              <a:srgbClr val="FF0000"/>
            </a:solidFill>
            <a:ln>
              <a:solidFill>
                <a:srgbClr val="FFA7A7"/>
              </a:solidFill>
            </a:ln>
            <a:effectLst/>
          </c:spPr>
          <c:invertIfNegative val="0"/>
          <c:cat>
            <c:numRef>
              <c:f>'S14'!$C$167:$C$177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'S14'!$E$167:$E$177</c:f>
              <c:numCache>
                <c:formatCode>0.0_ ;[Red]\-0.0\ </c:formatCode>
                <c:ptCount val="11"/>
                <c:pt idx="0">
                  <c:v>-2.5320416680746405</c:v>
                </c:pt>
                <c:pt idx="1">
                  <c:v>1.5051817483306564</c:v>
                </c:pt>
                <c:pt idx="2">
                  <c:v>0.75541842027337225</c:v>
                </c:pt>
                <c:pt idx="3">
                  <c:v>0.86966220906701608</c:v>
                </c:pt>
                <c:pt idx="4">
                  <c:v>0.67114030431214644</c:v>
                </c:pt>
                <c:pt idx="5">
                  <c:v>3.5696687649617189</c:v>
                </c:pt>
                <c:pt idx="6">
                  <c:v>5.3135048908303162</c:v>
                </c:pt>
                <c:pt idx="7">
                  <c:v>5.4494671386671882</c:v>
                </c:pt>
                <c:pt idx="8">
                  <c:v>6.6837856218967318</c:v>
                </c:pt>
                <c:pt idx="9">
                  <c:v>6.4533882194389065</c:v>
                </c:pt>
                <c:pt idx="10">
                  <c:v>3.0934037376726167</c:v>
                </c:pt>
              </c:numCache>
            </c:numRef>
          </c:val>
          <c:extLst>
            <c:ext xmlns:c16="http://schemas.microsoft.com/office/drawing/2014/chart" uri="{C3380CC4-5D6E-409C-BE32-E72D297353CC}">
              <c16:uniqueId val="{00000000-7B38-47F7-8D24-901A739701E2}"/>
            </c:ext>
          </c:extLst>
        </c:ser>
        <c:ser>
          <c:idx val="4"/>
          <c:order val="3"/>
          <c:tx>
            <c:strRef>
              <c:f>'S14'!$G$157</c:f>
              <c:strCache>
                <c:ptCount val="1"/>
                <c:pt idx="0">
                  <c:v>Hrubý disponibilní důchod (reálný)</c:v>
                </c:pt>
              </c:strCache>
            </c:strRef>
          </c:tx>
          <c:spPr>
            <a:solidFill>
              <a:srgbClr val="0070C0"/>
            </a:solidFill>
            <a:ln>
              <a:noFill/>
            </a:ln>
            <a:effectLst/>
          </c:spPr>
          <c:invertIfNegative val="0"/>
          <c:cat>
            <c:numRef>
              <c:f>'S14'!$C$167:$C$177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'S14'!$G$167:$G$177</c:f>
              <c:numCache>
                <c:formatCode>0.0_ ;[Red]\-0.0\ </c:formatCode>
                <c:ptCount val="11"/>
                <c:pt idx="0">
                  <c:v>1.9372292739892032</c:v>
                </c:pt>
                <c:pt idx="1">
                  <c:v>0.65290175829856878</c:v>
                </c:pt>
                <c:pt idx="2">
                  <c:v>-0.97183396684415868</c:v>
                </c:pt>
                <c:pt idx="3">
                  <c:v>-0.71953724480063386</c:v>
                </c:pt>
                <c:pt idx="4">
                  <c:v>-0.55377756429551539</c:v>
                </c:pt>
                <c:pt idx="5">
                  <c:v>2.5538459029937428</c:v>
                </c:pt>
                <c:pt idx="6">
                  <c:v>3.7073367609696817</c:v>
                </c:pt>
                <c:pt idx="7">
                  <c:v>3.0032020367611381</c:v>
                </c:pt>
                <c:pt idx="8">
                  <c:v>4.3567705810523449</c:v>
                </c:pt>
                <c:pt idx="9">
                  <c:v>3.8389190309166281</c:v>
                </c:pt>
                <c:pt idx="10">
                  <c:v>3.1273826970673326</c:v>
                </c:pt>
              </c:numCache>
            </c:numRef>
          </c:val>
          <c:extLst>
            <c:ext xmlns:c16="http://schemas.microsoft.com/office/drawing/2014/chart" uri="{C3380CC4-5D6E-409C-BE32-E72D297353CC}">
              <c16:uniqueId val="{00000001-7B38-47F7-8D24-901A739701E2}"/>
            </c:ext>
          </c:extLst>
        </c:ser>
        <c:dLbls>
          <c:showLegendKey val="0"/>
          <c:showVal val="0"/>
          <c:showCatName val="0"/>
          <c:showSerName val="0"/>
          <c:showPercent val="0"/>
          <c:showBubbleSize val="0"/>
        </c:dLbls>
        <c:gapWidth val="99"/>
        <c:overlap val="-27"/>
        <c:axId val="855449296"/>
        <c:axId val="855443888"/>
      </c:barChart>
      <c:lineChart>
        <c:grouping val="standard"/>
        <c:varyColors val="0"/>
        <c:ser>
          <c:idx val="1"/>
          <c:order val="0"/>
          <c:tx>
            <c:strRef>
              <c:f>'S14'!$D$157</c:f>
              <c:strCache>
                <c:ptCount val="1"/>
                <c:pt idx="0">
                  <c:v>Mzdy a platy (nominální)</c:v>
                </c:pt>
              </c:strCache>
            </c:strRef>
          </c:tx>
          <c:spPr>
            <a:ln w="28575" cap="rnd">
              <a:noFill/>
              <a:round/>
            </a:ln>
            <a:effectLst/>
          </c:spPr>
          <c:marker>
            <c:symbol val="square"/>
            <c:size val="8"/>
            <c:spPr>
              <a:solidFill>
                <a:srgbClr val="FFA7A7"/>
              </a:solidFill>
              <a:ln w="9525">
                <a:noFill/>
              </a:ln>
              <a:effectLst/>
            </c:spPr>
          </c:marker>
          <c:cat>
            <c:numRef>
              <c:f>'S14'!$C$167:$C$177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'S14'!$D$167:$D$177</c:f>
              <c:numCache>
                <c:formatCode>0.0_ ;[Red]\-0.0\ </c:formatCode>
                <c:ptCount val="11"/>
                <c:pt idx="0">
                  <c:v>-1.683077563725675</c:v>
                </c:pt>
                <c:pt idx="1">
                  <c:v>1.9709697599637792</c:v>
                </c:pt>
                <c:pt idx="2">
                  <c:v>2.5106426997047748</c:v>
                </c:pt>
                <c:pt idx="3">
                  <c:v>3.0662541275900708</c:v>
                </c:pt>
                <c:pt idx="4">
                  <c:v>1.3860688184222738</c:v>
                </c:pt>
                <c:pt idx="5">
                  <c:v>4.449378541481579</c:v>
                </c:pt>
                <c:pt idx="6">
                  <c:v>5.2903629581426515</c:v>
                </c:pt>
                <c:pt idx="7">
                  <c:v>5.8810298337287179</c:v>
                </c:pt>
                <c:pt idx="8">
                  <c:v>9.170106772463086</c:v>
                </c:pt>
                <c:pt idx="9">
                  <c:v>9.1221562288901197</c:v>
                </c:pt>
                <c:pt idx="10">
                  <c:v>5.9696153454821967</c:v>
                </c:pt>
              </c:numCache>
            </c:numRef>
          </c:val>
          <c:smooth val="0"/>
          <c:extLst>
            <c:ext xmlns:c16="http://schemas.microsoft.com/office/drawing/2014/chart" uri="{C3380CC4-5D6E-409C-BE32-E72D297353CC}">
              <c16:uniqueId val="{00000002-7B38-47F7-8D24-901A739701E2}"/>
            </c:ext>
          </c:extLst>
        </c:ser>
        <c:ser>
          <c:idx val="3"/>
          <c:order val="2"/>
          <c:tx>
            <c:strRef>
              <c:f>'S14'!$F$157</c:f>
              <c:strCache>
                <c:ptCount val="1"/>
                <c:pt idx="0">
                  <c:v>Hrubý disponibilní důchod (nominální)</c:v>
                </c:pt>
              </c:strCache>
            </c:strRef>
          </c:tx>
          <c:spPr>
            <a:ln w="28575" cap="rnd">
              <a:noFill/>
              <a:round/>
            </a:ln>
            <a:effectLst/>
          </c:spPr>
          <c:marker>
            <c:symbol val="square"/>
            <c:size val="8"/>
            <c:spPr>
              <a:solidFill>
                <a:schemeClr val="accent1">
                  <a:lumMod val="40000"/>
                  <a:lumOff val="60000"/>
                </a:schemeClr>
              </a:solidFill>
              <a:ln w="9525">
                <a:noFill/>
              </a:ln>
              <a:effectLst/>
            </c:spPr>
          </c:marker>
          <c:cat>
            <c:numRef>
              <c:f>'S14'!$C$167:$C$177</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'S14'!$F$167:$F$177</c:f>
              <c:numCache>
                <c:formatCode>0.0_ ;[Red]\-0.0\ </c:formatCode>
                <c:ptCount val="11"/>
                <c:pt idx="0">
                  <c:v>2.8251215621983476</c:v>
                </c:pt>
                <c:pt idx="1">
                  <c:v>1.1147788188346652</c:v>
                </c:pt>
                <c:pt idx="2">
                  <c:v>0.75330046358349989</c:v>
                </c:pt>
                <c:pt idx="3">
                  <c:v>1.4424474132157741</c:v>
                </c:pt>
                <c:pt idx="4">
                  <c:v>0.152452044556739</c:v>
                </c:pt>
                <c:pt idx="5">
                  <c:v>3.4249273879148916</c:v>
                </c:pt>
                <c:pt idx="6">
                  <c:v>3.6845477728999469</c:v>
                </c:pt>
                <c:pt idx="7">
                  <c:v>3.4247531424912268</c:v>
                </c:pt>
                <c:pt idx="8">
                  <c:v>6.7888594349298614</c:v>
                </c:pt>
                <c:pt idx="9">
                  <c:v>6.4421427505267275</c:v>
                </c:pt>
                <c:pt idx="10">
                  <c:v>6.0045422867447229</c:v>
                </c:pt>
              </c:numCache>
            </c:numRef>
          </c:val>
          <c:smooth val="0"/>
          <c:extLst>
            <c:ext xmlns:c16="http://schemas.microsoft.com/office/drawing/2014/chart" uri="{C3380CC4-5D6E-409C-BE32-E72D297353CC}">
              <c16:uniqueId val="{00000003-7B38-47F7-8D24-901A739701E2}"/>
            </c:ext>
          </c:extLst>
        </c:ser>
        <c:dLbls>
          <c:showLegendKey val="0"/>
          <c:showVal val="0"/>
          <c:showCatName val="0"/>
          <c:showSerName val="0"/>
          <c:showPercent val="0"/>
          <c:showBubbleSize val="0"/>
        </c:dLbls>
        <c:marker val="1"/>
        <c:smooth val="0"/>
        <c:axId val="855449296"/>
        <c:axId val="855443888"/>
      </c:lineChart>
      <c:catAx>
        <c:axId val="8554492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855443888"/>
        <c:crosses val="autoZero"/>
        <c:auto val="1"/>
        <c:lblAlgn val="ctr"/>
        <c:lblOffset val="100"/>
        <c:noMultiLvlLbl val="0"/>
      </c:catAx>
      <c:valAx>
        <c:axId val="85544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cs-CZ"/>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85544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510492715096588E-2"/>
          <c:y val="3.9316672295395698E-2"/>
          <c:w val="0.88300196443173207"/>
          <c:h val="0.74222285288998679"/>
        </c:manualLayout>
      </c:layout>
      <c:barChart>
        <c:barDir val="col"/>
        <c:grouping val="stacked"/>
        <c:varyColors val="0"/>
        <c:ser>
          <c:idx val="1"/>
          <c:order val="1"/>
          <c:tx>
            <c:strRef>
              <c:f>'S14'!$N$133</c:f>
              <c:strCache>
                <c:ptCount val="1"/>
                <c:pt idx="0">
                  <c:v>Hrubý provozní přebytek</c:v>
                </c:pt>
              </c:strCache>
            </c:strRef>
          </c:tx>
          <c:spPr>
            <a:solidFill>
              <a:srgbClr val="FFFF00"/>
            </a:solidFill>
            <a:ln>
              <a:noFill/>
            </a:ln>
            <a:effectLst/>
          </c:spPr>
          <c:invertIfNegative val="0"/>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'S14'!$N$143:$N$153</c:f>
              <c:numCache>
                <c:formatCode>0.0_ ;[Red]\-0.0\ </c:formatCode>
                <c:ptCount val="11"/>
                <c:pt idx="0">
                  <c:v>3.8119999999999998</c:v>
                </c:pt>
                <c:pt idx="1">
                  <c:v>5.5750000000000002</c:v>
                </c:pt>
                <c:pt idx="2">
                  <c:v>-2.7E-2</c:v>
                </c:pt>
                <c:pt idx="3">
                  <c:v>-4.4210000000000003</c:v>
                </c:pt>
                <c:pt idx="4">
                  <c:v>1.972</c:v>
                </c:pt>
                <c:pt idx="5">
                  <c:v>5.3079999999999998</c:v>
                </c:pt>
                <c:pt idx="6">
                  <c:v>1.4670000000000001</c:v>
                </c:pt>
                <c:pt idx="7">
                  <c:v>8.5069999999999997</c:v>
                </c:pt>
                <c:pt idx="8">
                  <c:v>20.48</c:v>
                </c:pt>
                <c:pt idx="9">
                  <c:v>35.523000000000003</c:v>
                </c:pt>
                <c:pt idx="10">
                  <c:v>23.969000000000001</c:v>
                </c:pt>
              </c:numCache>
            </c:numRef>
          </c:val>
          <c:extLst>
            <c:ext xmlns:c16="http://schemas.microsoft.com/office/drawing/2014/chart" uri="{C3380CC4-5D6E-409C-BE32-E72D297353CC}">
              <c16:uniqueId val="{00000000-AC47-47B3-815D-BC7CB01C5444}"/>
            </c:ext>
          </c:extLst>
        </c:ser>
        <c:ser>
          <c:idx val="2"/>
          <c:order val="2"/>
          <c:tx>
            <c:strRef>
              <c:f>'S14'!$O$133</c:f>
              <c:strCache>
                <c:ptCount val="1"/>
                <c:pt idx="0">
                  <c:v>Hrubý smíšený důchod</c:v>
                </c:pt>
              </c:strCache>
            </c:strRef>
          </c:tx>
          <c:spPr>
            <a:solidFill>
              <a:srgbClr val="FF0000"/>
            </a:solidFill>
            <a:ln>
              <a:noFill/>
            </a:ln>
            <a:effectLst/>
          </c:spPr>
          <c:invertIfNegative val="0"/>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'S14'!$O$143:$O$153</c:f>
              <c:numCache>
                <c:formatCode>0.0_ ;[Red]\-0.0\ </c:formatCode>
                <c:ptCount val="11"/>
                <c:pt idx="0">
                  <c:v>23.431000000000001</c:v>
                </c:pt>
                <c:pt idx="1">
                  <c:v>0.63100000000000001</c:v>
                </c:pt>
                <c:pt idx="2">
                  <c:v>-6.2060000000000004</c:v>
                </c:pt>
                <c:pt idx="3">
                  <c:v>-21.460999999999999</c:v>
                </c:pt>
                <c:pt idx="4">
                  <c:v>-6.8570000000000002</c:v>
                </c:pt>
                <c:pt idx="5">
                  <c:v>14.276999999999999</c:v>
                </c:pt>
                <c:pt idx="6">
                  <c:v>15.021000000000001</c:v>
                </c:pt>
                <c:pt idx="7">
                  <c:v>3.3759999999999999</c:v>
                </c:pt>
                <c:pt idx="8">
                  <c:v>16.259</c:v>
                </c:pt>
                <c:pt idx="9">
                  <c:v>22.93</c:v>
                </c:pt>
                <c:pt idx="10">
                  <c:v>29.506</c:v>
                </c:pt>
              </c:numCache>
            </c:numRef>
          </c:val>
          <c:extLst>
            <c:ext xmlns:c16="http://schemas.microsoft.com/office/drawing/2014/chart" uri="{C3380CC4-5D6E-409C-BE32-E72D297353CC}">
              <c16:uniqueId val="{00000001-AC47-47B3-815D-BC7CB01C5444}"/>
            </c:ext>
          </c:extLst>
        </c:ser>
        <c:ser>
          <c:idx val="3"/>
          <c:order val="3"/>
          <c:tx>
            <c:strRef>
              <c:f>'S14'!$P$133</c:f>
              <c:strCache>
                <c:ptCount val="1"/>
                <c:pt idx="0">
                  <c:v>Mzdy a platy</c:v>
                </c:pt>
              </c:strCache>
            </c:strRef>
          </c:tx>
          <c:spPr>
            <a:solidFill>
              <a:srgbClr val="0070C0"/>
            </a:solidFill>
            <a:ln>
              <a:noFill/>
            </a:ln>
            <a:effectLst/>
          </c:spPr>
          <c:invertIfNegative val="0"/>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'S14'!$P$143:$P$153</c:f>
              <c:numCache>
                <c:formatCode>0.0_ ;[Red]\-0.0\ </c:formatCode>
                <c:ptCount val="11"/>
                <c:pt idx="0">
                  <c:v>-21.097999999999999</c:v>
                </c:pt>
                <c:pt idx="1">
                  <c:v>24.291</c:v>
                </c:pt>
                <c:pt idx="2">
                  <c:v>31.552</c:v>
                </c:pt>
                <c:pt idx="3">
                  <c:v>39.502000000000002</c:v>
                </c:pt>
                <c:pt idx="4">
                  <c:v>18.404</c:v>
                </c:pt>
                <c:pt idx="5">
                  <c:v>59.896999999999998</c:v>
                </c:pt>
                <c:pt idx="6">
                  <c:v>74.387</c:v>
                </c:pt>
                <c:pt idx="7">
                  <c:v>87.066999999999993</c:v>
                </c:pt>
                <c:pt idx="8">
                  <c:v>143.745</c:v>
                </c:pt>
                <c:pt idx="9">
                  <c:v>156.10599999999999</c:v>
                </c:pt>
                <c:pt idx="10">
                  <c:v>111.476</c:v>
                </c:pt>
              </c:numCache>
            </c:numRef>
          </c:val>
          <c:extLst>
            <c:ext xmlns:c16="http://schemas.microsoft.com/office/drawing/2014/chart" uri="{C3380CC4-5D6E-409C-BE32-E72D297353CC}">
              <c16:uniqueId val="{00000002-AC47-47B3-815D-BC7CB01C5444}"/>
            </c:ext>
          </c:extLst>
        </c:ser>
        <c:ser>
          <c:idx val="4"/>
          <c:order val="4"/>
          <c:tx>
            <c:strRef>
              <c:f>'S14'!$Q$133</c:f>
              <c:strCache>
                <c:ptCount val="1"/>
                <c:pt idx="0">
                  <c:v>Saldo důchodů z vlastnictví</c:v>
                </c:pt>
              </c:strCache>
            </c:strRef>
          </c:tx>
          <c:spPr>
            <a:solidFill>
              <a:srgbClr val="7030A0"/>
            </a:solidFill>
            <a:ln>
              <a:noFill/>
            </a:ln>
            <a:effectLst/>
          </c:spPr>
          <c:invertIfNegative val="0"/>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'S14'!$Q$143:$Q$153</c:f>
              <c:numCache>
                <c:formatCode>0.0_ ;[Red]\-0.0\ </c:formatCode>
                <c:ptCount val="11"/>
                <c:pt idx="0">
                  <c:v>-5.835</c:v>
                </c:pt>
                <c:pt idx="1">
                  <c:v>-15.747999999999999</c:v>
                </c:pt>
                <c:pt idx="2">
                  <c:v>4.7649999999999997</c:v>
                </c:pt>
                <c:pt idx="3">
                  <c:v>12.079000000000001</c:v>
                </c:pt>
                <c:pt idx="4">
                  <c:v>-1.113</c:v>
                </c:pt>
                <c:pt idx="5">
                  <c:v>5.1909999999999998</c:v>
                </c:pt>
                <c:pt idx="6">
                  <c:v>-3.9740000000000002</c:v>
                </c:pt>
                <c:pt idx="7">
                  <c:v>5.1639999999999997</c:v>
                </c:pt>
                <c:pt idx="8">
                  <c:v>30.094000000000001</c:v>
                </c:pt>
                <c:pt idx="9">
                  <c:v>-6.1980000000000004</c:v>
                </c:pt>
                <c:pt idx="10">
                  <c:v>11.371</c:v>
                </c:pt>
              </c:numCache>
            </c:numRef>
          </c:val>
          <c:extLst>
            <c:ext xmlns:c16="http://schemas.microsoft.com/office/drawing/2014/chart" uri="{C3380CC4-5D6E-409C-BE32-E72D297353CC}">
              <c16:uniqueId val="{00000003-AC47-47B3-815D-BC7CB01C5444}"/>
            </c:ext>
          </c:extLst>
        </c:ser>
        <c:ser>
          <c:idx val="5"/>
          <c:order val="5"/>
          <c:tx>
            <c:strRef>
              <c:f>'S14'!$R$133</c:f>
              <c:strCache>
                <c:ptCount val="1"/>
                <c:pt idx="0">
                  <c:v>Saldo druhotného rozdělení*</c:v>
                </c:pt>
              </c:strCache>
            </c:strRef>
          </c:tx>
          <c:spPr>
            <a:solidFill>
              <a:srgbClr val="92D050"/>
            </a:solidFill>
            <a:ln>
              <a:noFill/>
            </a:ln>
            <a:effectLst/>
          </c:spPr>
          <c:invertIfNegative val="0"/>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'S14'!$R$143:$R$153</c:f>
              <c:numCache>
                <c:formatCode>#\ ##0.0_ ;[Red]\-#\ ##0.0\ </c:formatCode>
                <c:ptCount val="11"/>
                <c:pt idx="0">
                  <c:v>59.451999999999998</c:v>
                </c:pt>
                <c:pt idx="1">
                  <c:v>9.4990000000000006</c:v>
                </c:pt>
                <c:pt idx="2">
                  <c:v>-13.516</c:v>
                </c:pt>
                <c:pt idx="3">
                  <c:v>6.2649999999999997</c:v>
                </c:pt>
                <c:pt idx="4">
                  <c:v>-8.9789999999999992</c:v>
                </c:pt>
                <c:pt idx="5">
                  <c:v>-7.5659999999999998</c:v>
                </c:pt>
                <c:pt idx="6">
                  <c:v>-1.1080000000000001</c:v>
                </c:pt>
                <c:pt idx="7">
                  <c:v>-21.431999999999999</c:v>
                </c:pt>
                <c:pt idx="8">
                  <c:v>-41.064999999999998</c:v>
                </c:pt>
                <c:pt idx="9">
                  <c:v>-36.585000000000001</c:v>
                </c:pt>
                <c:pt idx="10">
                  <c:v>-5.9</c:v>
                </c:pt>
              </c:numCache>
            </c:numRef>
          </c:val>
          <c:extLst>
            <c:ext xmlns:c16="http://schemas.microsoft.com/office/drawing/2014/chart" uri="{C3380CC4-5D6E-409C-BE32-E72D297353CC}">
              <c16:uniqueId val="{00000004-AC47-47B3-815D-BC7CB01C5444}"/>
            </c:ext>
          </c:extLst>
        </c:ser>
        <c:dLbls>
          <c:showLegendKey val="0"/>
          <c:showVal val="0"/>
          <c:showCatName val="0"/>
          <c:showSerName val="0"/>
          <c:showPercent val="0"/>
          <c:showBubbleSize val="0"/>
        </c:dLbls>
        <c:gapWidth val="100"/>
        <c:overlap val="100"/>
        <c:axId val="1024169744"/>
        <c:axId val="1024177648"/>
      </c:barChart>
      <c:lineChart>
        <c:grouping val="standard"/>
        <c:varyColors val="0"/>
        <c:ser>
          <c:idx val="0"/>
          <c:order val="0"/>
          <c:tx>
            <c:strRef>
              <c:f>'S14'!$M$133</c:f>
              <c:strCache>
                <c:ptCount val="1"/>
                <c:pt idx="0">
                  <c:v>Hrubý disponibilní důchod</c:v>
                </c:pt>
              </c:strCache>
            </c:strRef>
          </c:tx>
          <c:spPr>
            <a:ln w="28575" cap="rnd">
              <a:solidFill>
                <a:schemeClr val="tx1"/>
              </a:solidFill>
              <a:round/>
            </a:ln>
            <a:effectLst/>
          </c:spPr>
          <c:marker>
            <c:symbol val="none"/>
          </c:marker>
          <c:cat>
            <c:numRef>
              <c:f>'S14'!$L$143:$L$153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'S14'!$M$143:$M$153</c:f>
              <c:numCache>
                <c:formatCode>0.0_ ;[Red]\-0.0\ </c:formatCode>
                <c:ptCount val="11"/>
                <c:pt idx="0">
                  <c:v>59.762</c:v>
                </c:pt>
                <c:pt idx="1">
                  <c:v>24.248000000000001</c:v>
                </c:pt>
                <c:pt idx="2">
                  <c:v>16.568000000000001</c:v>
                </c:pt>
                <c:pt idx="3">
                  <c:v>31.963999999999999</c:v>
                </c:pt>
                <c:pt idx="4">
                  <c:v>3.427</c:v>
                </c:pt>
                <c:pt idx="5">
                  <c:v>77.106999999999999</c:v>
                </c:pt>
                <c:pt idx="6">
                  <c:v>85.793000000000006</c:v>
                </c:pt>
                <c:pt idx="7">
                  <c:v>82.682000000000002</c:v>
                </c:pt>
                <c:pt idx="8">
                  <c:v>169.51300000000001</c:v>
                </c:pt>
                <c:pt idx="9">
                  <c:v>171.77600000000001</c:v>
                </c:pt>
                <c:pt idx="10">
                  <c:v>170.422</c:v>
                </c:pt>
              </c:numCache>
            </c:numRef>
          </c:val>
          <c:smooth val="0"/>
          <c:extLst>
            <c:ext xmlns:c16="http://schemas.microsoft.com/office/drawing/2014/chart" uri="{C3380CC4-5D6E-409C-BE32-E72D297353CC}">
              <c16:uniqueId val="{00000005-AC47-47B3-815D-BC7CB01C5444}"/>
            </c:ext>
          </c:extLst>
        </c:ser>
        <c:dLbls>
          <c:showLegendKey val="0"/>
          <c:showVal val="0"/>
          <c:showCatName val="0"/>
          <c:showSerName val="0"/>
          <c:showPercent val="0"/>
          <c:showBubbleSize val="0"/>
        </c:dLbls>
        <c:marker val="1"/>
        <c:smooth val="0"/>
        <c:axId val="1024169744"/>
        <c:axId val="1024177648"/>
      </c:lineChart>
      <c:catAx>
        <c:axId val="1024169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024177648"/>
        <c:crosses val="autoZero"/>
        <c:auto val="1"/>
        <c:lblAlgn val="ctr"/>
        <c:lblOffset val="100"/>
        <c:noMultiLvlLbl val="0"/>
      </c:catAx>
      <c:valAx>
        <c:axId val="1024177648"/>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cs-CZ"/>
                  <a:t>mld.</a:t>
                </a:r>
                <a:r>
                  <a:rPr lang="cs-CZ" baseline="0"/>
                  <a:t> korun</a:t>
                </a:r>
                <a:endParaRPr lang="cs-CZ"/>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024169744"/>
        <c:crosses val="autoZero"/>
        <c:crossBetween val="between"/>
      </c:valAx>
      <c:spPr>
        <a:noFill/>
        <a:ln>
          <a:noFill/>
        </a:ln>
        <a:effectLst/>
      </c:spPr>
    </c:plotArea>
    <c:legend>
      <c:legendPos val="b"/>
      <c:layout>
        <c:manualLayout>
          <c:xMode val="edge"/>
          <c:yMode val="edge"/>
          <c:x val="8.7656197230665311E-2"/>
          <c:y val="0.86015647866711697"/>
          <c:w val="0.87562056737588656"/>
          <c:h val="0.1183980637172126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86406619385334E-2"/>
          <c:y val="3.9316672295395698E-2"/>
          <c:w val="0.8112755403579871"/>
          <c:h val="0.8137560508837105"/>
        </c:manualLayout>
      </c:layout>
      <c:barChart>
        <c:barDir val="col"/>
        <c:grouping val="clustered"/>
        <c:varyColors val="0"/>
        <c:ser>
          <c:idx val="2"/>
          <c:order val="2"/>
          <c:tx>
            <c:strRef>
              <c:f>'S14'!$W$133</c:f>
              <c:strCache>
                <c:ptCount val="1"/>
                <c:pt idx="0">
                  <c:v>Změna výdajů na konečnou spotřebu</c:v>
                </c:pt>
              </c:strCache>
            </c:strRef>
          </c:tx>
          <c:spPr>
            <a:solidFill>
              <a:schemeClr val="bg1">
                <a:lumMod val="65000"/>
              </a:schemeClr>
            </a:solidFill>
            <a:ln>
              <a:noFill/>
            </a:ln>
            <a:effectLst/>
          </c:spPr>
          <c:invertIfNegative val="0"/>
          <c:cat>
            <c:strRef>
              <c:f>'S14'!$A$144:$B$154</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'S14'!$W$144:$W$154</c:f>
              <c:numCache>
                <c:formatCode>0.0</c:formatCode>
                <c:ptCount val="11"/>
                <c:pt idx="0">
                  <c:v>6.9909999999999997</c:v>
                </c:pt>
                <c:pt idx="1">
                  <c:v>35.316000000000003</c:v>
                </c:pt>
                <c:pt idx="2">
                  <c:v>41.198999999999998</c:v>
                </c:pt>
                <c:pt idx="3">
                  <c:v>20.727</c:v>
                </c:pt>
                <c:pt idx="4">
                  <c:v>31.285000000000231</c:v>
                </c:pt>
                <c:pt idx="5">
                  <c:v>45.36099999999977</c:v>
                </c:pt>
                <c:pt idx="6">
                  <c:v>80.171999999999997</c:v>
                </c:pt>
                <c:pt idx="7">
                  <c:v>88.927000000000007</c:v>
                </c:pt>
                <c:pt idx="8">
                  <c:v>142.33199999999999</c:v>
                </c:pt>
                <c:pt idx="9">
                  <c:v>140.22300000000001</c:v>
                </c:pt>
                <c:pt idx="10">
                  <c:v>146.82</c:v>
                </c:pt>
              </c:numCache>
            </c:numRef>
          </c:val>
          <c:extLst>
            <c:ext xmlns:c16="http://schemas.microsoft.com/office/drawing/2014/chart" uri="{C3380CC4-5D6E-409C-BE32-E72D297353CC}">
              <c16:uniqueId val="{00000000-8064-453A-BDE2-DB03AD22DBD7}"/>
            </c:ext>
          </c:extLst>
        </c:ser>
        <c:dLbls>
          <c:showLegendKey val="0"/>
          <c:showVal val="0"/>
          <c:showCatName val="0"/>
          <c:showSerName val="0"/>
          <c:showPercent val="0"/>
          <c:showBubbleSize val="0"/>
        </c:dLbls>
        <c:gapWidth val="100"/>
        <c:axId val="1310994495"/>
        <c:axId val="1310992415"/>
      </c:barChart>
      <c:lineChart>
        <c:grouping val="standard"/>
        <c:varyColors val="0"/>
        <c:ser>
          <c:idx val="0"/>
          <c:order val="0"/>
          <c:tx>
            <c:strRef>
              <c:f>'S14'!$U$133</c:f>
              <c:strCache>
                <c:ptCount val="1"/>
                <c:pt idx="0">
                  <c:v>Míra úspor</c:v>
                </c:pt>
              </c:strCache>
            </c:strRef>
          </c:tx>
          <c:spPr>
            <a:ln w="28575" cap="rnd">
              <a:solidFill>
                <a:srgbClr val="0070C0"/>
              </a:solidFill>
              <a:round/>
            </a:ln>
            <a:effectLst/>
          </c:spPr>
          <c:marker>
            <c:symbol val="none"/>
          </c:marker>
          <c:cat>
            <c:strRef>
              <c:f>'S14'!$A$144:$B$154</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'S14'!$U$144:$U$154</c:f>
              <c:numCache>
                <c:formatCode>0.0</c:formatCode>
                <c:ptCount val="11"/>
                <c:pt idx="0">
                  <c:v>13.428256180392331</c:v>
                </c:pt>
                <c:pt idx="1">
                  <c:v>12.708876373902989</c:v>
                </c:pt>
                <c:pt idx="2">
                  <c:v>11.533122870090175</c:v>
                </c:pt>
                <c:pt idx="3">
                  <c:v>11.812111209627018</c:v>
                </c:pt>
                <c:pt idx="4">
                  <c:v>11.356833508373718</c:v>
                </c:pt>
                <c:pt idx="5">
                  <c:v>12.354309297469618</c:v>
                </c:pt>
                <c:pt idx="6">
                  <c:v>12.06210623783827</c:v>
                </c:pt>
                <c:pt idx="7">
                  <c:v>11.335043090794136</c:v>
                </c:pt>
                <c:pt idx="8">
                  <c:v>11.679917346000227</c:v>
                </c:pt>
                <c:pt idx="9">
                  <c:v>12.102942672159767</c:v>
                </c:pt>
                <c:pt idx="10">
                  <c:v>12.356255536522918</c:v>
                </c:pt>
              </c:numCache>
            </c:numRef>
          </c:val>
          <c:smooth val="0"/>
          <c:extLst>
            <c:ext xmlns:c16="http://schemas.microsoft.com/office/drawing/2014/chart" uri="{C3380CC4-5D6E-409C-BE32-E72D297353CC}">
              <c16:uniqueId val="{00000001-8064-453A-BDE2-DB03AD22DBD7}"/>
            </c:ext>
          </c:extLst>
        </c:ser>
        <c:ser>
          <c:idx val="1"/>
          <c:order val="1"/>
          <c:tx>
            <c:strRef>
              <c:f>'S14'!$V$133</c:f>
              <c:strCache>
                <c:ptCount val="1"/>
                <c:pt idx="0">
                  <c:v>Míra investic</c:v>
                </c:pt>
              </c:strCache>
            </c:strRef>
          </c:tx>
          <c:spPr>
            <a:ln w="28575" cap="rnd">
              <a:solidFill>
                <a:srgbClr val="FF0000"/>
              </a:solidFill>
              <a:round/>
            </a:ln>
            <a:effectLst/>
          </c:spPr>
          <c:marker>
            <c:symbol val="none"/>
          </c:marker>
          <c:cat>
            <c:strRef>
              <c:f>'S14'!$A$144:$B$154</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'S14'!$V$144:$V$154</c:f>
              <c:numCache>
                <c:formatCode>0.0</c:formatCode>
                <c:ptCount val="11"/>
                <c:pt idx="0">
                  <c:v>10.824734979431001</c:v>
                </c:pt>
                <c:pt idx="1">
                  <c:v>11.148531651410735</c:v>
                </c:pt>
                <c:pt idx="2">
                  <c:v>9.808853614540423</c:v>
                </c:pt>
                <c:pt idx="3">
                  <c:v>8.6201958394070903</c:v>
                </c:pt>
                <c:pt idx="4">
                  <c:v>8.7046325704605003</c:v>
                </c:pt>
                <c:pt idx="5">
                  <c:v>8.7789646991935406</c:v>
                </c:pt>
                <c:pt idx="6">
                  <c:v>8.699360010068542</c:v>
                </c:pt>
                <c:pt idx="7">
                  <c:v>9.1412544006735637</c:v>
                </c:pt>
                <c:pt idx="8">
                  <c:v>7.7770876768311625</c:v>
                </c:pt>
                <c:pt idx="9">
                  <c:v>9.011123665794031</c:v>
                </c:pt>
                <c:pt idx="10">
                  <c:v>9.3702501597570969</c:v>
                </c:pt>
              </c:numCache>
            </c:numRef>
          </c:val>
          <c:smooth val="0"/>
          <c:extLst>
            <c:ext xmlns:c16="http://schemas.microsoft.com/office/drawing/2014/chart" uri="{C3380CC4-5D6E-409C-BE32-E72D297353CC}">
              <c16:uniqueId val="{00000002-8064-453A-BDE2-DB03AD22DBD7}"/>
            </c:ext>
          </c:extLst>
        </c:ser>
        <c:dLbls>
          <c:showLegendKey val="0"/>
          <c:showVal val="0"/>
          <c:showCatName val="0"/>
          <c:showSerName val="0"/>
          <c:showPercent val="0"/>
          <c:showBubbleSize val="0"/>
        </c:dLbls>
        <c:marker val="1"/>
        <c:smooth val="0"/>
        <c:axId val="1560007711"/>
        <c:axId val="1310983263"/>
      </c:lineChart>
      <c:catAx>
        <c:axId val="131099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310992415"/>
        <c:crosses val="autoZero"/>
        <c:auto val="1"/>
        <c:lblAlgn val="ctr"/>
        <c:lblOffset val="100"/>
        <c:noMultiLvlLbl val="0"/>
      </c:catAx>
      <c:valAx>
        <c:axId val="13109924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Změna výdajů na konečnou spotřebu (</a:t>
                </a:r>
                <a:r>
                  <a:rPr lang="cs-CZ"/>
                  <a:t>mld.</a:t>
                </a:r>
                <a:r>
                  <a:rPr lang="cs-CZ" baseline="0"/>
                  <a:t> korun</a:t>
                </a:r>
                <a:r>
                  <a:rPr lang="en-US"/>
                  <a:t>)</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310994495"/>
        <c:crosses val="autoZero"/>
        <c:crossBetween val="between"/>
      </c:valAx>
      <c:valAx>
        <c:axId val="1310983263"/>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Míra úspor, míra investic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1560007711"/>
        <c:crosses val="max"/>
        <c:crossBetween val="between"/>
      </c:valAx>
      <c:catAx>
        <c:axId val="1560007711"/>
        <c:scaling>
          <c:orientation val="minMax"/>
        </c:scaling>
        <c:delete val="1"/>
        <c:axPos val="b"/>
        <c:numFmt formatCode="General" sourceLinked="1"/>
        <c:majorTickMark val="out"/>
        <c:minorTickMark val="none"/>
        <c:tickLblPos val="nextTo"/>
        <c:crossAx val="13109832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09653585527016E-2"/>
          <c:y val="3.9316672295395698E-2"/>
          <c:w val="0.89680289628675769"/>
          <c:h val="0.72456855791962171"/>
        </c:manualLayout>
      </c:layout>
      <c:barChart>
        <c:barDir val="col"/>
        <c:grouping val="stacked"/>
        <c:varyColors val="0"/>
        <c:ser>
          <c:idx val="0"/>
          <c:order val="0"/>
          <c:tx>
            <c:strRef>
              <c:f>HPH!$R$117</c:f>
              <c:strCache>
                <c:ptCount val="1"/>
                <c:pt idx="0">
                  <c:v>Zpracovatelský průmysl</c:v>
                </c:pt>
              </c:strCache>
            </c:strRef>
          </c:tx>
          <c:spPr>
            <a:solidFill>
              <a:srgbClr val="0070C0"/>
            </a:solidFill>
            <a:ln>
              <a:noFill/>
            </a:ln>
            <a:effectLst/>
          </c:spPr>
          <c:invertIfNegative val="0"/>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HPH!$R$118:$R$133</c:f>
              <c:numCache>
                <c:formatCode>#\ ##0.0</c:formatCode>
                <c:ptCount val="16"/>
                <c:pt idx="0">
                  <c:v>-2.9112863010060575</c:v>
                </c:pt>
                <c:pt idx="1">
                  <c:v>2.5022753544887757</c:v>
                </c:pt>
                <c:pt idx="2">
                  <c:v>2.5561125412094117</c:v>
                </c:pt>
                <c:pt idx="3">
                  <c:v>-0.93174243776150434</c:v>
                </c:pt>
                <c:pt idx="4">
                  <c:v>-0.29681427863821219</c:v>
                </c:pt>
                <c:pt idx="5">
                  <c:v>0.87438792575798063</c:v>
                </c:pt>
                <c:pt idx="6">
                  <c:v>2.0502974896045965</c:v>
                </c:pt>
                <c:pt idx="7">
                  <c:v>1.1385121377704071</c:v>
                </c:pt>
                <c:pt idx="8">
                  <c:v>2.467932620359047</c:v>
                </c:pt>
                <c:pt idx="9">
                  <c:v>0.50734336800853708</c:v>
                </c:pt>
                <c:pt idx="10">
                  <c:v>0.72758776419828874</c:v>
                </c:pt>
                <c:pt idx="12">
                  <c:v>0.65103012374599667</c:v>
                </c:pt>
                <c:pt idx="13">
                  <c:v>0.89397063689155354</c:v>
                </c:pt>
                <c:pt idx="14">
                  <c:v>0.93507380037800703</c:v>
                </c:pt>
                <c:pt idx="15">
                  <c:v>0.4321570928817503</c:v>
                </c:pt>
              </c:numCache>
            </c:numRef>
          </c:val>
          <c:extLst>
            <c:ext xmlns:c16="http://schemas.microsoft.com/office/drawing/2014/chart" uri="{C3380CC4-5D6E-409C-BE32-E72D297353CC}">
              <c16:uniqueId val="{00000000-CDAF-48B7-B816-CAFFC1BF51C0}"/>
            </c:ext>
          </c:extLst>
        </c:ser>
        <c:ser>
          <c:idx val="1"/>
          <c:order val="1"/>
          <c:tx>
            <c:strRef>
              <c:f>HPH!$S$117</c:f>
              <c:strCache>
                <c:ptCount val="1"/>
                <c:pt idx="0">
                  <c:v>Ostatní průmyslová odvětví</c:v>
                </c:pt>
              </c:strCache>
            </c:strRef>
          </c:tx>
          <c:spPr>
            <a:solidFill>
              <a:srgbClr val="00B0F0"/>
            </a:solidFill>
            <a:ln>
              <a:noFill/>
            </a:ln>
            <a:effectLst/>
          </c:spPr>
          <c:invertIfNegative val="0"/>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HPH!$S$118:$S$133</c:f>
              <c:numCache>
                <c:formatCode>#\ ##0.0</c:formatCode>
                <c:ptCount val="16"/>
                <c:pt idx="0">
                  <c:v>-0.77178660848151903</c:v>
                </c:pt>
                <c:pt idx="1">
                  <c:v>-0.45554580292776237</c:v>
                </c:pt>
                <c:pt idx="2">
                  <c:v>-0.38805211745516965</c:v>
                </c:pt>
                <c:pt idx="3">
                  <c:v>-0.14944660824141953</c:v>
                </c:pt>
                <c:pt idx="4">
                  <c:v>-0.6362248879534258</c:v>
                </c:pt>
                <c:pt idx="5">
                  <c:v>3.5102673298907816E-2</c:v>
                </c:pt>
                <c:pt idx="6">
                  <c:v>-0.25525648950814372</c:v>
                </c:pt>
                <c:pt idx="7">
                  <c:v>-0.2576500120822186</c:v>
                </c:pt>
                <c:pt idx="8">
                  <c:v>9.4257853313911344E-2</c:v>
                </c:pt>
                <c:pt idx="9">
                  <c:v>-2.9461312404712781E-2</c:v>
                </c:pt>
                <c:pt idx="10">
                  <c:v>-0.10733087498227545</c:v>
                </c:pt>
                <c:pt idx="12">
                  <c:v>-0.16605613821776544</c:v>
                </c:pt>
                <c:pt idx="13">
                  <c:v>-0.17578686521880382</c:v>
                </c:pt>
                <c:pt idx="14">
                  <c:v>-0.17747063964733789</c:v>
                </c:pt>
                <c:pt idx="15">
                  <c:v>8.7594056433330181E-2</c:v>
                </c:pt>
              </c:numCache>
            </c:numRef>
          </c:val>
          <c:extLst>
            <c:ext xmlns:c16="http://schemas.microsoft.com/office/drawing/2014/chart" uri="{C3380CC4-5D6E-409C-BE32-E72D297353CC}">
              <c16:uniqueId val="{00000001-CDAF-48B7-B816-CAFFC1BF51C0}"/>
            </c:ext>
          </c:extLst>
        </c:ser>
        <c:ser>
          <c:idx val="2"/>
          <c:order val="2"/>
          <c:tx>
            <c:strRef>
              <c:f>HPH!$T$117</c:f>
              <c:strCache>
                <c:ptCount val="1"/>
                <c:pt idx="0">
                  <c:v>Stavebnictví</c:v>
                </c:pt>
              </c:strCache>
            </c:strRef>
          </c:tx>
          <c:spPr>
            <a:solidFill>
              <a:srgbClr val="7030A0"/>
            </a:solidFill>
            <a:ln>
              <a:noFill/>
            </a:ln>
            <a:effectLst/>
          </c:spPr>
          <c:invertIfNegative val="0"/>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HPH!$T$118:$T$133</c:f>
              <c:numCache>
                <c:formatCode>#\ ##0.0</c:formatCode>
                <c:ptCount val="16"/>
                <c:pt idx="0">
                  <c:v>0.25558812426867106</c:v>
                </c:pt>
                <c:pt idx="1">
                  <c:v>0.22275846155307399</c:v>
                </c:pt>
                <c:pt idx="2">
                  <c:v>-0.37237044542320979</c:v>
                </c:pt>
                <c:pt idx="3">
                  <c:v>-0.38378063628182735</c:v>
                </c:pt>
                <c:pt idx="4">
                  <c:v>6.7729797819753329E-2</c:v>
                </c:pt>
                <c:pt idx="5">
                  <c:v>0.29084302450883198</c:v>
                </c:pt>
                <c:pt idx="6">
                  <c:v>0.12312371846863411</c:v>
                </c:pt>
                <c:pt idx="7">
                  <c:v>-0.21815183569334537</c:v>
                </c:pt>
                <c:pt idx="8">
                  <c:v>6.3209571496610661E-2</c:v>
                </c:pt>
                <c:pt idx="9">
                  <c:v>6.1314318067372696E-3</c:v>
                </c:pt>
                <c:pt idx="10">
                  <c:v>-0.14349715874396238</c:v>
                </c:pt>
                <c:pt idx="12">
                  <c:v>-0.20748910270418172</c:v>
                </c:pt>
                <c:pt idx="13">
                  <c:v>-0.16731055129880157</c:v>
                </c:pt>
                <c:pt idx="14">
                  <c:v>-0.12605835918279604</c:v>
                </c:pt>
                <c:pt idx="15">
                  <c:v>-7.4487643149214286E-2</c:v>
                </c:pt>
              </c:numCache>
            </c:numRef>
          </c:val>
          <c:extLst>
            <c:ext xmlns:c16="http://schemas.microsoft.com/office/drawing/2014/chart" uri="{C3380CC4-5D6E-409C-BE32-E72D297353CC}">
              <c16:uniqueId val="{00000002-CDAF-48B7-B816-CAFFC1BF51C0}"/>
            </c:ext>
          </c:extLst>
        </c:ser>
        <c:ser>
          <c:idx val="3"/>
          <c:order val="3"/>
          <c:tx>
            <c:strRef>
              <c:f>HPH!$U$117</c:f>
              <c:strCache>
                <c:ptCount val="1"/>
                <c:pt idx="0">
                  <c:v>Služby</c:v>
                </c:pt>
              </c:strCache>
            </c:strRef>
          </c:tx>
          <c:spPr>
            <a:solidFill>
              <a:srgbClr val="FF0000"/>
            </a:solidFill>
            <a:ln>
              <a:noFill/>
            </a:ln>
            <a:effectLst/>
          </c:spPr>
          <c:invertIfNegative val="0"/>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HPH!$U$118:$U$133</c:f>
              <c:numCache>
                <c:formatCode>#\ ##0.0</c:formatCode>
                <c:ptCount val="16"/>
                <c:pt idx="0">
                  <c:v>-2.3385876654437703</c:v>
                </c:pt>
                <c:pt idx="1">
                  <c:v>0.95092776915809352</c:v>
                </c:pt>
                <c:pt idx="2">
                  <c:v>0.11946885123994652</c:v>
                </c:pt>
                <c:pt idx="3">
                  <c:v>0.51802882188485533</c:v>
                </c:pt>
                <c:pt idx="4">
                  <c:v>0.89476775071517489</c:v>
                </c:pt>
                <c:pt idx="5">
                  <c:v>1.4723726066604022</c:v>
                </c:pt>
                <c:pt idx="6">
                  <c:v>2.8072106013644391</c:v>
                </c:pt>
                <c:pt idx="7">
                  <c:v>1.6048113866091585</c:v>
                </c:pt>
                <c:pt idx="8">
                  <c:v>2.8746906185958574</c:v>
                </c:pt>
                <c:pt idx="9">
                  <c:v>2.7720811992906671</c:v>
                </c:pt>
                <c:pt idx="10">
                  <c:v>1.5320160746324563</c:v>
                </c:pt>
                <c:pt idx="12">
                  <c:v>2.1778121572999853</c:v>
                </c:pt>
                <c:pt idx="13">
                  <c:v>1.5872692836963305</c:v>
                </c:pt>
                <c:pt idx="14">
                  <c:v>1.2887133109854405</c:v>
                </c:pt>
                <c:pt idx="15">
                  <c:v>1.0856896115678327</c:v>
                </c:pt>
              </c:numCache>
            </c:numRef>
          </c:val>
          <c:extLst>
            <c:ext xmlns:c16="http://schemas.microsoft.com/office/drawing/2014/chart" uri="{C3380CC4-5D6E-409C-BE32-E72D297353CC}">
              <c16:uniqueId val="{00000003-CDAF-48B7-B816-CAFFC1BF51C0}"/>
            </c:ext>
          </c:extLst>
        </c:ser>
        <c:ser>
          <c:idx val="4"/>
          <c:order val="4"/>
          <c:tx>
            <c:strRef>
              <c:f>HPH!$V$117</c:f>
              <c:strCache>
                <c:ptCount val="1"/>
                <c:pt idx="0">
                  <c:v>Zemědělství, lesnictví a rybářství</c:v>
                </c:pt>
              </c:strCache>
            </c:strRef>
          </c:tx>
          <c:spPr>
            <a:solidFill>
              <a:srgbClr val="00B050"/>
            </a:solidFill>
            <a:ln>
              <a:noFill/>
            </a:ln>
            <a:effectLst/>
          </c:spPr>
          <c:invertIfNegative val="0"/>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HPH!$V$118:$V$133</c:f>
              <c:numCache>
                <c:formatCode>#\ ##0.0</c:formatCode>
                <c:ptCount val="16"/>
                <c:pt idx="0">
                  <c:v>0.64049881718161417</c:v>
                </c:pt>
                <c:pt idx="1">
                  <c:v>-0.38648900371040618</c:v>
                </c:pt>
                <c:pt idx="2">
                  <c:v>-0.15770331661822248</c:v>
                </c:pt>
                <c:pt idx="3">
                  <c:v>0.18942091553988236</c:v>
                </c:pt>
                <c:pt idx="4">
                  <c:v>-4.2949940063209041E-2</c:v>
                </c:pt>
                <c:pt idx="5">
                  <c:v>0.1851578461883292</c:v>
                </c:pt>
                <c:pt idx="6">
                  <c:v>0.18010470351437033</c:v>
                </c:pt>
                <c:pt idx="7">
                  <c:v>0.12898098304386002</c:v>
                </c:pt>
                <c:pt idx="8">
                  <c:v>-8.811312240906842E-2</c:v>
                </c:pt>
                <c:pt idx="9">
                  <c:v>9.2580271748536502E-2</c:v>
                </c:pt>
                <c:pt idx="10">
                  <c:v>0.11589603453603474</c:v>
                </c:pt>
                <c:pt idx="12">
                  <c:v>7.457032591061126E-2</c:v>
                </c:pt>
                <c:pt idx="13">
                  <c:v>6.6379351512401832E-2</c:v>
                </c:pt>
                <c:pt idx="14">
                  <c:v>0.13821919543862568</c:v>
                </c:pt>
                <c:pt idx="15">
                  <c:v>0.18322443828145188</c:v>
                </c:pt>
              </c:numCache>
            </c:numRef>
          </c:val>
          <c:extLst>
            <c:ext xmlns:c16="http://schemas.microsoft.com/office/drawing/2014/chart" uri="{C3380CC4-5D6E-409C-BE32-E72D297353CC}">
              <c16:uniqueId val="{00000004-CDAF-48B7-B816-CAFFC1BF51C0}"/>
            </c:ext>
          </c:extLst>
        </c:ser>
        <c:dLbls>
          <c:showLegendKey val="0"/>
          <c:showVal val="0"/>
          <c:showCatName val="0"/>
          <c:showSerName val="0"/>
          <c:showPercent val="0"/>
          <c:showBubbleSize val="0"/>
        </c:dLbls>
        <c:gapWidth val="100"/>
        <c:overlap val="100"/>
        <c:axId val="490070047"/>
        <c:axId val="490072543"/>
      </c:barChart>
      <c:lineChart>
        <c:grouping val="standard"/>
        <c:varyColors val="0"/>
        <c:ser>
          <c:idx val="5"/>
          <c:order val="5"/>
          <c:tx>
            <c:strRef>
              <c:f>HPH!$W$117</c:f>
              <c:strCache>
                <c:ptCount val="1"/>
                <c:pt idx="0">
                  <c:v>HPH</c:v>
                </c:pt>
              </c:strCache>
            </c:strRef>
          </c:tx>
          <c:spPr>
            <a:ln w="28575" cap="rnd">
              <a:solidFill>
                <a:schemeClr val="tx1"/>
              </a:solidFill>
              <a:round/>
            </a:ln>
            <a:effectLst/>
          </c:spPr>
          <c:marker>
            <c:symbol val="none"/>
          </c:marker>
          <c:cat>
            <c:multiLvlStrRef>
              <c:f>HPH!$P$118:$Q$133</c:f>
              <c:multiLvlStrCache>
                <c:ptCount val="16"/>
                <c:lvl>
                  <c:pt idx="12">
                    <c:v>Q1</c:v>
                  </c:pt>
                  <c:pt idx="13">
                    <c:v>Q2</c:v>
                  </c:pt>
                  <c:pt idx="14">
                    <c:v>Q3</c:v>
                  </c:pt>
                  <c:pt idx="15">
                    <c:v>Q4</c:v>
                  </c:pt>
                </c:lvl>
                <c:lvl>
                  <c:pt idx="0">
                    <c:v>2009</c:v>
                  </c:pt>
                  <c:pt idx="1">
                    <c:v>2010</c:v>
                  </c:pt>
                  <c:pt idx="2">
                    <c:v>2011</c:v>
                  </c:pt>
                  <c:pt idx="3">
                    <c:v>2012</c:v>
                  </c:pt>
                  <c:pt idx="4">
                    <c:v>2013</c:v>
                  </c:pt>
                  <c:pt idx="5">
                    <c:v>2014</c:v>
                  </c:pt>
                  <c:pt idx="6">
                    <c:v>2015</c:v>
                  </c:pt>
                  <c:pt idx="7">
                    <c:v>2016</c:v>
                  </c:pt>
                  <c:pt idx="8">
                    <c:v>2017</c:v>
                  </c:pt>
                  <c:pt idx="9">
                    <c:v>2018</c:v>
                  </c:pt>
                  <c:pt idx="10">
                    <c:v>2019</c:v>
                  </c:pt>
                  <c:pt idx="11">
                    <c:v>     </c:v>
                  </c:pt>
                  <c:pt idx="12">
                    <c:v>2019</c:v>
                  </c:pt>
                </c:lvl>
              </c:multiLvlStrCache>
            </c:multiLvlStrRef>
          </c:cat>
          <c:val>
            <c:numRef>
              <c:f>HPH!$W$118:$W$133</c:f>
              <c:numCache>
                <c:formatCode>#\ ##0.0</c:formatCode>
                <c:ptCount val="16"/>
                <c:pt idx="0">
                  <c:v>-5.1255736334810624</c:v>
                </c:pt>
                <c:pt idx="1">
                  <c:v>2.833926778561775</c:v>
                </c:pt>
                <c:pt idx="2">
                  <c:v>1.7574555129527565</c:v>
                </c:pt>
                <c:pt idx="3">
                  <c:v>-0.75751994486001351</c:v>
                </c:pt>
                <c:pt idx="4">
                  <c:v>-1.3491558119918735E-2</c:v>
                </c:pt>
                <c:pt idx="5">
                  <c:v>2.8578640764144518</c:v>
                </c:pt>
                <c:pt idx="6">
                  <c:v>4.9054800234438964</c:v>
                </c:pt>
                <c:pt idx="7">
                  <c:v>2.3965026596478616</c:v>
                </c:pt>
                <c:pt idx="8">
                  <c:v>5.4119775413563573</c:v>
                </c:pt>
                <c:pt idx="9">
                  <c:v>3.3486749584497657</c:v>
                </c:pt>
                <c:pt idx="10">
                  <c:v>2.1246718396405422</c:v>
                </c:pt>
                <c:pt idx="12">
                  <c:v>2.5300143206718104</c:v>
                </c:pt>
                <c:pt idx="13">
                  <c:v>2.204495611197089</c:v>
                </c:pt>
                <c:pt idx="14">
                  <c:v>2.0584748568752218</c:v>
                </c:pt>
                <c:pt idx="15">
                  <c:v>1.7139510638243536</c:v>
                </c:pt>
              </c:numCache>
            </c:numRef>
          </c:val>
          <c:smooth val="0"/>
          <c:extLst>
            <c:ext xmlns:c16="http://schemas.microsoft.com/office/drawing/2014/chart" uri="{C3380CC4-5D6E-409C-BE32-E72D297353CC}">
              <c16:uniqueId val="{00000005-CDAF-48B7-B816-CAFFC1BF51C0}"/>
            </c:ext>
          </c:extLst>
        </c:ser>
        <c:dLbls>
          <c:showLegendKey val="0"/>
          <c:showVal val="0"/>
          <c:showCatName val="0"/>
          <c:showSerName val="0"/>
          <c:showPercent val="0"/>
          <c:showBubbleSize val="0"/>
        </c:dLbls>
        <c:marker val="1"/>
        <c:smooth val="0"/>
        <c:axId val="490070047"/>
        <c:axId val="490072543"/>
      </c:lineChart>
      <c:catAx>
        <c:axId val="4900700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490072543"/>
        <c:crosses val="autoZero"/>
        <c:auto val="1"/>
        <c:lblAlgn val="ctr"/>
        <c:lblOffset val="100"/>
        <c:noMultiLvlLbl val="0"/>
      </c:catAx>
      <c:valAx>
        <c:axId val="490072543"/>
        <c:scaling>
          <c:orientation val="minMax"/>
          <c:max val="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sz="800" b="0" i="0" u="none" strike="noStrike" kern="1200" baseline="0">
                    <a:solidFill>
                      <a:sysClr val="windowText" lastClr="000000"/>
                    </a:solidFill>
                    <a:effectLst/>
                    <a:latin typeface="Arial" panose="020B0604020202020204" pitchFamily="34" charset="0"/>
                    <a:ea typeface="+mn-ea"/>
                    <a:cs typeface="+mn-cs"/>
                  </a:rPr>
                  <a:t> p. b.</a:t>
                </a:r>
                <a:endParaRPr lang="cs-CZ" sz="800">
                  <a:effectLst/>
                </a:endParaRPr>
              </a:p>
            </c:rich>
          </c:tx>
          <c:layout>
            <c:manualLayout>
              <c:xMode val="edge"/>
              <c:yMode val="edge"/>
              <c:x val="0"/>
              <c:y val="0.1567929746047159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490070047"/>
        <c:crosses val="autoZero"/>
        <c:crossBetween val="between"/>
      </c:valAx>
      <c:spPr>
        <a:noFill/>
        <a:ln>
          <a:noFill/>
        </a:ln>
        <a:effectLst/>
      </c:spPr>
    </c:plotArea>
    <c:legend>
      <c:legendPos val="b"/>
      <c:layout>
        <c:manualLayout>
          <c:xMode val="edge"/>
          <c:yMode val="edge"/>
          <c:x val="5.3651215805471122E-2"/>
          <c:y val="0.87119582348305757"/>
          <c:w val="0.91146234380276936"/>
          <c:h val="0.1073587189012720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809017223910829E-2"/>
          <c:y val="3.9316672295395698E-2"/>
          <c:w val="0.89270347855454235"/>
          <c:h val="0.67402088258471238"/>
        </c:manualLayout>
      </c:layout>
      <c:barChart>
        <c:barDir val="col"/>
        <c:grouping val="clustered"/>
        <c:varyColors val="0"/>
        <c:ser>
          <c:idx val="0"/>
          <c:order val="0"/>
          <c:tx>
            <c:strRef>
              <c:f>'[nama_10_gdp-1.xls]Data'!$J$10</c:f>
              <c:strCache>
                <c:ptCount val="1"/>
                <c:pt idx="0">
                  <c:v>2018</c:v>
                </c:pt>
              </c:strCache>
            </c:strRef>
          </c:tx>
          <c:spPr>
            <a:solidFill>
              <a:srgbClr val="0070C0"/>
            </a:solidFill>
            <a:ln>
              <a:noFill/>
            </a:ln>
            <a:effectLst/>
          </c:spPr>
          <c:invertIfNegative val="0"/>
          <c:dPt>
            <c:idx val="12"/>
            <c:invertIfNegative val="0"/>
            <c:bubble3D val="0"/>
            <c:spPr>
              <a:solidFill>
                <a:srgbClr val="002060"/>
              </a:solidFill>
              <a:ln>
                <a:noFill/>
              </a:ln>
              <a:effectLst/>
            </c:spPr>
            <c:extLst>
              <c:ext xmlns:c16="http://schemas.microsoft.com/office/drawing/2014/chart" uri="{C3380CC4-5D6E-409C-BE32-E72D297353CC}">
                <c16:uniqueId val="{00000001-EC8A-4267-9AA3-E27D98388766}"/>
              </c:ext>
            </c:extLst>
          </c:dPt>
          <c:cat>
            <c:strRef>
              <c:f>'[nama_10_gdp-1.xls]Data'!$A$11:$A$38</c:f>
              <c:strCache>
                <c:ptCount val="28"/>
                <c:pt idx="0">
                  <c:v>Irsko</c:v>
                </c:pt>
                <c:pt idx="1">
                  <c:v>Maďarsko</c:v>
                </c:pt>
                <c:pt idx="2">
                  <c:v>Malta</c:v>
                </c:pt>
                <c:pt idx="3">
                  <c:v>Estonsko</c:v>
                </c:pt>
                <c:pt idx="4">
                  <c:v>Polsko</c:v>
                </c:pt>
                <c:pt idx="5">
                  <c:v>Rumunsko</c:v>
                </c:pt>
                <c:pt idx="6">
                  <c:v>Litva</c:v>
                </c:pt>
                <c:pt idx="7">
                  <c:v>Bulharsko</c:v>
                </c:pt>
                <c:pt idx="8">
                  <c:v>Kypr</c:v>
                </c:pt>
                <c:pt idx="9">
                  <c:v>Chorvatsko</c:v>
                </c:pt>
                <c:pt idx="10">
                  <c:v>Slovinsko</c:v>
                </c:pt>
                <c:pt idx="11">
                  <c:v>Slovensko</c:v>
                </c:pt>
                <c:pt idx="12">
                  <c:v>Česko</c:v>
                </c:pt>
                <c:pt idx="13">
                  <c:v>Dánsko</c:v>
                </c:pt>
                <c:pt idx="14">
                  <c:v>Lucembursko</c:v>
                </c:pt>
                <c:pt idx="15">
                  <c:v>Lotyšsko</c:v>
                </c:pt>
                <c:pt idx="16">
                  <c:v>Portugalsko</c:v>
                </c:pt>
                <c:pt idx="17">
                  <c:v>Španělsko</c:v>
                </c:pt>
                <c:pt idx="18">
                  <c:v>Řecko</c:v>
                </c:pt>
                <c:pt idx="19">
                  <c:v>Nizozemsko</c:v>
                </c:pt>
                <c:pt idx="20">
                  <c:v>Rakousko</c:v>
                </c:pt>
                <c:pt idx="21">
                  <c:v>EU 27</c:v>
                </c:pt>
                <c:pt idx="22">
                  <c:v>Francie</c:v>
                </c:pt>
                <c:pt idx="23">
                  <c:v>Belgie</c:v>
                </c:pt>
                <c:pt idx="24">
                  <c:v>Švédsko</c:v>
                </c:pt>
                <c:pt idx="25">
                  <c:v>Finsko</c:v>
                </c:pt>
                <c:pt idx="26">
                  <c:v>Německo</c:v>
                </c:pt>
                <c:pt idx="27">
                  <c:v>Itálie</c:v>
                </c:pt>
              </c:strCache>
            </c:strRef>
          </c:cat>
          <c:val>
            <c:numRef>
              <c:f>'[nama_10_gdp-1.xls]Data'!$J$11:$J$38</c:f>
              <c:numCache>
                <c:formatCode>#\ ##0.0</c:formatCode>
                <c:ptCount val="28"/>
                <c:pt idx="0">
                  <c:v>8.5</c:v>
                </c:pt>
                <c:pt idx="1">
                  <c:v>5.0999999999999996</c:v>
                </c:pt>
                <c:pt idx="2">
                  <c:v>7.3</c:v>
                </c:pt>
                <c:pt idx="3">
                  <c:v>4.8</c:v>
                </c:pt>
                <c:pt idx="4">
                  <c:v>5.3</c:v>
                </c:pt>
                <c:pt idx="5">
                  <c:v>4.4000000000000004</c:v>
                </c:pt>
                <c:pt idx="6">
                  <c:v>3.6</c:v>
                </c:pt>
                <c:pt idx="7">
                  <c:v>3.1</c:v>
                </c:pt>
                <c:pt idx="8">
                  <c:v>4.0999999999999996</c:v>
                </c:pt>
                <c:pt idx="9">
                  <c:v>2.7</c:v>
                </c:pt>
                <c:pt idx="10">
                  <c:v>4.0999999999999996</c:v>
                </c:pt>
                <c:pt idx="11">
                  <c:v>3.9</c:v>
                </c:pt>
                <c:pt idx="12">
                  <c:v>3.2</c:v>
                </c:pt>
                <c:pt idx="13">
                  <c:v>2.4</c:v>
                </c:pt>
                <c:pt idx="14">
                  <c:v>3.1</c:v>
                </c:pt>
                <c:pt idx="15">
                  <c:v>4.3</c:v>
                </c:pt>
                <c:pt idx="16">
                  <c:v>2.6</c:v>
                </c:pt>
                <c:pt idx="17">
                  <c:v>2.4</c:v>
                </c:pt>
                <c:pt idx="18">
                  <c:v>1.9</c:v>
                </c:pt>
                <c:pt idx="19">
                  <c:v>2.4</c:v>
                </c:pt>
                <c:pt idx="20">
                  <c:v>2.4</c:v>
                </c:pt>
                <c:pt idx="21">
                  <c:v>2.1</c:v>
                </c:pt>
                <c:pt idx="22">
                  <c:v>1.8</c:v>
                </c:pt>
                <c:pt idx="23">
                  <c:v>1.5</c:v>
                </c:pt>
                <c:pt idx="24">
                  <c:v>2</c:v>
                </c:pt>
                <c:pt idx="25">
                  <c:v>1.5</c:v>
                </c:pt>
                <c:pt idx="26">
                  <c:v>1.5</c:v>
                </c:pt>
                <c:pt idx="27">
                  <c:v>0.8</c:v>
                </c:pt>
              </c:numCache>
            </c:numRef>
          </c:val>
          <c:extLst>
            <c:ext xmlns:c16="http://schemas.microsoft.com/office/drawing/2014/chart" uri="{C3380CC4-5D6E-409C-BE32-E72D297353CC}">
              <c16:uniqueId val="{00000002-EC8A-4267-9AA3-E27D98388766}"/>
            </c:ext>
          </c:extLst>
        </c:ser>
        <c:ser>
          <c:idx val="1"/>
          <c:order val="1"/>
          <c:tx>
            <c:strRef>
              <c:f>'[nama_10_gdp-1.xls]Data'!$K$10</c:f>
              <c:strCache>
                <c:ptCount val="1"/>
                <c:pt idx="0">
                  <c:v>2019</c:v>
                </c:pt>
              </c:strCache>
            </c:strRef>
          </c:tx>
          <c:spPr>
            <a:solidFill>
              <a:srgbClr val="FF0000"/>
            </a:solidFill>
            <a:ln>
              <a:noFill/>
            </a:ln>
            <a:effectLst/>
          </c:spPr>
          <c:invertIfNegative val="0"/>
          <c:dPt>
            <c:idx val="12"/>
            <c:invertIfNegative val="0"/>
            <c:bubble3D val="0"/>
            <c:spPr>
              <a:solidFill>
                <a:srgbClr val="C00000"/>
              </a:solidFill>
              <a:ln>
                <a:noFill/>
              </a:ln>
              <a:effectLst/>
            </c:spPr>
            <c:extLst>
              <c:ext xmlns:c16="http://schemas.microsoft.com/office/drawing/2014/chart" uri="{C3380CC4-5D6E-409C-BE32-E72D297353CC}">
                <c16:uniqueId val="{00000004-EC8A-4267-9AA3-E27D98388766}"/>
              </c:ext>
            </c:extLst>
          </c:dPt>
          <c:cat>
            <c:strRef>
              <c:f>'[nama_10_gdp-1.xls]Data'!$A$11:$A$38</c:f>
              <c:strCache>
                <c:ptCount val="28"/>
                <c:pt idx="0">
                  <c:v>Irsko</c:v>
                </c:pt>
                <c:pt idx="1">
                  <c:v>Maďarsko</c:v>
                </c:pt>
                <c:pt idx="2">
                  <c:v>Malta</c:v>
                </c:pt>
                <c:pt idx="3">
                  <c:v>Estonsko</c:v>
                </c:pt>
                <c:pt idx="4">
                  <c:v>Polsko</c:v>
                </c:pt>
                <c:pt idx="5">
                  <c:v>Rumunsko</c:v>
                </c:pt>
                <c:pt idx="6">
                  <c:v>Litva</c:v>
                </c:pt>
                <c:pt idx="7">
                  <c:v>Bulharsko</c:v>
                </c:pt>
                <c:pt idx="8">
                  <c:v>Kypr</c:v>
                </c:pt>
                <c:pt idx="9">
                  <c:v>Chorvatsko</c:v>
                </c:pt>
                <c:pt idx="10">
                  <c:v>Slovinsko</c:v>
                </c:pt>
                <c:pt idx="11">
                  <c:v>Slovensko</c:v>
                </c:pt>
                <c:pt idx="12">
                  <c:v>Česko</c:v>
                </c:pt>
                <c:pt idx="13">
                  <c:v>Dánsko</c:v>
                </c:pt>
                <c:pt idx="14">
                  <c:v>Lucembursko</c:v>
                </c:pt>
                <c:pt idx="15">
                  <c:v>Lotyšsko</c:v>
                </c:pt>
                <c:pt idx="16">
                  <c:v>Portugalsko</c:v>
                </c:pt>
                <c:pt idx="17">
                  <c:v>Španělsko</c:v>
                </c:pt>
                <c:pt idx="18">
                  <c:v>Řecko</c:v>
                </c:pt>
                <c:pt idx="19">
                  <c:v>Nizozemsko</c:v>
                </c:pt>
                <c:pt idx="20">
                  <c:v>Rakousko</c:v>
                </c:pt>
                <c:pt idx="21">
                  <c:v>EU 27</c:v>
                </c:pt>
                <c:pt idx="22">
                  <c:v>Francie</c:v>
                </c:pt>
                <c:pt idx="23">
                  <c:v>Belgie</c:v>
                </c:pt>
                <c:pt idx="24">
                  <c:v>Švédsko</c:v>
                </c:pt>
                <c:pt idx="25">
                  <c:v>Finsko</c:v>
                </c:pt>
                <c:pt idx="26">
                  <c:v>Německo</c:v>
                </c:pt>
                <c:pt idx="27">
                  <c:v>Itálie</c:v>
                </c:pt>
              </c:strCache>
            </c:strRef>
          </c:cat>
          <c:val>
            <c:numRef>
              <c:f>'[nama_10_gdp-1.xls]Data'!$K$11:$K$38</c:f>
              <c:numCache>
                <c:formatCode>#\ ##0.0</c:formatCode>
                <c:ptCount val="28"/>
                <c:pt idx="0">
                  <c:v>5.6</c:v>
                </c:pt>
                <c:pt idx="1">
                  <c:v>4.9000000000000004</c:v>
                </c:pt>
                <c:pt idx="2">
                  <c:v>4.7</c:v>
                </c:pt>
                <c:pt idx="3">
                  <c:v>4.3</c:v>
                </c:pt>
                <c:pt idx="4">
                  <c:v>4.0999999999999996</c:v>
                </c:pt>
                <c:pt idx="5">
                  <c:v>4.0999999999999996</c:v>
                </c:pt>
                <c:pt idx="6">
                  <c:v>3.9</c:v>
                </c:pt>
                <c:pt idx="7">
                  <c:v>3.4</c:v>
                </c:pt>
                <c:pt idx="8">
                  <c:v>3.2</c:v>
                </c:pt>
                <c:pt idx="9">
                  <c:v>2.9</c:v>
                </c:pt>
                <c:pt idx="10">
                  <c:v>2.4</c:v>
                </c:pt>
                <c:pt idx="11">
                  <c:v>2.4</c:v>
                </c:pt>
                <c:pt idx="12">
                  <c:v>2.2999999999999998</c:v>
                </c:pt>
                <c:pt idx="13">
                  <c:v>2.2999999999999998</c:v>
                </c:pt>
                <c:pt idx="14">
                  <c:v>2.2999999999999998</c:v>
                </c:pt>
                <c:pt idx="15">
                  <c:v>2.2000000000000002</c:v>
                </c:pt>
                <c:pt idx="16">
                  <c:v>2.2000000000000002</c:v>
                </c:pt>
                <c:pt idx="17">
                  <c:v>2</c:v>
                </c:pt>
                <c:pt idx="18">
                  <c:v>1.9</c:v>
                </c:pt>
                <c:pt idx="19">
                  <c:v>1.7</c:v>
                </c:pt>
                <c:pt idx="20">
                  <c:v>1.6</c:v>
                </c:pt>
                <c:pt idx="21">
                  <c:v>1.5</c:v>
                </c:pt>
                <c:pt idx="22">
                  <c:v>1.5</c:v>
                </c:pt>
                <c:pt idx="23">
                  <c:v>1.4</c:v>
                </c:pt>
                <c:pt idx="24">
                  <c:v>1.2</c:v>
                </c:pt>
                <c:pt idx="25">
                  <c:v>1.1000000000000001</c:v>
                </c:pt>
                <c:pt idx="26">
                  <c:v>0.6</c:v>
                </c:pt>
                <c:pt idx="27">
                  <c:v>0.3</c:v>
                </c:pt>
              </c:numCache>
            </c:numRef>
          </c:val>
          <c:extLst>
            <c:ext xmlns:c16="http://schemas.microsoft.com/office/drawing/2014/chart" uri="{C3380CC4-5D6E-409C-BE32-E72D297353CC}">
              <c16:uniqueId val="{00000005-EC8A-4267-9AA3-E27D98388766}"/>
            </c:ext>
          </c:extLst>
        </c:ser>
        <c:dLbls>
          <c:showLegendKey val="0"/>
          <c:showVal val="0"/>
          <c:showCatName val="0"/>
          <c:showSerName val="0"/>
          <c:showPercent val="0"/>
          <c:showBubbleSize val="0"/>
        </c:dLbls>
        <c:gapWidth val="99"/>
        <c:overlap val="-27"/>
        <c:axId val="2010630047"/>
        <c:axId val="2010631295"/>
      </c:barChart>
      <c:catAx>
        <c:axId val="2010630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2010631295"/>
        <c:crosses val="autoZero"/>
        <c:auto val="1"/>
        <c:lblAlgn val="ctr"/>
        <c:lblOffset val="100"/>
        <c:noMultiLvlLbl val="0"/>
      </c:catAx>
      <c:valAx>
        <c:axId val="2010631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Meziroční přírůstek HDP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2010630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0769165822358"/>
          <c:y val="3.9316672295395698E-2"/>
          <c:w val="0.86490480412022952"/>
          <c:h val="0.7789859844647079"/>
        </c:manualLayout>
      </c:layout>
      <c:barChart>
        <c:barDir val="col"/>
        <c:grouping val="stacked"/>
        <c:varyColors val="0"/>
        <c:ser>
          <c:idx val="5"/>
          <c:order val="1"/>
          <c:tx>
            <c:strRef>
              <c:f>THFK_S_bc_CZ!$A$36</c:f>
              <c:strCache>
                <c:ptCount val="1"/>
                <c:pt idx="0">
                  <c:v>Neziskové instituce sloužící domácnostem</c:v>
                </c:pt>
              </c:strCache>
            </c:strRef>
          </c:tx>
          <c:spPr>
            <a:solidFill>
              <a:srgbClr val="7030A0"/>
            </a:solidFill>
            <a:ln>
              <a:noFill/>
            </a:ln>
            <a:effectLst/>
          </c:spPr>
          <c:invertIfNegative val="0"/>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THFK_S_bc_CZ!$B$36:$L$36</c:f>
              <c:numCache>
                <c:formatCode>General</c:formatCode>
                <c:ptCount val="11"/>
                <c:pt idx="0">
                  <c:v>-1.044</c:v>
                </c:pt>
                <c:pt idx="1">
                  <c:v>0.53800000000000003</c:v>
                </c:pt>
                <c:pt idx="2">
                  <c:v>-0.01</c:v>
                </c:pt>
                <c:pt idx="3">
                  <c:v>2.2509999999999999</c:v>
                </c:pt>
                <c:pt idx="4">
                  <c:v>-1.1060000000000001</c:v>
                </c:pt>
                <c:pt idx="5">
                  <c:v>1.1160000000000001</c:v>
                </c:pt>
                <c:pt idx="6">
                  <c:v>1.08</c:v>
                </c:pt>
                <c:pt idx="7">
                  <c:v>-2.101</c:v>
                </c:pt>
                <c:pt idx="8">
                  <c:v>1.373</c:v>
                </c:pt>
                <c:pt idx="9">
                  <c:v>-0.95899999999999996</c:v>
                </c:pt>
                <c:pt idx="10">
                  <c:v>-0.59799999999999998</c:v>
                </c:pt>
              </c:numCache>
            </c:numRef>
          </c:val>
          <c:extLst>
            <c:ext xmlns:c16="http://schemas.microsoft.com/office/drawing/2014/chart" uri="{C3380CC4-5D6E-409C-BE32-E72D297353CC}">
              <c16:uniqueId val="{00000000-2201-4945-A6AC-6D02EDBE2763}"/>
            </c:ext>
          </c:extLst>
        </c:ser>
        <c:ser>
          <c:idx val="2"/>
          <c:order val="2"/>
          <c:tx>
            <c:strRef>
              <c:f>THFK_S_bc_CZ!$A$33</c:f>
              <c:strCache>
                <c:ptCount val="1"/>
                <c:pt idx="0">
                  <c:v>Finanční instituce</c:v>
                </c:pt>
              </c:strCache>
            </c:strRef>
          </c:tx>
          <c:spPr>
            <a:solidFill>
              <a:srgbClr val="FFFF00"/>
            </a:solidFill>
            <a:ln>
              <a:noFill/>
            </a:ln>
            <a:effectLst/>
          </c:spPr>
          <c:invertIfNegative val="0"/>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THFK_S_bc_CZ!$B$33:$L$33</c:f>
              <c:numCache>
                <c:formatCode>General</c:formatCode>
                <c:ptCount val="11"/>
                <c:pt idx="0">
                  <c:v>-7.6539999999999999</c:v>
                </c:pt>
                <c:pt idx="1">
                  <c:v>0.77900000000000003</c:v>
                </c:pt>
                <c:pt idx="2">
                  <c:v>1.0740000000000001</c:v>
                </c:pt>
                <c:pt idx="3">
                  <c:v>0.61199999999999999</c:v>
                </c:pt>
                <c:pt idx="4">
                  <c:v>-2.2429999999999999</c:v>
                </c:pt>
                <c:pt idx="5">
                  <c:v>0.88600000000000001</c:v>
                </c:pt>
                <c:pt idx="6">
                  <c:v>2.4489999999999998</c:v>
                </c:pt>
                <c:pt idx="7">
                  <c:v>6.9470000000000001</c:v>
                </c:pt>
                <c:pt idx="8">
                  <c:v>11.534000000000001</c:v>
                </c:pt>
                <c:pt idx="9">
                  <c:v>9.3469999999999995</c:v>
                </c:pt>
                <c:pt idx="10">
                  <c:v>-21.571999999999999</c:v>
                </c:pt>
              </c:numCache>
            </c:numRef>
          </c:val>
          <c:extLst>
            <c:ext xmlns:c16="http://schemas.microsoft.com/office/drawing/2014/chart" uri="{C3380CC4-5D6E-409C-BE32-E72D297353CC}">
              <c16:uniqueId val="{00000001-2201-4945-A6AC-6D02EDBE2763}"/>
            </c:ext>
          </c:extLst>
        </c:ser>
        <c:ser>
          <c:idx val="4"/>
          <c:order val="3"/>
          <c:tx>
            <c:strRef>
              <c:f>THFK_S_bc_CZ!$A$35</c:f>
              <c:strCache>
                <c:ptCount val="1"/>
                <c:pt idx="0">
                  <c:v>Domácnosti</c:v>
                </c:pt>
              </c:strCache>
            </c:strRef>
          </c:tx>
          <c:spPr>
            <a:solidFill>
              <a:srgbClr val="00B050"/>
            </a:solidFill>
            <a:ln>
              <a:noFill/>
            </a:ln>
            <a:effectLst/>
          </c:spPr>
          <c:invertIfNegative val="0"/>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THFK_S_bc_CZ!$B$35:$L$35</c:f>
              <c:numCache>
                <c:formatCode>General</c:formatCode>
                <c:ptCount val="11"/>
                <c:pt idx="0">
                  <c:v>6.7450000000000001</c:v>
                </c:pt>
                <c:pt idx="1">
                  <c:v>9.5950000000000006</c:v>
                </c:pt>
                <c:pt idx="2">
                  <c:v>-27.99</c:v>
                </c:pt>
                <c:pt idx="3">
                  <c:v>-23.895</c:v>
                </c:pt>
                <c:pt idx="4">
                  <c:v>3.9710000000000001</c:v>
                </c:pt>
                <c:pt idx="5">
                  <c:v>8.5269999999999992</c:v>
                </c:pt>
                <c:pt idx="6">
                  <c:v>5.3659999999999997</c:v>
                </c:pt>
                <c:pt idx="7">
                  <c:v>18.148</c:v>
                </c:pt>
                <c:pt idx="8">
                  <c:v>-21.178000000000001</c:v>
                </c:pt>
                <c:pt idx="9">
                  <c:v>48.845999999999997</c:v>
                </c:pt>
                <c:pt idx="10">
                  <c:v>26.785</c:v>
                </c:pt>
              </c:numCache>
            </c:numRef>
          </c:val>
          <c:extLst>
            <c:ext xmlns:c16="http://schemas.microsoft.com/office/drawing/2014/chart" uri="{C3380CC4-5D6E-409C-BE32-E72D297353CC}">
              <c16:uniqueId val="{00000002-2201-4945-A6AC-6D02EDBE2763}"/>
            </c:ext>
          </c:extLst>
        </c:ser>
        <c:ser>
          <c:idx val="3"/>
          <c:order val="4"/>
          <c:tx>
            <c:strRef>
              <c:f>THFK_S_bc_CZ!$A$34</c:f>
              <c:strCache>
                <c:ptCount val="1"/>
                <c:pt idx="0">
                  <c:v>Vládní instituce</c:v>
                </c:pt>
              </c:strCache>
            </c:strRef>
          </c:tx>
          <c:spPr>
            <a:solidFill>
              <a:srgbClr val="0070C0"/>
            </a:solidFill>
            <a:ln>
              <a:noFill/>
            </a:ln>
            <a:effectLst/>
          </c:spPr>
          <c:invertIfNegative val="0"/>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THFK_S_bc_CZ!$B$34:$L$34</c:f>
              <c:numCache>
                <c:formatCode>General</c:formatCode>
                <c:ptCount val="11"/>
                <c:pt idx="0">
                  <c:v>24.873000000000001</c:v>
                </c:pt>
                <c:pt idx="1">
                  <c:v>-34.633000000000003</c:v>
                </c:pt>
                <c:pt idx="2">
                  <c:v>-21.286000000000001</c:v>
                </c:pt>
                <c:pt idx="3">
                  <c:v>-11.821</c:v>
                </c:pt>
                <c:pt idx="4">
                  <c:v>-17.006</c:v>
                </c:pt>
                <c:pt idx="5">
                  <c:v>25.645</c:v>
                </c:pt>
                <c:pt idx="6">
                  <c:v>58.313000000000002</c:v>
                </c:pt>
                <c:pt idx="7">
                  <c:v>-81.097999999999999</c:v>
                </c:pt>
                <c:pt idx="8">
                  <c:v>15.766999999999999</c:v>
                </c:pt>
                <c:pt idx="9">
                  <c:v>53.447000000000003</c:v>
                </c:pt>
                <c:pt idx="10">
                  <c:v>24.027000000000001</c:v>
                </c:pt>
              </c:numCache>
            </c:numRef>
          </c:val>
          <c:extLst>
            <c:ext xmlns:c16="http://schemas.microsoft.com/office/drawing/2014/chart" uri="{C3380CC4-5D6E-409C-BE32-E72D297353CC}">
              <c16:uniqueId val="{00000003-2201-4945-A6AC-6D02EDBE2763}"/>
            </c:ext>
          </c:extLst>
        </c:ser>
        <c:ser>
          <c:idx val="1"/>
          <c:order val="5"/>
          <c:tx>
            <c:strRef>
              <c:f>THFK_S_bc_CZ!$A$32</c:f>
              <c:strCache>
                <c:ptCount val="1"/>
                <c:pt idx="0">
                  <c:v>Nefinanční podniky</c:v>
                </c:pt>
              </c:strCache>
            </c:strRef>
          </c:tx>
          <c:spPr>
            <a:solidFill>
              <a:srgbClr val="FF0000"/>
            </a:solidFill>
            <a:ln>
              <a:noFill/>
            </a:ln>
            <a:effectLst/>
          </c:spPr>
          <c:invertIfNegative val="0"/>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THFK_S_bc_CZ!$B$32:$L$32</c:f>
              <c:numCache>
                <c:formatCode>General</c:formatCode>
                <c:ptCount val="11"/>
                <c:pt idx="0">
                  <c:v>-113.414</c:v>
                </c:pt>
                <c:pt idx="1">
                  <c:v>15.76</c:v>
                </c:pt>
                <c:pt idx="2">
                  <c:v>51.064</c:v>
                </c:pt>
                <c:pt idx="3">
                  <c:v>15.454000000000001</c:v>
                </c:pt>
                <c:pt idx="4">
                  <c:v>-2.4740000000000002</c:v>
                </c:pt>
                <c:pt idx="5">
                  <c:v>17.196000000000002</c:v>
                </c:pt>
                <c:pt idx="6">
                  <c:v>56.295000000000002</c:v>
                </c:pt>
                <c:pt idx="7">
                  <c:v>27.085999999999999</c:v>
                </c:pt>
                <c:pt idx="8">
                  <c:v>69.444000000000003</c:v>
                </c:pt>
                <c:pt idx="9">
                  <c:v>38.936</c:v>
                </c:pt>
                <c:pt idx="10">
                  <c:v>55.247999999999998</c:v>
                </c:pt>
              </c:numCache>
            </c:numRef>
          </c:val>
          <c:extLst>
            <c:ext xmlns:c16="http://schemas.microsoft.com/office/drawing/2014/chart" uri="{C3380CC4-5D6E-409C-BE32-E72D297353CC}">
              <c16:uniqueId val="{00000004-2201-4945-A6AC-6D02EDBE2763}"/>
            </c:ext>
          </c:extLst>
        </c:ser>
        <c:dLbls>
          <c:showLegendKey val="0"/>
          <c:showVal val="0"/>
          <c:showCatName val="0"/>
          <c:showSerName val="0"/>
          <c:showPercent val="0"/>
          <c:showBubbleSize val="0"/>
        </c:dLbls>
        <c:gapWidth val="100"/>
        <c:overlap val="100"/>
        <c:axId val="1922547983"/>
        <c:axId val="1922547567"/>
      </c:barChart>
      <c:lineChart>
        <c:grouping val="standard"/>
        <c:varyColors val="0"/>
        <c:ser>
          <c:idx val="0"/>
          <c:order val="0"/>
          <c:tx>
            <c:strRef>
              <c:f>THFK_S_bc_CZ!$A$31</c:f>
              <c:strCache>
                <c:ptCount val="1"/>
                <c:pt idx="0">
                  <c:v>Národní hospodářství</c:v>
                </c:pt>
              </c:strCache>
            </c:strRef>
          </c:tx>
          <c:spPr>
            <a:ln w="28575" cap="rnd">
              <a:solidFill>
                <a:schemeClr val="tx1"/>
              </a:solidFill>
              <a:round/>
            </a:ln>
            <a:effectLst/>
          </c:spPr>
          <c:marker>
            <c:symbol val="none"/>
          </c:marker>
          <c:cat>
            <c:numRef>
              <c:f>THFK_S_bc_CZ!$B$30:$L$30</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THFK_S_bc_CZ!$B$31:$L$31</c:f>
              <c:numCache>
                <c:formatCode>General</c:formatCode>
                <c:ptCount val="11"/>
                <c:pt idx="0">
                  <c:v>-90.494</c:v>
                </c:pt>
                <c:pt idx="1">
                  <c:v>-7.9610000000000003</c:v>
                </c:pt>
                <c:pt idx="2">
                  <c:v>2.8519999999999999</c:v>
                </c:pt>
                <c:pt idx="3">
                  <c:v>-17.399000000000001</c:v>
                </c:pt>
                <c:pt idx="4">
                  <c:v>-18.858000000000001</c:v>
                </c:pt>
                <c:pt idx="5">
                  <c:v>53.37</c:v>
                </c:pt>
                <c:pt idx="6">
                  <c:v>123.503</c:v>
                </c:pt>
                <c:pt idx="7">
                  <c:v>-31.018000000000001</c:v>
                </c:pt>
                <c:pt idx="8">
                  <c:v>76.94</c:v>
                </c:pt>
                <c:pt idx="9">
                  <c:v>149.61699999999999</c:v>
                </c:pt>
                <c:pt idx="10">
                  <c:v>83.89</c:v>
                </c:pt>
              </c:numCache>
            </c:numRef>
          </c:val>
          <c:smooth val="0"/>
          <c:extLst>
            <c:ext xmlns:c16="http://schemas.microsoft.com/office/drawing/2014/chart" uri="{C3380CC4-5D6E-409C-BE32-E72D297353CC}">
              <c16:uniqueId val="{00000005-2201-4945-A6AC-6D02EDBE2763}"/>
            </c:ext>
          </c:extLst>
        </c:ser>
        <c:dLbls>
          <c:showLegendKey val="0"/>
          <c:showVal val="0"/>
          <c:showCatName val="0"/>
          <c:showSerName val="0"/>
          <c:showPercent val="0"/>
          <c:showBubbleSize val="0"/>
        </c:dLbls>
        <c:marker val="1"/>
        <c:smooth val="0"/>
        <c:axId val="1922547983"/>
        <c:axId val="1922547567"/>
      </c:lineChart>
      <c:catAx>
        <c:axId val="192254798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22547567"/>
        <c:crosses val="autoZero"/>
        <c:auto val="1"/>
        <c:lblAlgn val="ctr"/>
        <c:lblOffset val="100"/>
        <c:noMultiLvlLbl val="0"/>
      </c:catAx>
      <c:valAx>
        <c:axId val="1922547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Meziroční změna výdajů na tvorbu hrubého fixního kapitálu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22547983"/>
        <c:crosses val="autoZero"/>
        <c:crossBetween val="between"/>
      </c:valAx>
      <c:spPr>
        <a:noFill/>
        <a:ln>
          <a:noFill/>
        </a:ln>
        <a:effectLst/>
      </c:spPr>
    </c:plotArea>
    <c:legend>
      <c:legendPos val="b"/>
      <c:layout>
        <c:manualLayout>
          <c:xMode val="edge"/>
          <c:yMode val="edge"/>
          <c:x val="1.7067502532928065E-2"/>
          <c:y val="0.8764257570640549"/>
          <c:w val="0.97390683046268156"/>
          <c:h val="0.1021287853202746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2700945626479"/>
          <c:y val="3.9316672295395698E-2"/>
          <c:w val="0.86758548632218835"/>
          <c:h val="0.77788219070133968"/>
        </c:manualLayout>
      </c:layout>
      <c:barChart>
        <c:barDir val="col"/>
        <c:grouping val="stacked"/>
        <c:varyColors val="0"/>
        <c:ser>
          <c:idx val="1"/>
          <c:order val="1"/>
          <c:tx>
            <c:strRef>
              <c:f>THFK_V_iscpr_CZ!$A$36</c:f>
              <c:strCache>
                <c:ptCount val="1"/>
                <c:pt idx="0">
                  <c:v>Obydlí</c:v>
                </c:pt>
              </c:strCache>
            </c:strRef>
          </c:tx>
          <c:spPr>
            <a:solidFill>
              <a:srgbClr val="FF0000"/>
            </a:solidFill>
            <a:ln>
              <a:noFill/>
            </a:ln>
            <a:effectLst/>
          </c:spPr>
          <c:invertIfNegative val="0"/>
          <c:cat>
            <c:numRef>
              <c:f>THFK_V_iscpr_CZ!$B$34:$L$34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THFK_V_iscpr_CZ!$B$36:$L$36</c:f>
              <c:numCache>
                <c:formatCode>0.0</c:formatCode>
                <c:ptCount val="11"/>
                <c:pt idx="0">
                  <c:v>1.72</c:v>
                </c:pt>
                <c:pt idx="1">
                  <c:v>-4.0049999999999999</c:v>
                </c:pt>
                <c:pt idx="2">
                  <c:v>-10.238</c:v>
                </c:pt>
                <c:pt idx="3">
                  <c:v>-3.11</c:v>
                </c:pt>
                <c:pt idx="4">
                  <c:v>-11.039</c:v>
                </c:pt>
                <c:pt idx="5">
                  <c:v>8.1509999999999998</c:v>
                </c:pt>
                <c:pt idx="6">
                  <c:v>12.497999999999999</c:v>
                </c:pt>
                <c:pt idx="7">
                  <c:v>8.3629999999999995</c:v>
                </c:pt>
                <c:pt idx="8">
                  <c:v>28.577999999999999</c:v>
                </c:pt>
                <c:pt idx="9">
                  <c:v>20.059000000000001</c:v>
                </c:pt>
                <c:pt idx="10">
                  <c:v>26.518999999999998</c:v>
                </c:pt>
              </c:numCache>
            </c:numRef>
          </c:val>
          <c:extLst>
            <c:ext xmlns:c16="http://schemas.microsoft.com/office/drawing/2014/chart" uri="{C3380CC4-5D6E-409C-BE32-E72D297353CC}">
              <c16:uniqueId val="{00000000-C169-4919-AA58-FDE0DFB54C7E}"/>
            </c:ext>
          </c:extLst>
        </c:ser>
        <c:ser>
          <c:idx val="2"/>
          <c:order val="2"/>
          <c:tx>
            <c:strRef>
              <c:f>THFK_V_iscpr_CZ!$A$37</c:f>
              <c:strCache>
                <c:ptCount val="1"/>
                <c:pt idx="0">
                  <c:v>Ostatní budovy a stavby</c:v>
                </c:pt>
              </c:strCache>
            </c:strRef>
          </c:tx>
          <c:spPr>
            <a:solidFill>
              <a:srgbClr val="FF7171"/>
            </a:solidFill>
            <a:ln>
              <a:noFill/>
            </a:ln>
            <a:effectLst/>
          </c:spPr>
          <c:invertIfNegative val="0"/>
          <c:cat>
            <c:numRef>
              <c:f>THFK_V_iscpr_CZ!$B$34:$L$34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THFK_V_iscpr_CZ!$B$37:$L$37</c:f>
              <c:numCache>
                <c:formatCode>0.0</c:formatCode>
                <c:ptCount val="11"/>
                <c:pt idx="0">
                  <c:v>-14.72</c:v>
                </c:pt>
                <c:pt idx="1">
                  <c:v>-13.499000000000001</c:v>
                </c:pt>
                <c:pt idx="2">
                  <c:v>-8.657</c:v>
                </c:pt>
                <c:pt idx="3">
                  <c:v>-16.940999999999999</c:v>
                </c:pt>
                <c:pt idx="4">
                  <c:v>-10.731999999999999</c:v>
                </c:pt>
                <c:pt idx="5">
                  <c:v>-3.6869999999999998</c:v>
                </c:pt>
                <c:pt idx="6">
                  <c:v>28.620999999999999</c:v>
                </c:pt>
                <c:pt idx="7">
                  <c:v>-38.456000000000003</c:v>
                </c:pt>
                <c:pt idx="8">
                  <c:v>22.22</c:v>
                </c:pt>
                <c:pt idx="9">
                  <c:v>45.377000000000002</c:v>
                </c:pt>
                <c:pt idx="10">
                  <c:v>11.798</c:v>
                </c:pt>
              </c:numCache>
            </c:numRef>
          </c:val>
          <c:extLst>
            <c:ext xmlns:c16="http://schemas.microsoft.com/office/drawing/2014/chart" uri="{C3380CC4-5D6E-409C-BE32-E72D297353CC}">
              <c16:uniqueId val="{00000001-C169-4919-AA58-FDE0DFB54C7E}"/>
            </c:ext>
          </c:extLst>
        </c:ser>
        <c:ser>
          <c:idx val="3"/>
          <c:order val="3"/>
          <c:tx>
            <c:strRef>
              <c:f>THFK_V_iscpr_CZ!$A$38</c:f>
              <c:strCache>
                <c:ptCount val="1"/>
                <c:pt idx="0">
                  <c:v>Stroje a zařízení</c:v>
                </c:pt>
              </c:strCache>
            </c:strRef>
          </c:tx>
          <c:spPr>
            <a:solidFill>
              <a:srgbClr val="0070C0"/>
            </a:solidFill>
            <a:ln>
              <a:noFill/>
            </a:ln>
            <a:effectLst/>
          </c:spPr>
          <c:invertIfNegative val="0"/>
          <c:cat>
            <c:numRef>
              <c:f>THFK_V_iscpr_CZ!$B$34:$L$34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THFK_V_iscpr_CZ!$B$38:$L$38</c:f>
              <c:numCache>
                <c:formatCode>0.0</c:formatCode>
                <c:ptCount val="11"/>
                <c:pt idx="0">
                  <c:v>-79.405000000000001</c:v>
                </c:pt>
                <c:pt idx="1">
                  <c:v>20.170000000000002</c:v>
                </c:pt>
                <c:pt idx="2">
                  <c:v>7.827</c:v>
                </c:pt>
                <c:pt idx="3">
                  <c:v>-14.247999999999999</c:v>
                </c:pt>
                <c:pt idx="4">
                  <c:v>6.1340000000000003</c:v>
                </c:pt>
                <c:pt idx="5">
                  <c:v>43.067</c:v>
                </c:pt>
                <c:pt idx="6">
                  <c:v>50.506999999999998</c:v>
                </c:pt>
                <c:pt idx="7">
                  <c:v>-2.9969999999999999</c:v>
                </c:pt>
                <c:pt idx="8">
                  <c:v>2.13</c:v>
                </c:pt>
                <c:pt idx="9">
                  <c:v>43.473999999999997</c:v>
                </c:pt>
                <c:pt idx="10">
                  <c:v>18.779</c:v>
                </c:pt>
              </c:numCache>
            </c:numRef>
          </c:val>
          <c:extLst>
            <c:ext xmlns:c16="http://schemas.microsoft.com/office/drawing/2014/chart" uri="{C3380CC4-5D6E-409C-BE32-E72D297353CC}">
              <c16:uniqueId val="{00000002-C169-4919-AA58-FDE0DFB54C7E}"/>
            </c:ext>
          </c:extLst>
        </c:ser>
        <c:ser>
          <c:idx val="9"/>
          <c:order val="6"/>
          <c:tx>
            <c:strRef>
              <c:f>THFK_V_iscpr_CZ!$A$44</c:f>
              <c:strCache>
                <c:ptCount val="1"/>
                <c:pt idx="0">
                  <c:v>Produkty duševního vlastnictví</c:v>
                </c:pt>
              </c:strCache>
            </c:strRef>
          </c:tx>
          <c:spPr>
            <a:solidFill>
              <a:srgbClr val="00B050"/>
            </a:solidFill>
            <a:ln>
              <a:noFill/>
            </a:ln>
            <a:effectLst/>
          </c:spPr>
          <c:invertIfNegative val="0"/>
          <c:cat>
            <c:numRef>
              <c:f>THFK_V_iscpr_CZ!$B$34:$L$34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THFK_V_iscpr_CZ!$B$44:$L$44</c:f>
              <c:numCache>
                <c:formatCode>0.0</c:formatCode>
                <c:ptCount val="11"/>
                <c:pt idx="0">
                  <c:v>1.002</c:v>
                </c:pt>
                <c:pt idx="1">
                  <c:v>-11.855</c:v>
                </c:pt>
                <c:pt idx="2">
                  <c:v>12.708</c:v>
                </c:pt>
                <c:pt idx="3">
                  <c:v>17.253</c:v>
                </c:pt>
                <c:pt idx="4">
                  <c:v>-4.2000000000000003E-2</c:v>
                </c:pt>
                <c:pt idx="5">
                  <c:v>6.7519999999999998</c:v>
                </c:pt>
                <c:pt idx="6">
                  <c:v>22.091000000000001</c:v>
                </c:pt>
                <c:pt idx="7">
                  <c:v>11.271000000000001</c:v>
                </c:pt>
                <c:pt idx="8">
                  <c:v>21.058</c:v>
                </c:pt>
                <c:pt idx="9">
                  <c:v>43.121000000000002</c:v>
                </c:pt>
                <c:pt idx="10">
                  <c:v>24.948</c:v>
                </c:pt>
              </c:numCache>
            </c:numRef>
          </c:val>
          <c:extLst>
            <c:ext xmlns:c16="http://schemas.microsoft.com/office/drawing/2014/chart" uri="{C3380CC4-5D6E-409C-BE32-E72D297353CC}">
              <c16:uniqueId val="{00000003-C169-4919-AA58-FDE0DFB54C7E}"/>
            </c:ext>
          </c:extLst>
        </c:ser>
        <c:ser>
          <c:idx val="4"/>
          <c:order val="7"/>
          <c:tx>
            <c:strRef>
              <c:f>THFK_V_iscpr_CZ!$A$47</c:f>
              <c:strCache>
                <c:ptCount val="1"/>
                <c:pt idx="0">
                  <c:v>Ostatní</c:v>
                </c:pt>
              </c:strCache>
            </c:strRef>
          </c:tx>
          <c:spPr>
            <a:solidFill>
              <a:schemeClr val="bg1">
                <a:lumMod val="65000"/>
              </a:schemeClr>
            </a:solidFill>
            <a:ln>
              <a:noFill/>
            </a:ln>
            <a:effectLst/>
          </c:spPr>
          <c:invertIfNegative val="0"/>
          <c:val>
            <c:numRef>
              <c:f>THFK_V_iscpr_CZ!$B$47:$L$47</c:f>
              <c:numCache>
                <c:formatCode>0.0</c:formatCode>
                <c:ptCount val="11"/>
                <c:pt idx="0">
                  <c:v>0.90899999999999992</c:v>
                </c:pt>
                <c:pt idx="1">
                  <c:v>1.228</c:v>
                </c:pt>
                <c:pt idx="2">
                  <c:v>1.212</c:v>
                </c:pt>
                <c:pt idx="3">
                  <c:v>-0.35299999999999998</c:v>
                </c:pt>
                <c:pt idx="4">
                  <c:v>-3.1789999999999994</c:v>
                </c:pt>
                <c:pt idx="5">
                  <c:v>-0.91300000000000003</c:v>
                </c:pt>
                <c:pt idx="6">
                  <c:v>9.7859999999999996</c:v>
                </c:pt>
                <c:pt idx="7">
                  <c:v>-9.1989999999999998</c:v>
                </c:pt>
                <c:pt idx="8">
                  <c:v>2.9539999999999997</c:v>
                </c:pt>
                <c:pt idx="9">
                  <c:v>-2.4140000000000001</c:v>
                </c:pt>
                <c:pt idx="10">
                  <c:v>1.8460000000000001</c:v>
                </c:pt>
              </c:numCache>
            </c:numRef>
          </c:val>
          <c:extLst>
            <c:ext xmlns:c16="http://schemas.microsoft.com/office/drawing/2014/chart" uri="{C3380CC4-5D6E-409C-BE32-E72D297353CC}">
              <c16:uniqueId val="{00000004-C169-4919-AA58-FDE0DFB54C7E}"/>
            </c:ext>
          </c:extLst>
        </c:ser>
        <c:dLbls>
          <c:showLegendKey val="0"/>
          <c:showVal val="0"/>
          <c:showCatName val="0"/>
          <c:showSerName val="0"/>
          <c:showPercent val="0"/>
          <c:showBubbleSize val="0"/>
        </c:dLbls>
        <c:gapWidth val="100"/>
        <c:overlap val="100"/>
        <c:axId val="1962211999"/>
        <c:axId val="1962221151"/>
        <c:extLst>
          <c:ext xmlns:c15="http://schemas.microsoft.com/office/drawing/2012/chart" uri="{02D57815-91ED-43cb-92C2-25804820EDAC}">
            <c15:filteredBarSeries>
              <c15:ser>
                <c:idx val="7"/>
                <c:order val="4"/>
                <c:tx>
                  <c:strRef>
                    <c:extLst>
                      <c:ext uri="{02D57815-91ED-43cb-92C2-25804820EDAC}">
                        <c15:formulaRef>
                          <c15:sqref>THFK_V_iscpr_CZ!$A$42</c15:sqref>
                        </c15:formulaRef>
                      </c:ext>
                    </c:extLst>
                    <c:strCache>
                      <c:ptCount val="1"/>
                      <c:pt idx="0">
                        <c:v>Zbraňové systémy</c:v>
                      </c:pt>
                    </c:strCache>
                  </c:strRef>
                </c:tx>
                <c:spPr>
                  <a:solidFill>
                    <a:schemeClr val="bg1">
                      <a:lumMod val="75000"/>
                    </a:schemeClr>
                  </a:solidFill>
                  <a:ln>
                    <a:noFill/>
                  </a:ln>
                  <a:effectLst/>
                </c:spPr>
                <c:invertIfNegative val="0"/>
                <c:cat>
                  <c:numRef>
                    <c:extLst>
                      <c:ext uri="{02D57815-91ED-43cb-92C2-25804820EDAC}">
                        <c15:formulaRef>
                          <c15:sqref>THFK_V_iscpr_CZ!$B$34:$L$34</c15:sqref>
                        </c15:formulaRef>
                      </c:ext>
                    </c:extLst>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extLst>
                      <c:ext uri="{02D57815-91ED-43cb-92C2-25804820EDAC}">
                        <c15:formulaRef>
                          <c15:sqref>THFK_V_iscpr_CZ!$B$42:$L$42</c15:sqref>
                        </c15:formulaRef>
                      </c:ext>
                    </c:extLst>
                    <c:numCache>
                      <c:formatCode>0.0</c:formatCode>
                      <c:ptCount val="11"/>
                      <c:pt idx="0">
                        <c:v>1.0609999999999999</c:v>
                      </c:pt>
                      <c:pt idx="1">
                        <c:v>1.484</c:v>
                      </c:pt>
                      <c:pt idx="2">
                        <c:v>1.23</c:v>
                      </c:pt>
                      <c:pt idx="3">
                        <c:v>1.2170000000000001</c:v>
                      </c:pt>
                      <c:pt idx="4">
                        <c:v>-4.0599999999999996</c:v>
                      </c:pt>
                      <c:pt idx="5">
                        <c:v>-1.36</c:v>
                      </c:pt>
                      <c:pt idx="6">
                        <c:v>9.7889999999999997</c:v>
                      </c:pt>
                      <c:pt idx="7">
                        <c:v>-9.702</c:v>
                      </c:pt>
                      <c:pt idx="8">
                        <c:v>1.0609999999999999</c:v>
                      </c:pt>
                      <c:pt idx="9">
                        <c:v>-0.58199999999999996</c:v>
                      </c:pt>
                      <c:pt idx="10">
                        <c:v>1.2909999999999999</c:v>
                      </c:pt>
                    </c:numCache>
                  </c:numRef>
                </c:val>
                <c:extLst>
                  <c:ext xmlns:c16="http://schemas.microsoft.com/office/drawing/2014/chart" uri="{C3380CC4-5D6E-409C-BE32-E72D297353CC}">
                    <c16:uniqueId val="{00000006-C169-4919-AA58-FDE0DFB54C7E}"/>
                  </c:ext>
                </c:extLst>
              </c15:ser>
            </c15:filteredBarSeries>
            <c15:filteredBarSeries>
              <c15:ser>
                <c:idx val="8"/>
                <c:order val="5"/>
                <c:tx>
                  <c:strRef>
                    <c:extLst xmlns:c15="http://schemas.microsoft.com/office/drawing/2012/chart">
                      <c:ext xmlns:c15="http://schemas.microsoft.com/office/drawing/2012/chart" uri="{02D57815-91ED-43cb-92C2-25804820EDAC}">
                        <c15:formulaRef>
                          <c15:sqref>THFK_V_iscpr_CZ!$A$43</c15:sqref>
                        </c15:formulaRef>
                      </c:ext>
                    </c:extLst>
                    <c:strCache>
                      <c:ptCount val="1"/>
                      <c:pt idx="0">
                        <c:v>Pěstované biologické zdroje</c:v>
                      </c:pt>
                    </c:strCache>
                  </c:strRef>
                </c:tx>
                <c:spPr>
                  <a:solidFill>
                    <a:srgbClr val="FFFF00"/>
                  </a:solidFill>
                  <a:ln>
                    <a:noFill/>
                  </a:ln>
                  <a:effectLst/>
                </c:spPr>
                <c:invertIfNegative val="0"/>
                <c:cat>
                  <c:numRef>
                    <c:extLst xmlns:c15="http://schemas.microsoft.com/office/drawing/2012/chart">
                      <c:ext xmlns:c15="http://schemas.microsoft.com/office/drawing/2012/chart" uri="{02D57815-91ED-43cb-92C2-25804820EDAC}">
                        <c15:formulaRef>
                          <c15:sqref>THFK_V_iscpr_CZ!$B$34:$L$34</c15:sqref>
                        </c15:formulaRef>
                      </c:ext>
                    </c:extLst>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extLst xmlns:c15="http://schemas.microsoft.com/office/drawing/2012/chart">
                      <c:ext xmlns:c15="http://schemas.microsoft.com/office/drawing/2012/chart" uri="{02D57815-91ED-43cb-92C2-25804820EDAC}">
                        <c15:formulaRef>
                          <c15:sqref>THFK_V_iscpr_CZ!$B$43:$L$43</c15:sqref>
                        </c15:formulaRef>
                      </c:ext>
                    </c:extLst>
                    <c:numCache>
                      <c:formatCode>0.0</c:formatCode>
                      <c:ptCount val="11"/>
                      <c:pt idx="0">
                        <c:v>-0.152</c:v>
                      </c:pt>
                      <c:pt idx="1">
                        <c:v>-0.25600000000000001</c:v>
                      </c:pt>
                      <c:pt idx="2">
                        <c:v>-1.7999999999999999E-2</c:v>
                      </c:pt>
                      <c:pt idx="3">
                        <c:v>-1.57</c:v>
                      </c:pt>
                      <c:pt idx="4">
                        <c:v>0.88100000000000001</c:v>
                      </c:pt>
                      <c:pt idx="5">
                        <c:v>0.44700000000000001</c:v>
                      </c:pt>
                      <c:pt idx="6">
                        <c:v>-3.0000000000000001E-3</c:v>
                      </c:pt>
                      <c:pt idx="7">
                        <c:v>0.503</c:v>
                      </c:pt>
                      <c:pt idx="8">
                        <c:v>1.893</c:v>
                      </c:pt>
                      <c:pt idx="9">
                        <c:v>-1.8320000000000001</c:v>
                      </c:pt>
                      <c:pt idx="10">
                        <c:v>0.55500000000000005</c:v>
                      </c:pt>
                    </c:numCache>
                  </c:numRef>
                </c:val>
                <c:extLst xmlns:c15="http://schemas.microsoft.com/office/drawing/2012/chart">
                  <c:ext xmlns:c16="http://schemas.microsoft.com/office/drawing/2014/chart" uri="{C3380CC4-5D6E-409C-BE32-E72D297353CC}">
                    <c16:uniqueId val="{00000007-C169-4919-AA58-FDE0DFB54C7E}"/>
                  </c:ext>
                </c:extLst>
              </c15:ser>
            </c15:filteredBarSeries>
          </c:ext>
        </c:extLst>
      </c:barChart>
      <c:lineChart>
        <c:grouping val="standard"/>
        <c:varyColors val="0"/>
        <c:ser>
          <c:idx val="0"/>
          <c:order val="0"/>
          <c:tx>
            <c:strRef>
              <c:f>THFK_V_iscpr_CZ!$A$35</c:f>
              <c:strCache>
                <c:ptCount val="1"/>
                <c:pt idx="0">
                  <c:v>Celkem</c:v>
                </c:pt>
              </c:strCache>
            </c:strRef>
          </c:tx>
          <c:spPr>
            <a:ln w="28575" cap="rnd">
              <a:solidFill>
                <a:schemeClr val="tx1"/>
              </a:solidFill>
              <a:round/>
            </a:ln>
            <a:effectLst/>
          </c:spPr>
          <c:marker>
            <c:symbol val="none"/>
          </c:marker>
          <c:cat>
            <c:numRef>
              <c:f>THFK_V_iscpr_CZ!$B$34:$L$34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THFK_V_iscpr_CZ!$B$35:$L$35</c:f>
              <c:numCache>
                <c:formatCode>0.0</c:formatCode>
                <c:ptCount val="11"/>
                <c:pt idx="0">
                  <c:v>-90.494</c:v>
                </c:pt>
                <c:pt idx="1">
                  <c:v>-7.9610000000000003</c:v>
                </c:pt>
                <c:pt idx="2">
                  <c:v>2.8519999999999999</c:v>
                </c:pt>
                <c:pt idx="3">
                  <c:v>-17.399000000000001</c:v>
                </c:pt>
                <c:pt idx="4">
                  <c:v>-18.858000000000001</c:v>
                </c:pt>
                <c:pt idx="5">
                  <c:v>53.37</c:v>
                </c:pt>
                <c:pt idx="6">
                  <c:v>123.503</c:v>
                </c:pt>
                <c:pt idx="7">
                  <c:v>-31.018000000000001</c:v>
                </c:pt>
                <c:pt idx="8">
                  <c:v>76.94</c:v>
                </c:pt>
                <c:pt idx="9">
                  <c:v>149.61699999999999</c:v>
                </c:pt>
                <c:pt idx="10">
                  <c:v>83.89</c:v>
                </c:pt>
              </c:numCache>
            </c:numRef>
          </c:val>
          <c:smooth val="0"/>
          <c:extLst>
            <c:ext xmlns:c16="http://schemas.microsoft.com/office/drawing/2014/chart" uri="{C3380CC4-5D6E-409C-BE32-E72D297353CC}">
              <c16:uniqueId val="{00000005-C169-4919-AA58-FDE0DFB54C7E}"/>
            </c:ext>
          </c:extLst>
        </c:ser>
        <c:dLbls>
          <c:showLegendKey val="0"/>
          <c:showVal val="0"/>
          <c:showCatName val="0"/>
          <c:showSerName val="0"/>
          <c:showPercent val="0"/>
          <c:showBubbleSize val="0"/>
        </c:dLbls>
        <c:marker val="1"/>
        <c:smooth val="0"/>
        <c:axId val="1962211999"/>
        <c:axId val="1962221151"/>
      </c:lineChart>
      <c:catAx>
        <c:axId val="196221199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62221151"/>
        <c:crosses val="autoZero"/>
        <c:auto val="1"/>
        <c:lblAlgn val="ctr"/>
        <c:lblOffset val="100"/>
        <c:noMultiLvlLbl val="0"/>
      </c:catAx>
      <c:valAx>
        <c:axId val="196222115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Meziroční změna výdajů na tvorbu hrubého fixního kapitálu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62211999"/>
        <c:crosses val="autoZero"/>
        <c:crossBetween val="between"/>
      </c:valAx>
      <c:spPr>
        <a:noFill/>
        <a:ln>
          <a:noFill/>
        </a:ln>
        <a:effectLst/>
      </c:spPr>
    </c:plotArea>
    <c:legend>
      <c:legendPos val="b"/>
      <c:layout>
        <c:manualLayout>
          <c:xMode val="edge"/>
          <c:yMode val="edge"/>
          <c:x val="8.5135933806146577E-2"/>
          <c:y val="0.88562253743104824"/>
          <c:w val="0.88066109422492389"/>
          <c:h val="9.293200495328155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013846673421136E-2"/>
          <c:y val="3.9316672295395698E-2"/>
          <c:w val="0.87649864910503217"/>
          <c:h val="0.73307272317910621"/>
        </c:manualLayout>
      </c:layout>
      <c:barChart>
        <c:barDir val="col"/>
        <c:grouping val="stacked"/>
        <c:varyColors val="0"/>
        <c:ser>
          <c:idx val="5"/>
          <c:order val="0"/>
          <c:tx>
            <c:strRef>
              <c:f>'Nefinanční podniky'!$A$149:$B$149</c:f>
              <c:strCache>
                <c:ptCount val="2"/>
                <c:pt idx="0">
                  <c:v>Ostatní služby</c:v>
                </c:pt>
              </c:strCache>
            </c:strRef>
          </c:tx>
          <c:spPr>
            <a:solidFill>
              <a:schemeClr val="bg1">
                <a:lumMod val="65000"/>
              </a:schemeClr>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podniky'!$C$149:$M$149</c:f>
              <c:numCache>
                <c:formatCode>0.0</c:formatCode>
                <c:ptCount val="11"/>
                <c:pt idx="0">
                  <c:v>0.10699999999999943</c:v>
                </c:pt>
                <c:pt idx="1">
                  <c:v>-1.2070000000000003</c:v>
                </c:pt>
                <c:pt idx="2">
                  <c:v>2.2850000000000001</c:v>
                </c:pt>
                <c:pt idx="3">
                  <c:v>12.737000000000002</c:v>
                </c:pt>
                <c:pt idx="4">
                  <c:v>12.521000000000001</c:v>
                </c:pt>
                <c:pt idx="5">
                  <c:v>24.971</c:v>
                </c:pt>
                <c:pt idx="6">
                  <c:v>25.741999999999997</c:v>
                </c:pt>
                <c:pt idx="7">
                  <c:v>28.528000000000002</c:v>
                </c:pt>
                <c:pt idx="8">
                  <c:v>24.598000000000003</c:v>
                </c:pt>
                <c:pt idx="9">
                  <c:v>30.491999999999997</c:v>
                </c:pt>
                <c:pt idx="10">
                  <c:v>37.774999999999999</c:v>
                </c:pt>
              </c:numCache>
            </c:numRef>
          </c:val>
          <c:extLst>
            <c:ext xmlns:c16="http://schemas.microsoft.com/office/drawing/2014/chart" uri="{C3380CC4-5D6E-409C-BE32-E72D297353CC}">
              <c16:uniqueId val="{00000000-E948-4249-813E-5CD10AE352B0}"/>
            </c:ext>
          </c:extLst>
        </c:ser>
        <c:ser>
          <c:idx val="0"/>
          <c:order val="1"/>
          <c:tx>
            <c:strRef>
              <c:f>'Nefinanční podniky'!$A$144:$B$144</c:f>
              <c:strCache>
                <c:ptCount val="2"/>
                <c:pt idx="0">
                  <c:v>Zemědělství, lesnictví a rybářství</c:v>
                </c:pt>
              </c:strCache>
            </c:strRef>
          </c:tx>
          <c:spPr>
            <a:solidFill>
              <a:srgbClr val="00B050"/>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podniky'!$C$144:$M$144</c:f>
              <c:numCache>
                <c:formatCode>0.0</c:formatCode>
                <c:ptCount val="11"/>
                <c:pt idx="0">
                  <c:v>-9.3729999999999993</c:v>
                </c:pt>
                <c:pt idx="1">
                  <c:v>-3.282</c:v>
                </c:pt>
                <c:pt idx="2">
                  <c:v>10.834</c:v>
                </c:pt>
                <c:pt idx="3">
                  <c:v>8.0359999999999996</c:v>
                </c:pt>
                <c:pt idx="4">
                  <c:v>2.27</c:v>
                </c:pt>
                <c:pt idx="5">
                  <c:v>7.7389999999999999</c:v>
                </c:pt>
                <c:pt idx="6">
                  <c:v>-4.7380000000000004</c:v>
                </c:pt>
                <c:pt idx="7">
                  <c:v>0.86799999999999999</c:v>
                </c:pt>
                <c:pt idx="8">
                  <c:v>-3.3319999999999999</c:v>
                </c:pt>
                <c:pt idx="9">
                  <c:v>-2.2999999999999998</c:v>
                </c:pt>
                <c:pt idx="10">
                  <c:v>5.5270000000000001</c:v>
                </c:pt>
              </c:numCache>
            </c:numRef>
          </c:val>
          <c:extLst>
            <c:ext xmlns:c16="http://schemas.microsoft.com/office/drawing/2014/chart" uri="{C3380CC4-5D6E-409C-BE32-E72D297353CC}">
              <c16:uniqueId val="{00000001-E948-4249-813E-5CD10AE352B0}"/>
            </c:ext>
          </c:extLst>
        </c:ser>
        <c:ser>
          <c:idx val="2"/>
          <c:order val="2"/>
          <c:tx>
            <c:strRef>
              <c:f>'Nefinanční podniky'!$A$146:$B$146</c:f>
              <c:strCache>
                <c:ptCount val="2"/>
                <c:pt idx="0">
                  <c:v>Stavebnictví</c:v>
                </c:pt>
              </c:strCache>
            </c:strRef>
          </c:tx>
          <c:spPr>
            <a:solidFill>
              <a:srgbClr val="7030A0"/>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podniky'!$C$146:$M$146</c:f>
              <c:numCache>
                <c:formatCode>0.0</c:formatCode>
                <c:ptCount val="11"/>
                <c:pt idx="0">
                  <c:v>-8.4870000000000001</c:v>
                </c:pt>
                <c:pt idx="1">
                  <c:v>-0.99299999999999999</c:v>
                </c:pt>
                <c:pt idx="2">
                  <c:v>-12.021000000000001</c:v>
                </c:pt>
                <c:pt idx="3">
                  <c:v>-6.7759999999999998</c:v>
                </c:pt>
                <c:pt idx="4">
                  <c:v>-5.4050000000000002</c:v>
                </c:pt>
                <c:pt idx="5">
                  <c:v>8.798</c:v>
                </c:pt>
                <c:pt idx="6">
                  <c:v>8.2940000000000005</c:v>
                </c:pt>
                <c:pt idx="7">
                  <c:v>-1.345</c:v>
                </c:pt>
                <c:pt idx="8">
                  <c:v>11.253</c:v>
                </c:pt>
                <c:pt idx="9">
                  <c:v>14.367000000000001</c:v>
                </c:pt>
                <c:pt idx="10">
                  <c:v>14.667999999999999</c:v>
                </c:pt>
              </c:numCache>
            </c:numRef>
          </c:val>
          <c:extLst>
            <c:ext xmlns:c16="http://schemas.microsoft.com/office/drawing/2014/chart" uri="{C3380CC4-5D6E-409C-BE32-E72D297353CC}">
              <c16:uniqueId val="{00000002-E948-4249-813E-5CD10AE352B0}"/>
            </c:ext>
          </c:extLst>
        </c:ser>
        <c:ser>
          <c:idx val="4"/>
          <c:order val="3"/>
          <c:tx>
            <c:strRef>
              <c:f>'Nefinanční podniky'!$A$148:$B$148</c:f>
              <c:strCache>
                <c:ptCount val="2"/>
                <c:pt idx="0">
                  <c:v>Informační a komunikační činnosti</c:v>
                </c:pt>
              </c:strCache>
            </c:strRef>
          </c:tx>
          <c:spPr>
            <a:solidFill>
              <a:srgbClr val="FFFF00"/>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podniky'!$C$148:$M$148</c:f>
              <c:numCache>
                <c:formatCode>0.0</c:formatCode>
                <c:ptCount val="11"/>
                <c:pt idx="0">
                  <c:v>-1.024</c:v>
                </c:pt>
                <c:pt idx="1">
                  <c:v>-6.1779999999999999</c:v>
                </c:pt>
                <c:pt idx="2">
                  <c:v>5.0259999999999998</c:v>
                </c:pt>
                <c:pt idx="3">
                  <c:v>0.64100000000000001</c:v>
                </c:pt>
                <c:pt idx="4">
                  <c:v>-0.77900000000000003</c:v>
                </c:pt>
                <c:pt idx="5">
                  <c:v>8.7840000000000007</c:v>
                </c:pt>
                <c:pt idx="6">
                  <c:v>16.241</c:v>
                </c:pt>
                <c:pt idx="7">
                  <c:v>11.907999999999999</c:v>
                </c:pt>
                <c:pt idx="8">
                  <c:v>23.33</c:v>
                </c:pt>
                <c:pt idx="9">
                  <c:v>29.59</c:v>
                </c:pt>
                <c:pt idx="10">
                  <c:v>17.776</c:v>
                </c:pt>
              </c:numCache>
            </c:numRef>
          </c:val>
          <c:extLst>
            <c:ext xmlns:c16="http://schemas.microsoft.com/office/drawing/2014/chart" uri="{C3380CC4-5D6E-409C-BE32-E72D297353CC}">
              <c16:uniqueId val="{00000003-E948-4249-813E-5CD10AE352B0}"/>
            </c:ext>
          </c:extLst>
        </c:ser>
        <c:ser>
          <c:idx val="3"/>
          <c:order val="4"/>
          <c:tx>
            <c:strRef>
              <c:f>'Nefinanční podniky'!$A$147:$B$147</c:f>
              <c:strCache>
                <c:ptCount val="2"/>
                <c:pt idx="0">
                  <c:v>Obchod, doprava, ubytování a pohostinství</c:v>
                </c:pt>
              </c:strCache>
            </c:strRef>
          </c:tx>
          <c:spPr>
            <a:solidFill>
              <a:srgbClr val="FF0000"/>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podniky'!$C$147:$M$147</c:f>
              <c:numCache>
                <c:formatCode>0.0</c:formatCode>
                <c:ptCount val="11"/>
                <c:pt idx="0">
                  <c:v>-60.33</c:v>
                </c:pt>
                <c:pt idx="1">
                  <c:v>19.644000000000002</c:v>
                </c:pt>
                <c:pt idx="2">
                  <c:v>4.5160000000000009</c:v>
                </c:pt>
                <c:pt idx="3">
                  <c:v>3.5470000000000002</c:v>
                </c:pt>
                <c:pt idx="4">
                  <c:v>5.8</c:v>
                </c:pt>
                <c:pt idx="5">
                  <c:v>36.600999999999999</c:v>
                </c:pt>
                <c:pt idx="6">
                  <c:v>56.866</c:v>
                </c:pt>
                <c:pt idx="7">
                  <c:v>29.152000000000001</c:v>
                </c:pt>
                <c:pt idx="8">
                  <c:v>73.91</c:v>
                </c:pt>
                <c:pt idx="9">
                  <c:v>39.134999999999998</c:v>
                </c:pt>
                <c:pt idx="10">
                  <c:v>40.445</c:v>
                </c:pt>
              </c:numCache>
            </c:numRef>
          </c:val>
          <c:extLst>
            <c:ext xmlns:c16="http://schemas.microsoft.com/office/drawing/2014/chart" uri="{C3380CC4-5D6E-409C-BE32-E72D297353CC}">
              <c16:uniqueId val="{00000004-E948-4249-813E-5CD10AE352B0}"/>
            </c:ext>
          </c:extLst>
        </c:ser>
        <c:ser>
          <c:idx val="1"/>
          <c:order val="5"/>
          <c:tx>
            <c:strRef>
              <c:f>'Nefinanční podniky'!$A$145:$B$145</c:f>
              <c:strCache>
                <c:ptCount val="2"/>
                <c:pt idx="0">
                  <c:v>Průmysl, těžba a dobývání</c:v>
                </c:pt>
              </c:strCache>
            </c:strRef>
          </c:tx>
          <c:spPr>
            <a:solidFill>
              <a:srgbClr val="0070C0"/>
            </a:solidFill>
            <a:ln>
              <a:noFill/>
            </a:ln>
            <a:effectLst/>
          </c:spPr>
          <c:invertIfNegative val="0"/>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podniky'!$C$145:$M$145</c:f>
              <c:numCache>
                <c:formatCode>0.0</c:formatCode>
                <c:ptCount val="11"/>
                <c:pt idx="0">
                  <c:v>-62.300999999999995</c:v>
                </c:pt>
                <c:pt idx="1">
                  <c:v>3.6640000000000019</c:v>
                </c:pt>
                <c:pt idx="2">
                  <c:v>53.768999999999998</c:v>
                </c:pt>
                <c:pt idx="3">
                  <c:v>11.259</c:v>
                </c:pt>
                <c:pt idx="4">
                  <c:v>11.901999999999999</c:v>
                </c:pt>
                <c:pt idx="5">
                  <c:v>103.214</c:v>
                </c:pt>
                <c:pt idx="6">
                  <c:v>73.944999999999993</c:v>
                </c:pt>
                <c:pt idx="7">
                  <c:v>38.753999999999998</c:v>
                </c:pt>
                <c:pt idx="8">
                  <c:v>52.379999999999995</c:v>
                </c:pt>
                <c:pt idx="9">
                  <c:v>21.572000000000003</c:v>
                </c:pt>
                <c:pt idx="10">
                  <c:v>65.882999999999996</c:v>
                </c:pt>
              </c:numCache>
            </c:numRef>
          </c:val>
          <c:extLst>
            <c:ext xmlns:c16="http://schemas.microsoft.com/office/drawing/2014/chart" uri="{C3380CC4-5D6E-409C-BE32-E72D297353CC}">
              <c16:uniqueId val="{00000005-E948-4249-813E-5CD10AE352B0}"/>
            </c:ext>
          </c:extLst>
        </c:ser>
        <c:dLbls>
          <c:showLegendKey val="0"/>
          <c:showVal val="0"/>
          <c:showCatName val="0"/>
          <c:showSerName val="0"/>
          <c:showPercent val="0"/>
          <c:showBubbleSize val="0"/>
        </c:dLbls>
        <c:gapWidth val="100"/>
        <c:overlap val="100"/>
        <c:axId val="768640672"/>
        <c:axId val="768645248"/>
      </c:barChart>
      <c:lineChart>
        <c:grouping val="standard"/>
        <c:varyColors val="0"/>
        <c:ser>
          <c:idx val="6"/>
          <c:order val="6"/>
          <c:tx>
            <c:strRef>
              <c:f>'Nefinanční podniky'!$A$150:$B$150</c:f>
              <c:strCache>
                <c:ptCount val="2"/>
                <c:pt idx="0">
                  <c:v>Nefinanční podniky celkem</c:v>
                </c:pt>
              </c:strCache>
            </c:strRef>
          </c:tx>
          <c:spPr>
            <a:ln w="28575" cap="rnd">
              <a:solidFill>
                <a:schemeClr val="tx1"/>
              </a:solidFill>
              <a:round/>
            </a:ln>
            <a:effectLst/>
          </c:spPr>
          <c:marker>
            <c:symbol val="none"/>
          </c:marker>
          <c:cat>
            <c:numRef>
              <c:f>'Nefinanční podniky'!$C$143:$M$143</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'Nefinanční podniky'!$C$150:$M$150</c:f>
              <c:numCache>
                <c:formatCode>0.0</c:formatCode>
                <c:ptCount val="11"/>
                <c:pt idx="0">
                  <c:v>-141.40799999999999</c:v>
                </c:pt>
                <c:pt idx="1">
                  <c:v>11.648</c:v>
                </c:pt>
                <c:pt idx="2">
                  <c:v>64.409000000000006</c:v>
                </c:pt>
                <c:pt idx="3">
                  <c:v>29.443999999999999</c:v>
                </c:pt>
                <c:pt idx="4">
                  <c:v>26.309000000000001</c:v>
                </c:pt>
                <c:pt idx="5">
                  <c:v>190.107</c:v>
                </c:pt>
                <c:pt idx="6">
                  <c:v>176.35</c:v>
                </c:pt>
                <c:pt idx="7">
                  <c:v>107.86499999999999</c:v>
                </c:pt>
                <c:pt idx="8">
                  <c:v>182.13900000000001</c:v>
                </c:pt>
                <c:pt idx="9">
                  <c:v>132.85599999999999</c:v>
                </c:pt>
                <c:pt idx="10">
                  <c:v>182.07400000000001</c:v>
                </c:pt>
              </c:numCache>
            </c:numRef>
          </c:val>
          <c:smooth val="0"/>
          <c:extLst>
            <c:ext xmlns:c16="http://schemas.microsoft.com/office/drawing/2014/chart" uri="{C3380CC4-5D6E-409C-BE32-E72D297353CC}">
              <c16:uniqueId val="{00000006-E948-4249-813E-5CD10AE352B0}"/>
            </c:ext>
          </c:extLst>
        </c:ser>
        <c:dLbls>
          <c:showLegendKey val="0"/>
          <c:showVal val="0"/>
          <c:showCatName val="0"/>
          <c:showSerName val="0"/>
          <c:showPercent val="0"/>
          <c:showBubbleSize val="0"/>
        </c:dLbls>
        <c:marker val="1"/>
        <c:smooth val="0"/>
        <c:axId val="768640672"/>
        <c:axId val="768645248"/>
      </c:lineChart>
      <c:catAx>
        <c:axId val="7686406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68645248"/>
        <c:crosses val="autoZero"/>
        <c:auto val="1"/>
        <c:lblAlgn val="ctr"/>
        <c:lblOffset val="100"/>
        <c:noMultiLvlLbl val="0"/>
      </c:catAx>
      <c:valAx>
        <c:axId val="768645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r>
                  <a:rPr lang="en-US"/>
                  <a:t>Meziroční změna HPH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crossAx val="768640672"/>
        <c:crosses val="autoZero"/>
        <c:crossBetween val="between"/>
      </c:valAx>
      <c:spPr>
        <a:noFill/>
        <a:ln>
          <a:noFill/>
        </a:ln>
        <a:effectLst/>
      </c:spPr>
    </c:plotArea>
    <c:legend>
      <c:legendPos val="b"/>
      <c:layout>
        <c:manualLayout>
          <c:xMode val="edge"/>
          <c:yMode val="edge"/>
          <c:x val="2.3985562310030403E-2"/>
          <c:y val="0.85404846335697404"/>
          <c:w val="0.95752511820330988"/>
          <c:h val="0.136044973544973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latin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9781277340331"/>
          <c:y val="5.0925925925925923E-2"/>
          <c:w val="0.79736570428696418"/>
          <c:h val="0.80010779016098166"/>
        </c:manualLayout>
      </c:layout>
      <c:lineChart>
        <c:grouping val="standard"/>
        <c:varyColors val="0"/>
        <c:ser>
          <c:idx val="0"/>
          <c:order val="0"/>
          <c:tx>
            <c:v>Míra úspor</c:v>
          </c:tx>
          <c:spPr>
            <a:ln w="28575" cap="rnd">
              <a:solidFill>
                <a:srgbClr val="0070C0"/>
              </a:solidFill>
              <a:round/>
            </a:ln>
            <a:effectLst/>
          </c:spPr>
          <c:marker>
            <c:symbol val="none"/>
          </c:marker>
          <c:cat>
            <c:strRef>
              <c:f>'S11'!$A$140:$B$150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'S11'!$BH$140:$BH$150</c:f>
              <c:numCache>
                <c:formatCode>0.0</c:formatCode>
                <c:ptCount val="11"/>
                <c:pt idx="0">
                  <c:v>26.587552082763487</c:v>
                </c:pt>
                <c:pt idx="1">
                  <c:v>24.283398247068945</c:v>
                </c:pt>
                <c:pt idx="2">
                  <c:v>24.231627368884972</c:v>
                </c:pt>
                <c:pt idx="3">
                  <c:v>26.101561636538563</c:v>
                </c:pt>
                <c:pt idx="4">
                  <c:v>24.879218511427744</c:v>
                </c:pt>
                <c:pt idx="5">
                  <c:v>25.225733261829131</c:v>
                </c:pt>
                <c:pt idx="6">
                  <c:v>26.563594762444964</c:v>
                </c:pt>
                <c:pt idx="7">
                  <c:v>25.149696397944847</c:v>
                </c:pt>
                <c:pt idx="8">
                  <c:v>25.687833122409142</c:v>
                </c:pt>
                <c:pt idx="9">
                  <c:v>23.957880601063071</c:v>
                </c:pt>
                <c:pt idx="10">
                  <c:v>24.313529985798894</c:v>
                </c:pt>
              </c:numCache>
            </c:numRef>
          </c:val>
          <c:smooth val="0"/>
          <c:extLst>
            <c:ext xmlns:c16="http://schemas.microsoft.com/office/drawing/2014/chart" uri="{C3380CC4-5D6E-409C-BE32-E72D297353CC}">
              <c16:uniqueId val="{00000000-86E4-497A-9C60-6F207CC65764}"/>
            </c:ext>
          </c:extLst>
        </c:ser>
        <c:ser>
          <c:idx val="1"/>
          <c:order val="1"/>
          <c:tx>
            <c:v>Míra investic</c:v>
          </c:tx>
          <c:spPr>
            <a:ln w="28575" cap="rnd">
              <a:solidFill>
                <a:srgbClr val="00B050"/>
              </a:solidFill>
              <a:round/>
            </a:ln>
            <a:effectLst/>
          </c:spPr>
          <c:marker>
            <c:symbol val="none"/>
          </c:marker>
          <c:cat>
            <c:strRef>
              <c:f>'S11'!$A$140:$B$150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'S11'!$BS$140:$BS$150</c:f>
              <c:numCache>
                <c:formatCode>0.0</c:formatCode>
                <c:ptCount val="11"/>
                <c:pt idx="0">
                  <c:v>28.034476541766345</c:v>
                </c:pt>
                <c:pt idx="1">
                  <c:v>28.625561835359591</c:v>
                </c:pt>
                <c:pt idx="2">
                  <c:v>30.123402379903041</c:v>
                </c:pt>
                <c:pt idx="3">
                  <c:v>30.421654548386456</c:v>
                </c:pt>
                <c:pt idx="4">
                  <c:v>29.952645330580712</c:v>
                </c:pt>
                <c:pt idx="5">
                  <c:v>28.313023390124169</c:v>
                </c:pt>
                <c:pt idx="6">
                  <c:v>28.557788075140838</c:v>
                </c:pt>
                <c:pt idx="7">
                  <c:v>28.420512385006912</c:v>
                </c:pt>
                <c:pt idx="8">
                  <c:v>29.0321520425511</c:v>
                </c:pt>
                <c:pt idx="9">
                  <c:v>29.044226361173681</c:v>
                </c:pt>
                <c:pt idx="10">
                  <c:v>29.118040147451911</c:v>
                </c:pt>
              </c:numCache>
            </c:numRef>
          </c:val>
          <c:smooth val="0"/>
          <c:extLst>
            <c:ext xmlns:c16="http://schemas.microsoft.com/office/drawing/2014/chart" uri="{C3380CC4-5D6E-409C-BE32-E72D297353CC}">
              <c16:uniqueId val="{00000001-86E4-497A-9C60-6F207CC65764}"/>
            </c:ext>
          </c:extLst>
        </c:ser>
        <c:dLbls>
          <c:showLegendKey val="0"/>
          <c:showVal val="0"/>
          <c:showCatName val="0"/>
          <c:showSerName val="0"/>
          <c:showPercent val="0"/>
          <c:showBubbleSize val="0"/>
        </c:dLbls>
        <c:marker val="1"/>
        <c:smooth val="0"/>
        <c:axId val="612695983"/>
        <c:axId val="612692655"/>
      </c:lineChart>
      <c:lineChart>
        <c:grouping val="standard"/>
        <c:varyColors val="0"/>
        <c:ser>
          <c:idx val="2"/>
          <c:order val="2"/>
          <c:tx>
            <c:v>Míra zisku</c:v>
          </c:tx>
          <c:spPr>
            <a:ln w="28575" cap="rnd">
              <a:solidFill>
                <a:srgbClr val="FF0000"/>
              </a:solidFill>
              <a:round/>
            </a:ln>
            <a:effectLst/>
          </c:spPr>
          <c:marker>
            <c:symbol val="none"/>
          </c:marker>
          <c:val>
            <c:numRef>
              <c:f>'S11'!$D$140:$D$150</c:f>
              <c:numCache>
                <c:formatCode>0.0</c:formatCode>
                <c:ptCount val="11"/>
                <c:pt idx="0">
                  <c:v>48.866059710310658</c:v>
                </c:pt>
                <c:pt idx="1">
                  <c:v>47.674057197571614</c:v>
                </c:pt>
                <c:pt idx="2">
                  <c:v>47.257418833553693</c:v>
                </c:pt>
                <c:pt idx="3">
                  <c:v>46.774900755724097</c:v>
                </c:pt>
                <c:pt idx="4">
                  <c:v>46.995268114089882</c:v>
                </c:pt>
                <c:pt idx="5">
                  <c:v>49.095911884823238</c:v>
                </c:pt>
                <c:pt idx="6">
                  <c:v>49.711396104520375</c:v>
                </c:pt>
                <c:pt idx="7">
                  <c:v>48.705708161716785</c:v>
                </c:pt>
                <c:pt idx="8">
                  <c:v>47.230746450211633</c:v>
                </c:pt>
                <c:pt idx="9">
                  <c:v>44.923444833642598</c:v>
                </c:pt>
                <c:pt idx="10">
                  <c:v>44.688530297773994</c:v>
                </c:pt>
              </c:numCache>
            </c:numRef>
          </c:val>
          <c:smooth val="0"/>
          <c:extLst>
            <c:ext xmlns:c16="http://schemas.microsoft.com/office/drawing/2014/chart" uri="{C3380CC4-5D6E-409C-BE32-E72D297353CC}">
              <c16:uniqueId val="{00000002-86E4-497A-9C60-6F207CC65764}"/>
            </c:ext>
          </c:extLst>
        </c:ser>
        <c:dLbls>
          <c:showLegendKey val="0"/>
          <c:showVal val="0"/>
          <c:showCatName val="0"/>
          <c:showSerName val="0"/>
          <c:showPercent val="0"/>
          <c:showBubbleSize val="0"/>
        </c:dLbls>
        <c:marker val="1"/>
        <c:smooth val="0"/>
        <c:axId val="604158687"/>
        <c:axId val="604156607"/>
      </c:lineChart>
      <c:catAx>
        <c:axId val="61269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612692655"/>
        <c:crosses val="autoZero"/>
        <c:auto val="1"/>
        <c:lblAlgn val="ctr"/>
        <c:lblOffset val="100"/>
        <c:noMultiLvlLbl val="0"/>
      </c:catAx>
      <c:valAx>
        <c:axId val="612692655"/>
        <c:scaling>
          <c:orientation val="minMax"/>
          <c:min val="2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Míra úspor, míra investic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612695983"/>
        <c:crosses val="autoZero"/>
        <c:crossBetween val="between"/>
      </c:valAx>
      <c:valAx>
        <c:axId val="604156607"/>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Míra zisku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604158687"/>
        <c:crosses val="max"/>
        <c:crossBetween val="between"/>
      </c:valAx>
      <c:catAx>
        <c:axId val="604158687"/>
        <c:scaling>
          <c:orientation val="minMax"/>
        </c:scaling>
        <c:delete val="1"/>
        <c:axPos val="b"/>
        <c:majorTickMark val="out"/>
        <c:minorTickMark val="none"/>
        <c:tickLblPos val="nextTo"/>
        <c:crossAx val="60415660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Data!$J$11</c:f>
              <c:strCache>
                <c:ptCount val="1"/>
                <c:pt idx="0">
                  <c:v>2018</c:v>
                </c:pt>
              </c:strCache>
            </c:strRef>
          </c:tx>
          <c:spPr>
            <a:solidFill>
              <a:srgbClr val="0070C0"/>
            </a:solidFill>
            <a:ln>
              <a:noFill/>
            </a:ln>
            <a:effectLst/>
          </c:spPr>
          <c:invertIfNegative val="0"/>
          <c:dPt>
            <c:idx val="13"/>
            <c:invertIfNegative val="0"/>
            <c:bubble3D val="0"/>
            <c:spPr>
              <a:solidFill>
                <a:srgbClr val="002060"/>
              </a:solidFill>
              <a:ln>
                <a:noFill/>
              </a:ln>
              <a:effectLst/>
            </c:spPr>
            <c:extLst>
              <c:ext xmlns:c16="http://schemas.microsoft.com/office/drawing/2014/chart" uri="{C3380CC4-5D6E-409C-BE32-E72D297353CC}">
                <c16:uniqueId val="{00000001-1A57-4FDE-A032-42FAEEFD9C91}"/>
              </c:ext>
            </c:extLst>
          </c:dPt>
          <c:cat>
            <c:strRef>
              <c:f>Data!$A$12:$A$39</c:f>
              <c:strCache>
                <c:ptCount val="28"/>
                <c:pt idx="0">
                  <c:v>Dánsko</c:v>
                </c:pt>
                <c:pt idx="1">
                  <c:v>Lucembursko</c:v>
                </c:pt>
                <c:pt idx="2">
                  <c:v>Bulharsko</c:v>
                </c:pt>
                <c:pt idx="3">
                  <c:v>Kypr</c:v>
                </c:pt>
                <c:pt idx="4">
                  <c:v>Nizozemsko</c:v>
                </c:pt>
                <c:pt idx="5">
                  <c:v>Řecko</c:v>
                </c:pt>
                <c:pt idx="6">
                  <c:v>Německo</c:v>
                </c:pt>
                <c:pt idx="7">
                  <c:v>Rakousko</c:v>
                </c:pt>
                <c:pt idx="8">
                  <c:v>Malta</c:v>
                </c:pt>
                <c:pt idx="9">
                  <c:v>Slovinsko</c:v>
                </c:pt>
                <c:pt idx="10">
                  <c:v>Švédsko</c:v>
                </c:pt>
                <c:pt idx="11">
                  <c:v>Irsko</c:v>
                </c:pt>
                <c:pt idx="12">
                  <c:v>Chorvatsko</c:v>
                </c:pt>
                <c:pt idx="13">
                  <c:v>Česko</c:v>
                </c:pt>
                <c:pt idx="14">
                  <c:v>Litva</c:v>
                </c:pt>
                <c:pt idx="15">
                  <c:v>Portugalsko</c:v>
                </c:pt>
                <c:pt idx="16">
                  <c:v>Lotyšsko</c:v>
                </c:pt>
                <c:pt idx="17">
                  <c:v>Estonsko</c:v>
                </c:pt>
                <c:pt idx="18">
                  <c:v>EU 27</c:v>
                </c:pt>
                <c:pt idx="19">
                  <c:v>Polsko</c:v>
                </c:pt>
                <c:pt idx="20">
                  <c:v>Finsko</c:v>
                </c:pt>
                <c:pt idx="21">
                  <c:v>Slovensko</c:v>
                </c:pt>
                <c:pt idx="22">
                  <c:v>Itálie</c:v>
                </c:pt>
                <c:pt idx="23">
                  <c:v>Belgie</c:v>
                </c:pt>
                <c:pt idx="24">
                  <c:v>Maďarsko</c:v>
                </c:pt>
                <c:pt idx="25">
                  <c:v>Španělsko</c:v>
                </c:pt>
                <c:pt idx="26">
                  <c:v>Francie</c:v>
                </c:pt>
                <c:pt idx="27">
                  <c:v>Rumunsko</c:v>
                </c:pt>
              </c:strCache>
            </c:strRef>
          </c:cat>
          <c:val>
            <c:numRef>
              <c:f>Data!$J$12:$J$39</c:f>
              <c:numCache>
                <c:formatCode>#\ ##0.0_ ;[Red]\-#\ ##0.0\ </c:formatCode>
                <c:ptCount val="28"/>
                <c:pt idx="0">
                  <c:v>0.7</c:v>
                </c:pt>
                <c:pt idx="1">
                  <c:v>3.1</c:v>
                </c:pt>
                <c:pt idx="2">
                  <c:v>2</c:v>
                </c:pt>
                <c:pt idx="3">
                  <c:v>-3.7</c:v>
                </c:pt>
                <c:pt idx="4">
                  <c:v>1.4</c:v>
                </c:pt>
                <c:pt idx="5">
                  <c:v>1</c:v>
                </c:pt>
                <c:pt idx="6">
                  <c:v>1.9</c:v>
                </c:pt>
                <c:pt idx="7">
                  <c:v>0.2</c:v>
                </c:pt>
                <c:pt idx="8">
                  <c:v>1.9</c:v>
                </c:pt>
                <c:pt idx="9">
                  <c:v>0.7</c:v>
                </c:pt>
                <c:pt idx="10">
                  <c:v>0.8</c:v>
                </c:pt>
                <c:pt idx="11">
                  <c:v>0.1</c:v>
                </c:pt>
                <c:pt idx="12">
                  <c:v>0.2</c:v>
                </c:pt>
                <c:pt idx="13">
                  <c:v>0.9</c:v>
                </c:pt>
                <c:pt idx="14">
                  <c:v>0.6</c:v>
                </c:pt>
                <c:pt idx="15">
                  <c:v>-0.4</c:v>
                </c:pt>
                <c:pt idx="16">
                  <c:v>-0.8</c:v>
                </c:pt>
                <c:pt idx="17">
                  <c:v>-0.6</c:v>
                </c:pt>
                <c:pt idx="18">
                  <c:v>-0.4</c:v>
                </c:pt>
                <c:pt idx="19">
                  <c:v>-0.2</c:v>
                </c:pt>
                <c:pt idx="20">
                  <c:v>-0.9</c:v>
                </c:pt>
                <c:pt idx="21">
                  <c:v>-1</c:v>
                </c:pt>
                <c:pt idx="22">
                  <c:v>-2.2000000000000002</c:v>
                </c:pt>
                <c:pt idx="23">
                  <c:v>-0.8</c:v>
                </c:pt>
                <c:pt idx="24">
                  <c:v>-2.1</c:v>
                </c:pt>
                <c:pt idx="25">
                  <c:v>-2.5</c:v>
                </c:pt>
                <c:pt idx="26">
                  <c:v>-2.2999999999999998</c:v>
                </c:pt>
                <c:pt idx="27">
                  <c:v>-2.9</c:v>
                </c:pt>
              </c:numCache>
            </c:numRef>
          </c:val>
          <c:extLst>
            <c:ext xmlns:c16="http://schemas.microsoft.com/office/drawing/2014/chart" uri="{C3380CC4-5D6E-409C-BE32-E72D297353CC}">
              <c16:uniqueId val="{00000002-1A57-4FDE-A032-42FAEEFD9C91}"/>
            </c:ext>
          </c:extLst>
        </c:ser>
        <c:ser>
          <c:idx val="1"/>
          <c:order val="1"/>
          <c:tx>
            <c:strRef>
              <c:f>Data!$K$11</c:f>
              <c:strCache>
                <c:ptCount val="1"/>
                <c:pt idx="0">
                  <c:v>2019</c:v>
                </c:pt>
              </c:strCache>
            </c:strRef>
          </c:tx>
          <c:spPr>
            <a:solidFill>
              <a:srgbClr val="FF0000"/>
            </a:solidFill>
            <a:ln>
              <a:noFill/>
            </a:ln>
            <a:effectLst/>
          </c:spPr>
          <c:invertIfNegative val="0"/>
          <c:dPt>
            <c:idx val="13"/>
            <c:invertIfNegative val="0"/>
            <c:bubble3D val="0"/>
            <c:spPr>
              <a:solidFill>
                <a:srgbClr val="C00000"/>
              </a:solidFill>
              <a:ln>
                <a:noFill/>
              </a:ln>
              <a:effectLst/>
            </c:spPr>
            <c:extLst>
              <c:ext xmlns:c16="http://schemas.microsoft.com/office/drawing/2014/chart" uri="{C3380CC4-5D6E-409C-BE32-E72D297353CC}">
                <c16:uniqueId val="{00000004-1A57-4FDE-A032-42FAEEFD9C91}"/>
              </c:ext>
            </c:extLst>
          </c:dPt>
          <c:cat>
            <c:strRef>
              <c:f>Data!$A$12:$A$39</c:f>
              <c:strCache>
                <c:ptCount val="28"/>
                <c:pt idx="0">
                  <c:v>Dánsko</c:v>
                </c:pt>
                <c:pt idx="1">
                  <c:v>Lucembursko</c:v>
                </c:pt>
                <c:pt idx="2">
                  <c:v>Bulharsko</c:v>
                </c:pt>
                <c:pt idx="3">
                  <c:v>Kypr</c:v>
                </c:pt>
                <c:pt idx="4">
                  <c:v>Nizozemsko</c:v>
                </c:pt>
                <c:pt idx="5">
                  <c:v>Řecko</c:v>
                </c:pt>
                <c:pt idx="6">
                  <c:v>Německo</c:v>
                </c:pt>
                <c:pt idx="7">
                  <c:v>Rakousko</c:v>
                </c:pt>
                <c:pt idx="8">
                  <c:v>Malta</c:v>
                </c:pt>
                <c:pt idx="9">
                  <c:v>Slovinsko</c:v>
                </c:pt>
                <c:pt idx="10">
                  <c:v>Švédsko</c:v>
                </c:pt>
                <c:pt idx="11">
                  <c:v>Irsko</c:v>
                </c:pt>
                <c:pt idx="12">
                  <c:v>Chorvatsko</c:v>
                </c:pt>
                <c:pt idx="13">
                  <c:v>Česko</c:v>
                </c:pt>
                <c:pt idx="14">
                  <c:v>Litva</c:v>
                </c:pt>
                <c:pt idx="15">
                  <c:v>Portugalsko</c:v>
                </c:pt>
                <c:pt idx="16">
                  <c:v>Lotyšsko</c:v>
                </c:pt>
                <c:pt idx="17">
                  <c:v>Estonsko</c:v>
                </c:pt>
                <c:pt idx="18">
                  <c:v>EU 27</c:v>
                </c:pt>
                <c:pt idx="19">
                  <c:v>Polsko</c:v>
                </c:pt>
                <c:pt idx="20">
                  <c:v>Finsko</c:v>
                </c:pt>
                <c:pt idx="21">
                  <c:v>Slovensko</c:v>
                </c:pt>
                <c:pt idx="22">
                  <c:v>Itálie</c:v>
                </c:pt>
                <c:pt idx="23">
                  <c:v>Belgie</c:v>
                </c:pt>
                <c:pt idx="24">
                  <c:v>Maďarsko</c:v>
                </c:pt>
                <c:pt idx="25">
                  <c:v>Španělsko</c:v>
                </c:pt>
                <c:pt idx="26">
                  <c:v>Francie</c:v>
                </c:pt>
                <c:pt idx="27">
                  <c:v>Rumunsko</c:v>
                </c:pt>
              </c:strCache>
            </c:strRef>
          </c:cat>
          <c:val>
            <c:numRef>
              <c:f>Data!$K$12:$K$39</c:f>
              <c:numCache>
                <c:formatCode>#\ ##0.0_ ;[Red]\-#\ ##0.0\ </c:formatCode>
                <c:ptCount val="28"/>
                <c:pt idx="0">
                  <c:v>3.7</c:v>
                </c:pt>
                <c:pt idx="1">
                  <c:v>2.2000000000000002</c:v>
                </c:pt>
                <c:pt idx="2">
                  <c:v>2.1</c:v>
                </c:pt>
                <c:pt idx="3">
                  <c:v>1.7</c:v>
                </c:pt>
                <c:pt idx="4">
                  <c:v>1.7</c:v>
                </c:pt>
                <c:pt idx="5">
                  <c:v>1.5</c:v>
                </c:pt>
                <c:pt idx="6">
                  <c:v>1.4</c:v>
                </c:pt>
                <c:pt idx="7">
                  <c:v>0.7</c:v>
                </c:pt>
                <c:pt idx="8">
                  <c:v>0.5</c:v>
                </c:pt>
                <c:pt idx="9">
                  <c:v>0.5</c:v>
                </c:pt>
                <c:pt idx="10">
                  <c:v>0.5</c:v>
                </c:pt>
                <c:pt idx="11">
                  <c:v>0.4</c:v>
                </c:pt>
                <c:pt idx="12">
                  <c:v>0.4</c:v>
                </c:pt>
                <c:pt idx="13">
                  <c:v>0.3</c:v>
                </c:pt>
                <c:pt idx="14">
                  <c:v>0.3</c:v>
                </c:pt>
                <c:pt idx="15">
                  <c:v>0.2</c:v>
                </c:pt>
                <c:pt idx="16">
                  <c:v>-0.2</c:v>
                </c:pt>
                <c:pt idx="17">
                  <c:v>-0.3</c:v>
                </c:pt>
                <c:pt idx="18">
                  <c:v>-0.6</c:v>
                </c:pt>
                <c:pt idx="19">
                  <c:v>-0.7</c:v>
                </c:pt>
                <c:pt idx="20">
                  <c:v>-1.1000000000000001</c:v>
                </c:pt>
                <c:pt idx="21">
                  <c:v>-1.3</c:v>
                </c:pt>
                <c:pt idx="22">
                  <c:v>-1.6</c:v>
                </c:pt>
                <c:pt idx="23">
                  <c:v>-1.9</c:v>
                </c:pt>
                <c:pt idx="24">
                  <c:v>-2</c:v>
                </c:pt>
                <c:pt idx="25">
                  <c:v>-2.8</c:v>
                </c:pt>
                <c:pt idx="26">
                  <c:v>-3</c:v>
                </c:pt>
                <c:pt idx="27">
                  <c:v>-4.3</c:v>
                </c:pt>
              </c:numCache>
            </c:numRef>
          </c:val>
          <c:extLst>
            <c:ext xmlns:c16="http://schemas.microsoft.com/office/drawing/2014/chart" uri="{C3380CC4-5D6E-409C-BE32-E72D297353CC}">
              <c16:uniqueId val="{00000005-1A57-4FDE-A032-42FAEEFD9C91}"/>
            </c:ext>
          </c:extLst>
        </c:ser>
        <c:dLbls>
          <c:showLegendKey val="0"/>
          <c:showVal val="0"/>
          <c:showCatName val="0"/>
          <c:showSerName val="0"/>
          <c:showPercent val="0"/>
          <c:showBubbleSize val="0"/>
        </c:dLbls>
        <c:gapWidth val="99"/>
        <c:overlap val="-27"/>
        <c:axId val="353857871"/>
        <c:axId val="353857455"/>
      </c:barChart>
      <c:catAx>
        <c:axId val="3538578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53857455"/>
        <c:crosses val="autoZero"/>
        <c:auto val="1"/>
        <c:lblAlgn val="ctr"/>
        <c:lblOffset val="100"/>
        <c:noMultiLvlLbl val="0"/>
      </c:catAx>
      <c:valAx>
        <c:axId val="353857455"/>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353857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9612462006079"/>
          <c:y val="3.9316672295395698E-2"/>
          <c:w val="0.79635743836541706"/>
          <c:h val="0.8137560508837105"/>
        </c:manualLayout>
      </c:layout>
      <c:barChart>
        <c:barDir val="col"/>
        <c:grouping val="clustered"/>
        <c:varyColors val="0"/>
        <c:ser>
          <c:idx val="0"/>
          <c:order val="0"/>
          <c:tx>
            <c:strRef>
              <c:f>List1!$C$5</c:f>
              <c:strCache>
                <c:ptCount val="1"/>
                <c:pt idx="0">
                  <c:v>Čisté půjčky (-) / výpůjčky (+)</c:v>
                </c:pt>
              </c:strCache>
            </c:strRef>
          </c:tx>
          <c:spPr>
            <a:solidFill>
              <a:schemeClr val="bg1">
                <a:lumMod val="65000"/>
              </a:schemeClr>
            </a:solidFill>
            <a:ln>
              <a:noFill/>
            </a:ln>
            <a:effectLst/>
          </c:spPr>
          <c:invertIfNegative val="0"/>
          <c:cat>
            <c:numRef>
              <c:f>List1!$B$6:$B$16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List1!$C$6:$C$16</c:f>
              <c:numCache>
                <c:formatCode>General</c:formatCode>
                <c:ptCount val="11"/>
                <c:pt idx="0">
                  <c:v>-213.982</c:v>
                </c:pt>
                <c:pt idx="1">
                  <c:v>-165.78399999999999</c:v>
                </c:pt>
                <c:pt idx="2">
                  <c:v>-109.697</c:v>
                </c:pt>
                <c:pt idx="3">
                  <c:v>-159.34899999999999</c:v>
                </c:pt>
                <c:pt idx="4">
                  <c:v>-53.189</c:v>
                </c:pt>
                <c:pt idx="5">
                  <c:v>-90.195999999999998</c:v>
                </c:pt>
                <c:pt idx="6">
                  <c:v>-29.779</c:v>
                </c:pt>
                <c:pt idx="7">
                  <c:v>34.143000000000001</c:v>
                </c:pt>
                <c:pt idx="8">
                  <c:v>76.733000000000004</c:v>
                </c:pt>
                <c:pt idx="9">
                  <c:v>49.255000000000003</c:v>
                </c:pt>
                <c:pt idx="10">
                  <c:v>15.365</c:v>
                </c:pt>
              </c:numCache>
            </c:numRef>
          </c:val>
          <c:extLst>
            <c:ext xmlns:c16="http://schemas.microsoft.com/office/drawing/2014/chart" uri="{C3380CC4-5D6E-409C-BE32-E72D297353CC}">
              <c16:uniqueId val="{00000000-2EE6-4BAD-AFA9-71B307EE7A72}"/>
            </c:ext>
          </c:extLst>
        </c:ser>
        <c:dLbls>
          <c:showLegendKey val="0"/>
          <c:showVal val="0"/>
          <c:showCatName val="0"/>
          <c:showSerName val="0"/>
          <c:showPercent val="0"/>
          <c:showBubbleSize val="0"/>
        </c:dLbls>
        <c:gapWidth val="100"/>
        <c:axId val="292915407"/>
        <c:axId val="292914575"/>
      </c:barChart>
      <c:lineChart>
        <c:grouping val="standard"/>
        <c:varyColors val="0"/>
        <c:ser>
          <c:idx val="1"/>
          <c:order val="1"/>
          <c:tx>
            <c:strRef>
              <c:f>List1!$D$5</c:f>
              <c:strCache>
                <c:ptCount val="1"/>
                <c:pt idx="0">
                  <c:v>Výdaje</c:v>
                </c:pt>
              </c:strCache>
            </c:strRef>
          </c:tx>
          <c:spPr>
            <a:ln w="28575" cap="rnd">
              <a:solidFill>
                <a:srgbClr val="FF0000"/>
              </a:solidFill>
              <a:round/>
            </a:ln>
            <a:effectLst/>
          </c:spPr>
          <c:marker>
            <c:symbol val="none"/>
          </c:marker>
          <c:cat>
            <c:numRef>
              <c:f>List1!$B$6:$B$16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List1!$D$6:$D$16</c:f>
              <c:numCache>
                <c:formatCode>General</c:formatCode>
                <c:ptCount val="11"/>
                <c:pt idx="0">
                  <c:v>1754.0340000000001</c:v>
                </c:pt>
                <c:pt idx="1">
                  <c:v>1742.0889999999999</c:v>
                </c:pt>
                <c:pt idx="2">
                  <c:v>1754.422</c:v>
                </c:pt>
                <c:pt idx="3">
                  <c:v>1826.7249999999999</c:v>
                </c:pt>
                <c:pt idx="4">
                  <c:v>1766.9159999999999</c:v>
                </c:pt>
                <c:pt idx="5">
                  <c:v>1852.2550000000001</c:v>
                </c:pt>
                <c:pt idx="6">
                  <c:v>1939.6120000000001</c:v>
                </c:pt>
                <c:pt idx="7">
                  <c:v>1906.806</c:v>
                </c:pt>
                <c:pt idx="8">
                  <c:v>1992.172</c:v>
                </c:pt>
                <c:pt idx="9">
                  <c:v>2196.63</c:v>
                </c:pt>
                <c:pt idx="10">
                  <c:v>2365.855</c:v>
                </c:pt>
              </c:numCache>
            </c:numRef>
          </c:val>
          <c:smooth val="0"/>
          <c:extLst>
            <c:ext xmlns:c16="http://schemas.microsoft.com/office/drawing/2014/chart" uri="{C3380CC4-5D6E-409C-BE32-E72D297353CC}">
              <c16:uniqueId val="{00000001-2EE6-4BAD-AFA9-71B307EE7A72}"/>
            </c:ext>
          </c:extLst>
        </c:ser>
        <c:ser>
          <c:idx val="2"/>
          <c:order val="2"/>
          <c:tx>
            <c:strRef>
              <c:f>List1!$E$5</c:f>
              <c:strCache>
                <c:ptCount val="1"/>
                <c:pt idx="0">
                  <c:v>Příjmy</c:v>
                </c:pt>
              </c:strCache>
            </c:strRef>
          </c:tx>
          <c:spPr>
            <a:ln w="28575" cap="rnd">
              <a:solidFill>
                <a:srgbClr val="0070C0"/>
              </a:solidFill>
              <a:round/>
            </a:ln>
            <a:effectLst/>
          </c:spPr>
          <c:marker>
            <c:symbol val="none"/>
          </c:marker>
          <c:cat>
            <c:numRef>
              <c:f>List1!$B$6:$B$16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List1!$E$6:$E$16</c:f>
              <c:numCache>
                <c:formatCode>General</c:formatCode>
                <c:ptCount val="11"/>
                <c:pt idx="0">
                  <c:v>1540.0519999999999</c:v>
                </c:pt>
                <c:pt idx="1">
                  <c:v>1576.3050000000001</c:v>
                </c:pt>
                <c:pt idx="2">
                  <c:v>1644.7249999999999</c:v>
                </c:pt>
                <c:pt idx="3">
                  <c:v>1667.376</c:v>
                </c:pt>
                <c:pt idx="4">
                  <c:v>1713.7270000000001</c:v>
                </c:pt>
                <c:pt idx="5">
                  <c:v>1762.059</c:v>
                </c:pt>
                <c:pt idx="6">
                  <c:v>1909.8330000000001</c:v>
                </c:pt>
                <c:pt idx="7">
                  <c:v>1940.9490000000001</c:v>
                </c:pt>
                <c:pt idx="8">
                  <c:v>2068.9050000000002</c:v>
                </c:pt>
                <c:pt idx="9">
                  <c:v>2245.8850000000002</c:v>
                </c:pt>
                <c:pt idx="10">
                  <c:v>2381.2199999999998</c:v>
                </c:pt>
              </c:numCache>
            </c:numRef>
          </c:val>
          <c:smooth val="0"/>
          <c:extLst>
            <c:ext xmlns:c16="http://schemas.microsoft.com/office/drawing/2014/chart" uri="{C3380CC4-5D6E-409C-BE32-E72D297353CC}">
              <c16:uniqueId val="{00000002-2EE6-4BAD-AFA9-71B307EE7A72}"/>
            </c:ext>
          </c:extLst>
        </c:ser>
        <c:dLbls>
          <c:showLegendKey val="0"/>
          <c:showVal val="0"/>
          <c:showCatName val="0"/>
          <c:showSerName val="0"/>
          <c:showPercent val="0"/>
          <c:showBubbleSize val="0"/>
        </c:dLbls>
        <c:marker val="1"/>
        <c:smooth val="0"/>
        <c:axId val="292912495"/>
        <c:axId val="292920815"/>
      </c:lineChart>
      <c:catAx>
        <c:axId val="292912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292920815"/>
        <c:crosses val="autoZero"/>
        <c:auto val="1"/>
        <c:lblAlgn val="ctr"/>
        <c:lblOffset val="100"/>
        <c:noMultiLvlLbl val="0"/>
      </c:catAx>
      <c:valAx>
        <c:axId val="292920815"/>
        <c:scaling>
          <c:orientation val="minMax"/>
          <c:max val="2400"/>
          <c:min val="1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Výdaje, příjmy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292912495"/>
        <c:crosses val="autoZero"/>
        <c:crossBetween val="between"/>
      </c:valAx>
      <c:valAx>
        <c:axId val="292914575"/>
        <c:scaling>
          <c:orientation val="minMax"/>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Čisté půjčky/výpujčky (mld. korun)</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292915407"/>
        <c:crosses val="max"/>
        <c:crossBetween val="between"/>
      </c:valAx>
      <c:catAx>
        <c:axId val="292915407"/>
        <c:scaling>
          <c:orientation val="minMax"/>
        </c:scaling>
        <c:delete val="1"/>
        <c:axPos val="b"/>
        <c:numFmt formatCode="General" sourceLinked="1"/>
        <c:majorTickMark val="out"/>
        <c:minorTickMark val="none"/>
        <c:tickLblPos val="nextTo"/>
        <c:crossAx val="292914575"/>
        <c:crosses val="autoZero"/>
        <c:auto val="1"/>
        <c:lblAlgn val="ctr"/>
        <c:lblOffset val="100"/>
        <c:noMultiLvlLbl val="0"/>
      </c:catAx>
      <c:spPr>
        <a:noFill/>
        <a:ln>
          <a:noFill/>
        </a:ln>
        <a:effectLst/>
      </c:spPr>
    </c:plotArea>
    <c:legend>
      <c:legendPos val="b"/>
      <c:layout>
        <c:manualLayout>
          <c:xMode val="edge"/>
          <c:yMode val="edge"/>
          <c:x val="0.11337174940898342"/>
          <c:y val="0.92549279522683781"/>
          <c:w val="0.79470174772036473"/>
          <c:h val="5.306174715749183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C48D-8BD4-448B-B5E8-1FB142EE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Anaýza ekonomického vývoje v roce 2017.dotx</Template>
  <TotalTime>3</TotalTime>
  <Pages>25</Pages>
  <Words>8136</Words>
  <Characters>48005</Characters>
  <Application>Microsoft Office Word</Application>
  <DocSecurity>0</DocSecurity>
  <Lines>400</Lines>
  <Paragraphs>112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56029</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5</cp:revision>
  <cp:lastPrinted>2019-09-12T09:26:00Z</cp:lastPrinted>
  <dcterms:created xsi:type="dcterms:W3CDTF">2020-08-10T06:56:00Z</dcterms:created>
  <dcterms:modified xsi:type="dcterms:W3CDTF">2020-08-17T10:07:00Z</dcterms:modified>
</cp:coreProperties>
</file>