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EEC01" w14:textId="11BDCEF2" w:rsidR="00817FDA" w:rsidRPr="005457CF" w:rsidRDefault="00A21624" w:rsidP="00817FDA">
      <w:pPr>
        <w:pStyle w:val="Nadpis110"/>
        <w:rPr>
          <w:sz w:val="28"/>
        </w:rPr>
      </w:pPr>
      <w:bookmarkStart w:id="0" w:name="_Toc47942138"/>
      <w:r>
        <w:rPr>
          <w:sz w:val="28"/>
        </w:rPr>
        <w:t>3. </w:t>
      </w:r>
      <w:r w:rsidR="00817FDA" w:rsidRPr="005457CF">
        <w:rPr>
          <w:sz w:val="28"/>
        </w:rPr>
        <w:t>Vnější ekonomické vztahy</w:t>
      </w:r>
      <w:bookmarkEnd w:id="0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6"/>
        <w:gridCol w:w="277"/>
        <w:gridCol w:w="7391"/>
      </w:tblGrid>
      <w:tr w:rsidR="00817FDA" w:rsidRPr="00894C66" w14:paraId="4B606419" w14:textId="77777777" w:rsidTr="00D85980">
        <w:trPr>
          <w:trHeight w:val="145"/>
        </w:trPr>
        <w:tc>
          <w:tcPr>
            <w:tcW w:w="1976" w:type="dxa"/>
          </w:tcPr>
          <w:p w14:paraId="3B80A8CC" w14:textId="6B96C4E3" w:rsidR="00817FDA" w:rsidRPr="001502B1" w:rsidRDefault="00817FDA" w:rsidP="00E503A5">
            <w:pPr>
              <w:pStyle w:val="Marginlie"/>
            </w:pPr>
            <w:r>
              <w:t xml:space="preserve">Přebytek zahraničního obchodu se zbožím </w:t>
            </w:r>
            <w:r w:rsidR="001A33A3">
              <w:t>a </w:t>
            </w:r>
            <w:r>
              <w:t>službami se loni meziročně zvýšil.</w:t>
            </w:r>
          </w:p>
        </w:tc>
        <w:tc>
          <w:tcPr>
            <w:tcW w:w="277" w:type="dxa"/>
          </w:tcPr>
          <w:p w14:paraId="51D86A0F" w14:textId="77777777" w:rsidR="00817FDA" w:rsidRPr="005E4483" w:rsidRDefault="00817FDA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76699404" w14:textId="2D9B6B93" w:rsidR="00817FDA" w:rsidRPr="001502B1" w:rsidRDefault="00817FDA" w:rsidP="00E503A5">
            <w:r>
              <w:t xml:space="preserve">Hodnota vývozu zboží </w:t>
            </w:r>
            <w:r w:rsidR="001A33A3">
              <w:t>a </w:t>
            </w:r>
            <w:r>
              <w:t xml:space="preserve">služeb se v roce 2019 zvýšila </w:t>
            </w:r>
            <w:r w:rsidR="001A33A3">
              <w:t>o </w:t>
            </w:r>
            <w:r>
              <w:t>113,2</w:t>
            </w:r>
            <w:r w:rsidR="00A21624">
              <w:t> mld.</w:t>
            </w:r>
            <w:r>
              <w:t xml:space="preserve"> korun na 4 276,5</w:t>
            </w:r>
            <w:r w:rsidR="00BF6EE6">
              <w:t> </w:t>
            </w:r>
            <w:r>
              <w:t>mld.</w:t>
            </w:r>
            <w:r>
              <w:rPr>
                <w:rStyle w:val="Znakapoznpodarou"/>
              </w:rPr>
              <w:footnoteReference w:id="1"/>
            </w:r>
            <w:r>
              <w:t xml:space="preserve"> Přírůstek vývozu oproti předchozímu roku mírně oslabil, zejména kvůli obchodu se zbožím. V případě služeb došlo k mírnému posílení meziročního nárůstu. Hodnota dovozu loni činila 3</w:t>
            </w:r>
            <w:r w:rsidR="00064B6A">
              <w:t> </w:t>
            </w:r>
            <w:r>
              <w:t>930,1</w:t>
            </w:r>
            <w:r w:rsidR="00A21624">
              <w:t> mld.</w:t>
            </w:r>
            <w:r>
              <w:t xml:space="preserve"> korun, meziročně </w:t>
            </w:r>
            <w:r w:rsidR="001A33A3">
              <w:t>o </w:t>
            </w:r>
            <w:r>
              <w:t>88,2</w:t>
            </w:r>
            <w:r w:rsidR="00A21624">
              <w:t> mld.</w:t>
            </w:r>
            <w:r>
              <w:t xml:space="preserve"> více. Ke značnému propadu dynamiky dovozu rovněž přispěl výhradně vývoj obchodu se zbožím. Výsledné kladné saldo zahraničního obchodu se zbožím </w:t>
            </w:r>
            <w:r w:rsidR="001A33A3">
              <w:t>a </w:t>
            </w:r>
            <w:r>
              <w:t xml:space="preserve">službami se tak meziročně zlepšilo </w:t>
            </w:r>
            <w:r w:rsidR="001A33A3">
              <w:t>o </w:t>
            </w:r>
            <w:r>
              <w:t>25,1</w:t>
            </w:r>
            <w:r w:rsidR="00A21624">
              <w:t> mld.</w:t>
            </w:r>
            <w:r>
              <w:t xml:space="preserve"> korun na 346,4</w:t>
            </w:r>
            <w:r w:rsidR="00A21624">
              <w:t> mld.</w:t>
            </w:r>
            <w:r>
              <w:t xml:space="preserve"> Přebytek obchodu se zbožím dosáhl 240,0</w:t>
            </w:r>
            <w:r w:rsidR="00A21624">
              <w:t> mld.</w:t>
            </w:r>
            <w:r>
              <w:t xml:space="preserve"> (+39,2</w:t>
            </w:r>
            <w:r w:rsidR="00A21624">
              <w:t> mld.</w:t>
            </w:r>
            <w:r>
              <w:t xml:space="preserve">) </w:t>
            </w:r>
            <w:r w:rsidR="001A33A3">
              <w:t>a </w:t>
            </w:r>
            <w:r>
              <w:t>se službami 106,4</w:t>
            </w:r>
            <w:r w:rsidR="00A21624">
              <w:t> mld.</w:t>
            </w:r>
            <w:r>
              <w:t xml:space="preserve"> (</w:t>
            </w:r>
            <w:r w:rsidR="00064B6A">
              <w:t>–</w:t>
            </w:r>
            <w:r>
              <w:t>14,2 mld.).</w:t>
            </w:r>
          </w:p>
        </w:tc>
      </w:tr>
      <w:tr w:rsidR="00817FDA" w:rsidRPr="00894C66" w14:paraId="760406CA" w14:textId="77777777" w:rsidTr="00D85980">
        <w:trPr>
          <w:trHeight w:val="145"/>
        </w:trPr>
        <w:tc>
          <w:tcPr>
            <w:tcW w:w="1976" w:type="dxa"/>
          </w:tcPr>
          <w:p w14:paraId="4BECFCA8" w14:textId="77777777" w:rsidR="00817FDA" w:rsidRPr="004A24B0" w:rsidRDefault="00817FDA" w:rsidP="00E503A5">
            <w:pPr>
              <w:pStyle w:val="Marginlie"/>
            </w:pPr>
            <w:r>
              <w:t>Deficit prvotních důchodů se výrazně prohloubil.</w:t>
            </w:r>
          </w:p>
        </w:tc>
        <w:tc>
          <w:tcPr>
            <w:tcW w:w="277" w:type="dxa"/>
          </w:tcPr>
          <w:p w14:paraId="5DA5903F" w14:textId="77777777" w:rsidR="00817FDA" w:rsidRPr="005E4483" w:rsidRDefault="00817FDA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39BAB36" w14:textId="653D82EC" w:rsidR="00817FDA" w:rsidRPr="001502B1" w:rsidRDefault="00817FDA" w:rsidP="00E503A5">
            <w:r>
              <w:t>Hodnota náhrad zaměstnancům přijatých ze zahraničí loni dosáhla 68,2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zvýšila </w:t>
            </w:r>
            <w:r w:rsidR="001A33A3">
              <w:t>o </w:t>
            </w:r>
            <w:r>
              <w:t>0,3</w:t>
            </w:r>
            <w:r w:rsidR="00A21624">
              <w:t> mld.</w:t>
            </w:r>
            <w:r>
              <w:t xml:space="preserve"> (nejméně od roku 2007). Stagnace byla tedy v rozporu s celkovým mzdovým vývojem v domácí ekonomice. Na druhé straně bylo </w:t>
            </w:r>
            <w:r w:rsidR="00976681">
              <w:t xml:space="preserve">v roce 2019 </w:t>
            </w:r>
            <w:r>
              <w:t>do zahraničí vyplaceno v podobě náhrad 51,4</w:t>
            </w:r>
            <w:r w:rsidR="00A21624">
              <w:t> mld.</w:t>
            </w:r>
            <w:r>
              <w:t xml:space="preserve"> korun. To je </w:t>
            </w:r>
            <w:r w:rsidR="001A33A3">
              <w:t>o </w:t>
            </w:r>
            <w:r>
              <w:t>14,0</w:t>
            </w:r>
            <w:r w:rsidR="00A21624">
              <w:t> mld.</w:t>
            </w:r>
            <w:r>
              <w:t xml:space="preserve"> více než v předchozím roce. Oproti roku 2017 byl loni objem náhrad téměř dvojnásobný (+24,7</w:t>
            </w:r>
            <w:r w:rsidR="00A21624">
              <w:t> mld.</w:t>
            </w:r>
            <w:r>
              <w:t>). Ze zahraničí bylo rovněž přijato 33,9</w:t>
            </w:r>
            <w:r w:rsidR="00A21624">
              <w:t> mld.</w:t>
            </w:r>
            <w:r>
              <w:t xml:space="preserve"> korun ve formě dotací z EU (zejména zemědělských) </w:t>
            </w:r>
            <w:r w:rsidR="001A33A3">
              <w:t>a </w:t>
            </w:r>
            <w:r>
              <w:t>zpět bylo zaplaceno 9,2</w:t>
            </w:r>
            <w:r w:rsidR="00A21624">
              <w:t> mld.</w:t>
            </w:r>
            <w:r>
              <w:t xml:space="preserve"> jako daně institucím EU. Důchody z vlastnictví příslušející nerezidentům</w:t>
            </w:r>
            <w:r>
              <w:rPr>
                <w:rStyle w:val="Znakapoznpodarou"/>
              </w:rPr>
              <w:footnoteReference w:id="2"/>
            </w:r>
            <w:r>
              <w:t xml:space="preserve"> loni činily 585,1</w:t>
            </w:r>
            <w:r w:rsidR="00A21624">
              <w:t> mld.</w:t>
            </w:r>
            <w:r>
              <w:t xml:space="preserve"> korun (nárůst </w:t>
            </w:r>
            <w:r w:rsidR="001A33A3">
              <w:t>o </w:t>
            </w:r>
            <w:r>
              <w:t>51,9</w:t>
            </w:r>
            <w:r w:rsidR="00A21624">
              <w:t> mld.</w:t>
            </w:r>
            <w:r>
              <w:t>). Výrazně posílil objem úroků (</w:t>
            </w:r>
            <w:r w:rsidR="001A33A3">
              <w:t>o </w:t>
            </w:r>
            <w:r>
              <w:t>21,2</w:t>
            </w:r>
            <w:r w:rsidR="00A21624">
              <w:t> mld.</w:t>
            </w:r>
            <w:r>
              <w:t xml:space="preserve"> na 81,5</w:t>
            </w:r>
            <w:r w:rsidR="00A21624">
              <w:t> mld.</w:t>
            </w:r>
            <w:r>
              <w:t xml:space="preserve"> korun, nejvíce od roku 2007). Po předchozím propadu loni vzrostl také objem reinvestic (+23,2</w:t>
            </w:r>
            <w:r w:rsidR="00A21624">
              <w:t> mld.</w:t>
            </w:r>
            <w:r>
              <w:t xml:space="preserve"> korun na 173,6</w:t>
            </w:r>
            <w:r w:rsidR="00A21624">
              <w:t> mld.</w:t>
            </w:r>
            <w:r>
              <w:t>). Jen mírný tak byl nárůst rozdělovaných důchodů společností (+7,4</w:t>
            </w:r>
            <w:r w:rsidR="00A21624">
              <w:t> mld.</w:t>
            </w:r>
            <w:r>
              <w:t xml:space="preserve"> korun na 329,3</w:t>
            </w:r>
            <w:r w:rsidR="00A21624">
              <w:t> mld.</w:t>
            </w:r>
            <w:r>
              <w:t xml:space="preserve">). Důchody z vlastnictví v zahraničí, které si připsali domácí investoři, se loni zvýšily </w:t>
            </w:r>
            <w:r w:rsidR="001A33A3">
              <w:t>o </w:t>
            </w:r>
            <w:r>
              <w:t>17,7 mld. na 190,2</w:t>
            </w:r>
            <w:r w:rsidR="00A21624">
              <w:t> mld.</w:t>
            </w:r>
            <w:r>
              <w:t xml:space="preserve"> korun. Výsledný čistý odliv důchodů z vlastnictví se tak loni zvětšil </w:t>
            </w:r>
            <w:r w:rsidR="001A33A3">
              <w:t>o </w:t>
            </w:r>
            <w:r>
              <w:t>34,2</w:t>
            </w:r>
            <w:r w:rsidR="00A21624">
              <w:t> mld.</w:t>
            </w:r>
            <w:r>
              <w:t xml:space="preserve"> korun na 394,9</w:t>
            </w:r>
            <w:r w:rsidR="00A21624">
              <w:t> mld.</w:t>
            </w:r>
            <w:r>
              <w:t xml:space="preserve"> </w:t>
            </w:r>
            <w:r w:rsidR="001A33A3">
              <w:t>a </w:t>
            </w:r>
            <w:r>
              <w:t>představoval 6,9</w:t>
            </w:r>
            <w:r w:rsidR="00F118D5">
              <w:t> %</w:t>
            </w:r>
            <w:r w:rsidR="004B481B">
              <w:t> </w:t>
            </w:r>
            <w:r>
              <w:t xml:space="preserve">HDP. Deficit prvotních důchodů se tak loni prohloubil </w:t>
            </w:r>
            <w:r w:rsidR="001A33A3">
              <w:t>o </w:t>
            </w:r>
            <w:r>
              <w:t>47,0</w:t>
            </w:r>
            <w:r w:rsidR="00A21624">
              <w:t> mld.</w:t>
            </w:r>
            <w:r>
              <w:t xml:space="preserve"> korun na 353,4</w:t>
            </w:r>
            <w:r w:rsidR="00A21624">
              <w:t> mld.</w:t>
            </w:r>
          </w:p>
        </w:tc>
      </w:tr>
      <w:tr w:rsidR="00817FDA" w:rsidRPr="00894C66" w14:paraId="749EB481" w14:textId="77777777" w:rsidTr="00D85980">
        <w:trPr>
          <w:trHeight w:val="170"/>
        </w:trPr>
        <w:tc>
          <w:tcPr>
            <w:tcW w:w="1976" w:type="dxa"/>
          </w:tcPr>
          <w:p w14:paraId="13855ADD" w14:textId="65F9A3B3" w:rsidR="00817FDA" w:rsidRDefault="00817FDA" w:rsidP="00E503A5">
            <w:pPr>
              <w:pStyle w:val="Marginlie"/>
            </w:pPr>
            <w:r>
              <w:t>Záporné saldo druhotných důchod</w:t>
            </w:r>
            <w:r w:rsidR="004B481B">
              <w:t>ů</w:t>
            </w:r>
            <w:r>
              <w:t xml:space="preserve"> se zmírnilo.</w:t>
            </w:r>
          </w:p>
        </w:tc>
        <w:tc>
          <w:tcPr>
            <w:tcW w:w="277" w:type="dxa"/>
          </w:tcPr>
          <w:p w14:paraId="7DFB7DEA" w14:textId="77777777" w:rsidR="00817FDA" w:rsidRPr="005E4483" w:rsidRDefault="00817FDA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41A6B9A" w14:textId="40BEA9D9" w:rsidR="00817FDA" w:rsidRPr="00A1151F" w:rsidRDefault="00817FDA" w:rsidP="00E503A5">
            <w:r>
              <w:t xml:space="preserve">Další transfery do zahraničí (běžné daně z důchodů, sociální příspěvky </w:t>
            </w:r>
            <w:r w:rsidR="001A33A3">
              <w:t>a </w:t>
            </w:r>
            <w:r>
              <w:t xml:space="preserve">dávky </w:t>
            </w:r>
            <w:r w:rsidR="001A33A3">
              <w:t>a </w:t>
            </w:r>
            <w:r>
              <w:t>ostatní běžné transfery) loni dosáhly 139,8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narostly tak </w:t>
            </w:r>
            <w:r w:rsidR="001A33A3">
              <w:t>o </w:t>
            </w:r>
            <w:r>
              <w:t>7,0</w:t>
            </w:r>
            <w:r w:rsidR="00A21624">
              <w:t> mld.</w:t>
            </w:r>
            <w:r>
              <w:t xml:space="preserve"> Hlavní podíl na přírůstku měly ostatní běžné transfery – zejména náhrady z neživotního pojištění (+2,1</w:t>
            </w:r>
            <w:r w:rsidR="00A21624">
              <w:t> mld.</w:t>
            </w:r>
            <w:r>
              <w:t>), jiné běžné transfery (+3,0</w:t>
            </w:r>
            <w:r w:rsidR="00A21624">
              <w:t> mld.</w:t>
            </w:r>
            <w:r>
              <w:t xml:space="preserve">) </w:t>
            </w:r>
            <w:r w:rsidR="001A33A3">
              <w:t>a </w:t>
            </w:r>
            <w:r>
              <w:t xml:space="preserve">vlastní zdroje EU odvozené z DPH </w:t>
            </w:r>
            <w:r w:rsidR="001A33A3">
              <w:t>a </w:t>
            </w:r>
            <w:r>
              <w:t>HND (+1,3</w:t>
            </w:r>
            <w:r w:rsidR="00A21624">
              <w:t> mld.</w:t>
            </w:r>
            <w:r>
              <w:t xml:space="preserve">). Výrazněji se zvyšovaly tyto transfery směrem do domácí ekonomiky (nárůst </w:t>
            </w:r>
            <w:r w:rsidR="001A33A3">
              <w:t>o </w:t>
            </w:r>
            <w:r>
              <w:t>12,6</w:t>
            </w:r>
            <w:r w:rsidR="00A21624">
              <w:t> mld.</w:t>
            </w:r>
            <w:r>
              <w:t xml:space="preserve"> </w:t>
            </w:r>
            <w:r w:rsidR="00BD1B27">
              <w:t xml:space="preserve">korun </w:t>
            </w:r>
            <w:r>
              <w:t>na 89,0</w:t>
            </w:r>
            <w:r w:rsidR="00A21624">
              <w:t> mld.</w:t>
            </w:r>
            <w:r>
              <w:t xml:space="preserve"> byl nejvyšší zachycený v časové řadě). Záporné saldo druhotných důchodů se tak zmírnilo </w:t>
            </w:r>
            <w:r w:rsidR="001A33A3">
              <w:t>o </w:t>
            </w:r>
            <w:r>
              <w:t>5,5</w:t>
            </w:r>
            <w:r w:rsidR="00A21624">
              <w:t> mld.</w:t>
            </w:r>
            <w:r>
              <w:t xml:space="preserve"> korun na 50,7</w:t>
            </w:r>
            <w:r w:rsidR="00BF6EE6">
              <w:t> </w:t>
            </w:r>
            <w:r>
              <w:t xml:space="preserve">mld. Výrazné prohloubení deficitu prvotních důchodů převážilo nad přebytkem zahraničního obchodu </w:t>
            </w:r>
            <w:r w:rsidR="001A33A3">
              <w:t>i </w:t>
            </w:r>
            <w:r>
              <w:t xml:space="preserve">zmírněním deficitu druhotných důchodů </w:t>
            </w:r>
            <w:r w:rsidR="001A33A3">
              <w:t>a </w:t>
            </w:r>
            <w:r>
              <w:t>saldo běžných transakcí rezidentů s nerezidenty bylo deficitní. Dosáhlo 58,0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prohloubilo se </w:t>
            </w:r>
            <w:r w:rsidR="001A33A3">
              <w:t>o </w:t>
            </w:r>
            <w:r>
              <w:t>16,5</w:t>
            </w:r>
            <w:r w:rsidR="00A21624">
              <w:t> mld.</w:t>
            </w:r>
          </w:p>
        </w:tc>
      </w:tr>
      <w:tr w:rsidR="00817FDA" w:rsidRPr="00894C66" w14:paraId="08FA9E07" w14:textId="77777777" w:rsidTr="00D85980">
        <w:trPr>
          <w:trHeight w:val="170"/>
        </w:trPr>
        <w:tc>
          <w:tcPr>
            <w:tcW w:w="1976" w:type="dxa"/>
          </w:tcPr>
          <w:p w14:paraId="077FB699" w14:textId="6D86D2CE" w:rsidR="00817FDA" w:rsidRDefault="00817FDA" w:rsidP="00E503A5">
            <w:pPr>
              <w:pStyle w:val="Marginlie"/>
            </w:pPr>
            <w:r>
              <w:t>Domácí ekonomika byla čistým příjemcem kapitálových transferů.</w:t>
            </w:r>
          </w:p>
        </w:tc>
        <w:tc>
          <w:tcPr>
            <w:tcW w:w="277" w:type="dxa"/>
          </w:tcPr>
          <w:p w14:paraId="498CB744" w14:textId="77777777" w:rsidR="00817FDA" w:rsidRPr="005E4483" w:rsidRDefault="00817FDA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365F8192" w14:textId="08BEC0FC" w:rsidR="00817FDA" w:rsidRDefault="00817FDA" w:rsidP="00D85980">
            <w:r>
              <w:t xml:space="preserve">Čistý příliv kapitálových transferů byl loni zachován </w:t>
            </w:r>
            <w:r w:rsidR="001A33A3">
              <w:t>a </w:t>
            </w:r>
            <w:r>
              <w:t>dosáhl 53,9</w:t>
            </w:r>
            <w:r w:rsidR="00A21624">
              <w:t> mld.</w:t>
            </w:r>
            <w:r w:rsidR="00BD1B27">
              <w:t xml:space="preserve"> korun</w:t>
            </w:r>
            <w:r w:rsidR="002D2D9F">
              <w:t>.</w:t>
            </w:r>
            <w:r>
              <w:t xml:space="preserve"> Kladné saldo ale zmírnilo, zejména kvůli zvýšení objemu transferů do zahraničí </w:t>
            </w:r>
            <w:r w:rsidR="001A33A3">
              <w:t>o </w:t>
            </w:r>
            <w:r>
              <w:t>4,2</w:t>
            </w:r>
            <w:r w:rsidR="00A21624">
              <w:t> mld.</w:t>
            </w:r>
            <w:r>
              <w:t xml:space="preserve"> korun na 9,6</w:t>
            </w:r>
            <w:r w:rsidR="00A21624">
              <w:t> mld.</w:t>
            </w:r>
            <w:r>
              <w:t xml:space="preserve"> Objem obdržených kapitálových transferů se téměř neměnil (63,5</w:t>
            </w:r>
            <w:r w:rsidR="00A21624">
              <w:t> mld.</w:t>
            </w:r>
            <w:r>
              <w:t xml:space="preserve"> korun, pokles </w:t>
            </w:r>
            <w:r w:rsidR="001A33A3">
              <w:t>o </w:t>
            </w:r>
            <w:r>
              <w:t>0,2</w:t>
            </w:r>
            <w:r w:rsidR="00A21624">
              <w:t> mld.</w:t>
            </w:r>
            <w:r>
              <w:t>). Hlavní část příjmů tvořily investiční dotace (61,3</w:t>
            </w:r>
            <w:r w:rsidR="00A21624">
              <w:t> mld.</w:t>
            </w:r>
            <w:r>
              <w:t xml:space="preserve"> korun). Výrazný deficit běžných transakcí s nerezidenty nebyl přebytkem kapitálových transferů zcela převážen</w:t>
            </w:r>
            <w:r w:rsidR="002D2D9F">
              <w:t>,</w:t>
            </w:r>
            <w:r>
              <w:t xml:space="preserve"> </w:t>
            </w:r>
            <w:r w:rsidR="001A33A3">
              <w:t>a </w:t>
            </w:r>
            <w:r>
              <w:t>výsledné změny čistého jmění tak činily</w:t>
            </w:r>
            <w:r w:rsidR="002D2D9F">
              <w:br/>
              <w:t>–</w:t>
            </w:r>
            <w:r>
              <w:t>4,1</w:t>
            </w:r>
            <w:r w:rsidR="00BF6EE6">
              <w:t> </w:t>
            </w:r>
            <w:r>
              <w:t>mld. korun (první deficit od roku 2012). Po šesti letech se také domácí ekonomika dostala do pozice dlužníka vůči zahraničí (čisté výpůjčky dosáhly 20,8</w:t>
            </w:r>
            <w:r w:rsidR="00BF6EE6">
              <w:t> </w:t>
            </w:r>
            <w:r>
              <w:t>mld. korun).</w:t>
            </w:r>
          </w:p>
        </w:tc>
      </w:tr>
      <w:tr w:rsidR="002F4860" w:rsidRPr="00894C66" w14:paraId="6C2AD0CB" w14:textId="77777777" w:rsidTr="00D85980">
        <w:trPr>
          <w:trHeight w:val="170"/>
        </w:trPr>
        <w:tc>
          <w:tcPr>
            <w:tcW w:w="1976" w:type="dxa"/>
          </w:tcPr>
          <w:p w14:paraId="118D19CF" w14:textId="77777777" w:rsidR="002F4860" w:rsidRDefault="00AD1355" w:rsidP="00E503A5">
            <w:pPr>
              <w:pStyle w:val="Marginlie"/>
            </w:pPr>
            <w:r>
              <w:lastRenderedPageBreak/>
              <w:t>Závazky vůči nerezidentům loni silně překonávaly pohledávky národního hospodářství.</w:t>
            </w:r>
          </w:p>
        </w:tc>
        <w:tc>
          <w:tcPr>
            <w:tcW w:w="277" w:type="dxa"/>
          </w:tcPr>
          <w:p w14:paraId="6D23D491" w14:textId="77777777" w:rsidR="002F4860" w:rsidRPr="005E4483" w:rsidRDefault="002F4860" w:rsidP="00E503A5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14:paraId="129EABA0" w14:textId="33EDD5BD" w:rsidR="002F4860" w:rsidRDefault="002F4860" w:rsidP="00AD1355">
            <w:r>
              <w:t>Ke konci roku činily závazky domácí ekonomiky vůči zahraničí 10 964,8</w:t>
            </w:r>
            <w:r w:rsidR="00A21624">
              <w:t> mld.</w:t>
            </w:r>
            <w:r>
              <w:t xml:space="preserve"> korun. Hlavní část tvořily účasti </w:t>
            </w:r>
            <w:r w:rsidR="001A33A3">
              <w:t>a </w:t>
            </w:r>
            <w:r>
              <w:t>podíly v investičních fondech (6 401,7</w:t>
            </w:r>
            <w:r w:rsidR="00A21624">
              <w:t> mld.</w:t>
            </w:r>
            <w:r>
              <w:t xml:space="preserve">). </w:t>
            </w:r>
            <w:r w:rsidR="001A33A3">
              <w:t>Z </w:t>
            </w:r>
            <w:r>
              <w:t xml:space="preserve">toho akcie </w:t>
            </w:r>
            <w:r w:rsidR="001A33A3">
              <w:t>a </w:t>
            </w:r>
            <w:r>
              <w:t>ostatní účasti dosahovaly 3 729,4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>2 634,0</w:t>
            </w:r>
            <w:r w:rsidR="00A21624">
              <w:t> mld.</w:t>
            </w:r>
            <w:r w:rsidR="00BD1B27">
              <w:t xml:space="preserve"> </w:t>
            </w:r>
            <w:r>
              <w:t>představovalo přecenění NFA</w:t>
            </w:r>
            <w:r>
              <w:rPr>
                <w:rStyle w:val="Znakapoznpodarou"/>
              </w:rPr>
              <w:footnoteReference w:id="3"/>
            </w:r>
            <w:r>
              <w:t>.</w:t>
            </w:r>
            <w:r w:rsidR="00231CC2">
              <w:t xml:space="preserve"> </w:t>
            </w:r>
            <w:r w:rsidR="000D2C3F">
              <w:t>Závazky ve formě dluhových cenných papírů činily 1 373,2</w:t>
            </w:r>
            <w:r w:rsidR="00A21624">
              <w:t> mld.</w:t>
            </w:r>
            <w:r w:rsidR="000D2C3F">
              <w:t xml:space="preserve"> korun </w:t>
            </w:r>
            <w:r w:rsidR="001A33A3">
              <w:t>a </w:t>
            </w:r>
            <w:r w:rsidR="000D2C3F">
              <w:t>půjček 1 116,4</w:t>
            </w:r>
            <w:r w:rsidR="00A21624">
              <w:t> mld.</w:t>
            </w:r>
            <w:r w:rsidR="000D2C3F">
              <w:t xml:space="preserve"> Přes pozvolný pokles zůstává nadále velmi vysoký objem oběživa </w:t>
            </w:r>
            <w:r w:rsidR="001A33A3">
              <w:t>a </w:t>
            </w:r>
            <w:r w:rsidR="000D2C3F">
              <w:t>vkladů (1 371,1</w:t>
            </w:r>
            <w:r w:rsidR="00A21624">
              <w:t> mld.</w:t>
            </w:r>
            <w:r w:rsidR="000D2C3F">
              <w:t>, více než dvojnásobek oproti roku 2015). Závazky nerezidentů vůči domácí ekonomice ke konci roku 2019 činily 6 930,6 mld. korun. Největší podíl na nich měly dluhové cenné papíry (1 962,3</w:t>
            </w:r>
            <w:r w:rsidR="00A21624">
              <w:t> mld.</w:t>
            </w:r>
            <w:r w:rsidR="000D2C3F">
              <w:t xml:space="preserve"> korun). </w:t>
            </w:r>
            <w:r w:rsidR="00135FEE">
              <w:t>Objem půjček dosáhl 882,8</w:t>
            </w:r>
            <w:r w:rsidR="00A21624">
              <w:t> mld.</w:t>
            </w:r>
            <w:r w:rsidR="00135FEE">
              <w:t xml:space="preserve"> Výraznou roli mělo rovněž oběživo </w:t>
            </w:r>
            <w:r w:rsidR="001A33A3">
              <w:t>a </w:t>
            </w:r>
            <w:r w:rsidR="00135FEE">
              <w:t>vklady (1 790,9</w:t>
            </w:r>
            <w:r w:rsidR="00A21624">
              <w:t> mld.</w:t>
            </w:r>
            <w:r w:rsidR="00135FEE">
              <w:t xml:space="preserve"> korun). Účasti </w:t>
            </w:r>
            <w:r w:rsidR="001A33A3">
              <w:t>a </w:t>
            </w:r>
            <w:r w:rsidR="00135FEE">
              <w:t>podíly v investičních fondech měly ke konci roku hodnotu 1 588,9</w:t>
            </w:r>
            <w:r w:rsidR="00A21624">
              <w:t> mld.</w:t>
            </w:r>
            <w:r w:rsidR="00135FEE">
              <w:t xml:space="preserve"> korun, ze všech závazků nerezidentů ale nejvíce narostly. Závazky domácí ekonomiky vůči nerezidentům tedy překonaly aktiva. Výsledné čisté jmění nerezidentů vůči domácí ekonomice (zahraniční zadluženost národního hospodářství) dosáhlo </w:t>
            </w:r>
            <w:r w:rsidR="00A21624">
              <w:t>4 </w:t>
            </w:r>
            <w:r w:rsidR="00135FEE">
              <w:t>034,2</w:t>
            </w:r>
            <w:r w:rsidR="00A21624">
              <w:t> mld.</w:t>
            </w:r>
            <w:r w:rsidR="00135FEE">
              <w:t xml:space="preserve"> korun. Zadluženost se zvýšila </w:t>
            </w:r>
            <w:r w:rsidR="001A33A3">
              <w:t>o </w:t>
            </w:r>
            <w:r w:rsidR="00135FEE">
              <w:t>594,4</w:t>
            </w:r>
            <w:r w:rsidR="00A21624">
              <w:t> mld.</w:t>
            </w:r>
          </w:p>
        </w:tc>
      </w:tr>
    </w:tbl>
    <w:p w14:paraId="0D0B99E1" w14:textId="6E25C91E" w:rsidR="0060404F" w:rsidRDefault="0060404F" w:rsidP="00773C6E">
      <w:pPr>
        <w:pStyle w:val="Nadpis110"/>
        <w:rPr>
          <w:b w:val="0"/>
          <w:bCs w:val="0"/>
          <w:lang w:eastAsia="en-US"/>
        </w:rPr>
      </w:pPr>
      <w:bookmarkStart w:id="1" w:name="_GoBack"/>
      <w:bookmarkEnd w:id="1"/>
    </w:p>
    <w:sectPr w:rsidR="0060404F" w:rsidSect="00773C6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8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7FAE8" w16cid:durableId="22D3FA44"/>
  <w16cid:commentId w16cid:paraId="1C72AF4D" w16cid:durableId="22D64A75"/>
  <w16cid:commentId w16cid:paraId="282A67DB" w16cid:durableId="22D40348"/>
  <w16cid:commentId w16cid:paraId="74131377" w16cid:durableId="22D405B0"/>
  <w16cid:commentId w16cid:paraId="7D1A41B8" w16cid:durableId="22D40777"/>
  <w16cid:commentId w16cid:paraId="01FFE40C" w16cid:durableId="22D41165"/>
  <w16cid:commentId w16cid:paraId="6EBCA2E2" w16cid:durableId="22D42359"/>
  <w16cid:commentId w16cid:paraId="506DC739" w16cid:durableId="22D64B1C"/>
  <w16cid:commentId w16cid:paraId="014CC69D" w16cid:durableId="22D6A1C4"/>
  <w16cid:commentId w16cid:paraId="28552269" w16cid:durableId="22D6A357"/>
  <w16cid:commentId w16cid:paraId="05257285" w16cid:durableId="22D6FF5C"/>
  <w16cid:commentId w16cid:paraId="65249E36" w16cid:durableId="22D70089"/>
  <w16cid:commentId w16cid:paraId="3DEEA2F9" w16cid:durableId="22D7B641"/>
  <w16cid:commentId w16cid:paraId="51E0656F" w16cid:durableId="22D7B96C"/>
  <w16cid:commentId w16cid:paraId="319DD0C7" w16cid:durableId="22D7BBCD"/>
  <w16cid:commentId w16cid:paraId="2DB24C55" w16cid:durableId="22D80165"/>
  <w16cid:commentId w16cid:paraId="07B9B879" w16cid:durableId="22D809B2"/>
  <w16cid:commentId w16cid:paraId="7C9C8F73" w16cid:durableId="22D824B1"/>
  <w16cid:commentId w16cid:paraId="5483C675" w16cid:durableId="22D81600"/>
  <w16cid:commentId w16cid:paraId="7AA21C0F" w16cid:durableId="22D81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3D5CB" w14:textId="77777777" w:rsidR="00A110A8" w:rsidRDefault="00A110A8" w:rsidP="00E71A58">
      <w:r>
        <w:separator/>
      </w:r>
    </w:p>
  </w:endnote>
  <w:endnote w:type="continuationSeparator" w:id="0">
    <w:p w14:paraId="5B0A00C2" w14:textId="77777777" w:rsidR="00A110A8" w:rsidRDefault="00A110A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94B" w14:textId="07AFBC56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1384CD77" wp14:editId="68CB0E9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73C6E">
      <w:rPr>
        <w:szCs w:val="16"/>
      </w:rPr>
      <w:t>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5AA9" w14:textId="47F7BB9D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50FBB82E" wp14:editId="63D5AA2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73C6E">
      <w:rPr>
        <w:rStyle w:val="ZpatChar"/>
        <w:szCs w:val="16"/>
      </w:rPr>
      <w:t>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D415" w14:textId="77777777" w:rsidR="00A110A8" w:rsidRDefault="00A110A8" w:rsidP="0084727E">
      <w:pPr>
        <w:spacing w:after="0"/>
      </w:pPr>
      <w:r>
        <w:separator/>
      </w:r>
    </w:p>
  </w:footnote>
  <w:footnote w:type="continuationSeparator" w:id="0">
    <w:p w14:paraId="00A20772" w14:textId="77777777" w:rsidR="00A110A8" w:rsidRDefault="00A110A8" w:rsidP="00E71A58">
      <w:r>
        <w:continuationSeparator/>
      </w:r>
    </w:p>
  </w:footnote>
  <w:footnote w:id="1">
    <w:p w14:paraId="2A035D7D" w14:textId="7FA7FD4F" w:rsidR="00B606BE" w:rsidRPr="001802AA" w:rsidRDefault="00B606BE" w:rsidP="00817FDA">
      <w:pPr>
        <w:pStyle w:val="Textpoznpodarou"/>
        <w:rPr>
          <w:rFonts w:cs="Arial"/>
          <w:sz w:val="16"/>
          <w:szCs w:val="16"/>
        </w:rPr>
      </w:pPr>
      <w:r w:rsidRPr="001802AA">
        <w:rPr>
          <w:rStyle w:val="Znakapoznpodarou"/>
          <w:rFonts w:cs="Arial"/>
          <w:sz w:val="16"/>
          <w:szCs w:val="16"/>
        </w:rPr>
        <w:footnoteRef/>
      </w:r>
      <w:r w:rsidRPr="001802AA">
        <w:rPr>
          <w:rFonts w:cs="Arial"/>
          <w:sz w:val="16"/>
          <w:szCs w:val="16"/>
        </w:rPr>
        <w:t xml:space="preserve"> Časové řady čtvrtletních </w:t>
      </w:r>
      <w:r>
        <w:rPr>
          <w:rFonts w:cs="Arial"/>
          <w:sz w:val="16"/>
          <w:szCs w:val="16"/>
        </w:rPr>
        <w:t>národních</w:t>
      </w:r>
      <w:r w:rsidRPr="001802AA">
        <w:rPr>
          <w:rFonts w:cs="Arial"/>
          <w:sz w:val="16"/>
          <w:szCs w:val="16"/>
        </w:rPr>
        <w:t xml:space="preserve"> účtů</w:t>
      </w:r>
      <w:r>
        <w:rPr>
          <w:rFonts w:cs="Arial"/>
          <w:sz w:val="16"/>
          <w:szCs w:val="16"/>
        </w:rPr>
        <w:t>.</w:t>
      </w:r>
    </w:p>
  </w:footnote>
  <w:footnote w:id="2">
    <w:p w14:paraId="5E265B07" w14:textId="4BC0186E" w:rsidR="00B606BE" w:rsidRPr="001802AA" w:rsidRDefault="00B606BE" w:rsidP="00817FDA">
      <w:pPr>
        <w:pStyle w:val="Textpoznpodarou"/>
        <w:rPr>
          <w:rFonts w:cs="Arial"/>
          <w:sz w:val="16"/>
          <w:szCs w:val="16"/>
        </w:rPr>
      </w:pPr>
      <w:r w:rsidRPr="001802AA">
        <w:rPr>
          <w:rStyle w:val="Znakapoznpodarou"/>
          <w:rFonts w:cs="Arial"/>
          <w:sz w:val="16"/>
          <w:szCs w:val="16"/>
        </w:rPr>
        <w:footnoteRef/>
      </w:r>
      <w:r w:rsidRPr="001802AA">
        <w:rPr>
          <w:rFonts w:cs="Arial"/>
          <w:sz w:val="16"/>
          <w:szCs w:val="16"/>
        </w:rPr>
        <w:t xml:space="preserve"> </w:t>
      </w:r>
      <w:r w:rsidRPr="001802AA">
        <w:rPr>
          <w:rStyle w:val="odkaz-style-wrapper"/>
          <w:bCs/>
          <w:sz w:val="16"/>
          <w:szCs w:val="16"/>
        </w:rPr>
        <w:t xml:space="preserve">Nerezidenti </w:t>
      </w:r>
      <w:r w:rsidRPr="001802AA">
        <w:rPr>
          <w:rStyle w:val="odkaz-style-wrapper"/>
          <w:sz w:val="16"/>
          <w:szCs w:val="16"/>
        </w:rPr>
        <w:t>představují seskupení jednotek bez ohledu na charakteristiku jejich funkcí a</w:t>
      </w:r>
      <w:r>
        <w:rPr>
          <w:rStyle w:val="odkaz-style-wrapper"/>
          <w:sz w:val="16"/>
          <w:szCs w:val="16"/>
        </w:rPr>
        <w:t> </w:t>
      </w:r>
      <w:r w:rsidRPr="001802AA">
        <w:rPr>
          <w:rStyle w:val="odkaz-style-wrapper"/>
          <w:sz w:val="16"/>
          <w:szCs w:val="16"/>
        </w:rPr>
        <w:t>zdrojů. Jsou to např</w:t>
      </w:r>
      <w:r>
        <w:rPr>
          <w:rStyle w:val="odkaz-style-wrapper"/>
          <w:sz w:val="16"/>
          <w:szCs w:val="16"/>
        </w:rPr>
        <w:t>íklad</w:t>
      </w:r>
      <w:r w:rsidRPr="001802AA">
        <w:rPr>
          <w:rStyle w:val="odkaz-style-wrapper"/>
          <w:sz w:val="16"/>
          <w:szCs w:val="16"/>
        </w:rPr>
        <w:t xml:space="preserve"> zastupitelské úřady cizích států nebo mezinárodní organizace, které byly založeny a</w:t>
      </w:r>
      <w:r>
        <w:rPr>
          <w:rStyle w:val="odkaz-style-wrapper"/>
          <w:sz w:val="16"/>
          <w:szCs w:val="16"/>
        </w:rPr>
        <w:t> </w:t>
      </w:r>
      <w:r w:rsidRPr="001802AA">
        <w:rPr>
          <w:rStyle w:val="odkaz-style-wrapper"/>
          <w:sz w:val="16"/>
          <w:szCs w:val="16"/>
        </w:rPr>
        <w:t>fungují na základě mezinárodních dohod</w:t>
      </w:r>
      <w:r>
        <w:rPr>
          <w:rStyle w:val="odkaz-style-wrapper"/>
          <w:sz w:val="16"/>
          <w:szCs w:val="16"/>
        </w:rPr>
        <w:t>,</w:t>
      </w:r>
      <w:r w:rsidRPr="001802AA">
        <w:rPr>
          <w:rStyle w:val="odkaz-style-wrapper"/>
          <w:sz w:val="16"/>
          <w:szCs w:val="16"/>
        </w:rPr>
        <w:t xml:space="preserve"> nebo oddělené části mateřských společností (např</w:t>
      </w:r>
      <w:r>
        <w:rPr>
          <w:rStyle w:val="odkaz-style-wrapper"/>
          <w:sz w:val="16"/>
          <w:szCs w:val="16"/>
        </w:rPr>
        <w:t>íklad</w:t>
      </w:r>
      <w:r w:rsidRPr="001802AA">
        <w:rPr>
          <w:rStyle w:val="odkaz-style-wrapper"/>
          <w:sz w:val="16"/>
          <w:szCs w:val="16"/>
        </w:rPr>
        <w:t xml:space="preserve"> pobočky výrobních podniků, bank a</w:t>
      </w:r>
      <w:r>
        <w:rPr>
          <w:rStyle w:val="odkaz-style-wrapper"/>
          <w:sz w:val="16"/>
          <w:szCs w:val="16"/>
        </w:rPr>
        <w:t> </w:t>
      </w:r>
      <w:r w:rsidRPr="001802AA">
        <w:rPr>
          <w:rStyle w:val="odkaz-style-wrapper"/>
          <w:sz w:val="16"/>
          <w:szCs w:val="16"/>
        </w:rPr>
        <w:t>pojišťovacích společností).</w:t>
      </w:r>
    </w:p>
  </w:footnote>
  <w:footnote w:id="3">
    <w:p w14:paraId="007EF47D" w14:textId="01CB3879" w:rsidR="00B606BE" w:rsidRPr="00231CC2" w:rsidRDefault="00B606BE">
      <w:pPr>
        <w:pStyle w:val="Textpoznpodarou"/>
        <w:rPr>
          <w:rFonts w:cs="Arial"/>
          <w:sz w:val="16"/>
          <w:szCs w:val="16"/>
        </w:rPr>
      </w:pPr>
      <w:r w:rsidRPr="00231CC2">
        <w:rPr>
          <w:rStyle w:val="Znakapoznpodarou"/>
          <w:rFonts w:cs="Arial"/>
          <w:sz w:val="16"/>
          <w:szCs w:val="16"/>
        </w:rPr>
        <w:footnoteRef/>
      </w:r>
      <w:r w:rsidRPr="00231CC2">
        <w:rPr>
          <w:rFonts w:cs="Arial"/>
          <w:sz w:val="16"/>
          <w:szCs w:val="16"/>
        </w:rPr>
        <w:t xml:space="preserve"> Položka reprezentuje přecenění nefinančních aktiv (NFA) na tržní hodnotu. Tato hodnota je alokována konečnému vlastníkovi aktiva (ve formě účastí). Důsledkem je přeřazení části aktiv (a</w:t>
      </w:r>
      <w:r>
        <w:rPr>
          <w:rFonts w:cs="Arial"/>
          <w:sz w:val="16"/>
          <w:szCs w:val="16"/>
        </w:rPr>
        <w:t> </w:t>
      </w:r>
      <w:r w:rsidRPr="00231CC2">
        <w:rPr>
          <w:rFonts w:cs="Arial"/>
          <w:sz w:val="16"/>
          <w:szCs w:val="16"/>
        </w:rPr>
        <w:t>čistého jmění), která byl</w:t>
      </w:r>
      <w:r>
        <w:rPr>
          <w:rFonts w:cs="Arial"/>
          <w:sz w:val="16"/>
          <w:szCs w:val="16"/>
        </w:rPr>
        <w:t>a</w:t>
      </w:r>
      <w:r w:rsidRPr="00231CC2">
        <w:rPr>
          <w:rFonts w:cs="Arial"/>
          <w:sz w:val="16"/>
          <w:szCs w:val="16"/>
        </w:rPr>
        <w:t xml:space="preserve"> dříve přiznávána nefinančním podnikům</w:t>
      </w:r>
      <w:r>
        <w:rPr>
          <w:rFonts w:cs="Arial"/>
          <w:sz w:val="16"/>
          <w:szCs w:val="16"/>
        </w:rPr>
        <w:t>,</w:t>
      </w:r>
      <w:r w:rsidRPr="00231CC2">
        <w:rPr>
          <w:rFonts w:cs="Arial"/>
          <w:sz w:val="16"/>
          <w:szCs w:val="16"/>
        </w:rPr>
        <w:t xml:space="preserve"> k jejich konečným vlastníkům. Mezi konečné vlastníky řadíme vládu, domácnosti a</w:t>
      </w:r>
      <w:r>
        <w:rPr>
          <w:rFonts w:cs="Arial"/>
          <w:sz w:val="16"/>
          <w:szCs w:val="16"/>
        </w:rPr>
        <w:t> </w:t>
      </w:r>
      <w:r w:rsidRPr="00231CC2">
        <w:rPr>
          <w:rFonts w:cs="Arial"/>
          <w:sz w:val="16"/>
          <w:szCs w:val="16"/>
        </w:rPr>
        <w:t>nerezidenty. Položka AF.51n byla nově zapracována do národních účtů v</w:t>
      </w:r>
      <w:r>
        <w:rPr>
          <w:rFonts w:cs="Arial"/>
          <w:sz w:val="16"/>
          <w:szCs w:val="16"/>
        </w:rPr>
        <w:t> </w:t>
      </w:r>
      <w:r w:rsidRPr="00231CC2">
        <w:rPr>
          <w:rFonts w:cs="Arial"/>
          <w:sz w:val="16"/>
          <w:szCs w:val="16"/>
        </w:rPr>
        <w:t>rámci revize</w:t>
      </w:r>
      <w:r>
        <w:rPr>
          <w:rFonts w:cs="Arial"/>
          <w:sz w:val="16"/>
          <w:szCs w:val="16"/>
        </w:rPr>
        <w:t> </w:t>
      </w:r>
      <w:r w:rsidRPr="00231CC2">
        <w:rPr>
          <w:rFonts w:cs="Arial"/>
          <w:sz w:val="16"/>
          <w:szCs w:val="16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1C6B" w14:textId="77777777" w:rsidR="00B606BE" w:rsidRPr="00601A2E" w:rsidRDefault="00B606BE" w:rsidP="00601A2E">
    <w:pPr>
      <w:pStyle w:val="Zhlav"/>
    </w:pPr>
    <w:r>
      <w:t>Analýza ekonomického vývoje v roce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4E2" w14:textId="77777777" w:rsidR="00B606BE" w:rsidRDefault="00B606BE" w:rsidP="00937AE2">
    <w:pPr>
      <w:pStyle w:val="Zhlav"/>
    </w:pPr>
    <w:r>
      <w:t>Analýza ekonomického vývoje v roce 2019</w:t>
    </w:r>
  </w:p>
  <w:p w14:paraId="525077D0" w14:textId="77777777" w:rsidR="00B606BE" w:rsidRPr="006F5416" w:rsidRDefault="00B606B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694F"/>
    <w:rsid w:val="000500AB"/>
    <w:rsid w:val="000522E4"/>
    <w:rsid w:val="000610E1"/>
    <w:rsid w:val="00062EC5"/>
    <w:rsid w:val="00062F22"/>
    <w:rsid w:val="00064B6A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979EC"/>
    <w:rsid w:val="000A1183"/>
    <w:rsid w:val="000A256D"/>
    <w:rsid w:val="000A3A2C"/>
    <w:rsid w:val="000A66F4"/>
    <w:rsid w:val="000A75F4"/>
    <w:rsid w:val="000B525B"/>
    <w:rsid w:val="000C1D78"/>
    <w:rsid w:val="000C3408"/>
    <w:rsid w:val="000C6AFD"/>
    <w:rsid w:val="000D2C3F"/>
    <w:rsid w:val="000D5637"/>
    <w:rsid w:val="000E3D0E"/>
    <w:rsid w:val="000E53C3"/>
    <w:rsid w:val="000E6C04"/>
    <w:rsid w:val="000E6FBD"/>
    <w:rsid w:val="000F7084"/>
    <w:rsid w:val="00100F5C"/>
    <w:rsid w:val="0010106F"/>
    <w:rsid w:val="00101CDA"/>
    <w:rsid w:val="0010268C"/>
    <w:rsid w:val="00104C4C"/>
    <w:rsid w:val="00117623"/>
    <w:rsid w:val="0012192F"/>
    <w:rsid w:val="00122BB3"/>
    <w:rsid w:val="00125A9C"/>
    <w:rsid w:val="00125D69"/>
    <w:rsid w:val="00135FEE"/>
    <w:rsid w:val="00137DF7"/>
    <w:rsid w:val="001405FA"/>
    <w:rsid w:val="00141782"/>
    <w:rsid w:val="001425C3"/>
    <w:rsid w:val="00142C1C"/>
    <w:rsid w:val="001457AA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4B08"/>
    <w:rsid w:val="00185010"/>
    <w:rsid w:val="00186919"/>
    <w:rsid w:val="001916DB"/>
    <w:rsid w:val="00193818"/>
    <w:rsid w:val="00194520"/>
    <w:rsid w:val="001969D1"/>
    <w:rsid w:val="001A0487"/>
    <w:rsid w:val="001A0D6B"/>
    <w:rsid w:val="001A33A3"/>
    <w:rsid w:val="001A480E"/>
    <w:rsid w:val="001A5387"/>
    <w:rsid w:val="001A552F"/>
    <w:rsid w:val="001B28D3"/>
    <w:rsid w:val="001B2CA9"/>
    <w:rsid w:val="001B3110"/>
    <w:rsid w:val="001B4729"/>
    <w:rsid w:val="001B5C4D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1CC2"/>
    <w:rsid w:val="00236443"/>
    <w:rsid w:val="00241035"/>
    <w:rsid w:val="00241B06"/>
    <w:rsid w:val="002436BA"/>
    <w:rsid w:val="00244A15"/>
    <w:rsid w:val="00244EB3"/>
    <w:rsid w:val="00247319"/>
    <w:rsid w:val="0024799E"/>
    <w:rsid w:val="00253C0F"/>
    <w:rsid w:val="002558C1"/>
    <w:rsid w:val="00255943"/>
    <w:rsid w:val="00260FC5"/>
    <w:rsid w:val="002632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D2D9F"/>
    <w:rsid w:val="002D6BD2"/>
    <w:rsid w:val="002E02A1"/>
    <w:rsid w:val="002E1A9C"/>
    <w:rsid w:val="002E32FC"/>
    <w:rsid w:val="002E4E4C"/>
    <w:rsid w:val="002F4860"/>
    <w:rsid w:val="002F550B"/>
    <w:rsid w:val="0030150E"/>
    <w:rsid w:val="00303533"/>
    <w:rsid w:val="00304771"/>
    <w:rsid w:val="003052D4"/>
    <w:rsid w:val="00306C5B"/>
    <w:rsid w:val="00314A41"/>
    <w:rsid w:val="003209D6"/>
    <w:rsid w:val="00321924"/>
    <w:rsid w:val="0032314C"/>
    <w:rsid w:val="0032656E"/>
    <w:rsid w:val="003268DD"/>
    <w:rsid w:val="00330060"/>
    <w:rsid w:val="00332190"/>
    <w:rsid w:val="0033250B"/>
    <w:rsid w:val="00343331"/>
    <w:rsid w:val="0034335E"/>
    <w:rsid w:val="00344668"/>
    <w:rsid w:val="003462D9"/>
    <w:rsid w:val="00347378"/>
    <w:rsid w:val="00347604"/>
    <w:rsid w:val="003576EB"/>
    <w:rsid w:val="00357908"/>
    <w:rsid w:val="00360C86"/>
    <w:rsid w:val="00360DE3"/>
    <w:rsid w:val="00360FBC"/>
    <w:rsid w:val="00362E90"/>
    <w:rsid w:val="00364C32"/>
    <w:rsid w:val="00364FA0"/>
    <w:rsid w:val="003657F3"/>
    <w:rsid w:val="003733A0"/>
    <w:rsid w:val="00376C3B"/>
    <w:rsid w:val="003818DC"/>
    <w:rsid w:val="00384327"/>
    <w:rsid w:val="003852A9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0B82"/>
    <w:rsid w:val="00407C13"/>
    <w:rsid w:val="00410638"/>
    <w:rsid w:val="0041215C"/>
    <w:rsid w:val="0041501E"/>
    <w:rsid w:val="004159C3"/>
    <w:rsid w:val="00425F45"/>
    <w:rsid w:val="00432A58"/>
    <w:rsid w:val="00433C0C"/>
    <w:rsid w:val="00434617"/>
    <w:rsid w:val="00436778"/>
    <w:rsid w:val="00437E53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48F4"/>
    <w:rsid w:val="004A14E4"/>
    <w:rsid w:val="004A3212"/>
    <w:rsid w:val="004A5494"/>
    <w:rsid w:val="004A61C5"/>
    <w:rsid w:val="004A670E"/>
    <w:rsid w:val="004A77DF"/>
    <w:rsid w:val="004B1417"/>
    <w:rsid w:val="004B481B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1879"/>
    <w:rsid w:val="004F33A0"/>
    <w:rsid w:val="004F6EDC"/>
    <w:rsid w:val="0050689D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81AC8"/>
    <w:rsid w:val="00583FFD"/>
    <w:rsid w:val="005901E9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7227"/>
    <w:rsid w:val="006F0AC6"/>
    <w:rsid w:val="006F2595"/>
    <w:rsid w:val="006F438E"/>
    <w:rsid w:val="006F5416"/>
    <w:rsid w:val="00705242"/>
    <w:rsid w:val="00706AD4"/>
    <w:rsid w:val="00707150"/>
    <w:rsid w:val="00711BB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5698"/>
    <w:rsid w:val="007661E9"/>
    <w:rsid w:val="00773C6E"/>
    <w:rsid w:val="00774779"/>
    <w:rsid w:val="00775F45"/>
    <w:rsid w:val="00776169"/>
    <w:rsid w:val="00776527"/>
    <w:rsid w:val="00780EF1"/>
    <w:rsid w:val="00785232"/>
    <w:rsid w:val="00790764"/>
    <w:rsid w:val="0079343E"/>
    <w:rsid w:val="0079453C"/>
    <w:rsid w:val="00794677"/>
    <w:rsid w:val="007A38F2"/>
    <w:rsid w:val="007A3F0C"/>
    <w:rsid w:val="007A516D"/>
    <w:rsid w:val="007B0750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17FDA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E4C"/>
    <w:rsid w:val="008701E4"/>
    <w:rsid w:val="00873072"/>
    <w:rsid w:val="00875A32"/>
    <w:rsid w:val="00876086"/>
    <w:rsid w:val="00884A6F"/>
    <w:rsid w:val="008856A3"/>
    <w:rsid w:val="008873D4"/>
    <w:rsid w:val="0089296D"/>
    <w:rsid w:val="00893E85"/>
    <w:rsid w:val="00894031"/>
    <w:rsid w:val="00894C3D"/>
    <w:rsid w:val="00895508"/>
    <w:rsid w:val="00895A7B"/>
    <w:rsid w:val="008B1391"/>
    <w:rsid w:val="008B2636"/>
    <w:rsid w:val="008B7C02"/>
    <w:rsid w:val="008B7D2B"/>
    <w:rsid w:val="008C0049"/>
    <w:rsid w:val="008C0E88"/>
    <w:rsid w:val="008D0DBD"/>
    <w:rsid w:val="008D1E6A"/>
    <w:rsid w:val="008D2A16"/>
    <w:rsid w:val="008D664D"/>
    <w:rsid w:val="008D7BE5"/>
    <w:rsid w:val="008E0DC9"/>
    <w:rsid w:val="008E2830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177D4"/>
    <w:rsid w:val="0092180B"/>
    <w:rsid w:val="00921F14"/>
    <w:rsid w:val="0092434D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2F87"/>
    <w:rsid w:val="00974923"/>
    <w:rsid w:val="00976681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EEA"/>
    <w:rsid w:val="009C2E29"/>
    <w:rsid w:val="009C554B"/>
    <w:rsid w:val="009C719E"/>
    <w:rsid w:val="009D3ACD"/>
    <w:rsid w:val="009E0DD4"/>
    <w:rsid w:val="009E42ED"/>
    <w:rsid w:val="009E5273"/>
    <w:rsid w:val="009E5DDB"/>
    <w:rsid w:val="009F46EA"/>
    <w:rsid w:val="009F4CA7"/>
    <w:rsid w:val="00A01CA0"/>
    <w:rsid w:val="00A10D66"/>
    <w:rsid w:val="00A110A8"/>
    <w:rsid w:val="00A1260E"/>
    <w:rsid w:val="00A14114"/>
    <w:rsid w:val="00A16413"/>
    <w:rsid w:val="00A16E1D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3C77"/>
    <w:rsid w:val="00A75E40"/>
    <w:rsid w:val="00A77D1D"/>
    <w:rsid w:val="00A84923"/>
    <w:rsid w:val="00A857C0"/>
    <w:rsid w:val="00A90FED"/>
    <w:rsid w:val="00A97A1E"/>
    <w:rsid w:val="00AA2996"/>
    <w:rsid w:val="00AA52BF"/>
    <w:rsid w:val="00AA559A"/>
    <w:rsid w:val="00AB2AF1"/>
    <w:rsid w:val="00AB5421"/>
    <w:rsid w:val="00AB5F7B"/>
    <w:rsid w:val="00AC45BD"/>
    <w:rsid w:val="00AC46DA"/>
    <w:rsid w:val="00AD1355"/>
    <w:rsid w:val="00AD168E"/>
    <w:rsid w:val="00AD306C"/>
    <w:rsid w:val="00AD68C4"/>
    <w:rsid w:val="00AD7D0B"/>
    <w:rsid w:val="00AE09B3"/>
    <w:rsid w:val="00AE1A83"/>
    <w:rsid w:val="00AE7FB2"/>
    <w:rsid w:val="00AF71EC"/>
    <w:rsid w:val="00B00913"/>
    <w:rsid w:val="00B01593"/>
    <w:rsid w:val="00B023F2"/>
    <w:rsid w:val="00B04B4A"/>
    <w:rsid w:val="00B07379"/>
    <w:rsid w:val="00B10A4D"/>
    <w:rsid w:val="00B120A1"/>
    <w:rsid w:val="00B12AA6"/>
    <w:rsid w:val="00B14BC1"/>
    <w:rsid w:val="00B17E71"/>
    <w:rsid w:val="00B17FDE"/>
    <w:rsid w:val="00B20632"/>
    <w:rsid w:val="00B22CD2"/>
    <w:rsid w:val="00B23055"/>
    <w:rsid w:val="00B2379C"/>
    <w:rsid w:val="00B2687D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7075"/>
    <w:rsid w:val="00BC7154"/>
    <w:rsid w:val="00BC731E"/>
    <w:rsid w:val="00BD163C"/>
    <w:rsid w:val="00BD1B27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BF4B4B"/>
    <w:rsid w:val="00BF6EE6"/>
    <w:rsid w:val="00C024B1"/>
    <w:rsid w:val="00C12D52"/>
    <w:rsid w:val="00C21405"/>
    <w:rsid w:val="00C21F94"/>
    <w:rsid w:val="00C25709"/>
    <w:rsid w:val="00C27913"/>
    <w:rsid w:val="00C33B68"/>
    <w:rsid w:val="00C36A79"/>
    <w:rsid w:val="00C401D2"/>
    <w:rsid w:val="00C405D4"/>
    <w:rsid w:val="00C4513B"/>
    <w:rsid w:val="00C466D2"/>
    <w:rsid w:val="00C53576"/>
    <w:rsid w:val="00C5390B"/>
    <w:rsid w:val="00C54697"/>
    <w:rsid w:val="00C60191"/>
    <w:rsid w:val="00C609C9"/>
    <w:rsid w:val="00C6152B"/>
    <w:rsid w:val="00C73885"/>
    <w:rsid w:val="00C747B1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6D08"/>
    <w:rsid w:val="00CA28BC"/>
    <w:rsid w:val="00CA6668"/>
    <w:rsid w:val="00CA6AB4"/>
    <w:rsid w:val="00CB259D"/>
    <w:rsid w:val="00CB390A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E7F95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2FF4"/>
    <w:rsid w:val="00D64227"/>
    <w:rsid w:val="00D64F56"/>
    <w:rsid w:val="00D66223"/>
    <w:rsid w:val="00D67375"/>
    <w:rsid w:val="00D73384"/>
    <w:rsid w:val="00D8084C"/>
    <w:rsid w:val="00D85980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C76ED"/>
    <w:rsid w:val="00DD0AE9"/>
    <w:rsid w:val="00DD129F"/>
    <w:rsid w:val="00DD242A"/>
    <w:rsid w:val="00DD6B52"/>
    <w:rsid w:val="00DE0F63"/>
    <w:rsid w:val="00DE4C19"/>
    <w:rsid w:val="00DF317B"/>
    <w:rsid w:val="00DF42FF"/>
    <w:rsid w:val="00DF7190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394F"/>
    <w:rsid w:val="00E253A2"/>
    <w:rsid w:val="00E305C8"/>
    <w:rsid w:val="00E3309D"/>
    <w:rsid w:val="00E333BA"/>
    <w:rsid w:val="00E364BB"/>
    <w:rsid w:val="00E453F9"/>
    <w:rsid w:val="00E47EBA"/>
    <w:rsid w:val="00E50156"/>
    <w:rsid w:val="00E503A5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FAA"/>
    <w:rsid w:val="00F26590"/>
    <w:rsid w:val="00F3364D"/>
    <w:rsid w:val="00F33926"/>
    <w:rsid w:val="00F33E56"/>
    <w:rsid w:val="00F41068"/>
    <w:rsid w:val="00F433FE"/>
    <w:rsid w:val="00F437CC"/>
    <w:rsid w:val="00F44537"/>
    <w:rsid w:val="00F4530D"/>
    <w:rsid w:val="00F46502"/>
    <w:rsid w:val="00F47067"/>
    <w:rsid w:val="00F525EB"/>
    <w:rsid w:val="00F55E08"/>
    <w:rsid w:val="00F56129"/>
    <w:rsid w:val="00F63DDE"/>
    <w:rsid w:val="00F63FB7"/>
    <w:rsid w:val="00F6421B"/>
    <w:rsid w:val="00F649D2"/>
    <w:rsid w:val="00F6602B"/>
    <w:rsid w:val="00F73A0C"/>
    <w:rsid w:val="00F73D08"/>
    <w:rsid w:val="00F756DB"/>
    <w:rsid w:val="00F8090E"/>
    <w:rsid w:val="00F84E7D"/>
    <w:rsid w:val="00F85066"/>
    <w:rsid w:val="00F853A9"/>
    <w:rsid w:val="00F859D0"/>
    <w:rsid w:val="00F87A4D"/>
    <w:rsid w:val="00F87A8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63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C691A96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70ED-CFD7-44DB-A3E5-12EF22B8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1</Pages>
  <Words>700</Words>
  <Characters>4135</Characters>
  <Application>Microsoft Office Word</Application>
  <DocSecurity>0</DocSecurity>
  <Lines>34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4826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4</cp:revision>
  <cp:lastPrinted>2019-09-12T09:26:00Z</cp:lastPrinted>
  <dcterms:created xsi:type="dcterms:W3CDTF">2020-08-10T06:56:00Z</dcterms:created>
  <dcterms:modified xsi:type="dcterms:W3CDTF">2020-08-17T07:29:00Z</dcterms:modified>
</cp:coreProperties>
</file>