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2050B" w14:textId="77777777" w:rsidR="00744EE6" w:rsidRDefault="00744EE6" w:rsidP="00744EE6">
      <w:pPr>
        <w:pStyle w:val="Nadpis1"/>
      </w:pPr>
      <w:bookmarkStart w:id="0" w:name="_Toc47942140"/>
      <w:r>
        <w:t>Institucionální sektory</w:t>
      </w:r>
      <w:bookmarkEnd w:id="0"/>
    </w:p>
    <w:p w14:paraId="4B386C42" w14:textId="0BFF1CBD" w:rsidR="000979EC" w:rsidRDefault="00A21624" w:rsidP="000979EC">
      <w:pPr>
        <w:pStyle w:val="Nadpis110"/>
      </w:pPr>
      <w:bookmarkStart w:id="1" w:name="_Toc47942141"/>
      <w:r>
        <w:t>5. </w:t>
      </w:r>
      <w:r w:rsidR="000979EC">
        <w:t>Nefinanční podniky</w:t>
      </w:r>
      <w:bookmarkEnd w:id="1"/>
    </w:p>
    <w:tbl>
      <w:tblPr>
        <w:tblW w:w="9644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5"/>
        <w:gridCol w:w="229"/>
        <w:gridCol w:w="7610"/>
      </w:tblGrid>
      <w:tr w:rsidR="000979EC" w14:paraId="41885076" w14:textId="77777777" w:rsidTr="00E503A5">
        <w:trPr>
          <w:trHeight w:val="145"/>
        </w:trPr>
        <w:tc>
          <w:tcPr>
            <w:tcW w:w="1805" w:type="dxa"/>
            <w:shd w:val="clear" w:color="auto" w:fill="auto"/>
          </w:tcPr>
          <w:p w14:paraId="4E9E0415" w14:textId="77777777" w:rsidR="000979EC" w:rsidRDefault="000979EC" w:rsidP="00E503A5">
            <w:pPr>
              <w:pStyle w:val="Marginlie"/>
            </w:pPr>
            <w:r>
              <w:t>Nominální přírůstek hrubé přidané hodnoty nefinančních podniků posílil.</w:t>
            </w:r>
          </w:p>
        </w:tc>
        <w:tc>
          <w:tcPr>
            <w:tcW w:w="229" w:type="dxa"/>
            <w:shd w:val="clear" w:color="auto" w:fill="auto"/>
          </w:tcPr>
          <w:p w14:paraId="1F0F66E2" w14:textId="77777777" w:rsidR="000979EC" w:rsidRDefault="000979EC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2CEAA9FE" w14:textId="73717459" w:rsidR="000979EC" w:rsidRDefault="000979EC" w:rsidP="00E503A5">
            <w:r>
              <w:t>Hrubá přidaná hodnota sektoru nefinančních podniků v roce 2019 dosáhla 3 205,4 mld. korun</w:t>
            </w:r>
            <w:r>
              <w:rPr>
                <w:rStyle w:val="Znakapoznpodarou"/>
              </w:rPr>
              <w:footnoteReference w:id="1"/>
            </w:r>
            <w:r>
              <w:t xml:space="preserve"> </w:t>
            </w:r>
            <w:r w:rsidR="001A33A3">
              <w:t>a </w:t>
            </w:r>
            <w:r>
              <w:t xml:space="preserve">meziročně se zvýšila </w:t>
            </w:r>
            <w:r w:rsidR="001A33A3">
              <w:t>o </w:t>
            </w:r>
            <w:r>
              <w:t>182,1</w:t>
            </w:r>
            <w:r w:rsidR="00A21624">
              <w:t> mld.</w:t>
            </w:r>
            <w:r>
              <w:t xml:space="preserve"> Nefinanční podniky se na celkové tvorbě hrubé přidané hodnoty podílely 61,8</w:t>
            </w:r>
            <w:r w:rsidR="00F118D5">
              <w:t> %</w:t>
            </w:r>
            <w:r>
              <w:t xml:space="preserve">. Nominální růst HPH výrazně posílil. Reálně se HPH nefinančních podniků zvýšila </w:t>
            </w:r>
            <w:r w:rsidR="001A33A3">
              <w:t>o </w:t>
            </w:r>
            <w:r>
              <w:t>1,8</w:t>
            </w:r>
            <w:r w:rsidR="00F118D5">
              <w:t> %</w:t>
            </w:r>
            <w:r>
              <w:rPr>
                <w:rStyle w:val="Znakapoznpodarou"/>
              </w:rPr>
              <w:footnoteReference w:id="2"/>
            </w:r>
            <w:r>
              <w:t>. Zaměstnanost v sektoru činila 3 264,8</w:t>
            </w:r>
            <w:r w:rsidR="00BF6EE6">
              <w:t> </w:t>
            </w:r>
            <w:r>
              <w:t>tisíce osob</w:t>
            </w:r>
            <w:r>
              <w:rPr>
                <w:rStyle w:val="Znakapoznpodarou"/>
              </w:rPr>
              <w:footnoteReference w:id="3"/>
            </w:r>
            <w:r>
              <w:t xml:space="preserve"> </w:t>
            </w:r>
            <w:r w:rsidR="001A33A3">
              <w:t>a </w:t>
            </w:r>
            <w:r>
              <w:t xml:space="preserve">meziročně se zvýšila </w:t>
            </w:r>
            <w:r w:rsidR="001A33A3">
              <w:t>o </w:t>
            </w:r>
            <w:r>
              <w:t>24,</w:t>
            </w:r>
            <w:r w:rsidR="00A21624">
              <w:t>9 </w:t>
            </w:r>
            <w:r>
              <w:t>tisíce (0,8</w:t>
            </w:r>
            <w:r w:rsidR="00F118D5">
              <w:t> %</w:t>
            </w:r>
            <w:r>
              <w:t xml:space="preserve">), nejméně od roku 2011, kdy zaměstnanost v sektoru naposledy klesla. Růst zaměstnanosti je již osm let nad celkovým průměrem v ekonomice, což může souviset </w:t>
            </w:r>
            <w:r w:rsidR="001A33A3">
              <w:t>i </w:t>
            </w:r>
            <w:r>
              <w:t xml:space="preserve">s přesunem zaměstnaných ze sektoru domácností (ty zahrnují </w:t>
            </w:r>
            <w:r w:rsidR="001A33A3">
              <w:t>i </w:t>
            </w:r>
            <w:r>
              <w:t>drobné podnikatele) právě k nefinančním podnikům. Objem náhrad vyplacených nefinančními podniky loni dosáhl 1 796,9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>tvořil 70,2</w:t>
            </w:r>
            <w:r w:rsidR="00F118D5">
              <w:t> %</w:t>
            </w:r>
            <w:r>
              <w:t xml:space="preserve"> celkových náhrad v ekonomice. Výdaje na tvorbu hrubého fixního kapitálu loni dosáhly 933,3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 xml:space="preserve">zvýšily se </w:t>
            </w:r>
            <w:r w:rsidR="001A33A3">
              <w:t>o </w:t>
            </w:r>
            <w:r>
              <w:t>55,2</w:t>
            </w:r>
            <w:r w:rsidR="00A21624">
              <w:t> mld.</w:t>
            </w:r>
            <w:r>
              <w:t xml:space="preserve"> Nefinanční podniky byly zodpovědné za 61,9</w:t>
            </w:r>
            <w:r w:rsidR="00F118D5">
              <w:t> %</w:t>
            </w:r>
            <w:r>
              <w:t xml:space="preserve"> investic v národním hospodářství.</w:t>
            </w:r>
          </w:p>
        </w:tc>
      </w:tr>
      <w:tr w:rsidR="000979EC" w14:paraId="19E0B505" w14:textId="77777777" w:rsidTr="00E503A5">
        <w:tc>
          <w:tcPr>
            <w:tcW w:w="1805" w:type="dxa"/>
            <w:vMerge w:val="restart"/>
            <w:shd w:val="clear" w:color="auto" w:fill="auto"/>
          </w:tcPr>
          <w:p w14:paraId="25839AE2" w14:textId="77777777" w:rsidR="000979EC" w:rsidRDefault="000979EC" w:rsidP="00E503A5">
            <w:pPr>
              <w:pStyle w:val="Marginlie"/>
            </w:pPr>
          </w:p>
        </w:tc>
        <w:tc>
          <w:tcPr>
            <w:tcW w:w="229" w:type="dxa"/>
            <w:vMerge w:val="restart"/>
            <w:shd w:val="clear" w:color="auto" w:fill="auto"/>
          </w:tcPr>
          <w:p w14:paraId="44D985AD" w14:textId="77777777" w:rsidR="000979EC" w:rsidRDefault="000979EC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67EA12D0" w14:textId="015049D6" w:rsidR="000979EC" w:rsidRDefault="000979EC" w:rsidP="00E503A5">
            <w:pPr>
              <w:spacing w:after="0"/>
              <w:rPr>
                <w:b/>
              </w:rPr>
            </w:pPr>
            <w:r w:rsidRPr="00B606BE">
              <w:rPr>
                <w:b/>
              </w:rPr>
              <w:t xml:space="preserve">Graf </w:t>
            </w:r>
            <w:r w:rsidR="00A21624" w:rsidRPr="00B606BE">
              <w:rPr>
                <w:b/>
              </w:rPr>
              <w:t>č. </w:t>
            </w:r>
            <w:r w:rsidR="001A33A3" w:rsidRPr="00B606BE">
              <w:rPr>
                <w:b/>
              </w:rPr>
              <w:t>6</w:t>
            </w:r>
            <w:r w:rsidR="001A480E">
              <w:rPr>
                <w:b/>
              </w:rPr>
              <w:t xml:space="preserve">  </w:t>
            </w:r>
            <w:r>
              <w:rPr>
                <w:b/>
              </w:rPr>
              <w:t xml:space="preserve">Hrubá přidaná hodnota nefinančních podniků </w:t>
            </w:r>
            <w:r w:rsidRPr="00AA4429">
              <w:t>(meziroční změna v mld. korun)</w:t>
            </w:r>
          </w:p>
        </w:tc>
      </w:tr>
      <w:tr w:rsidR="000979EC" w14:paraId="62222606" w14:textId="77777777" w:rsidTr="00E503A5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5C8D332B" w14:textId="77777777" w:rsidR="000979EC" w:rsidRDefault="000979EC" w:rsidP="00E503A5">
            <w:pPr>
              <w:pStyle w:val="Marginlie"/>
            </w:pPr>
          </w:p>
        </w:tc>
        <w:tc>
          <w:tcPr>
            <w:tcW w:w="229" w:type="dxa"/>
            <w:vMerge/>
            <w:shd w:val="clear" w:color="auto" w:fill="auto"/>
          </w:tcPr>
          <w:p w14:paraId="2FF0D4DC" w14:textId="77777777" w:rsidR="000979EC" w:rsidRDefault="000979EC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4522C667" w14:textId="77777777" w:rsidR="000979EC" w:rsidRDefault="000979EC" w:rsidP="00E503A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32D8BCBD" wp14:editId="3FCD7368">
                  <wp:extent cx="4737600" cy="3553200"/>
                  <wp:effectExtent l="0" t="0" r="6350" b="0"/>
                  <wp:docPr id="12" name="Graf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0979EC" w14:paraId="473D7AB6" w14:textId="77777777" w:rsidTr="00E503A5"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53198E64" w14:textId="77777777" w:rsidR="000979EC" w:rsidRDefault="000979EC" w:rsidP="00E503A5">
            <w:pPr>
              <w:pStyle w:val="Marginlie"/>
            </w:pPr>
          </w:p>
        </w:tc>
        <w:tc>
          <w:tcPr>
            <w:tcW w:w="229" w:type="dxa"/>
            <w:vMerge/>
            <w:shd w:val="clear" w:color="auto" w:fill="auto"/>
          </w:tcPr>
          <w:p w14:paraId="167886D8" w14:textId="77777777" w:rsidR="000979EC" w:rsidRDefault="000979EC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28D9D141" w14:textId="77777777" w:rsidR="000979EC" w:rsidRDefault="000979EC" w:rsidP="00E503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tr w:rsidR="000979EC" w14:paraId="54AABF6E" w14:textId="77777777" w:rsidTr="00E503A5">
        <w:trPr>
          <w:trHeight w:val="145"/>
        </w:trPr>
        <w:tc>
          <w:tcPr>
            <w:tcW w:w="1805" w:type="dxa"/>
            <w:shd w:val="clear" w:color="auto" w:fill="auto"/>
          </w:tcPr>
          <w:p w14:paraId="1C9978A1" w14:textId="12B2D6E9" w:rsidR="000979EC" w:rsidRDefault="000979EC" w:rsidP="00E503A5">
            <w:pPr>
              <w:pStyle w:val="Marginlie"/>
            </w:pPr>
            <w:r>
              <w:t xml:space="preserve">Dařilo se zejména výrobě motorových vozidel </w:t>
            </w:r>
            <w:r w:rsidR="001A33A3">
              <w:t>a </w:t>
            </w:r>
            <w:r>
              <w:t>navazujícím oborům.</w:t>
            </w:r>
          </w:p>
        </w:tc>
        <w:tc>
          <w:tcPr>
            <w:tcW w:w="229" w:type="dxa"/>
            <w:shd w:val="clear" w:color="auto" w:fill="auto"/>
          </w:tcPr>
          <w:p w14:paraId="46B56A2A" w14:textId="77777777" w:rsidR="000979EC" w:rsidRDefault="000979EC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38B6B782" w14:textId="70A430C1" w:rsidR="000979EC" w:rsidRDefault="000979EC" w:rsidP="00E503A5">
            <w:r>
              <w:t xml:space="preserve">Až do roku 2016 měla </w:t>
            </w:r>
            <w:r w:rsidR="001A33A3">
              <w:t>v </w:t>
            </w:r>
            <w:r>
              <w:t>české ekonomice největší podíl na HPH nefinančních podniků průmyslová odvětví</w:t>
            </w:r>
            <w:r>
              <w:rPr>
                <w:rStyle w:val="Znakapoznpodarou"/>
              </w:rPr>
              <w:footnoteReference w:id="4"/>
            </w:r>
            <w:r>
              <w:t xml:space="preserve">. V posledních třech letech ale došlo k posílení služeb, které čerpaly z rostoucích příjmů </w:t>
            </w:r>
            <w:r w:rsidR="001A33A3">
              <w:t>a </w:t>
            </w:r>
            <w:r>
              <w:t xml:space="preserve">poptávky domácích spotřebitelů. Průmyslová odvětví ale loni nadále výrazně přispívala k růstu HPH. Jejich hrubá přidaná hodnota se loni zvýšila </w:t>
            </w:r>
            <w:r w:rsidR="001A33A3">
              <w:t>o </w:t>
            </w:r>
            <w:r>
              <w:t>65,9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>přírůstek podstatně zrychlil oproti předchozímu roku. Důvodem byl zejména příznivý vývoj ve výrobě motorových vozidel (+17,6</w:t>
            </w:r>
            <w:r w:rsidR="00A21624">
              <w:t> mld.</w:t>
            </w:r>
            <w:r>
              <w:t xml:space="preserve"> korun). Dařilo se tím pádem </w:t>
            </w:r>
            <w:r w:rsidR="001A33A3">
              <w:t>i </w:t>
            </w:r>
            <w:r>
              <w:t xml:space="preserve">odvětvím, která jsou na výrobu motorových vozidel navázána – výroba </w:t>
            </w:r>
            <w:r>
              <w:lastRenderedPageBreak/>
              <w:t xml:space="preserve">pryžových </w:t>
            </w:r>
            <w:r w:rsidR="001A33A3">
              <w:t>a </w:t>
            </w:r>
            <w:r>
              <w:t>plastových výrobků (+5,8</w:t>
            </w:r>
            <w:r w:rsidR="00A21624">
              <w:t> mld.</w:t>
            </w:r>
            <w:r>
              <w:t xml:space="preserve">) </w:t>
            </w:r>
            <w:r w:rsidR="001A33A3">
              <w:t>a </w:t>
            </w:r>
            <w:r>
              <w:t>elektrických zařízení (+5,7</w:t>
            </w:r>
            <w:r w:rsidR="00A21624">
              <w:t> mld.</w:t>
            </w:r>
            <w:r>
              <w:t xml:space="preserve"> korun). V rámci zpracovatelského průmyslu výrazně rostla HPH také ve výrobě kovových konstrukcí </w:t>
            </w:r>
            <w:r w:rsidR="001A33A3">
              <w:t>a </w:t>
            </w:r>
            <w:r>
              <w:t>kovodělných výrobků (+9,0</w:t>
            </w:r>
            <w:r w:rsidR="00A21624">
              <w:t> mld.</w:t>
            </w:r>
            <w:r>
              <w:t xml:space="preserve"> korun). Ve zpracovatelském průmyslu došlo loni k meziročnímu nominálnímu poklesu HPH jen ve</w:t>
            </w:r>
            <w:r w:rsidR="00BB4AF6">
              <w:t xml:space="preserve"> </w:t>
            </w:r>
            <w:r>
              <w:t xml:space="preserve">výrobě počítačů, elektronických </w:t>
            </w:r>
            <w:r w:rsidR="001A33A3">
              <w:t>a </w:t>
            </w:r>
            <w:r>
              <w:t>optických přístrojů (</w:t>
            </w:r>
            <w:r w:rsidR="00A21624">
              <w:t>–</w:t>
            </w:r>
            <w:r>
              <w:t>6,3</w:t>
            </w:r>
            <w:r w:rsidR="00A21624">
              <w:t> mld.</w:t>
            </w:r>
            <w:r>
              <w:t xml:space="preserve"> korun), </w:t>
            </w:r>
            <w:r w:rsidR="001A33A3">
              <w:t>u </w:t>
            </w:r>
            <w:r>
              <w:t xml:space="preserve">výroby základních kovů, hutnictví </w:t>
            </w:r>
            <w:r w:rsidR="001A33A3">
              <w:t>a </w:t>
            </w:r>
            <w:r>
              <w:t>slévárenství (</w:t>
            </w:r>
            <w:r w:rsidR="00A21624">
              <w:t>–</w:t>
            </w:r>
            <w:r>
              <w:t>2,7</w:t>
            </w:r>
            <w:r w:rsidR="00A21624">
              <w:t> mld.</w:t>
            </w:r>
            <w:r>
              <w:t xml:space="preserve">) </w:t>
            </w:r>
            <w:r w:rsidR="001A33A3">
              <w:t>a </w:t>
            </w:r>
            <w:r>
              <w:t>ve výrobě textili</w:t>
            </w:r>
            <w:r w:rsidR="00BB4AF6">
              <w:t>í</w:t>
            </w:r>
            <w:r>
              <w:t xml:space="preserve"> (</w:t>
            </w:r>
            <w:r w:rsidR="00A21624">
              <w:t>–</w:t>
            </w:r>
            <w:r>
              <w:t>0,2</w:t>
            </w:r>
            <w:r w:rsidR="00A21624">
              <w:t> mld.</w:t>
            </w:r>
            <w:r>
              <w:t xml:space="preserve"> korun). K celkovému nominálnímu navýšení výrazně přispěl přírůstek HPH ve výrobě </w:t>
            </w:r>
            <w:r w:rsidR="001A33A3">
              <w:t>a </w:t>
            </w:r>
            <w:r>
              <w:t xml:space="preserve">rozvodu elektřiny, plynu, tepla </w:t>
            </w:r>
            <w:r w:rsidR="001A33A3">
              <w:t>a </w:t>
            </w:r>
            <w:r>
              <w:t>klimatizovaného vzduchu (+12,1</w:t>
            </w:r>
            <w:r w:rsidR="00A21624">
              <w:t> mld.</w:t>
            </w:r>
            <w:r>
              <w:t xml:space="preserve"> korun). Šlo ale </w:t>
            </w:r>
            <w:r w:rsidR="001A33A3">
              <w:t>o </w:t>
            </w:r>
            <w:r>
              <w:t>vliv prudkého cenového nárůstu (reálně HPH v tomto odvětví klesla). Pokles HPH se loni prohloubil na 3,6</w:t>
            </w:r>
            <w:r w:rsidR="00A21624">
              <w:t> mld.</w:t>
            </w:r>
            <w:r>
              <w:t xml:space="preserve"> korun </w:t>
            </w:r>
            <w:r w:rsidR="001A33A3">
              <w:t>u </w:t>
            </w:r>
            <w:r>
              <w:t xml:space="preserve">těžby </w:t>
            </w:r>
            <w:r w:rsidR="001A33A3">
              <w:t>a </w:t>
            </w:r>
            <w:r>
              <w:t xml:space="preserve">úpravy černého </w:t>
            </w:r>
            <w:r w:rsidR="001A33A3">
              <w:t>a </w:t>
            </w:r>
            <w:r>
              <w:t xml:space="preserve">hnědého uhlí. Stavebnictví si udrželo nominální dynamiku z předchozího roku </w:t>
            </w:r>
            <w:r w:rsidR="001A33A3">
              <w:t>a </w:t>
            </w:r>
            <w:r>
              <w:t xml:space="preserve">loni se zde HPH zvýšila </w:t>
            </w:r>
            <w:r w:rsidR="001A33A3">
              <w:t>o </w:t>
            </w:r>
            <w:r>
              <w:t>14,7</w:t>
            </w:r>
            <w:r w:rsidR="00A21624">
              <w:t> mld.</w:t>
            </w:r>
            <w:r>
              <w:t xml:space="preserve"> korun. Růst byl plošný</w:t>
            </w:r>
            <w:r w:rsidR="00BB4AF6">
              <w:t xml:space="preserve"> </w:t>
            </w:r>
            <w:r>
              <w:t>–</w:t>
            </w:r>
            <w:r w:rsidR="00BB4AF6">
              <w:t xml:space="preserve"> </w:t>
            </w:r>
            <w:r>
              <w:t xml:space="preserve">posílila výstavba budov, inženýrské stavitelství </w:t>
            </w:r>
            <w:r w:rsidR="001A33A3">
              <w:t>i </w:t>
            </w:r>
            <w:r>
              <w:t>specializované stavební činnosti.</w:t>
            </w:r>
          </w:p>
        </w:tc>
      </w:tr>
      <w:tr w:rsidR="000979EC" w14:paraId="5CA43FA9" w14:textId="77777777" w:rsidTr="00E503A5">
        <w:trPr>
          <w:trHeight w:val="145"/>
        </w:trPr>
        <w:tc>
          <w:tcPr>
            <w:tcW w:w="1805" w:type="dxa"/>
            <w:shd w:val="clear" w:color="auto" w:fill="auto"/>
          </w:tcPr>
          <w:p w14:paraId="357ECA8F" w14:textId="77777777" w:rsidR="000979EC" w:rsidRDefault="000979EC" w:rsidP="00E503A5">
            <w:pPr>
              <w:pStyle w:val="Marginlie"/>
            </w:pPr>
            <w:r>
              <w:lastRenderedPageBreak/>
              <w:t>Odvětví služeb také posilovala silná domácí poptávka.</w:t>
            </w:r>
          </w:p>
        </w:tc>
        <w:tc>
          <w:tcPr>
            <w:tcW w:w="229" w:type="dxa"/>
            <w:shd w:val="clear" w:color="auto" w:fill="auto"/>
          </w:tcPr>
          <w:p w14:paraId="5C2DA37E" w14:textId="77777777" w:rsidR="000979EC" w:rsidRDefault="000979EC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5DE606EB" w14:textId="1643535A" w:rsidR="000979EC" w:rsidRDefault="000979EC" w:rsidP="00E503A5">
            <w:r>
              <w:t>Služby loni přispěly k celkovému růstu HPH nefinančních podniků 96,0</w:t>
            </w:r>
            <w:r w:rsidR="00A21624">
              <w:t> mld.</w:t>
            </w:r>
            <w:r>
              <w:t xml:space="preserve"> korun. I zde se HPH navyšovala plošně </w:t>
            </w:r>
            <w:r w:rsidR="001A33A3">
              <w:t>a </w:t>
            </w:r>
            <w:r>
              <w:t xml:space="preserve">k drobným poklesům došlo jen </w:t>
            </w:r>
            <w:r w:rsidR="00BB4AF6">
              <w:t>v </w:t>
            </w:r>
            <w:r>
              <w:t xml:space="preserve">několika </w:t>
            </w:r>
            <w:r w:rsidR="00BB4AF6">
              <w:t>výjimkách</w:t>
            </w:r>
            <w:r>
              <w:t xml:space="preserve">. Odvětvím služeb prospíval zvýšený spotřební apetit domácností, ale rovněž firemní poptávka. Nejvíce narostla HPH ve velkoobchodě </w:t>
            </w:r>
            <w:r w:rsidR="001A33A3">
              <w:t>a </w:t>
            </w:r>
            <w:r>
              <w:t xml:space="preserve">maloobchodě, opravách </w:t>
            </w:r>
            <w:r w:rsidR="001A33A3">
              <w:t>a </w:t>
            </w:r>
            <w:r>
              <w:t>údržbě motorových vozidel (+24,4</w:t>
            </w:r>
            <w:r w:rsidR="00A21624">
              <w:t> mld.</w:t>
            </w:r>
            <w:r>
              <w:t xml:space="preserve"> korun). Z toho na 13,7</w:t>
            </w:r>
            <w:r w:rsidR="00A21624">
              <w:t> mld.</w:t>
            </w:r>
            <w:r>
              <w:t xml:space="preserve"> korun posílil přírůstek HPH v maloobchodě. Naopak oproti předchozímu roku loni oslabil růst ve velkoobchodě (+8,3</w:t>
            </w:r>
            <w:r w:rsidR="00A21624">
              <w:t> mld.</w:t>
            </w:r>
            <w:r>
              <w:t xml:space="preserve">). Přírůstek HPH v informačních </w:t>
            </w:r>
            <w:r w:rsidR="001A33A3">
              <w:t>a </w:t>
            </w:r>
            <w:r>
              <w:t>komunikačních činnostech sice loni oslabil, stále ale zůstal poměrně vysoký (17,8</w:t>
            </w:r>
            <w:r w:rsidR="00A21624">
              <w:t> mld.</w:t>
            </w:r>
            <w:r>
              <w:t xml:space="preserve"> korun). </w:t>
            </w:r>
            <w:r w:rsidR="00BB4AF6">
              <w:t>Profesní, vědecké a technické činnosti byly posilovány zejména firemní poptávkou</w:t>
            </w:r>
            <w:r>
              <w:t xml:space="preserve"> (+16,4</w:t>
            </w:r>
            <w:r w:rsidR="00A21624">
              <w:t> mld.</w:t>
            </w:r>
            <w:r>
              <w:t xml:space="preserve"> korun). Z poklesu do růstu </w:t>
            </w:r>
            <w:r w:rsidR="001A33A3">
              <w:t>o </w:t>
            </w:r>
            <w:r>
              <w:t>4,3</w:t>
            </w:r>
            <w:r w:rsidR="00A21624">
              <w:t> mld.</w:t>
            </w:r>
            <w:r>
              <w:t xml:space="preserve"> korun se totiž dostaly činnosti vedení podniků </w:t>
            </w:r>
            <w:r w:rsidR="001A33A3">
              <w:t>a </w:t>
            </w:r>
            <w:r>
              <w:t xml:space="preserve">poradenství v oblasti řízení. Zrychlil rovněž růst HPH </w:t>
            </w:r>
            <w:r w:rsidR="001A33A3">
              <w:t>v </w:t>
            </w:r>
            <w:r>
              <w:t xml:space="preserve">reklamě </w:t>
            </w:r>
            <w:r w:rsidR="001A33A3">
              <w:t>a </w:t>
            </w:r>
            <w:r>
              <w:t xml:space="preserve">průzkumu trhu (+2,3 mld.). Také </w:t>
            </w:r>
            <w:r w:rsidR="001A33A3">
              <w:t>u </w:t>
            </w:r>
            <w:r>
              <w:t xml:space="preserve">dopravy </w:t>
            </w:r>
            <w:r w:rsidR="001A33A3">
              <w:t>a </w:t>
            </w:r>
            <w:r>
              <w:t>skladování došlo k prudkému zrychlení přírůstku HPH (+11,2 mld. korun).</w:t>
            </w:r>
          </w:p>
        </w:tc>
      </w:tr>
      <w:tr w:rsidR="000979EC" w14:paraId="115FB000" w14:textId="77777777" w:rsidTr="00E503A5">
        <w:trPr>
          <w:trHeight w:val="145"/>
        </w:trPr>
        <w:tc>
          <w:tcPr>
            <w:tcW w:w="1805" w:type="dxa"/>
            <w:shd w:val="clear" w:color="auto" w:fill="auto"/>
          </w:tcPr>
          <w:p w14:paraId="242B0B84" w14:textId="77777777" w:rsidR="000979EC" w:rsidRDefault="000979EC" w:rsidP="00E503A5">
            <w:pPr>
              <w:pStyle w:val="Marginlie"/>
            </w:pPr>
            <w:r>
              <w:t>Míra zisku nefinančních podniků opět mírně klesla.</w:t>
            </w:r>
          </w:p>
        </w:tc>
        <w:tc>
          <w:tcPr>
            <w:tcW w:w="229" w:type="dxa"/>
            <w:shd w:val="clear" w:color="auto" w:fill="auto"/>
          </w:tcPr>
          <w:p w14:paraId="2265879E" w14:textId="77777777" w:rsidR="000979EC" w:rsidRDefault="000979EC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2C1088DF" w14:textId="7F668B2C" w:rsidR="000979EC" w:rsidRDefault="000979EC" w:rsidP="00E503A5">
            <w:r>
              <w:t>Nefinanční podniky vyplatily zaměstnancům 1 796,9</w:t>
            </w:r>
            <w:r w:rsidR="00A21624">
              <w:t> mld.</w:t>
            </w:r>
            <w:r>
              <w:t xml:space="preserve"> korun ve formě náhrad. Tato částka se meziročně zvýšila </w:t>
            </w:r>
            <w:r w:rsidR="001A33A3">
              <w:t>o </w:t>
            </w:r>
            <w:r>
              <w:t>101,1</w:t>
            </w:r>
            <w:r w:rsidR="00A21624">
              <w:t> mld.</w:t>
            </w:r>
            <w:r>
              <w:t xml:space="preserve"> korun (6,0</w:t>
            </w:r>
            <w:r w:rsidR="00F118D5">
              <w:t> %</w:t>
            </w:r>
            <w:r>
              <w:t>). Růstové tempo tak zpomalilo oproti předchozím dvěma letům, kdy překročilo 9</w:t>
            </w:r>
            <w:r w:rsidR="00F118D5">
              <w:t> %</w:t>
            </w:r>
            <w:r>
              <w:t xml:space="preserve">. Důvodem je jisté uvolnění silné dynamiky průměrné mzdy, ale rovněž zmírnění růstu zaměstnanosti, která se v sektoru zvýšila </w:t>
            </w:r>
            <w:r w:rsidR="001A33A3">
              <w:t>o </w:t>
            </w:r>
            <w:r>
              <w:t>0,8</w:t>
            </w:r>
            <w:r w:rsidR="00F118D5">
              <w:t> %</w:t>
            </w:r>
            <w:r>
              <w:t xml:space="preserve"> (</w:t>
            </w:r>
            <w:r w:rsidR="001A33A3">
              <w:t>v </w:t>
            </w:r>
            <w:r>
              <w:t xml:space="preserve">letech 2017 </w:t>
            </w:r>
            <w:r w:rsidR="001A33A3">
              <w:t>a </w:t>
            </w:r>
            <w:r>
              <w:t>2018 to bylo 1,8</w:t>
            </w:r>
            <w:r w:rsidR="00F118D5">
              <w:t> %</w:t>
            </w:r>
            <w:r>
              <w:t>). Hrubý provozní přebytek nefinančních podniků loni dosáhl 1 432,4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 xml:space="preserve">meziročně se zvýšil </w:t>
            </w:r>
            <w:r w:rsidR="001A33A3">
              <w:t>o </w:t>
            </w:r>
            <w:r>
              <w:t>74,3</w:t>
            </w:r>
            <w:r w:rsidR="00A21624">
              <w:t> mld.</w:t>
            </w:r>
            <w:r>
              <w:t xml:space="preserve"> Výsledná míra zisku</w:t>
            </w:r>
            <w:r>
              <w:rPr>
                <w:rStyle w:val="Znakapoznpodarou"/>
              </w:rPr>
              <w:footnoteReference w:id="5"/>
            </w:r>
            <w:r>
              <w:t xml:space="preserve"> </w:t>
            </w:r>
            <w:r w:rsidR="001A33A3">
              <w:t>i </w:t>
            </w:r>
            <w:r>
              <w:t xml:space="preserve">tak mírně poklesla </w:t>
            </w:r>
            <w:r w:rsidR="001A33A3">
              <w:t>a </w:t>
            </w:r>
            <w:r>
              <w:t>činila 44,7</w:t>
            </w:r>
            <w:r w:rsidR="00F118D5">
              <w:t> %</w:t>
            </w:r>
            <w:r>
              <w:t>. Míra zisku se během posledních pěti let přiblížila evropskému průměru, který loni činil 39,9 %.</w:t>
            </w:r>
          </w:p>
        </w:tc>
      </w:tr>
      <w:tr w:rsidR="000979EC" w14:paraId="5C9F7852" w14:textId="77777777" w:rsidTr="00E503A5">
        <w:trPr>
          <w:trHeight w:val="145"/>
        </w:trPr>
        <w:tc>
          <w:tcPr>
            <w:tcW w:w="1805" w:type="dxa"/>
            <w:shd w:val="clear" w:color="auto" w:fill="auto"/>
          </w:tcPr>
          <w:p w14:paraId="1EEFB370" w14:textId="6AD95231" w:rsidR="000979EC" w:rsidRDefault="000979EC" w:rsidP="00E503A5">
            <w:pPr>
              <w:pStyle w:val="Marginlie"/>
            </w:pPr>
            <w:r>
              <w:t xml:space="preserve">Zvýšení úroků vedlo k nárůstu důchodů z vlastnictví na straně zdrojů </w:t>
            </w:r>
            <w:r w:rsidR="001A33A3">
              <w:t>i </w:t>
            </w:r>
            <w:r>
              <w:t>užití.</w:t>
            </w:r>
          </w:p>
        </w:tc>
        <w:tc>
          <w:tcPr>
            <w:tcW w:w="229" w:type="dxa"/>
            <w:shd w:val="clear" w:color="auto" w:fill="auto"/>
          </w:tcPr>
          <w:p w14:paraId="6CC39571" w14:textId="77777777" w:rsidR="000979EC" w:rsidRDefault="000979EC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26491460" w14:textId="7C1BC847" w:rsidR="000979EC" w:rsidRDefault="000979EC" w:rsidP="00E503A5">
            <w:r>
              <w:t xml:space="preserve">Saldo důchodů z vlastnictví nefinančních podniků bylo loni opět záporné. Deficit se prohloubil </w:t>
            </w:r>
            <w:r w:rsidR="001A33A3">
              <w:t>o </w:t>
            </w:r>
            <w:r>
              <w:t>28,7</w:t>
            </w:r>
            <w:r w:rsidR="00A21624">
              <w:t> mld.</w:t>
            </w:r>
            <w:r>
              <w:t xml:space="preserve"> korun. Důvodem byl velmi silný růst na straně užití. Prudce se zvýšily úroky, které nefinanční podniky musely platit (+28,9</w:t>
            </w:r>
            <w:r w:rsidR="00A21624">
              <w:t> mld.</w:t>
            </w:r>
            <w:r>
              <w:t xml:space="preserve"> korun), reinvestice z přímých zahraničních investic se zvýšily </w:t>
            </w:r>
            <w:r w:rsidR="001A33A3">
              <w:t>o </w:t>
            </w:r>
            <w:r>
              <w:t>23,0</w:t>
            </w:r>
            <w:r w:rsidR="00A21624">
              <w:t> mld.</w:t>
            </w:r>
            <w:r>
              <w:t xml:space="preserve"> </w:t>
            </w:r>
            <w:r w:rsidR="001A33A3">
              <w:t>a </w:t>
            </w:r>
            <w:r>
              <w:t xml:space="preserve">rozdělované důchody společností </w:t>
            </w:r>
            <w:r w:rsidR="001A33A3">
              <w:t>o </w:t>
            </w:r>
            <w:r>
              <w:t>5,6</w:t>
            </w:r>
            <w:r w:rsidR="00A21624">
              <w:t> mld.</w:t>
            </w:r>
            <w:r>
              <w:t xml:space="preserve"> Na straně zdrojů rostly především (</w:t>
            </w:r>
            <w:r w:rsidR="001A33A3">
              <w:t>o </w:t>
            </w:r>
            <w:r>
              <w:t>22,5</w:t>
            </w:r>
            <w:r w:rsidR="00A21624">
              <w:t> mld.</w:t>
            </w:r>
            <w:r>
              <w:t xml:space="preserve"> korun) úroky, které si připsaly nefinanční podniky. Jen drobně meziročně rostly rozdělované důchody společností (+0,8</w:t>
            </w:r>
            <w:r w:rsidR="00A21624">
              <w:t> mld.</w:t>
            </w:r>
            <w:r>
              <w:t xml:space="preserve">) </w:t>
            </w:r>
            <w:r w:rsidR="001A33A3">
              <w:t>a </w:t>
            </w:r>
            <w:r>
              <w:t>mírný byl nárůst reinvestovaných zisků ze zahraničních investic (+4,5</w:t>
            </w:r>
            <w:r w:rsidR="00A21624">
              <w:t> mld.</w:t>
            </w:r>
            <w:r>
              <w:t>). Výsledné saldo hrubých prvotních důchodů dosáhlo 926,6</w:t>
            </w:r>
            <w:r w:rsidR="00A21624">
              <w:t> mld.</w:t>
            </w:r>
            <w:r>
              <w:t xml:space="preserve"> korun. Navzdory zhoršení deficitu důchodů z vlastnictví se konečný přebytek prvotních důchodů zlepšil </w:t>
            </w:r>
            <w:r w:rsidR="001A33A3">
              <w:t>o </w:t>
            </w:r>
            <w:r>
              <w:t>45,5</w:t>
            </w:r>
            <w:r w:rsidR="00A21624">
              <w:t> mld.</w:t>
            </w:r>
            <w:r>
              <w:t xml:space="preserve"> korun.</w:t>
            </w:r>
          </w:p>
        </w:tc>
      </w:tr>
      <w:tr w:rsidR="000979EC" w14:paraId="1F5AABA5" w14:textId="77777777" w:rsidTr="00E503A5">
        <w:trPr>
          <w:trHeight w:val="212"/>
        </w:trPr>
        <w:tc>
          <w:tcPr>
            <w:tcW w:w="1805" w:type="dxa"/>
            <w:shd w:val="clear" w:color="auto" w:fill="auto"/>
          </w:tcPr>
          <w:p w14:paraId="6CD7CCA2" w14:textId="77777777" w:rsidR="000979EC" w:rsidRDefault="000979EC" w:rsidP="00E503A5">
            <w:pPr>
              <w:pStyle w:val="Marginlie"/>
              <w:spacing w:after="240"/>
            </w:pPr>
            <w:r>
              <w:t>Míra úspor nefinančních podniků se mírně zvýšila, ale stále setrvává pod dlouhodobým průměrem.</w:t>
            </w:r>
          </w:p>
        </w:tc>
        <w:tc>
          <w:tcPr>
            <w:tcW w:w="229" w:type="dxa"/>
            <w:shd w:val="clear" w:color="auto" w:fill="auto"/>
          </w:tcPr>
          <w:p w14:paraId="2DD263CE" w14:textId="77777777" w:rsidR="000979EC" w:rsidRDefault="000979EC" w:rsidP="00E503A5">
            <w:pPr>
              <w:pStyle w:val="Textpoznpodarou10"/>
              <w:spacing w:after="24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7B4BA089" w14:textId="6909C92C" w:rsidR="000979EC" w:rsidRDefault="000979EC" w:rsidP="00E503A5">
            <w:r>
              <w:t>Záporné saldo druhotných důchodů již pět let osciluje okolo hranice 150</w:t>
            </w:r>
            <w:r w:rsidR="00A21624">
              <w:t> mld.</w:t>
            </w:r>
            <w:r>
              <w:t xml:space="preserve"> korun. V loňském roce převážil vliv nárůstu prostředků na straně zdrojů </w:t>
            </w:r>
            <w:r w:rsidR="001A33A3">
              <w:t>a </w:t>
            </w:r>
            <w:r>
              <w:t xml:space="preserve">deficit druhotných důchodů se zmírnil </w:t>
            </w:r>
            <w:r w:rsidR="001A33A3">
              <w:t>o </w:t>
            </w:r>
            <w:r>
              <w:t>9,5</w:t>
            </w:r>
            <w:r w:rsidR="00A21624">
              <w:t> mld.</w:t>
            </w:r>
            <w:r>
              <w:t xml:space="preserve"> korun na 147,2</w:t>
            </w:r>
            <w:r w:rsidR="00A21624">
              <w:t> mld.</w:t>
            </w:r>
            <w:r>
              <w:t xml:space="preserve"> Nefinanční podniky přijaly meziročně </w:t>
            </w:r>
            <w:r w:rsidR="001A33A3">
              <w:t>o </w:t>
            </w:r>
            <w:r>
              <w:t>24,0</w:t>
            </w:r>
            <w:r w:rsidR="00A21624">
              <w:t> mld.</w:t>
            </w:r>
            <w:r>
              <w:t xml:space="preserve"> korun více v podobě ostatních běžných transferů. Naopak běžné transfery, </w:t>
            </w:r>
            <w:r>
              <w:lastRenderedPageBreak/>
              <w:t xml:space="preserve">které sektor vyplatil, se zvýšily </w:t>
            </w:r>
            <w:r w:rsidR="001A33A3">
              <w:t>o </w:t>
            </w:r>
            <w:r>
              <w:t>22,4</w:t>
            </w:r>
            <w:r w:rsidR="00A21624">
              <w:t> mld.</w:t>
            </w:r>
            <w:r>
              <w:t xml:space="preserve"> Poklesl však objem odvedených běžných daní z</w:t>
            </w:r>
            <w:r w:rsidR="00C12D52">
              <w:t> </w:t>
            </w:r>
            <w:r>
              <w:t>důchodů</w:t>
            </w:r>
            <w:r w:rsidR="00C12D52">
              <w:t>,</w:t>
            </w:r>
            <w:r>
              <w:t xml:space="preserve"> jmění </w:t>
            </w:r>
            <w:r w:rsidR="001A33A3">
              <w:t>a </w:t>
            </w:r>
            <w:r>
              <w:t>jiných (</w:t>
            </w:r>
            <w:r w:rsidR="00A21624">
              <w:t>–</w:t>
            </w:r>
            <w:r>
              <w:t>7,9</w:t>
            </w:r>
            <w:r w:rsidR="00A21624">
              <w:t> mld.</w:t>
            </w:r>
            <w:r>
              <w:t xml:space="preserve"> korun). Výsledné hrubé úspory nefinančních podniků dosáhly 779,3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 xml:space="preserve">meziročně se zvýšily </w:t>
            </w:r>
            <w:r w:rsidR="001A33A3">
              <w:t>o </w:t>
            </w:r>
            <w:r>
              <w:t>55,0</w:t>
            </w:r>
            <w:r w:rsidR="00A21624">
              <w:t> mld.</w:t>
            </w:r>
            <w:r>
              <w:t xml:space="preserve"> Míra úspor</w:t>
            </w:r>
            <w:r>
              <w:rPr>
                <w:rStyle w:val="Znakapoznpodarou"/>
              </w:rPr>
              <w:footnoteReference w:id="6"/>
            </w:r>
            <w:r>
              <w:t xml:space="preserve"> rostla jen mírně </w:t>
            </w:r>
            <w:r w:rsidR="001A33A3">
              <w:t>a </w:t>
            </w:r>
            <w:r>
              <w:t>dosáhla 24,3</w:t>
            </w:r>
            <w:r w:rsidR="00A21624">
              <w:t> mld.</w:t>
            </w:r>
            <w:r>
              <w:t xml:space="preserve"> korun. To je podobně jako v předchozím roce podprůměrný výsledek</w:t>
            </w:r>
            <w:r>
              <w:rPr>
                <w:rStyle w:val="Znakapoznpodarou"/>
              </w:rPr>
              <w:footnoteReference w:id="7"/>
            </w:r>
            <w:r>
              <w:t>. Saldo kapitálových transferů bylo loni kladné, ale výrazně se snížilo (</w:t>
            </w:r>
            <w:r w:rsidR="001A33A3">
              <w:t>o </w:t>
            </w:r>
            <w:r>
              <w:t>12,8</w:t>
            </w:r>
            <w:r w:rsidR="00A21624">
              <w:t> mld.</w:t>
            </w:r>
            <w:r>
              <w:t xml:space="preserve"> korun na 18,9</w:t>
            </w:r>
            <w:r w:rsidR="00A21624">
              <w:t> mld.</w:t>
            </w:r>
            <w:r>
              <w:t>). Snížily se totiž přijaté investiční dotace (</w:t>
            </w:r>
            <w:r w:rsidR="001A33A3">
              <w:t>o </w:t>
            </w:r>
            <w:r>
              <w:t>8,7</w:t>
            </w:r>
            <w:r w:rsidR="00BF6EE6">
              <w:t> </w:t>
            </w:r>
            <w:r>
              <w:t xml:space="preserve">mld. korun) </w:t>
            </w:r>
            <w:r w:rsidR="001A33A3">
              <w:t>i </w:t>
            </w:r>
            <w:r>
              <w:t>ostatní kapitálové transfery (</w:t>
            </w:r>
            <w:r w:rsidR="00A21624">
              <w:t>–</w:t>
            </w:r>
            <w:r>
              <w:t>3,0</w:t>
            </w:r>
            <w:r w:rsidR="00A21624">
              <w:t> mld.</w:t>
            </w:r>
            <w:r>
              <w:t xml:space="preserve">). Na druhé straně nefinanční podniky vydaly ve formě kapitálových transferů meziročně </w:t>
            </w:r>
            <w:r w:rsidR="001A33A3">
              <w:t>o </w:t>
            </w:r>
            <w:r>
              <w:t>1,1</w:t>
            </w:r>
            <w:r w:rsidR="00A21624">
              <w:t> mld.</w:t>
            </w:r>
            <w:r>
              <w:t xml:space="preserve"> více.</w:t>
            </w:r>
          </w:p>
        </w:tc>
      </w:tr>
      <w:tr w:rsidR="000979EC" w14:paraId="4B5B98CE" w14:textId="77777777" w:rsidTr="00E503A5">
        <w:trPr>
          <w:trHeight w:val="212"/>
        </w:trPr>
        <w:tc>
          <w:tcPr>
            <w:tcW w:w="1805" w:type="dxa"/>
            <w:shd w:val="clear" w:color="auto" w:fill="auto"/>
          </w:tcPr>
          <w:p w14:paraId="7477A6CA" w14:textId="77777777" w:rsidR="000979EC" w:rsidRDefault="000979EC" w:rsidP="00E503A5">
            <w:pPr>
              <w:pStyle w:val="Marginlie"/>
              <w:spacing w:after="240"/>
            </w:pPr>
            <w:r>
              <w:lastRenderedPageBreak/>
              <w:t>Investiční aktivita nefinančních podniků loni posílila.</w:t>
            </w:r>
          </w:p>
        </w:tc>
        <w:tc>
          <w:tcPr>
            <w:tcW w:w="229" w:type="dxa"/>
            <w:shd w:val="clear" w:color="auto" w:fill="auto"/>
          </w:tcPr>
          <w:p w14:paraId="2D468906" w14:textId="77777777" w:rsidR="000979EC" w:rsidRDefault="000979EC" w:rsidP="00E503A5">
            <w:pPr>
              <w:pStyle w:val="Textpoznpodarou10"/>
              <w:spacing w:after="24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0603658D" w14:textId="56D44333" w:rsidR="000979EC" w:rsidRDefault="000979EC" w:rsidP="00E503A5">
            <w:r>
              <w:t xml:space="preserve">Investiční aktivita nefinančních podniků v loňském roce posílila. Výdaje na tvorbu hrubého fixního kapitálu se zvýšily </w:t>
            </w:r>
            <w:r w:rsidR="001A33A3">
              <w:t>o </w:t>
            </w:r>
            <w:r>
              <w:t>55,2</w:t>
            </w:r>
            <w:r w:rsidR="00A21624">
              <w:t> mld.</w:t>
            </w:r>
            <w:r>
              <w:t xml:space="preserve"> korun na 933,3</w:t>
            </w:r>
            <w:r w:rsidR="00A21624">
              <w:t> mld.</w:t>
            </w:r>
            <w:r>
              <w:t xml:space="preserve"> Míra investic</w:t>
            </w:r>
            <w:r>
              <w:rPr>
                <w:rStyle w:val="Znakapoznpodarou"/>
              </w:rPr>
              <w:footnoteReference w:id="8"/>
            </w:r>
            <w:r>
              <w:t xml:space="preserve"> dosáhla 29,1</w:t>
            </w:r>
            <w:r w:rsidR="00F118D5">
              <w:t> %</w:t>
            </w:r>
            <w:r>
              <w:t xml:space="preserve"> </w:t>
            </w:r>
            <w:r w:rsidR="001A33A3">
              <w:t>a </w:t>
            </w:r>
            <w:r>
              <w:t>meziročně se zvýšila jen nepatrně. Na prakticky stejné úrovni tedy míra investic setrvala tři roky. Porovnání hrubého fixního kapitálu s hrubými úsporami ukazuje, že míra samofinancování</w:t>
            </w:r>
            <w:r>
              <w:rPr>
                <w:rStyle w:val="Znakapoznpodarou"/>
              </w:rPr>
              <w:footnoteReference w:id="9"/>
            </w:r>
            <w:r>
              <w:t xml:space="preserve"> nefinančních podniků dosáhla 83,5</w:t>
            </w:r>
            <w:r w:rsidR="00F118D5">
              <w:t> %</w:t>
            </w:r>
            <w:r>
              <w:t xml:space="preserve"> </w:t>
            </w:r>
            <w:r w:rsidR="001A33A3">
              <w:t>a </w:t>
            </w:r>
            <w:r>
              <w:t xml:space="preserve">meziročně se zvýšila </w:t>
            </w:r>
            <w:r w:rsidR="001A33A3">
              <w:t>o </w:t>
            </w:r>
            <w:r>
              <w:t>1</w:t>
            </w:r>
            <w:r w:rsidR="00F118D5">
              <w:t> p. b.</w:t>
            </w:r>
            <w:r>
              <w:t xml:space="preserve"> Nutnost financování se projevila nárůstem hodnoty půjček v závazcích nefinančních podniků </w:t>
            </w:r>
            <w:r w:rsidR="001A33A3">
              <w:t>o </w:t>
            </w:r>
            <w:r>
              <w:t>8,4</w:t>
            </w:r>
            <w:r w:rsidR="00A21624">
              <w:t> mld.</w:t>
            </w:r>
            <w:r>
              <w:t xml:space="preserve"> korun (</w:t>
            </w:r>
            <w:r w:rsidR="001A33A3">
              <w:t>z </w:t>
            </w:r>
            <w:r>
              <w:t xml:space="preserve">toho dlouhodobé půjčky narostly </w:t>
            </w:r>
            <w:r w:rsidR="001A33A3">
              <w:t>o </w:t>
            </w:r>
            <w:r>
              <w:t>12,8</w:t>
            </w:r>
            <w:r w:rsidR="00A21624">
              <w:t> mld.</w:t>
            </w:r>
            <w:r>
              <w:t xml:space="preserve">), šlo ale </w:t>
            </w:r>
            <w:r w:rsidR="001A33A3">
              <w:t>o </w:t>
            </w:r>
            <w:r>
              <w:t xml:space="preserve">výrazně menší přírůstek než v předchozích letech. Zčásti se navýšila </w:t>
            </w:r>
            <w:r w:rsidR="001A33A3">
              <w:t>i </w:t>
            </w:r>
            <w:r>
              <w:t>hodnota dluhových cenných papírů (+5,4</w:t>
            </w:r>
            <w:r w:rsidR="00A21624">
              <w:t> mld.</w:t>
            </w:r>
            <w:r>
              <w:t xml:space="preserve">). Místo půjček </w:t>
            </w:r>
            <w:r w:rsidR="001A33A3">
              <w:t>a </w:t>
            </w:r>
            <w:r>
              <w:t xml:space="preserve">dalších dluhových nástrojů loni </w:t>
            </w:r>
            <w:r w:rsidR="001A33A3">
              <w:t>v </w:t>
            </w:r>
            <w:r>
              <w:t xml:space="preserve">závazcích posilovaly účasti </w:t>
            </w:r>
            <w:r w:rsidR="001A33A3">
              <w:t>a </w:t>
            </w:r>
            <w:r>
              <w:t>podíly v investičních fondech (+468,8</w:t>
            </w:r>
            <w:r w:rsidR="00A21624">
              <w:t> mld.</w:t>
            </w:r>
            <w:r>
              <w:t xml:space="preserve"> korun).</w:t>
            </w:r>
          </w:p>
        </w:tc>
      </w:tr>
      <w:tr w:rsidR="000979EC" w14:paraId="6AEE01ED" w14:textId="77777777" w:rsidTr="00E503A5">
        <w:trPr>
          <w:trHeight w:val="170"/>
        </w:trPr>
        <w:tc>
          <w:tcPr>
            <w:tcW w:w="1805" w:type="dxa"/>
            <w:vMerge w:val="restart"/>
            <w:shd w:val="clear" w:color="auto" w:fill="auto"/>
          </w:tcPr>
          <w:p w14:paraId="1401F4B9" w14:textId="77777777" w:rsidR="000979EC" w:rsidRDefault="000979EC" w:rsidP="00E503A5">
            <w:pPr>
              <w:pStyle w:val="Marginlie"/>
              <w:spacing w:after="240"/>
            </w:pPr>
          </w:p>
        </w:tc>
        <w:tc>
          <w:tcPr>
            <w:tcW w:w="229" w:type="dxa"/>
            <w:vMerge w:val="restart"/>
            <w:shd w:val="clear" w:color="auto" w:fill="auto"/>
          </w:tcPr>
          <w:p w14:paraId="2A16278A" w14:textId="77777777" w:rsidR="000979EC" w:rsidRDefault="000979EC" w:rsidP="00E503A5">
            <w:pPr>
              <w:pStyle w:val="Textpoznpodarou10"/>
              <w:spacing w:after="24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2EF793CE" w14:textId="616E9B94" w:rsidR="000979EC" w:rsidRPr="00186A95" w:rsidRDefault="000979EC" w:rsidP="00E503A5">
            <w:pPr>
              <w:spacing w:after="0"/>
              <w:rPr>
                <w:b/>
              </w:rPr>
            </w:pPr>
            <w:r w:rsidRPr="00186A95">
              <w:rPr>
                <w:b/>
              </w:rPr>
              <w:t xml:space="preserve">Graf </w:t>
            </w:r>
            <w:r w:rsidR="00A21624">
              <w:rPr>
                <w:b/>
              </w:rPr>
              <w:t>č. </w:t>
            </w:r>
            <w:r w:rsidR="001A33A3">
              <w:rPr>
                <w:b/>
              </w:rPr>
              <w:t>7</w:t>
            </w:r>
            <w:r w:rsidR="001A480E">
              <w:rPr>
                <w:b/>
              </w:rPr>
              <w:t xml:space="preserve">  </w:t>
            </w:r>
            <w:r w:rsidRPr="00186A95">
              <w:rPr>
                <w:b/>
              </w:rPr>
              <w:t xml:space="preserve">Míra úspor, míra investic </w:t>
            </w:r>
            <w:r w:rsidR="001A33A3" w:rsidRPr="00186A95">
              <w:rPr>
                <w:b/>
              </w:rPr>
              <w:t>a</w:t>
            </w:r>
            <w:r w:rsidR="001A33A3">
              <w:rPr>
                <w:b/>
              </w:rPr>
              <w:t> </w:t>
            </w:r>
            <w:r w:rsidRPr="00186A95">
              <w:rPr>
                <w:b/>
              </w:rPr>
              <w:t xml:space="preserve">míra zisku </w:t>
            </w:r>
            <w:r w:rsidRPr="00186A95">
              <w:t>(v</w:t>
            </w:r>
            <w:r w:rsidR="00F118D5">
              <w:t> %</w:t>
            </w:r>
            <w:r w:rsidRPr="00186A95">
              <w:t>)</w:t>
            </w:r>
          </w:p>
        </w:tc>
      </w:tr>
      <w:tr w:rsidR="000979EC" w14:paraId="66733255" w14:textId="77777777" w:rsidTr="00E503A5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47CCD4DD" w14:textId="77777777" w:rsidR="000979EC" w:rsidRDefault="000979EC" w:rsidP="00E503A5">
            <w:pPr>
              <w:pStyle w:val="Marginlie"/>
              <w:spacing w:after="240"/>
            </w:pPr>
          </w:p>
        </w:tc>
        <w:tc>
          <w:tcPr>
            <w:tcW w:w="229" w:type="dxa"/>
            <w:vMerge/>
            <w:shd w:val="clear" w:color="auto" w:fill="auto"/>
          </w:tcPr>
          <w:p w14:paraId="180EEE31" w14:textId="77777777" w:rsidR="000979EC" w:rsidRDefault="000979EC" w:rsidP="00E503A5">
            <w:pPr>
              <w:pStyle w:val="Textpoznpodarou10"/>
              <w:spacing w:after="24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0FD4815B" w14:textId="77777777" w:rsidR="000979EC" w:rsidRDefault="000979EC" w:rsidP="00E503A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7D120F7" wp14:editId="3CEA88CF">
                  <wp:extent cx="4737600" cy="3553200"/>
                  <wp:effectExtent l="0" t="0" r="0" b="0"/>
                  <wp:docPr id="13" name="Graf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979EC" w14:paraId="41B2EA83" w14:textId="77777777" w:rsidTr="00E503A5">
        <w:trPr>
          <w:trHeight w:val="170"/>
        </w:trPr>
        <w:tc>
          <w:tcPr>
            <w:tcW w:w="1805" w:type="dxa"/>
            <w:vMerge/>
            <w:shd w:val="clear" w:color="auto" w:fill="auto"/>
          </w:tcPr>
          <w:p w14:paraId="6C5EE282" w14:textId="77777777" w:rsidR="000979EC" w:rsidRDefault="000979EC" w:rsidP="00E503A5">
            <w:pPr>
              <w:pStyle w:val="Marginlie"/>
              <w:spacing w:after="240"/>
            </w:pPr>
          </w:p>
        </w:tc>
        <w:tc>
          <w:tcPr>
            <w:tcW w:w="229" w:type="dxa"/>
            <w:vMerge/>
            <w:shd w:val="clear" w:color="auto" w:fill="auto"/>
          </w:tcPr>
          <w:p w14:paraId="0F248A31" w14:textId="77777777" w:rsidR="000979EC" w:rsidRDefault="000979EC" w:rsidP="00E503A5">
            <w:pPr>
              <w:pStyle w:val="Textpoznpodarou10"/>
              <w:spacing w:after="24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07D6421C" w14:textId="77777777" w:rsidR="000979EC" w:rsidRPr="00186A95" w:rsidRDefault="000979EC" w:rsidP="00E503A5">
            <w:pPr>
              <w:rPr>
                <w:sz w:val="16"/>
                <w:szCs w:val="16"/>
              </w:rPr>
            </w:pPr>
            <w:r w:rsidRPr="00186A95">
              <w:rPr>
                <w:sz w:val="16"/>
                <w:szCs w:val="16"/>
              </w:rPr>
              <w:t>Zdroj: ČSÚ</w:t>
            </w:r>
          </w:p>
        </w:tc>
      </w:tr>
    </w:tbl>
    <w:p w14:paraId="657B5454" w14:textId="77777777" w:rsidR="00976681" w:rsidRDefault="00976681" w:rsidP="000979EC">
      <w:pPr>
        <w:pStyle w:val="Nadpis110"/>
      </w:pPr>
    </w:p>
    <w:p w14:paraId="2485AE0E" w14:textId="618E8181" w:rsidR="00976681" w:rsidRDefault="00976681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  <w:bookmarkStart w:id="2" w:name="_GoBack"/>
      <w:bookmarkEnd w:id="2"/>
    </w:p>
    <w:sectPr w:rsidR="00976681" w:rsidSect="009D3AB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13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7FAE8" w16cid:durableId="22D3FA44"/>
  <w16cid:commentId w16cid:paraId="1C72AF4D" w16cid:durableId="22D64A75"/>
  <w16cid:commentId w16cid:paraId="282A67DB" w16cid:durableId="22D40348"/>
  <w16cid:commentId w16cid:paraId="74131377" w16cid:durableId="22D405B0"/>
  <w16cid:commentId w16cid:paraId="7D1A41B8" w16cid:durableId="22D40777"/>
  <w16cid:commentId w16cid:paraId="01FFE40C" w16cid:durableId="22D41165"/>
  <w16cid:commentId w16cid:paraId="6EBCA2E2" w16cid:durableId="22D42359"/>
  <w16cid:commentId w16cid:paraId="506DC739" w16cid:durableId="22D64B1C"/>
  <w16cid:commentId w16cid:paraId="014CC69D" w16cid:durableId="22D6A1C4"/>
  <w16cid:commentId w16cid:paraId="28552269" w16cid:durableId="22D6A357"/>
  <w16cid:commentId w16cid:paraId="05257285" w16cid:durableId="22D6FF5C"/>
  <w16cid:commentId w16cid:paraId="65249E36" w16cid:durableId="22D70089"/>
  <w16cid:commentId w16cid:paraId="3DEEA2F9" w16cid:durableId="22D7B641"/>
  <w16cid:commentId w16cid:paraId="51E0656F" w16cid:durableId="22D7B96C"/>
  <w16cid:commentId w16cid:paraId="319DD0C7" w16cid:durableId="22D7BBCD"/>
  <w16cid:commentId w16cid:paraId="2DB24C55" w16cid:durableId="22D80165"/>
  <w16cid:commentId w16cid:paraId="07B9B879" w16cid:durableId="22D809B2"/>
  <w16cid:commentId w16cid:paraId="7C9C8F73" w16cid:durableId="22D824B1"/>
  <w16cid:commentId w16cid:paraId="5483C675" w16cid:durableId="22D81600"/>
  <w16cid:commentId w16cid:paraId="7AA21C0F" w16cid:durableId="22D819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8A7DC" w14:textId="77777777" w:rsidR="00A50EEE" w:rsidRDefault="00A50EEE" w:rsidP="00E71A58">
      <w:r>
        <w:separator/>
      </w:r>
    </w:p>
  </w:endnote>
  <w:endnote w:type="continuationSeparator" w:id="0">
    <w:p w14:paraId="457924FF" w14:textId="77777777" w:rsidR="00A50EEE" w:rsidRDefault="00A50EE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1694B" w14:textId="4041A4B6" w:rsidR="00B606BE" w:rsidRPr="00932443" w:rsidRDefault="00B606B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1384CD77" wp14:editId="68CB0E97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3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9D3AB3">
      <w:rPr>
        <w:szCs w:val="16"/>
      </w:rPr>
      <w:t>14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5AA9" w14:textId="7E19B052" w:rsidR="00B606BE" w:rsidRPr="00932443" w:rsidRDefault="00B606B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704" behindDoc="0" locked="0" layoutInCell="1" allowOverlap="1" wp14:anchorId="50FBB82E" wp14:editId="63D5AA2E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1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9D3AB3">
      <w:rPr>
        <w:rStyle w:val="ZpatChar"/>
        <w:szCs w:val="16"/>
      </w:rPr>
      <w:t>15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75AD2" w14:textId="77777777" w:rsidR="00A50EEE" w:rsidRDefault="00A50EEE" w:rsidP="0084727E">
      <w:pPr>
        <w:spacing w:after="0"/>
      </w:pPr>
      <w:r>
        <w:separator/>
      </w:r>
    </w:p>
  </w:footnote>
  <w:footnote w:type="continuationSeparator" w:id="0">
    <w:p w14:paraId="07DAB90C" w14:textId="77777777" w:rsidR="00A50EEE" w:rsidRDefault="00A50EEE" w:rsidP="00E71A58">
      <w:r>
        <w:continuationSeparator/>
      </w:r>
    </w:p>
  </w:footnote>
  <w:footnote w:id="1">
    <w:p w14:paraId="28226C69" w14:textId="52621B3A" w:rsidR="00B606BE" w:rsidRPr="003D70D7" w:rsidRDefault="00B606BE" w:rsidP="000979EC">
      <w:pPr>
        <w:pStyle w:val="Textpoznpodarou"/>
        <w:rPr>
          <w:sz w:val="16"/>
          <w:szCs w:val="16"/>
        </w:rPr>
      </w:pPr>
      <w:r w:rsidRPr="003D70D7">
        <w:rPr>
          <w:rStyle w:val="Znakapoznpodarou"/>
          <w:sz w:val="16"/>
          <w:szCs w:val="16"/>
        </w:rPr>
        <w:footnoteRef/>
      </w:r>
      <w:r w:rsidRPr="003D70D7">
        <w:rPr>
          <w:sz w:val="16"/>
          <w:szCs w:val="16"/>
        </w:rPr>
        <w:t xml:space="preserve"> Není-li uvedeno jinak, jsou údaje o</w:t>
      </w:r>
      <w:r>
        <w:rPr>
          <w:sz w:val="16"/>
          <w:szCs w:val="16"/>
        </w:rPr>
        <w:t> </w:t>
      </w:r>
      <w:r w:rsidRPr="003D70D7">
        <w:rPr>
          <w:sz w:val="16"/>
          <w:szCs w:val="16"/>
        </w:rPr>
        <w:t>hrubé přidané hodnotě uvedeny v běžných cenách.</w:t>
      </w:r>
    </w:p>
  </w:footnote>
  <w:footnote w:id="2">
    <w:p w14:paraId="4BA5B3F0" w14:textId="77777777" w:rsidR="00B606BE" w:rsidRPr="003D70D7" w:rsidRDefault="00B606BE" w:rsidP="000979EC">
      <w:pPr>
        <w:pStyle w:val="Textpoznpodarou"/>
        <w:rPr>
          <w:sz w:val="16"/>
          <w:szCs w:val="16"/>
        </w:rPr>
      </w:pPr>
      <w:r w:rsidRPr="003D70D7">
        <w:rPr>
          <w:rStyle w:val="Znakapoznpodarou"/>
          <w:sz w:val="16"/>
          <w:szCs w:val="16"/>
        </w:rPr>
        <w:footnoteRef/>
      </w:r>
      <w:r w:rsidRPr="003D70D7">
        <w:rPr>
          <w:sz w:val="16"/>
          <w:szCs w:val="16"/>
        </w:rPr>
        <w:t xml:space="preserve"> Do reálného vyjádření převedeno pomocí deflátoru HPH.</w:t>
      </w:r>
    </w:p>
  </w:footnote>
  <w:footnote w:id="3">
    <w:p w14:paraId="2EF4D614" w14:textId="77777777" w:rsidR="00B606BE" w:rsidRPr="003D70D7" w:rsidRDefault="00B606BE" w:rsidP="000979EC">
      <w:pPr>
        <w:pStyle w:val="Textpoznpodarou"/>
        <w:rPr>
          <w:sz w:val="16"/>
          <w:szCs w:val="16"/>
        </w:rPr>
      </w:pPr>
      <w:r w:rsidRPr="003D70D7">
        <w:rPr>
          <w:rStyle w:val="Znakapoznpodarou"/>
          <w:sz w:val="16"/>
          <w:szCs w:val="16"/>
        </w:rPr>
        <w:footnoteRef/>
      </w:r>
      <w:r w:rsidRPr="003D70D7">
        <w:rPr>
          <w:sz w:val="16"/>
          <w:szCs w:val="16"/>
        </w:rPr>
        <w:t xml:space="preserve"> Přepočteno na úvazky na plnou pracovní dobu.</w:t>
      </w:r>
    </w:p>
  </w:footnote>
  <w:footnote w:id="4">
    <w:p w14:paraId="01C59995" w14:textId="3ACCAC9B" w:rsidR="00B606BE" w:rsidRPr="00CD0610" w:rsidRDefault="00B606BE" w:rsidP="000979EC">
      <w:pPr>
        <w:pStyle w:val="Textpoznpodarou"/>
        <w:rPr>
          <w:sz w:val="16"/>
          <w:szCs w:val="16"/>
        </w:rPr>
      </w:pPr>
      <w:r w:rsidRPr="003D70D7">
        <w:rPr>
          <w:rStyle w:val="Znakapoznpodarou"/>
          <w:sz w:val="16"/>
          <w:szCs w:val="16"/>
        </w:rPr>
        <w:footnoteRef/>
      </w:r>
      <w:r w:rsidRPr="003D70D7">
        <w:rPr>
          <w:sz w:val="16"/>
          <w:szCs w:val="16"/>
        </w:rPr>
        <w:t xml:space="preserve"> Sekce klasifikace NACE: B</w:t>
      </w:r>
      <w:r>
        <w:rPr>
          <w:sz w:val="16"/>
          <w:szCs w:val="16"/>
        </w:rPr>
        <w:t> </w:t>
      </w:r>
      <w:r w:rsidRPr="003D70D7">
        <w:rPr>
          <w:sz w:val="16"/>
          <w:szCs w:val="16"/>
        </w:rPr>
        <w:t>Těžba a</w:t>
      </w:r>
      <w:r>
        <w:rPr>
          <w:sz w:val="16"/>
          <w:szCs w:val="16"/>
        </w:rPr>
        <w:t> </w:t>
      </w:r>
      <w:r w:rsidRPr="003D70D7">
        <w:rPr>
          <w:sz w:val="16"/>
          <w:szCs w:val="16"/>
        </w:rPr>
        <w:t>dobývání, C</w:t>
      </w:r>
      <w:r>
        <w:rPr>
          <w:sz w:val="16"/>
          <w:szCs w:val="16"/>
        </w:rPr>
        <w:t> </w:t>
      </w:r>
      <w:r w:rsidRPr="003D70D7">
        <w:rPr>
          <w:sz w:val="16"/>
          <w:szCs w:val="16"/>
        </w:rPr>
        <w:t>Zpracovatelský průmysl, D</w:t>
      </w:r>
      <w:r>
        <w:rPr>
          <w:sz w:val="16"/>
          <w:szCs w:val="16"/>
        </w:rPr>
        <w:t> </w:t>
      </w:r>
      <w:r w:rsidRPr="003D70D7">
        <w:rPr>
          <w:sz w:val="16"/>
          <w:szCs w:val="16"/>
        </w:rPr>
        <w:t>Výroba a</w:t>
      </w:r>
      <w:r>
        <w:rPr>
          <w:sz w:val="16"/>
          <w:szCs w:val="16"/>
        </w:rPr>
        <w:t> </w:t>
      </w:r>
      <w:r w:rsidRPr="003D70D7">
        <w:rPr>
          <w:sz w:val="16"/>
          <w:szCs w:val="16"/>
        </w:rPr>
        <w:t>rozvod elektřiny, plynu, tepla a</w:t>
      </w:r>
      <w:r>
        <w:rPr>
          <w:sz w:val="16"/>
          <w:szCs w:val="16"/>
        </w:rPr>
        <w:t> </w:t>
      </w:r>
      <w:r w:rsidRPr="003D70D7">
        <w:rPr>
          <w:sz w:val="16"/>
          <w:szCs w:val="16"/>
        </w:rPr>
        <w:t>klimatizovaného</w:t>
      </w:r>
      <w:r w:rsidRPr="00CD0610">
        <w:rPr>
          <w:sz w:val="16"/>
          <w:szCs w:val="16"/>
        </w:rPr>
        <w:t xml:space="preserve"> vzduchu, E</w:t>
      </w:r>
      <w:r>
        <w:rPr>
          <w:sz w:val="16"/>
          <w:szCs w:val="16"/>
        </w:rPr>
        <w:t> </w:t>
      </w:r>
      <w:r w:rsidRPr="00CD0610">
        <w:rPr>
          <w:sz w:val="16"/>
          <w:szCs w:val="16"/>
        </w:rPr>
        <w:t>Zásobování vodou; činnosti související s odpadními vodami, odpady a</w:t>
      </w:r>
      <w:r>
        <w:rPr>
          <w:sz w:val="16"/>
          <w:szCs w:val="16"/>
        </w:rPr>
        <w:t> </w:t>
      </w:r>
      <w:r w:rsidRPr="00CD0610">
        <w:rPr>
          <w:sz w:val="16"/>
          <w:szCs w:val="16"/>
        </w:rPr>
        <w:t>sanacemi</w:t>
      </w:r>
      <w:r>
        <w:rPr>
          <w:sz w:val="16"/>
          <w:szCs w:val="16"/>
        </w:rPr>
        <w:t>.</w:t>
      </w:r>
    </w:p>
  </w:footnote>
  <w:footnote w:id="5">
    <w:p w14:paraId="14A19437" w14:textId="6ACF3F3E" w:rsidR="00B606BE" w:rsidRPr="00E364BB" w:rsidRDefault="00B606BE" w:rsidP="000979E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iCs/>
          <w:sz w:val="16"/>
          <w:szCs w:val="16"/>
          <w:lang w:eastAsia="en-US"/>
        </w:rPr>
      </w:pPr>
      <w:r w:rsidRPr="00130759">
        <w:rPr>
          <w:rStyle w:val="Znakapoznpodarou"/>
          <w:rFonts w:cs="Arial"/>
          <w:sz w:val="16"/>
          <w:szCs w:val="16"/>
        </w:rPr>
        <w:footnoteRef/>
      </w:r>
      <w:r w:rsidRPr="00130759">
        <w:rPr>
          <w:rFonts w:cs="Arial"/>
          <w:sz w:val="16"/>
          <w:szCs w:val="16"/>
        </w:rPr>
        <w:t xml:space="preserve"> </w:t>
      </w:r>
      <w:r w:rsidRPr="00130759">
        <w:rPr>
          <w:rFonts w:eastAsiaTheme="minorHAnsi" w:cs="Arial"/>
          <w:bCs/>
          <w:iCs/>
          <w:sz w:val="16"/>
          <w:szCs w:val="16"/>
          <w:lang w:eastAsia="en-US"/>
        </w:rPr>
        <w:t xml:space="preserve">Míra zisku nefinančních podniků </w:t>
      </w:r>
      <w:r w:rsidRPr="00130759">
        <w:rPr>
          <w:rFonts w:eastAsiaTheme="minorHAnsi" w:cs="Arial"/>
          <w:iCs/>
          <w:sz w:val="16"/>
          <w:szCs w:val="16"/>
          <w:lang w:eastAsia="en-US"/>
        </w:rPr>
        <w:t>je definována jako podíl hrubého provozního přebytku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130759">
        <w:rPr>
          <w:rFonts w:eastAsiaTheme="minorHAnsi" w:cs="Arial"/>
          <w:iCs/>
          <w:sz w:val="16"/>
          <w:szCs w:val="16"/>
          <w:lang w:eastAsia="en-US"/>
        </w:rPr>
        <w:t>hrubé přidané</w:t>
      </w:r>
      <w:r>
        <w:rPr>
          <w:rFonts w:eastAsiaTheme="minorHAnsi" w:cs="Arial"/>
          <w:iCs/>
          <w:sz w:val="16"/>
          <w:szCs w:val="16"/>
          <w:lang w:eastAsia="en-US"/>
        </w:rPr>
        <w:t xml:space="preserve"> </w:t>
      </w:r>
      <w:r w:rsidRPr="00130759">
        <w:rPr>
          <w:rFonts w:eastAsiaTheme="minorHAnsi" w:cs="Arial"/>
          <w:iCs/>
          <w:sz w:val="16"/>
          <w:szCs w:val="16"/>
          <w:lang w:eastAsia="en-US"/>
        </w:rPr>
        <w:t>hodnotě (B.2g/B.1g).</w:t>
      </w:r>
    </w:p>
  </w:footnote>
  <w:footnote w:id="6">
    <w:p w14:paraId="15BFC678" w14:textId="5FC7E527" w:rsidR="00B606BE" w:rsidRPr="00BB104D" w:rsidRDefault="00B606BE" w:rsidP="000979EC">
      <w:pPr>
        <w:pStyle w:val="Textpoznpodarou"/>
        <w:rPr>
          <w:sz w:val="16"/>
          <w:szCs w:val="16"/>
        </w:rPr>
      </w:pPr>
      <w:r w:rsidRPr="00BB104D">
        <w:rPr>
          <w:rStyle w:val="Znakapoznpodarou"/>
          <w:sz w:val="16"/>
          <w:szCs w:val="16"/>
        </w:rPr>
        <w:footnoteRef/>
      </w:r>
      <w:r w:rsidRPr="00BB104D">
        <w:rPr>
          <w:sz w:val="16"/>
          <w:szCs w:val="16"/>
        </w:rPr>
        <w:t xml:space="preserve"> Míra úspor nefinančních podniků je definována jako podíl hrubých úspor k hrubé přidané hodnotě (B.8g/B.1g)</w:t>
      </w:r>
      <w:r>
        <w:rPr>
          <w:sz w:val="16"/>
          <w:szCs w:val="16"/>
        </w:rPr>
        <w:t>.</w:t>
      </w:r>
    </w:p>
  </w:footnote>
  <w:footnote w:id="7">
    <w:p w14:paraId="792DB4D2" w14:textId="1F1D3A0B" w:rsidR="00B606BE" w:rsidRPr="000006D0" w:rsidRDefault="00B606BE" w:rsidP="000979EC">
      <w:pPr>
        <w:pStyle w:val="Textpoznpodarou"/>
        <w:rPr>
          <w:sz w:val="16"/>
          <w:szCs w:val="16"/>
        </w:rPr>
      </w:pPr>
      <w:r w:rsidRPr="000006D0">
        <w:rPr>
          <w:rStyle w:val="Znakapoznpodarou"/>
          <w:sz w:val="16"/>
          <w:szCs w:val="16"/>
        </w:rPr>
        <w:footnoteRef/>
      </w:r>
      <w:r w:rsidRPr="000006D0">
        <w:rPr>
          <w:sz w:val="16"/>
          <w:szCs w:val="16"/>
        </w:rPr>
        <w:t xml:space="preserve"> Průměr posledních deseti let (2010–2019) činil 25,0</w:t>
      </w:r>
      <w:r>
        <w:rPr>
          <w:sz w:val="16"/>
          <w:szCs w:val="16"/>
        </w:rPr>
        <w:t> %</w:t>
      </w:r>
      <w:r w:rsidRPr="000006D0">
        <w:rPr>
          <w:sz w:val="16"/>
          <w:szCs w:val="16"/>
        </w:rPr>
        <w:t>, za období 2005–2019 to bylo 25,7</w:t>
      </w:r>
      <w:r>
        <w:rPr>
          <w:sz w:val="16"/>
          <w:szCs w:val="16"/>
        </w:rPr>
        <w:t> %</w:t>
      </w:r>
      <w:r w:rsidRPr="000006D0">
        <w:rPr>
          <w:sz w:val="16"/>
          <w:szCs w:val="16"/>
        </w:rPr>
        <w:t>.</w:t>
      </w:r>
    </w:p>
  </w:footnote>
  <w:footnote w:id="8">
    <w:p w14:paraId="697EC436" w14:textId="5A525B7A" w:rsidR="00B606BE" w:rsidRPr="00E364BB" w:rsidRDefault="00B606BE" w:rsidP="000979EC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Arial"/>
          <w:iCs/>
          <w:sz w:val="16"/>
          <w:szCs w:val="16"/>
          <w:lang w:eastAsia="en-US"/>
        </w:rPr>
      </w:pPr>
      <w:r w:rsidRPr="00F675EC">
        <w:rPr>
          <w:rStyle w:val="Znakapoznpodarou"/>
          <w:rFonts w:cs="Arial"/>
          <w:sz w:val="16"/>
          <w:szCs w:val="16"/>
        </w:rPr>
        <w:footnoteRef/>
      </w:r>
      <w:r w:rsidRPr="00F675EC">
        <w:rPr>
          <w:rFonts w:cs="Arial"/>
          <w:sz w:val="16"/>
          <w:szCs w:val="16"/>
        </w:rPr>
        <w:t xml:space="preserve"> </w:t>
      </w:r>
      <w:r w:rsidRPr="00F675EC">
        <w:rPr>
          <w:rFonts w:eastAsiaTheme="minorHAnsi" w:cs="Arial"/>
          <w:bCs/>
          <w:iCs/>
          <w:sz w:val="16"/>
          <w:szCs w:val="16"/>
          <w:lang w:eastAsia="en-US"/>
        </w:rPr>
        <w:t xml:space="preserve">Míra investic nefinančních podniků </w:t>
      </w:r>
      <w:r w:rsidRPr="00F675EC">
        <w:rPr>
          <w:rFonts w:eastAsiaTheme="minorHAnsi" w:cs="Arial"/>
          <w:iCs/>
          <w:sz w:val="16"/>
          <w:szCs w:val="16"/>
          <w:lang w:eastAsia="en-US"/>
        </w:rPr>
        <w:t>je definována jako podíl hrubé tvorby fixního kapitálu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F675EC">
        <w:rPr>
          <w:rFonts w:eastAsiaTheme="minorHAnsi" w:cs="Arial"/>
          <w:iCs/>
          <w:sz w:val="16"/>
          <w:szCs w:val="16"/>
          <w:lang w:eastAsia="en-US"/>
        </w:rPr>
        <w:t>hrubé přidané</w:t>
      </w:r>
      <w:r>
        <w:rPr>
          <w:rFonts w:eastAsiaTheme="minorHAnsi" w:cs="Arial"/>
          <w:iCs/>
          <w:sz w:val="16"/>
          <w:szCs w:val="16"/>
          <w:lang w:eastAsia="en-US"/>
        </w:rPr>
        <w:t xml:space="preserve"> </w:t>
      </w:r>
      <w:r w:rsidRPr="00F675EC">
        <w:rPr>
          <w:rFonts w:eastAsiaTheme="minorHAnsi" w:cs="Arial"/>
          <w:iCs/>
          <w:sz w:val="16"/>
          <w:szCs w:val="16"/>
          <w:lang w:eastAsia="en-US"/>
        </w:rPr>
        <w:t>hodnotě (P.51g/B.1g).</w:t>
      </w:r>
    </w:p>
  </w:footnote>
  <w:footnote w:id="9">
    <w:p w14:paraId="3F3A496C" w14:textId="12AF02B4" w:rsidR="00B606BE" w:rsidRPr="00BB104D" w:rsidRDefault="00B606BE" w:rsidP="000979EC">
      <w:pPr>
        <w:pStyle w:val="Textpoznpodarou"/>
        <w:rPr>
          <w:sz w:val="16"/>
          <w:szCs w:val="16"/>
        </w:rPr>
      </w:pPr>
      <w:r w:rsidRPr="00BB104D">
        <w:rPr>
          <w:rStyle w:val="Znakapoznpodarou"/>
          <w:sz w:val="16"/>
          <w:szCs w:val="16"/>
        </w:rPr>
        <w:footnoteRef/>
      </w:r>
      <w:r w:rsidRPr="00BB104D">
        <w:rPr>
          <w:sz w:val="16"/>
          <w:szCs w:val="16"/>
        </w:rPr>
        <w:t xml:space="preserve"> Míra samofinancování nefinančních podniků je definována jako podíl hrubých úspor k hrubé tvorbě fixního kapitálu (B.8g/P.51g)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1C6B" w14:textId="77777777" w:rsidR="00B606BE" w:rsidRPr="00601A2E" w:rsidRDefault="00B606BE" w:rsidP="00601A2E">
    <w:pPr>
      <w:pStyle w:val="Zhlav"/>
    </w:pPr>
    <w:r>
      <w:t>Analýza ekonomického vývoje v roce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5F4E2" w14:textId="77777777" w:rsidR="00B606BE" w:rsidRDefault="00B606BE" w:rsidP="00937AE2">
    <w:pPr>
      <w:pStyle w:val="Zhlav"/>
    </w:pPr>
    <w:r>
      <w:t>Analýza ekonomického vývoje v roce 2019</w:t>
    </w:r>
  </w:p>
  <w:p w14:paraId="525077D0" w14:textId="77777777" w:rsidR="00B606BE" w:rsidRPr="006F5416" w:rsidRDefault="00B606B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15AC1"/>
    <w:multiLevelType w:val="hybridMultilevel"/>
    <w:tmpl w:val="7464A696"/>
    <w:lvl w:ilvl="0" w:tplc="4246FC1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4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02"/>
    <w:rsid w:val="0000083D"/>
    <w:rsid w:val="0000209D"/>
    <w:rsid w:val="00004D5A"/>
    <w:rsid w:val="000056D5"/>
    <w:rsid w:val="00006ABD"/>
    <w:rsid w:val="0000767A"/>
    <w:rsid w:val="00007BEF"/>
    <w:rsid w:val="00010256"/>
    <w:rsid w:val="00010702"/>
    <w:rsid w:val="00011912"/>
    <w:rsid w:val="00012408"/>
    <w:rsid w:val="00014E7F"/>
    <w:rsid w:val="0002195D"/>
    <w:rsid w:val="000234D6"/>
    <w:rsid w:val="00023D29"/>
    <w:rsid w:val="00026389"/>
    <w:rsid w:val="00031AE0"/>
    <w:rsid w:val="000322EF"/>
    <w:rsid w:val="000333B9"/>
    <w:rsid w:val="00033FCD"/>
    <w:rsid w:val="00037A79"/>
    <w:rsid w:val="00041CEC"/>
    <w:rsid w:val="0004694F"/>
    <w:rsid w:val="000500AB"/>
    <w:rsid w:val="000522E4"/>
    <w:rsid w:val="000610E1"/>
    <w:rsid w:val="00062EC5"/>
    <w:rsid w:val="00062F22"/>
    <w:rsid w:val="00064B6A"/>
    <w:rsid w:val="00067A82"/>
    <w:rsid w:val="000712B3"/>
    <w:rsid w:val="000748F2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979EC"/>
    <w:rsid w:val="000A1183"/>
    <w:rsid w:val="000A256D"/>
    <w:rsid w:val="000A3A2C"/>
    <w:rsid w:val="000A66F4"/>
    <w:rsid w:val="000A75F4"/>
    <w:rsid w:val="000B525B"/>
    <w:rsid w:val="000C1D78"/>
    <w:rsid w:val="000C3408"/>
    <w:rsid w:val="000C6AFD"/>
    <w:rsid w:val="000D2C3F"/>
    <w:rsid w:val="000D5637"/>
    <w:rsid w:val="000E3D0E"/>
    <w:rsid w:val="000E53C3"/>
    <w:rsid w:val="000E6C04"/>
    <w:rsid w:val="000E6FBD"/>
    <w:rsid w:val="000F7084"/>
    <w:rsid w:val="00100F5C"/>
    <w:rsid w:val="0010106F"/>
    <w:rsid w:val="00101CDA"/>
    <w:rsid w:val="0010268C"/>
    <w:rsid w:val="00104C4C"/>
    <w:rsid w:val="00117623"/>
    <w:rsid w:val="0012192F"/>
    <w:rsid w:val="00122BB3"/>
    <w:rsid w:val="00125A9C"/>
    <w:rsid w:val="00125D69"/>
    <w:rsid w:val="00135FEE"/>
    <w:rsid w:val="00137DF7"/>
    <w:rsid w:val="001405FA"/>
    <w:rsid w:val="00141782"/>
    <w:rsid w:val="001425C3"/>
    <w:rsid w:val="00142C1C"/>
    <w:rsid w:val="001457AA"/>
    <w:rsid w:val="0014794C"/>
    <w:rsid w:val="0015085A"/>
    <w:rsid w:val="001528B9"/>
    <w:rsid w:val="001612F4"/>
    <w:rsid w:val="00162312"/>
    <w:rsid w:val="0016256B"/>
    <w:rsid w:val="00163793"/>
    <w:rsid w:val="001671FF"/>
    <w:rsid w:val="001706D6"/>
    <w:rsid w:val="001714F2"/>
    <w:rsid w:val="00175B9F"/>
    <w:rsid w:val="00175F48"/>
    <w:rsid w:val="00181BBC"/>
    <w:rsid w:val="00182799"/>
    <w:rsid w:val="00184B08"/>
    <w:rsid w:val="00185010"/>
    <w:rsid w:val="00186919"/>
    <w:rsid w:val="001916DB"/>
    <w:rsid w:val="00193818"/>
    <w:rsid w:val="00194520"/>
    <w:rsid w:val="001969D1"/>
    <w:rsid w:val="001A0487"/>
    <w:rsid w:val="001A0D6B"/>
    <w:rsid w:val="001A33A3"/>
    <w:rsid w:val="001A480E"/>
    <w:rsid w:val="001A5387"/>
    <w:rsid w:val="001A552F"/>
    <w:rsid w:val="001B28D3"/>
    <w:rsid w:val="001B2CA9"/>
    <w:rsid w:val="001B3110"/>
    <w:rsid w:val="001B4729"/>
    <w:rsid w:val="001B5C4D"/>
    <w:rsid w:val="001B6310"/>
    <w:rsid w:val="001B6C09"/>
    <w:rsid w:val="001C05CD"/>
    <w:rsid w:val="001C1B66"/>
    <w:rsid w:val="001C487C"/>
    <w:rsid w:val="001D198A"/>
    <w:rsid w:val="001D463E"/>
    <w:rsid w:val="001D51EB"/>
    <w:rsid w:val="001D68B2"/>
    <w:rsid w:val="001D70E9"/>
    <w:rsid w:val="001E504C"/>
    <w:rsid w:val="001F138C"/>
    <w:rsid w:val="001F4063"/>
    <w:rsid w:val="001F4597"/>
    <w:rsid w:val="001F52D6"/>
    <w:rsid w:val="00203DA4"/>
    <w:rsid w:val="002052C6"/>
    <w:rsid w:val="002054B4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1CC2"/>
    <w:rsid w:val="00236443"/>
    <w:rsid w:val="00241035"/>
    <w:rsid w:val="00241B06"/>
    <w:rsid w:val="002436BA"/>
    <w:rsid w:val="00244A15"/>
    <w:rsid w:val="00244EB3"/>
    <w:rsid w:val="00247319"/>
    <w:rsid w:val="0024799E"/>
    <w:rsid w:val="00253C0F"/>
    <w:rsid w:val="002558C1"/>
    <w:rsid w:val="00255943"/>
    <w:rsid w:val="00260FC5"/>
    <w:rsid w:val="002632EC"/>
    <w:rsid w:val="00271465"/>
    <w:rsid w:val="00274037"/>
    <w:rsid w:val="00285412"/>
    <w:rsid w:val="0028587B"/>
    <w:rsid w:val="00291640"/>
    <w:rsid w:val="002A16D4"/>
    <w:rsid w:val="002A230C"/>
    <w:rsid w:val="002A5D97"/>
    <w:rsid w:val="002A7679"/>
    <w:rsid w:val="002B2127"/>
    <w:rsid w:val="002B213A"/>
    <w:rsid w:val="002B4845"/>
    <w:rsid w:val="002B6B06"/>
    <w:rsid w:val="002C43BD"/>
    <w:rsid w:val="002D0E59"/>
    <w:rsid w:val="002D2D9F"/>
    <w:rsid w:val="002D6BD2"/>
    <w:rsid w:val="002E02A1"/>
    <w:rsid w:val="002E1A9C"/>
    <w:rsid w:val="002E32FC"/>
    <w:rsid w:val="002E4E4C"/>
    <w:rsid w:val="002F4860"/>
    <w:rsid w:val="002F550B"/>
    <w:rsid w:val="0030150E"/>
    <w:rsid w:val="00303533"/>
    <w:rsid w:val="00304771"/>
    <w:rsid w:val="003052D4"/>
    <w:rsid w:val="00306C5B"/>
    <w:rsid w:val="00314A41"/>
    <w:rsid w:val="003209D6"/>
    <w:rsid w:val="00321924"/>
    <w:rsid w:val="0032314C"/>
    <w:rsid w:val="0032656E"/>
    <w:rsid w:val="003268DD"/>
    <w:rsid w:val="00330060"/>
    <w:rsid w:val="00332190"/>
    <w:rsid w:val="0033250B"/>
    <w:rsid w:val="00343331"/>
    <w:rsid w:val="0034335E"/>
    <w:rsid w:val="00344668"/>
    <w:rsid w:val="003462D9"/>
    <w:rsid w:val="00347378"/>
    <w:rsid w:val="00347604"/>
    <w:rsid w:val="003576EB"/>
    <w:rsid w:val="00357908"/>
    <w:rsid w:val="00360C86"/>
    <w:rsid w:val="00360DE3"/>
    <w:rsid w:val="00360FBC"/>
    <w:rsid w:val="00362E90"/>
    <w:rsid w:val="00364C32"/>
    <w:rsid w:val="00364FA0"/>
    <w:rsid w:val="003657F3"/>
    <w:rsid w:val="003733A0"/>
    <w:rsid w:val="00376C3B"/>
    <w:rsid w:val="003818DC"/>
    <w:rsid w:val="00384327"/>
    <w:rsid w:val="003852A9"/>
    <w:rsid w:val="00385D98"/>
    <w:rsid w:val="003870EE"/>
    <w:rsid w:val="003A2B4D"/>
    <w:rsid w:val="003A2D12"/>
    <w:rsid w:val="003A478C"/>
    <w:rsid w:val="003A5525"/>
    <w:rsid w:val="003A6B38"/>
    <w:rsid w:val="003B461F"/>
    <w:rsid w:val="003B5A32"/>
    <w:rsid w:val="003B6B9E"/>
    <w:rsid w:val="003C3490"/>
    <w:rsid w:val="003C4BE8"/>
    <w:rsid w:val="003C77D0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0B82"/>
    <w:rsid w:val="00407C13"/>
    <w:rsid w:val="00410638"/>
    <w:rsid w:val="0041215C"/>
    <w:rsid w:val="0041501E"/>
    <w:rsid w:val="004159C3"/>
    <w:rsid w:val="00425F45"/>
    <w:rsid w:val="00432A58"/>
    <w:rsid w:val="00433C0C"/>
    <w:rsid w:val="00434617"/>
    <w:rsid w:val="00436778"/>
    <w:rsid w:val="00437E53"/>
    <w:rsid w:val="00440900"/>
    <w:rsid w:val="00441BF6"/>
    <w:rsid w:val="004441A0"/>
    <w:rsid w:val="0045078A"/>
    <w:rsid w:val="0045086D"/>
    <w:rsid w:val="00460FB3"/>
    <w:rsid w:val="00467ABC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948F4"/>
    <w:rsid w:val="004A14E4"/>
    <w:rsid w:val="004A3212"/>
    <w:rsid w:val="004A5494"/>
    <w:rsid w:val="004A61C5"/>
    <w:rsid w:val="004A670E"/>
    <w:rsid w:val="004A77DF"/>
    <w:rsid w:val="004B1417"/>
    <w:rsid w:val="004B481B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D3177"/>
    <w:rsid w:val="004E326C"/>
    <w:rsid w:val="004F06F5"/>
    <w:rsid w:val="004F16F7"/>
    <w:rsid w:val="004F1879"/>
    <w:rsid w:val="004F33A0"/>
    <w:rsid w:val="004F6EDC"/>
    <w:rsid w:val="0050689D"/>
    <w:rsid w:val="0051031A"/>
    <w:rsid w:val="005108C0"/>
    <w:rsid w:val="00511873"/>
    <w:rsid w:val="00512A2F"/>
    <w:rsid w:val="00513B7E"/>
    <w:rsid w:val="0051465A"/>
    <w:rsid w:val="005152D9"/>
    <w:rsid w:val="00515C74"/>
    <w:rsid w:val="00515FFA"/>
    <w:rsid w:val="005172FF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1B03"/>
    <w:rsid w:val="00563EB8"/>
    <w:rsid w:val="005647BF"/>
    <w:rsid w:val="00564AF1"/>
    <w:rsid w:val="00570D95"/>
    <w:rsid w:val="0057364B"/>
    <w:rsid w:val="00574773"/>
    <w:rsid w:val="00581AC8"/>
    <w:rsid w:val="00583FFD"/>
    <w:rsid w:val="005901E9"/>
    <w:rsid w:val="005911BE"/>
    <w:rsid w:val="00593152"/>
    <w:rsid w:val="00596F92"/>
    <w:rsid w:val="005A10F2"/>
    <w:rsid w:val="005A21E0"/>
    <w:rsid w:val="005A28FF"/>
    <w:rsid w:val="005A2A19"/>
    <w:rsid w:val="005A2C7B"/>
    <w:rsid w:val="005A3DF8"/>
    <w:rsid w:val="005A5549"/>
    <w:rsid w:val="005A5D45"/>
    <w:rsid w:val="005A655B"/>
    <w:rsid w:val="005A7666"/>
    <w:rsid w:val="005B121D"/>
    <w:rsid w:val="005C06ED"/>
    <w:rsid w:val="005C2609"/>
    <w:rsid w:val="005C35A1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104FB"/>
    <w:rsid w:val="0061249B"/>
    <w:rsid w:val="00612A2F"/>
    <w:rsid w:val="00616E05"/>
    <w:rsid w:val="00624093"/>
    <w:rsid w:val="006254CB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63B2"/>
    <w:rsid w:val="00695BEF"/>
    <w:rsid w:val="006977F6"/>
    <w:rsid w:val="00697A13"/>
    <w:rsid w:val="006A109C"/>
    <w:rsid w:val="006A3E08"/>
    <w:rsid w:val="006A5C31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6AF4"/>
    <w:rsid w:val="006C7CA6"/>
    <w:rsid w:val="006D3E8A"/>
    <w:rsid w:val="006D5C0C"/>
    <w:rsid w:val="006D61F6"/>
    <w:rsid w:val="006D64C2"/>
    <w:rsid w:val="006E279A"/>
    <w:rsid w:val="006E313B"/>
    <w:rsid w:val="006E7227"/>
    <w:rsid w:val="006F0AC6"/>
    <w:rsid w:val="006F2595"/>
    <w:rsid w:val="006F438E"/>
    <w:rsid w:val="006F5416"/>
    <w:rsid w:val="00705242"/>
    <w:rsid w:val="00706AD4"/>
    <w:rsid w:val="00707150"/>
    <w:rsid w:val="00711BB0"/>
    <w:rsid w:val="007140BE"/>
    <w:rsid w:val="00716E3F"/>
    <w:rsid w:val="007211F5"/>
    <w:rsid w:val="007240E2"/>
    <w:rsid w:val="00725BB5"/>
    <w:rsid w:val="00730AE8"/>
    <w:rsid w:val="00730F1B"/>
    <w:rsid w:val="00740575"/>
    <w:rsid w:val="00741493"/>
    <w:rsid w:val="0074369B"/>
    <w:rsid w:val="00744EE6"/>
    <w:rsid w:val="00745062"/>
    <w:rsid w:val="00745BC3"/>
    <w:rsid w:val="007506A5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5698"/>
    <w:rsid w:val="007661E9"/>
    <w:rsid w:val="00774779"/>
    <w:rsid w:val="00775F45"/>
    <w:rsid w:val="00776169"/>
    <w:rsid w:val="00776527"/>
    <w:rsid w:val="00780EF1"/>
    <w:rsid w:val="00785232"/>
    <w:rsid w:val="00790764"/>
    <w:rsid w:val="0079343E"/>
    <w:rsid w:val="0079453C"/>
    <w:rsid w:val="00794677"/>
    <w:rsid w:val="007A38F2"/>
    <w:rsid w:val="007A3F0C"/>
    <w:rsid w:val="007A516D"/>
    <w:rsid w:val="007B0750"/>
    <w:rsid w:val="007B6689"/>
    <w:rsid w:val="007C13A4"/>
    <w:rsid w:val="007C2D23"/>
    <w:rsid w:val="007C6BBD"/>
    <w:rsid w:val="007C7BAE"/>
    <w:rsid w:val="007D0C24"/>
    <w:rsid w:val="007D106B"/>
    <w:rsid w:val="007D1AEA"/>
    <w:rsid w:val="007D40DF"/>
    <w:rsid w:val="007E29B4"/>
    <w:rsid w:val="007E435A"/>
    <w:rsid w:val="007E7E61"/>
    <w:rsid w:val="007F0845"/>
    <w:rsid w:val="007F661C"/>
    <w:rsid w:val="007F708D"/>
    <w:rsid w:val="00801E13"/>
    <w:rsid w:val="00805381"/>
    <w:rsid w:val="00807674"/>
    <w:rsid w:val="00807C82"/>
    <w:rsid w:val="00816905"/>
    <w:rsid w:val="00817FDA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364D5"/>
    <w:rsid w:val="00846121"/>
    <w:rsid w:val="0084708F"/>
    <w:rsid w:val="0084727E"/>
    <w:rsid w:val="008477C8"/>
    <w:rsid w:val="00847931"/>
    <w:rsid w:val="0085114D"/>
    <w:rsid w:val="00852217"/>
    <w:rsid w:val="00855408"/>
    <w:rsid w:val="00856D65"/>
    <w:rsid w:val="00857658"/>
    <w:rsid w:val="00861B41"/>
    <w:rsid w:val="00861BE3"/>
    <w:rsid w:val="00863434"/>
    <w:rsid w:val="008637A2"/>
    <w:rsid w:val="00865E4C"/>
    <w:rsid w:val="008701E4"/>
    <w:rsid w:val="00873072"/>
    <w:rsid w:val="00875A32"/>
    <w:rsid w:val="00876086"/>
    <w:rsid w:val="00884A6F"/>
    <w:rsid w:val="008856A3"/>
    <w:rsid w:val="008873D4"/>
    <w:rsid w:val="0089296D"/>
    <w:rsid w:val="00893E85"/>
    <w:rsid w:val="00894031"/>
    <w:rsid w:val="00894C3D"/>
    <w:rsid w:val="00895508"/>
    <w:rsid w:val="00895A7B"/>
    <w:rsid w:val="008B1391"/>
    <w:rsid w:val="008B2636"/>
    <w:rsid w:val="008B7C02"/>
    <w:rsid w:val="008B7D2B"/>
    <w:rsid w:val="008C0049"/>
    <w:rsid w:val="008C0E88"/>
    <w:rsid w:val="008D0DBD"/>
    <w:rsid w:val="008D1E6A"/>
    <w:rsid w:val="008D2A16"/>
    <w:rsid w:val="008D664D"/>
    <w:rsid w:val="008D7BE5"/>
    <w:rsid w:val="008E0DC9"/>
    <w:rsid w:val="008E2830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5CF4"/>
    <w:rsid w:val="0091728D"/>
    <w:rsid w:val="009177D4"/>
    <w:rsid w:val="0092180B"/>
    <w:rsid w:val="00921F14"/>
    <w:rsid w:val="0092434D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3F28"/>
    <w:rsid w:val="009540B7"/>
    <w:rsid w:val="0095759C"/>
    <w:rsid w:val="0096154D"/>
    <w:rsid w:val="0096221A"/>
    <w:rsid w:val="00972F87"/>
    <w:rsid w:val="00974923"/>
    <w:rsid w:val="00976681"/>
    <w:rsid w:val="00976BAF"/>
    <w:rsid w:val="00980D3D"/>
    <w:rsid w:val="00987A30"/>
    <w:rsid w:val="00992CF3"/>
    <w:rsid w:val="009942B6"/>
    <w:rsid w:val="00994868"/>
    <w:rsid w:val="009968D6"/>
    <w:rsid w:val="009A1CAB"/>
    <w:rsid w:val="009A4901"/>
    <w:rsid w:val="009A60D1"/>
    <w:rsid w:val="009B6FD3"/>
    <w:rsid w:val="009B7C82"/>
    <w:rsid w:val="009C0293"/>
    <w:rsid w:val="009C03C8"/>
    <w:rsid w:val="009C1750"/>
    <w:rsid w:val="009C1EEA"/>
    <w:rsid w:val="009C2E29"/>
    <w:rsid w:val="009C554B"/>
    <w:rsid w:val="009C719E"/>
    <w:rsid w:val="009D3AB3"/>
    <w:rsid w:val="009D3ACD"/>
    <w:rsid w:val="009E0DD4"/>
    <w:rsid w:val="009E42ED"/>
    <w:rsid w:val="009E5273"/>
    <w:rsid w:val="009E5DDB"/>
    <w:rsid w:val="009F46EA"/>
    <w:rsid w:val="009F4CA7"/>
    <w:rsid w:val="00A01CA0"/>
    <w:rsid w:val="00A10D66"/>
    <w:rsid w:val="00A1260E"/>
    <w:rsid w:val="00A14114"/>
    <w:rsid w:val="00A16413"/>
    <w:rsid w:val="00A16E1D"/>
    <w:rsid w:val="00A17D5B"/>
    <w:rsid w:val="00A20028"/>
    <w:rsid w:val="00A21624"/>
    <w:rsid w:val="00A2181F"/>
    <w:rsid w:val="00A230A8"/>
    <w:rsid w:val="00A23E43"/>
    <w:rsid w:val="00A25216"/>
    <w:rsid w:val="00A27420"/>
    <w:rsid w:val="00A27C85"/>
    <w:rsid w:val="00A30F65"/>
    <w:rsid w:val="00A32759"/>
    <w:rsid w:val="00A329DF"/>
    <w:rsid w:val="00A35142"/>
    <w:rsid w:val="00A35EA6"/>
    <w:rsid w:val="00A40EAC"/>
    <w:rsid w:val="00A416D4"/>
    <w:rsid w:val="00A418BC"/>
    <w:rsid w:val="00A46DE0"/>
    <w:rsid w:val="00A4750C"/>
    <w:rsid w:val="00A50D73"/>
    <w:rsid w:val="00A50EEE"/>
    <w:rsid w:val="00A51F19"/>
    <w:rsid w:val="00A51F45"/>
    <w:rsid w:val="00A52CAD"/>
    <w:rsid w:val="00A537F0"/>
    <w:rsid w:val="00A53FC7"/>
    <w:rsid w:val="00A54250"/>
    <w:rsid w:val="00A55161"/>
    <w:rsid w:val="00A55593"/>
    <w:rsid w:val="00A62B23"/>
    <w:rsid w:val="00A62CE1"/>
    <w:rsid w:val="00A66A11"/>
    <w:rsid w:val="00A6741E"/>
    <w:rsid w:val="00A73C77"/>
    <w:rsid w:val="00A75E40"/>
    <w:rsid w:val="00A77D1D"/>
    <w:rsid w:val="00A84923"/>
    <w:rsid w:val="00A857C0"/>
    <w:rsid w:val="00A90FED"/>
    <w:rsid w:val="00A97A1E"/>
    <w:rsid w:val="00AA2996"/>
    <w:rsid w:val="00AA52BF"/>
    <w:rsid w:val="00AA559A"/>
    <w:rsid w:val="00AB2AF1"/>
    <w:rsid w:val="00AB5421"/>
    <w:rsid w:val="00AB5F7B"/>
    <w:rsid w:val="00AC45BD"/>
    <w:rsid w:val="00AC46DA"/>
    <w:rsid w:val="00AD1355"/>
    <w:rsid w:val="00AD168E"/>
    <w:rsid w:val="00AD306C"/>
    <w:rsid w:val="00AD68C4"/>
    <w:rsid w:val="00AD7D0B"/>
    <w:rsid w:val="00AE09B3"/>
    <w:rsid w:val="00AE1A83"/>
    <w:rsid w:val="00AE7FB2"/>
    <w:rsid w:val="00AF71EC"/>
    <w:rsid w:val="00B00913"/>
    <w:rsid w:val="00B01593"/>
    <w:rsid w:val="00B023F2"/>
    <w:rsid w:val="00B04B4A"/>
    <w:rsid w:val="00B07379"/>
    <w:rsid w:val="00B10A4D"/>
    <w:rsid w:val="00B120A1"/>
    <w:rsid w:val="00B12AA6"/>
    <w:rsid w:val="00B14BC1"/>
    <w:rsid w:val="00B17E71"/>
    <w:rsid w:val="00B17FDE"/>
    <w:rsid w:val="00B20632"/>
    <w:rsid w:val="00B22CD2"/>
    <w:rsid w:val="00B23055"/>
    <w:rsid w:val="00B2379C"/>
    <w:rsid w:val="00B2687D"/>
    <w:rsid w:val="00B32DDB"/>
    <w:rsid w:val="00B34528"/>
    <w:rsid w:val="00B34CC9"/>
    <w:rsid w:val="00B357BF"/>
    <w:rsid w:val="00B366E5"/>
    <w:rsid w:val="00B402FC"/>
    <w:rsid w:val="00B40FF9"/>
    <w:rsid w:val="00B42470"/>
    <w:rsid w:val="00B439DA"/>
    <w:rsid w:val="00B46604"/>
    <w:rsid w:val="00B530CD"/>
    <w:rsid w:val="00B53AB0"/>
    <w:rsid w:val="00B55F5E"/>
    <w:rsid w:val="00B57338"/>
    <w:rsid w:val="00B5752E"/>
    <w:rsid w:val="00B57E25"/>
    <w:rsid w:val="00B606BE"/>
    <w:rsid w:val="00B619A9"/>
    <w:rsid w:val="00B63A11"/>
    <w:rsid w:val="00B64C24"/>
    <w:rsid w:val="00B6608F"/>
    <w:rsid w:val="00B679FB"/>
    <w:rsid w:val="00B76D1E"/>
    <w:rsid w:val="00B80EC6"/>
    <w:rsid w:val="00B84CF6"/>
    <w:rsid w:val="00B86F03"/>
    <w:rsid w:val="00B9088A"/>
    <w:rsid w:val="00B9200E"/>
    <w:rsid w:val="00B92D1D"/>
    <w:rsid w:val="00B938C5"/>
    <w:rsid w:val="00B9432C"/>
    <w:rsid w:val="00B950E3"/>
    <w:rsid w:val="00B95940"/>
    <w:rsid w:val="00B962D2"/>
    <w:rsid w:val="00B97434"/>
    <w:rsid w:val="00BA0DD3"/>
    <w:rsid w:val="00BA6C2B"/>
    <w:rsid w:val="00BA76E6"/>
    <w:rsid w:val="00BB2F03"/>
    <w:rsid w:val="00BB46F3"/>
    <w:rsid w:val="00BB4AF6"/>
    <w:rsid w:val="00BB4CB1"/>
    <w:rsid w:val="00BB4F98"/>
    <w:rsid w:val="00BC0E31"/>
    <w:rsid w:val="00BC5C12"/>
    <w:rsid w:val="00BC7075"/>
    <w:rsid w:val="00BC7154"/>
    <w:rsid w:val="00BC731E"/>
    <w:rsid w:val="00BD163C"/>
    <w:rsid w:val="00BD1B27"/>
    <w:rsid w:val="00BD2991"/>
    <w:rsid w:val="00BD366B"/>
    <w:rsid w:val="00BD6D50"/>
    <w:rsid w:val="00BE18B9"/>
    <w:rsid w:val="00BE2495"/>
    <w:rsid w:val="00BE468E"/>
    <w:rsid w:val="00BE6186"/>
    <w:rsid w:val="00BF1578"/>
    <w:rsid w:val="00BF45D9"/>
    <w:rsid w:val="00BF4B4B"/>
    <w:rsid w:val="00BF6EE6"/>
    <w:rsid w:val="00C024B1"/>
    <w:rsid w:val="00C12D52"/>
    <w:rsid w:val="00C21405"/>
    <w:rsid w:val="00C21F94"/>
    <w:rsid w:val="00C25709"/>
    <w:rsid w:val="00C27913"/>
    <w:rsid w:val="00C33B68"/>
    <w:rsid w:val="00C36A79"/>
    <w:rsid w:val="00C401D2"/>
    <w:rsid w:val="00C405D4"/>
    <w:rsid w:val="00C4513B"/>
    <w:rsid w:val="00C466D2"/>
    <w:rsid w:val="00C53576"/>
    <w:rsid w:val="00C5390B"/>
    <w:rsid w:val="00C54697"/>
    <w:rsid w:val="00C60191"/>
    <w:rsid w:val="00C609C9"/>
    <w:rsid w:val="00C6152B"/>
    <w:rsid w:val="00C73885"/>
    <w:rsid w:val="00C747B1"/>
    <w:rsid w:val="00C82191"/>
    <w:rsid w:val="00C83134"/>
    <w:rsid w:val="00C83FAA"/>
    <w:rsid w:val="00C8418E"/>
    <w:rsid w:val="00C85545"/>
    <w:rsid w:val="00C86B84"/>
    <w:rsid w:val="00C90CF4"/>
    <w:rsid w:val="00C90F53"/>
    <w:rsid w:val="00C92EB6"/>
    <w:rsid w:val="00C93389"/>
    <w:rsid w:val="00C936C3"/>
    <w:rsid w:val="00C96D08"/>
    <w:rsid w:val="00CA28BC"/>
    <w:rsid w:val="00CA6668"/>
    <w:rsid w:val="00CA6AB4"/>
    <w:rsid w:val="00CB259D"/>
    <w:rsid w:val="00CB390A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E7F95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20FA"/>
    <w:rsid w:val="00D13986"/>
    <w:rsid w:val="00D21D83"/>
    <w:rsid w:val="00D22038"/>
    <w:rsid w:val="00D235B7"/>
    <w:rsid w:val="00D25F28"/>
    <w:rsid w:val="00D26071"/>
    <w:rsid w:val="00D27973"/>
    <w:rsid w:val="00D32F90"/>
    <w:rsid w:val="00D35E1A"/>
    <w:rsid w:val="00D50F46"/>
    <w:rsid w:val="00D52BE2"/>
    <w:rsid w:val="00D57677"/>
    <w:rsid w:val="00D62FF4"/>
    <w:rsid w:val="00D64227"/>
    <w:rsid w:val="00D64F56"/>
    <w:rsid w:val="00D66223"/>
    <w:rsid w:val="00D67375"/>
    <w:rsid w:val="00D73384"/>
    <w:rsid w:val="00D8084C"/>
    <w:rsid w:val="00D85980"/>
    <w:rsid w:val="00D915EA"/>
    <w:rsid w:val="00D92FD1"/>
    <w:rsid w:val="00D93CE2"/>
    <w:rsid w:val="00D943C6"/>
    <w:rsid w:val="00D965EC"/>
    <w:rsid w:val="00DA0BBD"/>
    <w:rsid w:val="00DA7C0C"/>
    <w:rsid w:val="00DB08A9"/>
    <w:rsid w:val="00DB2EC8"/>
    <w:rsid w:val="00DC37E3"/>
    <w:rsid w:val="00DC5B3B"/>
    <w:rsid w:val="00DC76ED"/>
    <w:rsid w:val="00DD0AE9"/>
    <w:rsid w:val="00DD129F"/>
    <w:rsid w:val="00DD242A"/>
    <w:rsid w:val="00DD6B52"/>
    <w:rsid w:val="00DE0F63"/>
    <w:rsid w:val="00DE4C19"/>
    <w:rsid w:val="00DF317B"/>
    <w:rsid w:val="00DF42FF"/>
    <w:rsid w:val="00DF7190"/>
    <w:rsid w:val="00DF7AD4"/>
    <w:rsid w:val="00E01C0E"/>
    <w:rsid w:val="00E03F9A"/>
    <w:rsid w:val="00E04694"/>
    <w:rsid w:val="00E04F27"/>
    <w:rsid w:val="00E102BD"/>
    <w:rsid w:val="00E10A2E"/>
    <w:rsid w:val="00E11DE1"/>
    <w:rsid w:val="00E12B1E"/>
    <w:rsid w:val="00E17262"/>
    <w:rsid w:val="00E212C9"/>
    <w:rsid w:val="00E2394F"/>
    <w:rsid w:val="00E253A2"/>
    <w:rsid w:val="00E305C8"/>
    <w:rsid w:val="00E3309D"/>
    <w:rsid w:val="00E333BA"/>
    <w:rsid w:val="00E364BB"/>
    <w:rsid w:val="00E453F9"/>
    <w:rsid w:val="00E47EBA"/>
    <w:rsid w:val="00E50156"/>
    <w:rsid w:val="00E503A5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8168E"/>
    <w:rsid w:val="00E924B2"/>
    <w:rsid w:val="00E93820"/>
    <w:rsid w:val="00E94A86"/>
    <w:rsid w:val="00E96143"/>
    <w:rsid w:val="00E972A9"/>
    <w:rsid w:val="00E972B3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D7B65"/>
    <w:rsid w:val="00EE160E"/>
    <w:rsid w:val="00EE3446"/>
    <w:rsid w:val="00EE3C8D"/>
    <w:rsid w:val="00EE3E78"/>
    <w:rsid w:val="00EE466C"/>
    <w:rsid w:val="00EE4B1B"/>
    <w:rsid w:val="00EE50DB"/>
    <w:rsid w:val="00EF150D"/>
    <w:rsid w:val="00EF1F5A"/>
    <w:rsid w:val="00EF348D"/>
    <w:rsid w:val="00EF47BF"/>
    <w:rsid w:val="00F04811"/>
    <w:rsid w:val="00F0488C"/>
    <w:rsid w:val="00F05E10"/>
    <w:rsid w:val="00F10F11"/>
    <w:rsid w:val="00F118D5"/>
    <w:rsid w:val="00F13819"/>
    <w:rsid w:val="00F13C9C"/>
    <w:rsid w:val="00F15AAA"/>
    <w:rsid w:val="00F15BEF"/>
    <w:rsid w:val="00F160CE"/>
    <w:rsid w:val="00F161E1"/>
    <w:rsid w:val="00F162B3"/>
    <w:rsid w:val="00F231AE"/>
    <w:rsid w:val="00F24407"/>
    <w:rsid w:val="00F24FAA"/>
    <w:rsid w:val="00F26590"/>
    <w:rsid w:val="00F3364D"/>
    <w:rsid w:val="00F33926"/>
    <w:rsid w:val="00F33E56"/>
    <w:rsid w:val="00F41068"/>
    <w:rsid w:val="00F433FE"/>
    <w:rsid w:val="00F437CC"/>
    <w:rsid w:val="00F44537"/>
    <w:rsid w:val="00F4530D"/>
    <w:rsid w:val="00F46502"/>
    <w:rsid w:val="00F47067"/>
    <w:rsid w:val="00F525EB"/>
    <w:rsid w:val="00F55E08"/>
    <w:rsid w:val="00F56129"/>
    <w:rsid w:val="00F63DDE"/>
    <w:rsid w:val="00F63FB7"/>
    <w:rsid w:val="00F6421B"/>
    <w:rsid w:val="00F649D2"/>
    <w:rsid w:val="00F6602B"/>
    <w:rsid w:val="00F73A0C"/>
    <w:rsid w:val="00F73D08"/>
    <w:rsid w:val="00F756DB"/>
    <w:rsid w:val="00F8090E"/>
    <w:rsid w:val="00F84E7D"/>
    <w:rsid w:val="00F85066"/>
    <w:rsid w:val="00F853A9"/>
    <w:rsid w:val="00F859D0"/>
    <w:rsid w:val="00F87A4D"/>
    <w:rsid w:val="00F87A8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F3E63"/>
    <w:rsid w:val="00FF3EE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C691A96"/>
  <w15:docId w15:val="{A4C7AF56-5B51-4067-BDB9-17A6C36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44EE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4EE6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44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Ro&#269;n&#237;%20n&#225;rodn&#237;%20&#250;&#269;ty\Nefinan&#269;n&#237;%20podniky\TB0001B1Ga_CZ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Ro&#269;n&#237;%20n&#225;rodn&#237;%20&#250;&#269;ty\Nefinan&#269;n&#237;%20podniky\QSA_S11_2020q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013846673421136E-2"/>
          <c:y val="3.9316672295395698E-2"/>
          <c:w val="0.87649864910503217"/>
          <c:h val="0.73307272317910621"/>
        </c:manualLayout>
      </c:layout>
      <c:barChart>
        <c:barDir val="col"/>
        <c:grouping val="stacked"/>
        <c:varyColors val="0"/>
        <c:ser>
          <c:idx val="5"/>
          <c:order val="0"/>
          <c:tx>
            <c:strRef>
              <c:f>'Nefinanční podniky'!$A$149:$B$149</c:f>
              <c:strCache>
                <c:ptCount val="2"/>
                <c:pt idx="0">
                  <c:v>Ostatní služby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'Nefinanční podniky'!$C$143:$M$143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'Nefinanční podniky'!$C$149:$M$149</c:f>
              <c:numCache>
                <c:formatCode>0.0</c:formatCode>
                <c:ptCount val="11"/>
                <c:pt idx="0">
                  <c:v>0.10699999999999943</c:v>
                </c:pt>
                <c:pt idx="1">
                  <c:v>-1.2070000000000003</c:v>
                </c:pt>
                <c:pt idx="2">
                  <c:v>2.2850000000000001</c:v>
                </c:pt>
                <c:pt idx="3">
                  <c:v>12.737000000000002</c:v>
                </c:pt>
                <c:pt idx="4">
                  <c:v>12.521000000000001</c:v>
                </c:pt>
                <c:pt idx="5">
                  <c:v>24.971</c:v>
                </c:pt>
                <c:pt idx="6">
                  <c:v>25.741999999999997</c:v>
                </c:pt>
                <c:pt idx="7">
                  <c:v>28.528000000000002</c:v>
                </c:pt>
                <c:pt idx="8">
                  <c:v>24.598000000000003</c:v>
                </c:pt>
                <c:pt idx="9">
                  <c:v>30.491999999999997</c:v>
                </c:pt>
                <c:pt idx="10">
                  <c:v>37.774999999999999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48-4249-813E-5CD10AE352B0}"/>
            </c:ext>
          </c:extLst>
        </c:ser>
        <c:ser>
          <c:idx val="0"/>
          <c:order val="1"/>
          <c:tx>
            <c:strRef>
              <c:f>'Nefinanční podniky'!$A$144:$B$144</c:f>
              <c:strCache>
                <c:ptCount val="2"/>
                <c:pt idx="0">
                  <c:v>Zemědělství, lesnictví a rybářství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numRef>
              <c:f>'Nefinanční podniky'!$C$143:$M$143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'Nefinanční podniky'!$C$144:$M$144</c:f>
              <c:numCache>
                <c:formatCode>0.0</c:formatCode>
                <c:ptCount val="11"/>
                <c:pt idx="0">
                  <c:v>-9.3729999999999993</c:v>
                </c:pt>
                <c:pt idx="1">
                  <c:v>-3.282</c:v>
                </c:pt>
                <c:pt idx="2">
                  <c:v>10.834</c:v>
                </c:pt>
                <c:pt idx="3">
                  <c:v>8.0359999999999996</c:v>
                </c:pt>
                <c:pt idx="4">
                  <c:v>2.27</c:v>
                </c:pt>
                <c:pt idx="5">
                  <c:v>7.7389999999999999</c:v>
                </c:pt>
                <c:pt idx="6">
                  <c:v>-4.7380000000000004</c:v>
                </c:pt>
                <c:pt idx="7">
                  <c:v>0.86799999999999999</c:v>
                </c:pt>
                <c:pt idx="8">
                  <c:v>-3.3319999999999999</c:v>
                </c:pt>
                <c:pt idx="9">
                  <c:v>-2.2999999999999998</c:v>
                </c:pt>
                <c:pt idx="10">
                  <c:v>5.5270000000000001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48-4249-813E-5CD10AE352B0}"/>
            </c:ext>
          </c:extLst>
        </c:ser>
        <c:ser>
          <c:idx val="2"/>
          <c:order val="2"/>
          <c:tx>
            <c:strRef>
              <c:f>'Nefinanční podniky'!$A$146:$B$146</c:f>
              <c:strCache>
                <c:ptCount val="2"/>
                <c:pt idx="0">
                  <c:v>Stavebnictví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numRef>
              <c:f>'Nefinanční podniky'!$C$143:$M$143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'Nefinanční podniky'!$C$146:$M$146</c:f>
              <c:numCache>
                <c:formatCode>0.0</c:formatCode>
                <c:ptCount val="11"/>
                <c:pt idx="0">
                  <c:v>-8.4870000000000001</c:v>
                </c:pt>
                <c:pt idx="1">
                  <c:v>-0.99299999999999999</c:v>
                </c:pt>
                <c:pt idx="2">
                  <c:v>-12.021000000000001</c:v>
                </c:pt>
                <c:pt idx="3">
                  <c:v>-6.7759999999999998</c:v>
                </c:pt>
                <c:pt idx="4">
                  <c:v>-5.4050000000000002</c:v>
                </c:pt>
                <c:pt idx="5">
                  <c:v>8.798</c:v>
                </c:pt>
                <c:pt idx="6">
                  <c:v>8.2940000000000005</c:v>
                </c:pt>
                <c:pt idx="7">
                  <c:v>-1.345</c:v>
                </c:pt>
                <c:pt idx="8">
                  <c:v>11.253</c:v>
                </c:pt>
                <c:pt idx="9">
                  <c:v>14.367000000000001</c:v>
                </c:pt>
                <c:pt idx="10">
                  <c:v>14.667999999999999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48-4249-813E-5CD10AE352B0}"/>
            </c:ext>
          </c:extLst>
        </c:ser>
        <c:ser>
          <c:idx val="4"/>
          <c:order val="3"/>
          <c:tx>
            <c:strRef>
              <c:f>'Nefinanční podniky'!$A$148:$B$148</c:f>
              <c:strCache>
                <c:ptCount val="2"/>
                <c:pt idx="0">
                  <c:v>Informační a komunikační činnosti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numRef>
              <c:f>'Nefinanční podniky'!$C$143:$M$143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'Nefinanční podniky'!$C$148:$M$148</c:f>
              <c:numCache>
                <c:formatCode>0.0</c:formatCode>
                <c:ptCount val="11"/>
                <c:pt idx="0">
                  <c:v>-1.024</c:v>
                </c:pt>
                <c:pt idx="1">
                  <c:v>-6.1779999999999999</c:v>
                </c:pt>
                <c:pt idx="2">
                  <c:v>5.0259999999999998</c:v>
                </c:pt>
                <c:pt idx="3">
                  <c:v>0.64100000000000001</c:v>
                </c:pt>
                <c:pt idx="4">
                  <c:v>-0.77900000000000003</c:v>
                </c:pt>
                <c:pt idx="5">
                  <c:v>8.7840000000000007</c:v>
                </c:pt>
                <c:pt idx="6">
                  <c:v>16.241</c:v>
                </c:pt>
                <c:pt idx="7">
                  <c:v>11.907999999999999</c:v>
                </c:pt>
                <c:pt idx="8">
                  <c:v>23.33</c:v>
                </c:pt>
                <c:pt idx="9">
                  <c:v>29.59</c:v>
                </c:pt>
                <c:pt idx="10">
                  <c:v>17.776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48-4249-813E-5CD10AE352B0}"/>
            </c:ext>
          </c:extLst>
        </c:ser>
        <c:ser>
          <c:idx val="3"/>
          <c:order val="4"/>
          <c:tx>
            <c:strRef>
              <c:f>'Nefinanční podniky'!$A$147:$B$147</c:f>
              <c:strCache>
                <c:ptCount val="2"/>
                <c:pt idx="0">
                  <c:v>Obchod, doprava, ubytování a pohostinství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'Nefinanční podniky'!$C$143:$M$143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'Nefinanční podniky'!$C$147:$M$147</c:f>
              <c:numCache>
                <c:formatCode>0.0</c:formatCode>
                <c:ptCount val="11"/>
                <c:pt idx="0">
                  <c:v>-60.33</c:v>
                </c:pt>
                <c:pt idx="1">
                  <c:v>19.644000000000002</c:v>
                </c:pt>
                <c:pt idx="2">
                  <c:v>4.5160000000000009</c:v>
                </c:pt>
                <c:pt idx="3">
                  <c:v>3.5470000000000002</c:v>
                </c:pt>
                <c:pt idx="4">
                  <c:v>5.8</c:v>
                </c:pt>
                <c:pt idx="5">
                  <c:v>36.600999999999999</c:v>
                </c:pt>
                <c:pt idx="6">
                  <c:v>56.866</c:v>
                </c:pt>
                <c:pt idx="7">
                  <c:v>29.152000000000001</c:v>
                </c:pt>
                <c:pt idx="8">
                  <c:v>73.91</c:v>
                </c:pt>
                <c:pt idx="9">
                  <c:v>39.134999999999998</c:v>
                </c:pt>
                <c:pt idx="10">
                  <c:v>40.445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948-4249-813E-5CD10AE352B0}"/>
            </c:ext>
          </c:extLst>
        </c:ser>
        <c:ser>
          <c:idx val="1"/>
          <c:order val="5"/>
          <c:tx>
            <c:strRef>
              <c:f>'Nefinanční podniky'!$A$145:$B$145</c:f>
              <c:strCache>
                <c:ptCount val="2"/>
                <c:pt idx="0">
                  <c:v>Průmysl, těžba a dobývání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'Nefinanční podniky'!$C$143:$M$143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'Nefinanční podniky'!$C$145:$M$145</c:f>
              <c:numCache>
                <c:formatCode>0.0</c:formatCode>
                <c:ptCount val="11"/>
                <c:pt idx="0">
                  <c:v>-62.300999999999995</c:v>
                </c:pt>
                <c:pt idx="1">
                  <c:v>3.6640000000000019</c:v>
                </c:pt>
                <c:pt idx="2">
                  <c:v>53.768999999999998</c:v>
                </c:pt>
                <c:pt idx="3">
                  <c:v>11.259</c:v>
                </c:pt>
                <c:pt idx="4">
                  <c:v>11.901999999999999</c:v>
                </c:pt>
                <c:pt idx="5">
                  <c:v>103.214</c:v>
                </c:pt>
                <c:pt idx="6">
                  <c:v>73.944999999999993</c:v>
                </c:pt>
                <c:pt idx="7">
                  <c:v>38.753999999999998</c:v>
                </c:pt>
                <c:pt idx="8">
                  <c:v>52.379999999999995</c:v>
                </c:pt>
                <c:pt idx="9">
                  <c:v>21.572000000000003</c:v>
                </c:pt>
                <c:pt idx="10">
                  <c:v>65.882999999999996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948-4249-813E-5CD10AE352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768640672"/>
        <c:axId val="768645248"/>
      </c:barChart>
      <c:lineChart>
        <c:grouping val="standard"/>
        <c:varyColors val="0"/>
        <c:ser>
          <c:idx val="6"/>
          <c:order val="6"/>
          <c:tx>
            <c:strRef>
              <c:f>'Nefinanční podniky'!$A$150:$B$150</c:f>
              <c:strCache>
                <c:ptCount val="2"/>
                <c:pt idx="0">
                  <c:v>Nefinanční podniky celkem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'Nefinanční podniky'!$C$143:$M$143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'Nefinanční podniky'!$C$150:$M$150</c:f>
              <c:numCache>
                <c:formatCode>0.0</c:formatCode>
                <c:ptCount val="11"/>
                <c:pt idx="0">
                  <c:v>-141.40799999999999</c:v>
                </c:pt>
                <c:pt idx="1">
                  <c:v>11.648</c:v>
                </c:pt>
                <c:pt idx="2">
                  <c:v>64.409000000000006</c:v>
                </c:pt>
                <c:pt idx="3">
                  <c:v>29.443999999999999</c:v>
                </c:pt>
                <c:pt idx="4">
                  <c:v>26.309000000000001</c:v>
                </c:pt>
                <c:pt idx="5">
                  <c:v>190.107</c:v>
                </c:pt>
                <c:pt idx="6">
                  <c:v>176.35</c:v>
                </c:pt>
                <c:pt idx="7">
                  <c:v>107.86499999999999</c:v>
                </c:pt>
                <c:pt idx="8">
                  <c:v>182.13900000000001</c:v>
                </c:pt>
                <c:pt idx="9">
                  <c:v>132.85599999999999</c:v>
                </c:pt>
                <c:pt idx="10">
                  <c:v>182.07400000000001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948-4249-813E-5CD10AE352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8640672"/>
        <c:axId val="768645248"/>
      </c:lineChart>
      <c:catAx>
        <c:axId val="76864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68645248"/>
        <c:crosses val="autoZero"/>
        <c:auto val="1"/>
        <c:lblAlgn val="ctr"/>
        <c:lblOffset val="100"/>
        <c:noMultiLvlLbl val="0"/>
      </c:catAx>
      <c:valAx>
        <c:axId val="768645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HPH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6864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985562310030403E-2"/>
          <c:y val="0.85404846335697404"/>
          <c:w val="0.95752511820330988"/>
          <c:h val="0.136044973544973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49781277340331"/>
          <c:y val="5.0925925925925923E-2"/>
          <c:w val="0.79736570428696418"/>
          <c:h val="0.80010779016098166"/>
        </c:manualLayout>
      </c:layout>
      <c:lineChart>
        <c:grouping val="standard"/>
        <c:varyColors val="0"/>
        <c:ser>
          <c:idx val="0"/>
          <c:order val="0"/>
          <c:tx>
            <c:v>Míra úspor</c:v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strRef>
              <c:f>'S11'!$A$140:$B$150</c:f>
              <c:strCach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strCache>
            </c:strRef>
          </c:cat>
          <c:val>
            <c:numRef>
              <c:f>'S11'!$BH$140:$BH$150</c:f>
              <c:numCache>
                <c:formatCode>0.0</c:formatCode>
                <c:ptCount val="11"/>
                <c:pt idx="0">
                  <c:v>26.587552082763487</c:v>
                </c:pt>
                <c:pt idx="1">
                  <c:v>24.283398247068945</c:v>
                </c:pt>
                <c:pt idx="2">
                  <c:v>24.231627368884972</c:v>
                </c:pt>
                <c:pt idx="3">
                  <c:v>26.101561636538563</c:v>
                </c:pt>
                <c:pt idx="4">
                  <c:v>24.879218511427744</c:v>
                </c:pt>
                <c:pt idx="5">
                  <c:v>25.225733261829131</c:v>
                </c:pt>
                <c:pt idx="6">
                  <c:v>26.563594762444964</c:v>
                </c:pt>
                <c:pt idx="7">
                  <c:v>25.149696397944847</c:v>
                </c:pt>
                <c:pt idx="8">
                  <c:v>25.687833122409142</c:v>
                </c:pt>
                <c:pt idx="9">
                  <c:v>23.957880601063071</c:v>
                </c:pt>
                <c:pt idx="10">
                  <c:v>24.313529985798894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E4-497A-9C60-6F207CC65764}"/>
            </c:ext>
          </c:extLst>
        </c:ser>
        <c:ser>
          <c:idx val="1"/>
          <c:order val="1"/>
          <c:tx>
            <c:v>Míra investic</c:v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'S11'!$A$140:$B$150</c:f>
              <c:strCach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strCache>
            </c:strRef>
          </c:cat>
          <c:val>
            <c:numRef>
              <c:f>'S11'!$BS$140:$BS$150</c:f>
              <c:numCache>
                <c:formatCode>0.0</c:formatCode>
                <c:ptCount val="11"/>
                <c:pt idx="0">
                  <c:v>28.034476541766345</c:v>
                </c:pt>
                <c:pt idx="1">
                  <c:v>28.625561835359591</c:v>
                </c:pt>
                <c:pt idx="2">
                  <c:v>30.123402379903041</c:v>
                </c:pt>
                <c:pt idx="3">
                  <c:v>30.421654548386456</c:v>
                </c:pt>
                <c:pt idx="4">
                  <c:v>29.952645330580712</c:v>
                </c:pt>
                <c:pt idx="5">
                  <c:v>28.313023390124169</c:v>
                </c:pt>
                <c:pt idx="6">
                  <c:v>28.557788075140838</c:v>
                </c:pt>
                <c:pt idx="7">
                  <c:v>28.420512385006912</c:v>
                </c:pt>
                <c:pt idx="8">
                  <c:v>29.0321520425511</c:v>
                </c:pt>
                <c:pt idx="9">
                  <c:v>29.044226361173681</c:v>
                </c:pt>
                <c:pt idx="10">
                  <c:v>29.118040147451911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6E4-497A-9C60-6F207CC657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2695983"/>
        <c:axId val="612692655"/>
      </c:lineChart>
      <c:lineChart>
        <c:grouping val="standard"/>
        <c:varyColors val="0"/>
        <c:ser>
          <c:idx val="2"/>
          <c:order val="2"/>
          <c:tx>
            <c:v>Míra zisku</c:v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val>
            <c:numRef>
              <c:f>'S11'!$D$140:$D$150</c:f>
              <c:numCache>
                <c:formatCode>0.0</c:formatCode>
                <c:ptCount val="11"/>
                <c:pt idx="0">
                  <c:v>48.866059710310658</c:v>
                </c:pt>
                <c:pt idx="1">
                  <c:v>47.674057197571614</c:v>
                </c:pt>
                <c:pt idx="2">
                  <c:v>47.257418833553693</c:v>
                </c:pt>
                <c:pt idx="3">
                  <c:v>46.774900755724097</c:v>
                </c:pt>
                <c:pt idx="4">
                  <c:v>46.995268114089882</c:v>
                </c:pt>
                <c:pt idx="5">
                  <c:v>49.095911884823238</c:v>
                </c:pt>
                <c:pt idx="6">
                  <c:v>49.711396104520375</c:v>
                </c:pt>
                <c:pt idx="7">
                  <c:v>48.705708161716785</c:v>
                </c:pt>
                <c:pt idx="8">
                  <c:v>47.230746450211633</c:v>
                </c:pt>
                <c:pt idx="9">
                  <c:v>44.923444833642598</c:v>
                </c:pt>
                <c:pt idx="10">
                  <c:v>44.688530297773994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6E4-497A-9C60-6F207CC657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4158687"/>
        <c:axId val="604156607"/>
      </c:lineChart>
      <c:catAx>
        <c:axId val="612695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12692655"/>
        <c:crosses val="autoZero"/>
        <c:auto val="1"/>
        <c:lblAlgn val="ctr"/>
        <c:lblOffset val="100"/>
        <c:noMultiLvlLbl val="0"/>
      </c:catAx>
      <c:valAx>
        <c:axId val="612692655"/>
        <c:scaling>
          <c:orientation val="minMax"/>
          <c:min val="2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úspor, míra investic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12695983"/>
        <c:crosses val="autoZero"/>
        <c:crossBetween val="between"/>
      </c:valAx>
      <c:valAx>
        <c:axId val="604156607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zisku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04158687"/>
        <c:crosses val="max"/>
        <c:crossBetween val="between"/>
      </c:valAx>
      <c:catAx>
        <c:axId val="604158687"/>
        <c:scaling>
          <c:orientation val="minMax"/>
        </c:scaling>
        <c:delete val="1"/>
        <c:axPos val="b"/>
        <c:majorTickMark val="out"/>
        <c:minorTickMark val="none"/>
        <c:tickLblPos val="nextTo"/>
        <c:crossAx val="604156607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D296-950D-4C93-B380-9442E324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2</TotalTime>
  <Pages>3</Pages>
  <Words>1096</Words>
  <Characters>6467</Characters>
  <Application>Microsoft Office Word</Application>
  <DocSecurity>0</DocSecurity>
  <Lines>53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7548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3</cp:revision>
  <cp:lastPrinted>2019-09-12T09:26:00Z</cp:lastPrinted>
  <dcterms:created xsi:type="dcterms:W3CDTF">2020-08-10T06:56:00Z</dcterms:created>
  <dcterms:modified xsi:type="dcterms:W3CDTF">2020-08-17T07:32:00Z</dcterms:modified>
</cp:coreProperties>
</file>