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2BFE8" w14:textId="7A2B2447" w:rsidR="000979EC" w:rsidRPr="00184E20" w:rsidRDefault="001A33A3" w:rsidP="000979EC">
      <w:pPr>
        <w:pStyle w:val="Nadpis1"/>
      </w:pPr>
      <w:bookmarkStart w:id="0" w:name="_Toc47942144"/>
      <w:r>
        <w:t>8. </w:t>
      </w:r>
      <w:r w:rsidR="000979EC" w:rsidRPr="00184E20">
        <w:t>Domácnosti</w:t>
      </w:r>
      <w:bookmarkEnd w:id="0"/>
    </w:p>
    <w:p w14:paraId="39F90611" w14:textId="33519CB4" w:rsidR="000979EC" w:rsidRDefault="000979EC" w:rsidP="000979EC">
      <w:pPr>
        <w:pStyle w:val="Nadpis2"/>
      </w:pPr>
      <w:bookmarkStart w:id="1" w:name="_Toc47942145"/>
      <w:r>
        <w:t>8.</w:t>
      </w:r>
      <w:r w:rsidR="00A21624">
        <w:t>1 </w:t>
      </w:r>
      <w:r>
        <w:t>Příjmy domácností</w:t>
      </w:r>
      <w:bookmarkEnd w:id="1"/>
    </w:p>
    <w:tbl>
      <w:tblPr>
        <w:tblW w:w="9644" w:type="dxa"/>
        <w:tblInd w:w="-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6"/>
        <w:gridCol w:w="277"/>
        <w:gridCol w:w="7391"/>
      </w:tblGrid>
      <w:tr w:rsidR="000979EC" w:rsidRPr="00157A87" w14:paraId="74E9385B" w14:textId="77777777" w:rsidTr="00E503A5">
        <w:trPr>
          <w:trHeight w:val="145"/>
        </w:trPr>
        <w:tc>
          <w:tcPr>
            <w:tcW w:w="1976" w:type="dxa"/>
          </w:tcPr>
          <w:p w14:paraId="216A8B66" w14:textId="77777777" w:rsidR="000979EC" w:rsidRPr="00157A87" w:rsidRDefault="000979EC" w:rsidP="00E503A5">
            <w:pPr>
              <w:pStyle w:val="Marginlie"/>
            </w:pPr>
            <w:r>
              <w:t>Hrubý disponibilní důchod domácností nadále silně rostl. Výrazně posílil objem naturálních sociálních transferů.</w:t>
            </w:r>
          </w:p>
        </w:tc>
        <w:tc>
          <w:tcPr>
            <w:tcW w:w="277" w:type="dxa"/>
          </w:tcPr>
          <w:p w14:paraId="0F729E00" w14:textId="77777777" w:rsidR="000979EC" w:rsidRPr="00157A87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3B242697" w14:textId="593045C8" w:rsidR="000979EC" w:rsidRPr="00157A87" w:rsidRDefault="000979EC" w:rsidP="00976681">
            <w:r>
              <w:t>Hrubý disponibilní důchod domácností v roce 2019 dosáhl 3 008,6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meziročně se zvýšil </w:t>
            </w:r>
            <w:r w:rsidR="001A33A3">
              <w:t>o </w:t>
            </w:r>
            <w:r>
              <w:t>170,4</w:t>
            </w:r>
            <w:r w:rsidR="00A21624">
              <w:t> mld.</w:t>
            </w:r>
            <w:r>
              <w:rPr>
                <w:rStyle w:val="Znakapoznpodarou"/>
              </w:rPr>
              <w:footnoteReference w:id="1"/>
            </w:r>
            <w:r>
              <w:t xml:space="preserve"> V posledních třech letech se reálný </w:t>
            </w:r>
            <w:r w:rsidR="001A33A3">
              <w:t>a </w:t>
            </w:r>
            <w:r>
              <w:t xml:space="preserve">nominální růst příjmů </w:t>
            </w:r>
            <w:r w:rsidR="006A5C31">
              <w:t xml:space="preserve">domácností </w:t>
            </w:r>
            <w:r>
              <w:t>výrazněji rozcházel</w:t>
            </w:r>
            <w:r w:rsidR="006A5C31">
              <w:t>y</w:t>
            </w:r>
            <w:r>
              <w:t xml:space="preserve"> </w:t>
            </w:r>
            <w:r w:rsidR="001A33A3">
              <w:t>a </w:t>
            </w:r>
            <w:r>
              <w:t>loňské posílení cenového růstu tento trend dále prohloubilo. Reálný přírůstek HDD v roce 2019 činil 3,1</w:t>
            </w:r>
            <w:r w:rsidR="00F118D5">
              <w:t> %</w:t>
            </w:r>
            <w:r w:rsidRPr="009B00A5">
              <w:rPr>
                <w:rStyle w:val="Znakapoznpodarou"/>
              </w:rPr>
              <w:footnoteReference w:id="2"/>
            </w:r>
            <w:r>
              <w:t>, nejméně od roku 2016 (nominální růst činil 6,0</w:t>
            </w:r>
            <w:r w:rsidR="00F118D5">
              <w:t> %</w:t>
            </w:r>
            <w:r>
              <w:t xml:space="preserve"> </w:t>
            </w:r>
            <w:r w:rsidR="001A33A3">
              <w:t>a </w:t>
            </w:r>
            <w:r>
              <w:t xml:space="preserve">byl nejnižší za poslední tři roky, ale stále výrazně nadprůměrný). </w:t>
            </w:r>
            <w:r w:rsidR="001A33A3">
              <w:t>I </w:t>
            </w:r>
            <w:r>
              <w:t xml:space="preserve">nadále vývoj HDD nejsilněji ovlivňoval růst mezd </w:t>
            </w:r>
            <w:r w:rsidR="001A33A3">
              <w:t>a </w:t>
            </w:r>
            <w:r>
              <w:t xml:space="preserve">platů vyplacených domácnostem, ačkoli silná dynamika patrná v letech 2017 </w:t>
            </w:r>
            <w:r w:rsidR="001A33A3">
              <w:t>a </w:t>
            </w:r>
            <w:r>
              <w:t xml:space="preserve">2018 mírně oslabila. Stále se zvyšoval také hrubý provozní přebytek </w:t>
            </w:r>
            <w:r w:rsidR="001A33A3">
              <w:t>a </w:t>
            </w:r>
            <w:r>
              <w:t xml:space="preserve">hrubý smíšený důchod. Hodnota zboží </w:t>
            </w:r>
            <w:r w:rsidR="001A33A3">
              <w:t>a </w:t>
            </w:r>
            <w:r>
              <w:t>služeb, které domácnosti obdržely ve formě naturálních sociálních transferů</w:t>
            </w:r>
            <w:r>
              <w:rPr>
                <w:rStyle w:val="Znakapoznpodarou"/>
              </w:rPr>
              <w:footnoteReference w:id="3"/>
            </w:r>
            <w:r>
              <w:t>, dosáhla 674,9</w:t>
            </w:r>
            <w:r w:rsidR="00A21624">
              <w:t> mld.</w:t>
            </w:r>
            <w:r>
              <w:t xml:space="preserve"> korun. Meziročně se naturální sociální transfery navýšily </w:t>
            </w:r>
            <w:r w:rsidR="001A33A3">
              <w:t>o </w:t>
            </w:r>
            <w:r>
              <w:t>65,7</w:t>
            </w:r>
            <w:r w:rsidR="00A21624">
              <w:t> mld.</w:t>
            </w:r>
            <w:r>
              <w:t xml:space="preserve"> korun. Zároveň jejich podíl na hrubém upraveném disponibilním důchod</w:t>
            </w:r>
            <w:r w:rsidR="006A5C31">
              <w:t>u</w:t>
            </w:r>
            <w:r>
              <w:rPr>
                <w:rStyle w:val="Znakapoznpodarou"/>
              </w:rPr>
              <w:footnoteReference w:id="4"/>
            </w:r>
            <w:r>
              <w:t xml:space="preserve"> dosáhl 18,3</w:t>
            </w:r>
            <w:r w:rsidR="00F118D5">
              <w:t> %</w:t>
            </w:r>
            <w:r>
              <w:t xml:space="preserve">, nejvíce v celé časové řadě. Tuto položku </w:t>
            </w:r>
            <w:r w:rsidR="006A5C31">
              <w:t>táhly</w:t>
            </w:r>
            <w:r>
              <w:t xml:space="preserve"> vzhůru mimo jiné rostoucí mzdové náklady v odvětvích s dominancí vládního sektoru, která služby obyvatelstvu poskytují.</w:t>
            </w:r>
          </w:p>
        </w:tc>
      </w:tr>
      <w:tr w:rsidR="000979EC" w:rsidRPr="00894C66" w14:paraId="6950DF93" w14:textId="77777777" w:rsidTr="00E503A5">
        <w:tc>
          <w:tcPr>
            <w:tcW w:w="1976" w:type="dxa"/>
            <w:vMerge w:val="restart"/>
          </w:tcPr>
          <w:p w14:paraId="32240288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 w:val="restart"/>
          </w:tcPr>
          <w:p w14:paraId="2A81DE78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53406ADF" w14:textId="322FFA78" w:rsidR="000979EC" w:rsidRPr="004454DC" w:rsidRDefault="000979EC" w:rsidP="00E503A5">
            <w:pPr>
              <w:spacing w:after="0"/>
              <w:rPr>
                <w:b/>
              </w:rPr>
            </w:pPr>
            <w:r w:rsidRPr="00976681">
              <w:rPr>
                <w:b/>
              </w:rPr>
              <w:t xml:space="preserve">Graf </w:t>
            </w:r>
            <w:r w:rsidR="00A21624" w:rsidRPr="00976681">
              <w:rPr>
                <w:b/>
              </w:rPr>
              <w:t>č. </w:t>
            </w:r>
            <w:r w:rsidR="00E503A5" w:rsidRPr="00976681">
              <w:rPr>
                <w:b/>
              </w:rPr>
              <w:t>12</w:t>
            </w:r>
            <w:r>
              <w:rPr>
                <w:b/>
              </w:rPr>
              <w:t xml:space="preserve">  Hrubý disponibilní důchod </w:t>
            </w:r>
            <w:r w:rsidR="001A33A3">
              <w:rPr>
                <w:b/>
              </w:rPr>
              <w:t>a </w:t>
            </w:r>
            <w:r>
              <w:rPr>
                <w:b/>
              </w:rPr>
              <w:t xml:space="preserve">mzdy </w:t>
            </w:r>
            <w:r w:rsidR="001A33A3">
              <w:rPr>
                <w:b/>
              </w:rPr>
              <w:t>a </w:t>
            </w:r>
            <w:r>
              <w:rPr>
                <w:b/>
              </w:rPr>
              <w:t xml:space="preserve">platy </w:t>
            </w:r>
            <w:r w:rsidRPr="002B50CB">
              <w:t>(meziroční růst v</w:t>
            </w:r>
            <w:r w:rsidR="00F118D5">
              <w:t> %</w:t>
            </w:r>
            <w:r w:rsidRPr="002B50CB">
              <w:t>)</w:t>
            </w:r>
          </w:p>
        </w:tc>
      </w:tr>
      <w:tr w:rsidR="000979EC" w:rsidRPr="00894C66" w14:paraId="5EDDFC97" w14:textId="77777777" w:rsidTr="00E503A5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976" w:type="dxa"/>
            <w:vMerge/>
          </w:tcPr>
          <w:p w14:paraId="5E9E0030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/>
          </w:tcPr>
          <w:p w14:paraId="6E7A1FF4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5E28D0C5" w14:textId="77777777" w:rsidR="000979EC" w:rsidRDefault="000979EC" w:rsidP="00E503A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6298175" wp14:editId="11584BDC">
                  <wp:extent cx="4604385" cy="3453130"/>
                  <wp:effectExtent l="0" t="0" r="0" b="0"/>
                  <wp:docPr id="18" name="Graf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0979EC" w:rsidRPr="00894C66" w14:paraId="4E6BAB8C" w14:textId="77777777" w:rsidTr="00E503A5">
        <w:trPr>
          <w:trHeight w:val="170"/>
        </w:trPr>
        <w:tc>
          <w:tcPr>
            <w:tcW w:w="1976" w:type="dxa"/>
            <w:vMerge/>
          </w:tcPr>
          <w:p w14:paraId="053023B2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/>
          </w:tcPr>
          <w:p w14:paraId="22D61A4A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0ABB4C52" w14:textId="235DD91A" w:rsidR="000979EC" w:rsidRPr="00A1151F" w:rsidRDefault="000979EC" w:rsidP="00E503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Zdroj: </w:t>
            </w:r>
            <w:r w:rsidR="00400B82">
              <w:rPr>
                <w:sz w:val="14"/>
                <w:szCs w:val="14"/>
              </w:rPr>
              <w:t>Č</w:t>
            </w:r>
            <w:r>
              <w:rPr>
                <w:sz w:val="14"/>
                <w:szCs w:val="14"/>
              </w:rPr>
              <w:t>SÚ</w:t>
            </w:r>
          </w:p>
        </w:tc>
      </w:tr>
      <w:tr w:rsidR="000979EC" w:rsidRPr="00894C66" w14:paraId="6CA4113F" w14:textId="77777777" w:rsidTr="00E503A5">
        <w:trPr>
          <w:trHeight w:val="145"/>
        </w:trPr>
        <w:tc>
          <w:tcPr>
            <w:tcW w:w="1976" w:type="dxa"/>
          </w:tcPr>
          <w:p w14:paraId="13A0F7D3" w14:textId="358477F8" w:rsidR="000979EC" w:rsidRDefault="000979EC" w:rsidP="00E503A5">
            <w:pPr>
              <w:pStyle w:val="Marginlie"/>
            </w:pPr>
            <w:r>
              <w:t xml:space="preserve">Reálný růst mezd </w:t>
            </w:r>
            <w:r w:rsidR="001A33A3">
              <w:t>a </w:t>
            </w:r>
            <w:r>
              <w:t>platů výrazně zmírnil.</w:t>
            </w:r>
          </w:p>
        </w:tc>
        <w:tc>
          <w:tcPr>
            <w:tcW w:w="277" w:type="dxa"/>
          </w:tcPr>
          <w:p w14:paraId="21500497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15CCCB68" w14:textId="74044FA8" w:rsidR="000979EC" w:rsidRPr="007834C9" w:rsidRDefault="000979EC" w:rsidP="00E503A5">
            <w:r>
              <w:t>Většinu HDD domácností tvoří v českých podmínkách náhrady zaměstnancům. Ty loni dosáhly 2 577,9</w:t>
            </w:r>
            <w:r w:rsidR="00A21624">
              <w:t> mld.</w:t>
            </w:r>
            <w:r>
              <w:t xml:space="preserve"> korun. Po odečtení sociálních příspěvků zaměstnavatelů celkový objem mezd </w:t>
            </w:r>
            <w:r w:rsidR="001A33A3">
              <w:t>a </w:t>
            </w:r>
            <w:r>
              <w:t>platů, které byly loni vyplaceny domácnostem, dosáhl 1 978,9</w:t>
            </w:r>
            <w:r w:rsidR="00BF6EE6">
              <w:t> </w:t>
            </w:r>
            <w:r>
              <w:t xml:space="preserve">mld. korun </w:t>
            </w:r>
            <w:r w:rsidR="001A33A3">
              <w:t>a </w:t>
            </w:r>
            <w:r>
              <w:t xml:space="preserve">meziročně se zvýšil </w:t>
            </w:r>
            <w:r w:rsidR="001A33A3">
              <w:t>o </w:t>
            </w:r>
            <w:r>
              <w:t>111,5</w:t>
            </w:r>
            <w:r w:rsidR="00A21624">
              <w:t> mld.</w:t>
            </w:r>
            <w:r>
              <w:t xml:space="preserve"> Tvořil tedy většinu z nárůstu HDD. Nominální nárůst mezd </w:t>
            </w:r>
            <w:r w:rsidR="001A33A3">
              <w:t>a </w:t>
            </w:r>
            <w:r>
              <w:t xml:space="preserve">platů oproti letům 2017 </w:t>
            </w:r>
            <w:r w:rsidR="001A33A3">
              <w:t>a </w:t>
            </w:r>
            <w:r>
              <w:t xml:space="preserve">2018 zvolnil </w:t>
            </w:r>
            <w:r w:rsidR="001A33A3">
              <w:t>a </w:t>
            </w:r>
            <w:r>
              <w:t>činil 6,0</w:t>
            </w:r>
            <w:r w:rsidR="00F118D5">
              <w:t> %</w:t>
            </w:r>
            <w:r>
              <w:t xml:space="preserve">. Reálný růst mezd </w:t>
            </w:r>
            <w:r w:rsidR="001A33A3">
              <w:t>a </w:t>
            </w:r>
            <w:r>
              <w:t>platů dosáhl 3,1</w:t>
            </w:r>
            <w:r w:rsidR="00F118D5">
              <w:t> %</w:t>
            </w:r>
            <w:r>
              <w:t xml:space="preserve">, nejméně od roku 2013. K nárůstu HDD </w:t>
            </w:r>
            <w:r>
              <w:lastRenderedPageBreak/>
              <w:t>přispělo rovněž navýšení hrubého smíšeného důchodu</w:t>
            </w:r>
            <w:r>
              <w:rPr>
                <w:rStyle w:val="Znakapoznpodarou"/>
              </w:rPr>
              <w:footnoteReference w:id="5"/>
            </w:r>
            <w:r>
              <w:t xml:space="preserve"> </w:t>
            </w:r>
            <w:r w:rsidR="001A33A3">
              <w:t>o </w:t>
            </w:r>
            <w:r>
              <w:t>29,5</w:t>
            </w:r>
            <w:r w:rsidR="00A21624">
              <w:t> mld.</w:t>
            </w:r>
            <w:r>
              <w:t xml:space="preserve"> korun. Hrubý provozní přebytek</w:t>
            </w:r>
            <w:r>
              <w:rPr>
                <w:rStyle w:val="Znakapoznpodarou"/>
              </w:rPr>
              <w:footnoteReference w:id="6"/>
            </w:r>
            <w:r>
              <w:t xml:space="preserve"> narostl </w:t>
            </w:r>
            <w:r w:rsidR="001A33A3">
              <w:t>o </w:t>
            </w:r>
            <w:r>
              <w:t>24,0</w:t>
            </w:r>
            <w:r w:rsidR="00A21624">
              <w:t> mld.</w:t>
            </w:r>
            <w:r>
              <w:t xml:space="preserve"> korun. Poslední tři roky právě tato položka roste mimořádně vysokým tempem </w:t>
            </w:r>
            <w:r w:rsidR="001A33A3">
              <w:t>a </w:t>
            </w:r>
            <w:r>
              <w:t xml:space="preserve">jedním z důvodů </w:t>
            </w:r>
            <w:r w:rsidR="000A66F4">
              <w:t>jsou</w:t>
            </w:r>
            <w:r>
              <w:t xml:space="preserve"> rapidně se zvyšující ceny imputovaného nájemného.</w:t>
            </w:r>
          </w:p>
        </w:tc>
      </w:tr>
      <w:tr w:rsidR="000979EC" w:rsidRPr="00894C66" w14:paraId="22C64284" w14:textId="77777777" w:rsidTr="00E503A5">
        <w:trPr>
          <w:trHeight w:val="145"/>
        </w:trPr>
        <w:tc>
          <w:tcPr>
            <w:tcW w:w="1976" w:type="dxa"/>
          </w:tcPr>
          <w:p w14:paraId="6D368E20" w14:textId="77777777" w:rsidR="000979EC" w:rsidRDefault="000979EC" w:rsidP="00E503A5">
            <w:pPr>
              <w:pStyle w:val="Marginlie"/>
            </w:pPr>
            <w:r>
              <w:lastRenderedPageBreak/>
              <w:t>Saldo důchodů z vlastnictví rostlo.</w:t>
            </w:r>
          </w:p>
        </w:tc>
        <w:tc>
          <w:tcPr>
            <w:tcW w:w="277" w:type="dxa"/>
          </w:tcPr>
          <w:p w14:paraId="60F765B9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0E064D0A" w14:textId="1C6BEAE3" w:rsidR="000979EC" w:rsidRPr="007834C9" w:rsidRDefault="000979EC" w:rsidP="00E503A5">
            <w:r>
              <w:t>Důchody z vlastnictví nejsou v českých podmínkách podstatným příjmem domácností</w:t>
            </w:r>
            <w:r>
              <w:rPr>
                <w:rStyle w:val="Znakapoznpodarou"/>
              </w:rPr>
              <w:footnoteReference w:id="7"/>
            </w:r>
            <w:r>
              <w:t xml:space="preserve">. V loňském roce jejich kladné saldo vzrostlo </w:t>
            </w:r>
            <w:r w:rsidR="001A33A3">
              <w:t>o </w:t>
            </w:r>
            <w:r>
              <w:t>11,4</w:t>
            </w:r>
            <w:r w:rsidR="00A21624">
              <w:t> mld.</w:t>
            </w:r>
            <w:r>
              <w:t xml:space="preserve"> korun. Poměrně málo se zvyšovaly přijaté úroky (+1,1</w:t>
            </w:r>
            <w:r w:rsidR="00A21624">
              <w:t> mld.</w:t>
            </w:r>
            <w:r>
              <w:t xml:space="preserve">), větší nárůst proběhl </w:t>
            </w:r>
            <w:r w:rsidR="001A33A3">
              <w:t>u </w:t>
            </w:r>
            <w:r>
              <w:t>rozdělovaných důchodů společností (+4,4</w:t>
            </w:r>
            <w:r w:rsidR="00A21624">
              <w:t> mld.</w:t>
            </w:r>
            <w:r>
              <w:t xml:space="preserve">) </w:t>
            </w:r>
            <w:r w:rsidR="001A33A3">
              <w:t>a </w:t>
            </w:r>
            <w:r>
              <w:t xml:space="preserve">dále </w:t>
            </w:r>
            <w:r w:rsidR="001A33A3">
              <w:t>u </w:t>
            </w:r>
            <w:r>
              <w:t xml:space="preserve">reinvestovaných zisků z přímých investic (+5,2 mld.). Na straně užití domácnosti vyplácejí hlavně úroky. Jejich objem se ale skokově navýšil již v roce 2018 </w:t>
            </w:r>
            <w:r w:rsidR="001A33A3">
              <w:t>a </w:t>
            </w:r>
            <w:r>
              <w:t>v loňském roce výrazněji nenarůstal.</w:t>
            </w:r>
          </w:p>
        </w:tc>
      </w:tr>
      <w:tr w:rsidR="000979EC" w:rsidRPr="00894C66" w14:paraId="2F3920E3" w14:textId="77777777" w:rsidTr="00E503A5">
        <w:trPr>
          <w:trHeight w:val="145"/>
        </w:trPr>
        <w:tc>
          <w:tcPr>
            <w:tcW w:w="1976" w:type="dxa"/>
          </w:tcPr>
          <w:p w14:paraId="2AF2792D" w14:textId="7E36107A" w:rsidR="000979EC" w:rsidRDefault="000979EC" w:rsidP="00E503A5">
            <w:pPr>
              <w:pStyle w:val="Marginlie"/>
            </w:pPr>
            <w:r>
              <w:t xml:space="preserve">Kladné saldo druhotného rozdělení se loni snížilo. Výrazně posílil objem sociálních dávek </w:t>
            </w:r>
            <w:r w:rsidR="001A33A3">
              <w:t>a </w:t>
            </w:r>
            <w:r>
              <w:t>příspěvků vyplacených domácnostem.</w:t>
            </w:r>
          </w:p>
        </w:tc>
        <w:tc>
          <w:tcPr>
            <w:tcW w:w="277" w:type="dxa"/>
          </w:tcPr>
          <w:p w14:paraId="331F882B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5BB7A4C6" w14:textId="086D026F" w:rsidR="000979EC" w:rsidRPr="007834C9" w:rsidRDefault="001A33A3" w:rsidP="00E503A5">
            <w:r>
              <w:t>I </w:t>
            </w:r>
            <w:r w:rsidR="000979EC">
              <w:t>loni pokračoval pokles salda druhotného rozdělení. To dosáhlo 24,8</w:t>
            </w:r>
            <w:r w:rsidR="00A21624">
              <w:t> mld.</w:t>
            </w:r>
            <w:r w:rsidR="000979EC">
              <w:t xml:space="preserve"> korun </w:t>
            </w:r>
            <w:r>
              <w:t>a </w:t>
            </w:r>
            <w:r w:rsidR="000979EC">
              <w:t xml:space="preserve">meziročně se snížilo </w:t>
            </w:r>
            <w:r>
              <w:t>o </w:t>
            </w:r>
            <w:r w:rsidR="000979EC">
              <w:t>5,9</w:t>
            </w:r>
            <w:r w:rsidR="00A21624">
              <w:t> mld.</w:t>
            </w:r>
            <w:r w:rsidR="000979EC">
              <w:t xml:space="preserve">, což bylo nejméně od roku 2016. Důvodem bylo zejména menší navýšení objemu prostředků odvedených domácnostmi než v letech 2017 </w:t>
            </w:r>
            <w:r>
              <w:t>a </w:t>
            </w:r>
            <w:r w:rsidR="000979EC">
              <w:t xml:space="preserve">2018. Na straně zdrojů významně posílil růst objemu vyplacených sociálních dávek </w:t>
            </w:r>
            <w:r>
              <w:t>a </w:t>
            </w:r>
            <w:r w:rsidR="000979EC">
              <w:t>příspěvků. Ty činily 734,5</w:t>
            </w:r>
            <w:r w:rsidR="00A21624">
              <w:t> mld.</w:t>
            </w:r>
            <w:r w:rsidR="000979EC">
              <w:t xml:space="preserve"> korun </w:t>
            </w:r>
            <w:r>
              <w:t>a </w:t>
            </w:r>
            <w:r w:rsidR="000979EC">
              <w:t xml:space="preserve">meziročně se zvýšily </w:t>
            </w:r>
            <w:r>
              <w:t>o </w:t>
            </w:r>
            <w:r w:rsidR="000979EC">
              <w:t>49,1</w:t>
            </w:r>
            <w:r w:rsidR="00A21624">
              <w:t> mld.</w:t>
            </w:r>
            <w:r w:rsidR="000979EC">
              <w:t xml:space="preserve"> K posílení přispělo zejména navýšení starobních důchodů. Ostatní běžné transfery se zvýšily </w:t>
            </w:r>
            <w:r>
              <w:t>o </w:t>
            </w:r>
            <w:r w:rsidR="000979EC">
              <w:t>23,8</w:t>
            </w:r>
            <w:r w:rsidR="00A21624">
              <w:t> mld.</w:t>
            </w:r>
            <w:r w:rsidR="000979EC">
              <w:t xml:space="preserve"> korun na 304,9</w:t>
            </w:r>
            <w:r w:rsidR="00A21624">
              <w:t> mld.</w:t>
            </w:r>
            <w:r w:rsidR="000979EC">
              <w:t xml:space="preserve"> Oslabení </w:t>
            </w:r>
            <w:r w:rsidR="008B2636">
              <w:t xml:space="preserve">silné </w:t>
            </w:r>
            <w:r w:rsidR="000979EC">
              <w:t>dynamiky na straně užití se týkalo většiny položek. Domácnosti odvedly 334,8</w:t>
            </w:r>
            <w:r w:rsidR="00A21624">
              <w:t> mld.</w:t>
            </w:r>
            <w:r w:rsidR="000979EC">
              <w:t xml:space="preserve"> korun ve formě běžných daní z důchodů </w:t>
            </w:r>
            <w:r>
              <w:t>a </w:t>
            </w:r>
            <w:r w:rsidR="000979EC">
              <w:t>jmění (+25,8</w:t>
            </w:r>
            <w:r w:rsidR="00A21624">
              <w:t> mld.</w:t>
            </w:r>
            <w:r w:rsidR="000979EC">
              <w:t xml:space="preserve">). Odvedené sociální příspěvky domácností se zvýšily </w:t>
            </w:r>
            <w:r>
              <w:t>o </w:t>
            </w:r>
            <w:r w:rsidR="000979EC">
              <w:t>26,5</w:t>
            </w:r>
            <w:r w:rsidR="00A21624">
              <w:t> mld.</w:t>
            </w:r>
            <w:r w:rsidR="000979EC">
              <w:t xml:space="preserve"> korun</w:t>
            </w:r>
            <w:r w:rsidR="000979EC">
              <w:rPr>
                <w:rStyle w:val="Znakapoznpodarou"/>
              </w:rPr>
              <w:footnoteReference w:id="8"/>
            </w:r>
            <w:r w:rsidR="000979EC">
              <w:t xml:space="preserve">. Ostatní běžné transfery vzrostly </w:t>
            </w:r>
            <w:r w:rsidR="008B2636">
              <w:t xml:space="preserve">také </w:t>
            </w:r>
            <w:r>
              <w:t>o </w:t>
            </w:r>
            <w:r w:rsidR="000979EC">
              <w:t>26,5</w:t>
            </w:r>
            <w:r w:rsidR="00A21624">
              <w:t> mld.</w:t>
            </w:r>
            <w:r w:rsidR="000979EC">
              <w:t xml:space="preserve"> korun.</w:t>
            </w:r>
          </w:p>
        </w:tc>
      </w:tr>
      <w:tr w:rsidR="000979EC" w:rsidRPr="00894C66" w14:paraId="30208796" w14:textId="77777777" w:rsidTr="00E503A5">
        <w:trPr>
          <w:trHeight w:val="170"/>
        </w:trPr>
        <w:tc>
          <w:tcPr>
            <w:tcW w:w="1976" w:type="dxa"/>
            <w:vMerge w:val="restart"/>
          </w:tcPr>
          <w:p w14:paraId="3DAF7FF4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 w:val="restart"/>
          </w:tcPr>
          <w:p w14:paraId="10CC852A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111D67B7" w14:textId="4EB413EE" w:rsidR="000979EC" w:rsidRPr="00D25CDB" w:rsidRDefault="000979EC" w:rsidP="00E503A5">
            <w:pPr>
              <w:spacing w:after="0"/>
              <w:rPr>
                <w:b/>
              </w:rPr>
            </w:pPr>
            <w:r w:rsidRPr="00976681">
              <w:rPr>
                <w:b/>
              </w:rPr>
              <w:t xml:space="preserve">Graf </w:t>
            </w:r>
            <w:r w:rsidR="00A21624" w:rsidRPr="00976681">
              <w:rPr>
                <w:b/>
              </w:rPr>
              <w:t>č. </w:t>
            </w:r>
            <w:r w:rsidR="00E503A5" w:rsidRPr="00976681">
              <w:rPr>
                <w:b/>
              </w:rPr>
              <w:t>13</w:t>
            </w:r>
            <w:r>
              <w:rPr>
                <w:b/>
              </w:rPr>
              <w:t xml:space="preserve">  </w:t>
            </w:r>
            <w:r w:rsidRPr="009B00A5">
              <w:rPr>
                <w:b/>
              </w:rPr>
              <w:t>Hrubý disponibilní důchod domácností</w:t>
            </w:r>
            <w:r w:rsidRPr="009B00A5">
              <w:t xml:space="preserve"> (meziroční změna v mld. korun)</w:t>
            </w:r>
          </w:p>
        </w:tc>
      </w:tr>
      <w:tr w:rsidR="000979EC" w:rsidRPr="00894C66" w14:paraId="29A8781D" w14:textId="77777777" w:rsidTr="00E503A5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976" w:type="dxa"/>
            <w:vMerge/>
          </w:tcPr>
          <w:p w14:paraId="6AFE507E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/>
          </w:tcPr>
          <w:p w14:paraId="3962EB28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22E44143" w14:textId="77777777" w:rsidR="000979EC" w:rsidRDefault="000979EC" w:rsidP="00E503A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362EF0C" wp14:editId="057954B6">
                  <wp:extent cx="4604385" cy="3453130"/>
                  <wp:effectExtent l="0" t="0" r="0" b="0"/>
                  <wp:docPr id="19" name="Graf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979EC" w:rsidRPr="00894C66" w14:paraId="7027B4E9" w14:textId="77777777" w:rsidTr="00E503A5">
        <w:trPr>
          <w:trHeight w:val="170"/>
        </w:trPr>
        <w:tc>
          <w:tcPr>
            <w:tcW w:w="1976" w:type="dxa"/>
            <w:vMerge/>
          </w:tcPr>
          <w:p w14:paraId="3F14C308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/>
          </w:tcPr>
          <w:p w14:paraId="1A8AE339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5D3BC8F6" w14:textId="77777777" w:rsidR="000979EC" w:rsidRDefault="000979EC" w:rsidP="00E503A5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59997B9A" w14:textId="6D6D7197" w:rsidR="000979EC" w:rsidRPr="00D25CDB" w:rsidRDefault="000979EC" w:rsidP="00E503A5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*Po vyloučení sociálních příspěvků zaměstnavatelů</w:t>
            </w:r>
          </w:p>
        </w:tc>
      </w:tr>
    </w:tbl>
    <w:p w14:paraId="3E54330D" w14:textId="11B64F95" w:rsidR="000979EC" w:rsidRDefault="000979EC" w:rsidP="000979EC">
      <w:pPr>
        <w:pStyle w:val="Nadpis2"/>
      </w:pPr>
      <w:bookmarkStart w:id="2" w:name="_Toc511215218"/>
      <w:bookmarkStart w:id="3" w:name="_Toc47942146"/>
      <w:r>
        <w:lastRenderedPageBreak/>
        <w:t>8.</w:t>
      </w:r>
      <w:r w:rsidR="00A21624">
        <w:t>2 </w:t>
      </w:r>
      <w:r>
        <w:t>Výdaje domácností</w:t>
      </w:r>
      <w:bookmarkEnd w:id="2"/>
      <w:bookmarkEnd w:id="3"/>
    </w:p>
    <w:tbl>
      <w:tblPr>
        <w:tblW w:w="9644" w:type="dxa"/>
        <w:tblInd w:w="-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6"/>
        <w:gridCol w:w="277"/>
        <w:gridCol w:w="7391"/>
      </w:tblGrid>
      <w:tr w:rsidR="000979EC" w:rsidRPr="00157A87" w14:paraId="7369DEF5" w14:textId="77777777" w:rsidTr="00E503A5">
        <w:trPr>
          <w:trHeight w:val="145"/>
        </w:trPr>
        <w:tc>
          <w:tcPr>
            <w:tcW w:w="1976" w:type="dxa"/>
          </w:tcPr>
          <w:p w14:paraId="3F373C7C" w14:textId="7630B0B3" w:rsidR="000979EC" w:rsidRPr="00157A87" w:rsidRDefault="000979EC" w:rsidP="00E503A5">
            <w:pPr>
              <w:pStyle w:val="Marginlie"/>
            </w:pPr>
            <w:r>
              <w:t xml:space="preserve">Spotřeba domácností se loni reálně zvýšila </w:t>
            </w:r>
            <w:r w:rsidR="001A33A3">
              <w:t>o </w:t>
            </w:r>
            <w:r>
              <w:t>2,9</w:t>
            </w:r>
            <w:r w:rsidR="00F118D5">
              <w:t> %</w:t>
            </w:r>
            <w:r>
              <w:t>.</w:t>
            </w:r>
          </w:p>
        </w:tc>
        <w:tc>
          <w:tcPr>
            <w:tcW w:w="277" w:type="dxa"/>
          </w:tcPr>
          <w:p w14:paraId="451834D1" w14:textId="77777777" w:rsidR="000979EC" w:rsidRPr="00157A87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4CAF129D" w14:textId="5E52475A" w:rsidR="000979EC" w:rsidRPr="00157A87" w:rsidRDefault="000979EC" w:rsidP="00E503A5">
            <w:r>
              <w:t>Výdaje na konečnou spotřebu domácností loni činily 2 670,3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meziročně se zvýšily </w:t>
            </w:r>
            <w:r w:rsidR="001A33A3">
              <w:t>o </w:t>
            </w:r>
            <w:r>
              <w:t>146,8</w:t>
            </w:r>
            <w:r w:rsidR="00A21624">
              <w:t> mld.</w:t>
            </w:r>
            <w:r>
              <w:t xml:space="preserve"> Pokračoval tak masivní nárůst spotřeby z let 2017 </w:t>
            </w:r>
            <w:r w:rsidR="001A33A3">
              <w:t>a </w:t>
            </w:r>
            <w:r>
              <w:t xml:space="preserve">2018, který byl rovněž významným zdrojem celkového růstu HDP. Reálně se spotřeba loni zvýšila </w:t>
            </w:r>
            <w:r w:rsidR="001A33A3">
              <w:t>o </w:t>
            </w:r>
            <w:r>
              <w:t>2,9</w:t>
            </w:r>
            <w:r w:rsidR="00F118D5">
              <w:t> %</w:t>
            </w:r>
            <w:r>
              <w:t xml:space="preserve">. Pod 3% hranici </w:t>
            </w:r>
            <w:r w:rsidR="0030150E">
              <w:t>růstu přitom</w:t>
            </w:r>
            <w:r>
              <w:t xml:space="preserve"> klesla poprvé od roku 2014, vzhledem k výše uvedenému nominálnímu přírůstku šlo hlavně </w:t>
            </w:r>
            <w:r w:rsidR="001A33A3">
              <w:t>o </w:t>
            </w:r>
            <w:r>
              <w:t xml:space="preserve">vliv silného růstu cenové hladiny. Hodnota spotřeby zboží </w:t>
            </w:r>
            <w:r w:rsidR="001A33A3">
              <w:t>a </w:t>
            </w:r>
            <w:r>
              <w:t>služeb v podobě naturálních sociálních transferů dosáhla 674,9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zvýšila se </w:t>
            </w:r>
            <w:r w:rsidR="001A33A3">
              <w:t>o </w:t>
            </w:r>
            <w:r>
              <w:t>65,7</w:t>
            </w:r>
            <w:r w:rsidR="00A21624">
              <w:t> mld.</w:t>
            </w:r>
            <w:r>
              <w:t xml:space="preserve"> Hodnota netržní produkce vládních institucí </w:t>
            </w:r>
            <w:r w:rsidR="001A33A3">
              <w:t>a </w:t>
            </w:r>
            <w:r>
              <w:t>neziskových institucí sloužících domácnostem (NISD) z toho tvořila 73,7</w:t>
            </w:r>
            <w:r w:rsidR="00BF6EE6">
              <w:t> </w:t>
            </w:r>
            <w:r>
              <w:t xml:space="preserve">% </w:t>
            </w:r>
            <w:r w:rsidR="001A33A3">
              <w:t>a </w:t>
            </w:r>
            <w:r>
              <w:t xml:space="preserve">vzrostla </w:t>
            </w:r>
            <w:r w:rsidR="001A33A3">
              <w:t>o </w:t>
            </w:r>
            <w:r>
              <w:t>49,0</w:t>
            </w:r>
            <w:r w:rsidR="00A21624">
              <w:t> mld.</w:t>
            </w:r>
            <w:r>
              <w:t>, téměř stejně jako v roce 2018. Oproti předchozím letům výrazně posílil přírůstek hodnoty tržní produkce nakoupené vládními institucemi (16,7</w:t>
            </w:r>
            <w:r w:rsidR="00A21624">
              <w:t> mld.</w:t>
            </w:r>
            <w:r>
              <w:t xml:space="preserve"> korun). Hodnota hrubých úspor domácností se loni zvýšila </w:t>
            </w:r>
            <w:r w:rsidR="001A33A3">
              <w:t>o </w:t>
            </w:r>
            <w:r>
              <w:t>29,0</w:t>
            </w:r>
            <w:r w:rsidR="00A21624">
              <w:t> mld.</w:t>
            </w:r>
            <w:r>
              <w:t xml:space="preserve"> korun na 376,5</w:t>
            </w:r>
            <w:r w:rsidR="00A21624">
              <w:t> mld.</w:t>
            </w:r>
            <w:r>
              <w:t xml:space="preserve"> Míra úspor</w:t>
            </w:r>
            <w:r>
              <w:rPr>
                <w:rStyle w:val="Znakapoznpodarou"/>
              </w:rPr>
              <w:footnoteReference w:id="9"/>
            </w:r>
            <w:r>
              <w:t xml:space="preserve"> se rovněž mírně navýšila na 12,4</w:t>
            </w:r>
            <w:r w:rsidR="00F118D5">
              <w:t> %</w:t>
            </w:r>
            <w:r>
              <w:t>.</w:t>
            </w:r>
          </w:p>
        </w:tc>
      </w:tr>
      <w:tr w:rsidR="000979EC" w:rsidRPr="00894C66" w14:paraId="13ADD5CC" w14:textId="77777777" w:rsidTr="00E503A5">
        <w:tc>
          <w:tcPr>
            <w:tcW w:w="1976" w:type="dxa"/>
            <w:vMerge w:val="restart"/>
          </w:tcPr>
          <w:p w14:paraId="3F9B599C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 w:val="restart"/>
          </w:tcPr>
          <w:p w14:paraId="45C99235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60FAE19B" w14:textId="638462ED" w:rsidR="000979EC" w:rsidRPr="004454DC" w:rsidRDefault="000979EC" w:rsidP="00E503A5">
            <w:pPr>
              <w:spacing w:after="0"/>
              <w:rPr>
                <w:b/>
              </w:rPr>
            </w:pPr>
            <w:r>
              <w:rPr>
                <w:b/>
              </w:rPr>
              <w:t xml:space="preserve">Graf </w:t>
            </w:r>
            <w:r w:rsidR="001A480E">
              <w:rPr>
                <w:b/>
              </w:rPr>
              <w:t>č. </w:t>
            </w:r>
            <w:r w:rsidR="00E503A5">
              <w:rPr>
                <w:b/>
              </w:rPr>
              <w:t>14</w:t>
            </w:r>
            <w:r w:rsidR="001A480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4275">
              <w:rPr>
                <w:b/>
              </w:rPr>
              <w:t>Meziroční změna výdajů na konečnou spotřebu domácností</w:t>
            </w:r>
            <w:r w:rsidR="001A480E">
              <w:rPr>
                <w:b/>
              </w:rPr>
              <w:br/>
            </w:r>
            <w:r w:rsidRPr="00234275">
              <w:t>(</w:t>
            </w:r>
            <w:r w:rsidR="0030150E">
              <w:t>v </w:t>
            </w:r>
            <w:r w:rsidRPr="00234275">
              <w:t>mld. korun)</w:t>
            </w:r>
            <w:r w:rsidRPr="00234275">
              <w:rPr>
                <w:b/>
              </w:rPr>
              <w:t xml:space="preserve">, míra úspor </w:t>
            </w:r>
            <w:r w:rsidR="001A33A3" w:rsidRPr="00234275">
              <w:rPr>
                <w:b/>
              </w:rPr>
              <w:t>a</w:t>
            </w:r>
            <w:r w:rsidR="001A33A3">
              <w:rPr>
                <w:b/>
              </w:rPr>
              <w:t> </w:t>
            </w:r>
            <w:r w:rsidRPr="00234275">
              <w:rPr>
                <w:b/>
              </w:rPr>
              <w:t xml:space="preserve">míra investic </w:t>
            </w:r>
            <w:r w:rsidRPr="00234275">
              <w:t>(</w:t>
            </w:r>
            <w:r w:rsidR="0030150E">
              <w:t>v </w:t>
            </w:r>
            <w:r w:rsidRPr="00234275">
              <w:t>%)</w:t>
            </w:r>
          </w:p>
        </w:tc>
      </w:tr>
      <w:tr w:rsidR="000979EC" w:rsidRPr="00894C66" w14:paraId="0316819A" w14:textId="77777777" w:rsidTr="00E503A5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976" w:type="dxa"/>
            <w:vMerge/>
          </w:tcPr>
          <w:p w14:paraId="0EEFA876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/>
          </w:tcPr>
          <w:p w14:paraId="1B1E76EF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7AC56DE9" w14:textId="77777777" w:rsidR="000979EC" w:rsidRDefault="000979EC" w:rsidP="00E503A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AB38A2F" wp14:editId="74C8EC29">
                  <wp:extent cx="4604385" cy="3453130"/>
                  <wp:effectExtent l="0" t="0" r="0" b="0"/>
                  <wp:docPr id="5" name="Graf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979EC" w:rsidRPr="00894C66" w14:paraId="3447CD4A" w14:textId="77777777" w:rsidTr="00E503A5">
        <w:trPr>
          <w:trHeight w:val="170"/>
        </w:trPr>
        <w:tc>
          <w:tcPr>
            <w:tcW w:w="1976" w:type="dxa"/>
            <w:vMerge/>
          </w:tcPr>
          <w:p w14:paraId="1176B176" w14:textId="77777777" w:rsidR="000979EC" w:rsidRDefault="000979EC" w:rsidP="00E503A5">
            <w:pPr>
              <w:pStyle w:val="Marginlie"/>
            </w:pPr>
          </w:p>
        </w:tc>
        <w:tc>
          <w:tcPr>
            <w:tcW w:w="277" w:type="dxa"/>
            <w:vMerge/>
          </w:tcPr>
          <w:p w14:paraId="1182BE69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5FCF71A6" w14:textId="77777777" w:rsidR="000979EC" w:rsidRPr="00A1151F" w:rsidRDefault="000979EC" w:rsidP="00E503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tr w:rsidR="000979EC" w:rsidRPr="00894C66" w14:paraId="3EB2C32A" w14:textId="77777777" w:rsidTr="00E503A5">
        <w:trPr>
          <w:trHeight w:val="145"/>
        </w:trPr>
        <w:tc>
          <w:tcPr>
            <w:tcW w:w="1976" w:type="dxa"/>
          </w:tcPr>
          <w:p w14:paraId="419B5D82" w14:textId="7223C43F" w:rsidR="000979EC" w:rsidRPr="004A24B0" w:rsidRDefault="000979EC" w:rsidP="00E503A5">
            <w:pPr>
              <w:pStyle w:val="Marginlie"/>
            </w:pPr>
            <w:r>
              <w:t xml:space="preserve">Oslabil růst spotřeby zboží dlouhodobé spotřeby. </w:t>
            </w:r>
            <w:r w:rsidR="001A33A3">
              <w:t>U </w:t>
            </w:r>
            <w:r>
              <w:t>střednědobých statků spotřeba zrychlila.</w:t>
            </w:r>
          </w:p>
        </w:tc>
        <w:tc>
          <w:tcPr>
            <w:tcW w:w="277" w:type="dxa"/>
          </w:tcPr>
          <w:p w14:paraId="005F24F7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5D19B7F3" w14:textId="1E167BB4" w:rsidR="000979EC" w:rsidRPr="001502B1" w:rsidRDefault="000979EC" w:rsidP="00E503A5">
            <w:r>
              <w:t>Mírné zpomalení celkové reálné dynamiky spotřeby lze přičíst zejména redukci reálného přírůstku spotřeby předmětů krátkodobé spotřeby</w:t>
            </w:r>
            <w:r>
              <w:rPr>
                <w:rStyle w:val="Znakapoznpodarou"/>
              </w:rPr>
              <w:footnoteReference w:id="10"/>
            </w:r>
            <w:r>
              <w:rPr>
                <w:vertAlign w:val="superscript"/>
              </w:rPr>
              <w:t>,</w:t>
            </w:r>
            <w:r>
              <w:rPr>
                <w:rStyle w:val="Znakapoznpodarou"/>
              </w:rPr>
              <w:footnoteReference w:id="11"/>
            </w:r>
            <w:r>
              <w:t xml:space="preserve"> (ze 2,7</w:t>
            </w:r>
            <w:r w:rsidR="00F118D5">
              <w:t> %</w:t>
            </w:r>
            <w:r>
              <w:t xml:space="preserve"> na 2,0 %). Mírně zpomalil také růst </w:t>
            </w:r>
            <w:r w:rsidR="001A33A3">
              <w:t>u </w:t>
            </w:r>
            <w:r>
              <w:t>statků dlouhodobé spotřeby</w:t>
            </w:r>
            <w:r>
              <w:rPr>
                <w:rStyle w:val="Znakapoznpodarou"/>
              </w:rPr>
              <w:footnoteReference w:id="12"/>
            </w:r>
            <w:r>
              <w:t xml:space="preserve"> (na 4,3</w:t>
            </w:r>
            <w:r w:rsidR="00F118D5">
              <w:t> %</w:t>
            </w:r>
            <w:r>
              <w:t>). Ty ale představují podstatně menší část spotřeby než právě netrvanlivé zboží. Naopak poměrně výrazně posílila dynamika střednědobé spotřeby (na 5,6</w:t>
            </w:r>
            <w:r w:rsidR="00F118D5">
              <w:t> %</w:t>
            </w:r>
            <w:r>
              <w:t xml:space="preserve">). Spotřeba služeb se loni reálně zvýšila </w:t>
            </w:r>
            <w:r w:rsidR="001A33A3">
              <w:t>o </w:t>
            </w:r>
            <w:r>
              <w:t>3,1</w:t>
            </w:r>
            <w:r w:rsidR="00F118D5">
              <w:t> %</w:t>
            </w:r>
            <w:r>
              <w:t xml:space="preserve">, podobně jako v předchozím roce. Celkově bylo patrné určité vyrovnání tempa mezi jednotlivými složkami spotřeby. Zejména </w:t>
            </w:r>
            <w:r>
              <w:lastRenderedPageBreak/>
              <w:t xml:space="preserve">v prvních letech ekonomického oživení (2015–2016) mnohem rychleji narůstaly výdaje na statky dlouhodobé spotřeby, jejichž pořízení domácnosti v prostředí nejistého ekonomického vývoje </w:t>
            </w:r>
            <w:r w:rsidR="001A33A3">
              <w:t>i </w:t>
            </w:r>
            <w:r>
              <w:t>nižšího růstu výdělků předtím více odkládaly. V loňském roce nadále pokračovalo výrazné navyšování mezd, společně s </w:t>
            </w:r>
            <w:r w:rsidR="007C2D23">
              <w:t xml:space="preserve">tím </w:t>
            </w:r>
            <w:r>
              <w:t xml:space="preserve">ale narůstala nejistota, zda se ekonomice bude dařit </w:t>
            </w:r>
            <w:r w:rsidR="001A33A3">
              <w:t>i </w:t>
            </w:r>
            <w:r>
              <w:t>nadále</w:t>
            </w:r>
            <w:r>
              <w:rPr>
                <w:rStyle w:val="Znakapoznpodarou"/>
              </w:rPr>
              <w:footnoteReference w:id="13"/>
            </w:r>
            <w:r>
              <w:t>.</w:t>
            </w:r>
          </w:p>
        </w:tc>
      </w:tr>
      <w:tr w:rsidR="000979EC" w:rsidRPr="00894C66" w14:paraId="5D13DCFE" w14:textId="77777777" w:rsidTr="00E503A5">
        <w:trPr>
          <w:trHeight w:val="145"/>
        </w:trPr>
        <w:tc>
          <w:tcPr>
            <w:tcW w:w="1976" w:type="dxa"/>
          </w:tcPr>
          <w:p w14:paraId="6AF5FAF8" w14:textId="6FA362D6" w:rsidR="000979EC" w:rsidRDefault="000979EC" w:rsidP="00E503A5">
            <w:pPr>
              <w:pStyle w:val="Marginlie"/>
            </w:pPr>
            <w:r>
              <w:lastRenderedPageBreak/>
              <w:t xml:space="preserve">Výrazně rostly výdaje na oděvy </w:t>
            </w:r>
            <w:r w:rsidR="001A33A3">
              <w:t>a </w:t>
            </w:r>
            <w:r>
              <w:t xml:space="preserve">obuv </w:t>
            </w:r>
            <w:r w:rsidR="001A33A3">
              <w:t>a </w:t>
            </w:r>
            <w:r>
              <w:t xml:space="preserve">kulturu </w:t>
            </w:r>
            <w:r w:rsidR="001A33A3">
              <w:t>a </w:t>
            </w:r>
            <w:r>
              <w:t>rekreaci.</w:t>
            </w:r>
          </w:p>
        </w:tc>
        <w:tc>
          <w:tcPr>
            <w:tcW w:w="277" w:type="dxa"/>
          </w:tcPr>
          <w:p w14:paraId="79A9FEB1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099CBD39" w14:textId="179693AA" w:rsidR="000979EC" w:rsidRPr="007834C9" w:rsidRDefault="000979EC" w:rsidP="00E503A5">
            <w:r>
              <w:t xml:space="preserve">Věcné členění výdajů na konečnou spotřebu rovněž ukazuje, že domácnosti svou rostoucí kupní sílu směřovaly zejména na zbytné zboží, které nepředstavovalo dlouhodobější zátěž </w:t>
            </w:r>
            <w:r w:rsidR="00873072">
              <w:t>pro</w:t>
            </w:r>
            <w:r>
              <w:t xml:space="preserve"> jejich rozpočet. Platilo to pro výdaje na odívání </w:t>
            </w:r>
            <w:r w:rsidR="001A33A3">
              <w:t>a </w:t>
            </w:r>
            <w:r>
              <w:t xml:space="preserve">obuv, které loni reálně vzrostly </w:t>
            </w:r>
            <w:r w:rsidR="001A33A3">
              <w:t>o </w:t>
            </w:r>
            <w:r>
              <w:t>8,5</w:t>
            </w:r>
            <w:r w:rsidR="00F118D5">
              <w:t> %</w:t>
            </w:r>
            <w:r>
              <w:t xml:space="preserve"> (5,3</w:t>
            </w:r>
            <w:r w:rsidR="00F118D5">
              <w:t> %</w:t>
            </w:r>
            <w:r>
              <w:t xml:space="preserve"> v roce 2018). Zrychlila rovněž dynamika výdajů na bytové vybavení (7,1</w:t>
            </w:r>
            <w:r w:rsidR="00F118D5">
              <w:t> %</w:t>
            </w:r>
            <w:r>
              <w:t xml:space="preserve">, zejména přístroje </w:t>
            </w:r>
            <w:r w:rsidR="001A33A3">
              <w:t>a </w:t>
            </w:r>
            <w:r>
              <w:t>spotřebiče, kuchyňské potřeby, nářadí a</w:t>
            </w:r>
            <w:r w:rsidR="00873072">
              <w:t> </w:t>
            </w:r>
            <w:r>
              <w:t>pod</w:t>
            </w:r>
            <w:r w:rsidR="00873072">
              <w:t>obně</w:t>
            </w:r>
            <w:r>
              <w:t xml:space="preserve">, méně pak nábytek). Nejvíce od roku 1996 se reálně zvýšily výdaje na rekreaci, kulturu </w:t>
            </w:r>
            <w:r w:rsidR="001A33A3">
              <w:t>a </w:t>
            </w:r>
            <w:r>
              <w:t>sport (8,1</w:t>
            </w:r>
            <w:r w:rsidR="00F118D5">
              <w:t> %</w:t>
            </w:r>
            <w:r>
              <w:t xml:space="preserve">, posílení proběhlo napříč celou spotřební kategorií, nejvíce zrychlil nákup zařízení </w:t>
            </w:r>
            <w:r w:rsidR="001A33A3">
              <w:t>a </w:t>
            </w:r>
            <w:r>
              <w:t>vybavení pro audio</w:t>
            </w:r>
            <w:r w:rsidR="00873072">
              <w:noBreakHyphen/>
            </w:r>
            <w:r>
              <w:t xml:space="preserve">video </w:t>
            </w:r>
            <w:r w:rsidR="001A33A3">
              <w:t>a </w:t>
            </w:r>
            <w:r>
              <w:t xml:space="preserve">dále rekreačních </w:t>
            </w:r>
            <w:r w:rsidR="001A33A3">
              <w:t>a </w:t>
            </w:r>
            <w:r>
              <w:t xml:space="preserve">kulturních služeb). Silný byl nárůst výdajů na pošty </w:t>
            </w:r>
            <w:r w:rsidR="001A33A3">
              <w:t>a </w:t>
            </w:r>
            <w:r>
              <w:t>telekomunikace (7,5</w:t>
            </w:r>
            <w:r w:rsidR="00F118D5">
              <w:t> %</w:t>
            </w:r>
            <w:r>
              <w:t xml:space="preserve">), zejména pod vlivem posílení výdajů na poštovní služby. Po dvou slabších letech loni posílila </w:t>
            </w:r>
            <w:r w:rsidR="001A33A3">
              <w:t>i </w:t>
            </w:r>
            <w:r>
              <w:t xml:space="preserve">spotřeba potravin </w:t>
            </w:r>
            <w:r w:rsidR="001A33A3">
              <w:t>a </w:t>
            </w:r>
            <w:r>
              <w:t>nealkoholických nápojů (4,5</w:t>
            </w:r>
            <w:r w:rsidR="00F118D5">
              <w:t> %</w:t>
            </w:r>
            <w:r>
              <w:t>, silně nadprůměrný přírůstek). Nejvíce za posledních deset let se zvýšily výdaje na zdraví (8,4</w:t>
            </w:r>
            <w:r w:rsidR="00F118D5">
              <w:t> %</w:t>
            </w:r>
            <w:r>
              <w:t xml:space="preserve">) </w:t>
            </w:r>
            <w:r w:rsidR="001A33A3">
              <w:t>a </w:t>
            </w:r>
            <w:r>
              <w:t>vzdělávání (6,3</w:t>
            </w:r>
            <w:r w:rsidR="00F118D5">
              <w:t> %</w:t>
            </w:r>
            <w:r>
              <w:t>).</w:t>
            </w:r>
          </w:p>
        </w:tc>
      </w:tr>
      <w:tr w:rsidR="000979EC" w:rsidRPr="00894C66" w14:paraId="7F858AE2" w14:textId="77777777" w:rsidTr="00E503A5">
        <w:trPr>
          <w:trHeight w:val="145"/>
        </w:trPr>
        <w:tc>
          <w:tcPr>
            <w:tcW w:w="1976" w:type="dxa"/>
          </w:tcPr>
          <w:p w14:paraId="5E11D955" w14:textId="77777777" w:rsidR="000979EC" w:rsidRDefault="000979EC" w:rsidP="00E503A5">
            <w:pPr>
              <w:pStyle w:val="Marginlie"/>
            </w:pPr>
            <w:r>
              <w:t>Klesly výdaje na koupi osobních dopravních prostředků.</w:t>
            </w:r>
          </w:p>
        </w:tc>
        <w:tc>
          <w:tcPr>
            <w:tcW w:w="277" w:type="dxa"/>
          </w:tcPr>
          <w:p w14:paraId="6DCB82A5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335FDBF1" w14:textId="0131EADD" w:rsidR="000979EC" w:rsidRDefault="000979EC" w:rsidP="00E503A5">
            <w:r>
              <w:t>Mírně reálně klesly výdaje na bydlení, vodu</w:t>
            </w:r>
            <w:r w:rsidR="00873072">
              <w:t>,</w:t>
            </w:r>
            <w:r>
              <w:t xml:space="preserve"> energie </w:t>
            </w:r>
            <w:r w:rsidR="001A33A3">
              <w:t>a </w:t>
            </w:r>
            <w:r>
              <w:t>paliva (</w:t>
            </w:r>
            <w:r w:rsidR="00A21624">
              <w:t>–</w:t>
            </w:r>
            <w:r>
              <w:t>0,2</w:t>
            </w:r>
            <w:r w:rsidR="00F118D5">
              <w:t> %</w:t>
            </w:r>
            <w:r>
              <w:t xml:space="preserve">). V loňském roce se v této kategorii plošně zvyšovaly ceny – nájemné </w:t>
            </w:r>
            <w:r w:rsidR="001A33A3">
              <w:t>i </w:t>
            </w:r>
            <w:r>
              <w:t xml:space="preserve">ceny elektřiny </w:t>
            </w:r>
            <w:r w:rsidR="001A33A3">
              <w:t>a </w:t>
            </w:r>
            <w:r>
              <w:t xml:space="preserve">energií. Domácnosti reálně snížily svou spotřebu elektřiny, tepla, plynu </w:t>
            </w:r>
            <w:r w:rsidR="001A33A3">
              <w:t>a </w:t>
            </w:r>
            <w:r>
              <w:t xml:space="preserve">paliv </w:t>
            </w:r>
            <w:r w:rsidR="001A33A3">
              <w:t>o </w:t>
            </w:r>
            <w:r>
              <w:t>2,1</w:t>
            </w:r>
            <w:r w:rsidR="00F118D5">
              <w:t> %</w:t>
            </w:r>
            <w:r>
              <w:t xml:space="preserve">. Reálně </w:t>
            </w:r>
            <w:r w:rsidR="001A33A3">
              <w:t>o </w:t>
            </w:r>
            <w:r>
              <w:t>1,3</w:t>
            </w:r>
            <w:r w:rsidR="00F118D5">
              <w:t> %</w:t>
            </w:r>
            <w:r>
              <w:t xml:space="preserve"> klesly </w:t>
            </w:r>
            <w:r w:rsidR="00873072">
              <w:t xml:space="preserve">také </w:t>
            </w:r>
            <w:r>
              <w:t xml:space="preserve">výdaje na nájemné z bytu. Výrazně rostla jen běžná údržba </w:t>
            </w:r>
            <w:r w:rsidR="001A33A3">
              <w:t>a </w:t>
            </w:r>
            <w:r>
              <w:t>opravy bytu (11,0</w:t>
            </w:r>
            <w:r w:rsidR="00F118D5">
              <w:t> %</w:t>
            </w:r>
            <w:r>
              <w:t xml:space="preserve">). Po šesti letech růstu se do reálného poklesu dostaly </w:t>
            </w:r>
            <w:r w:rsidR="001A33A3">
              <w:t>i </w:t>
            </w:r>
            <w:r>
              <w:t>výdaje na dopravu (</w:t>
            </w:r>
            <w:r w:rsidR="00A21624">
              <w:t>–</w:t>
            </w:r>
            <w:r>
              <w:t>0,1</w:t>
            </w:r>
            <w:r w:rsidR="00F118D5">
              <w:t> %</w:t>
            </w:r>
            <w:r>
              <w:t xml:space="preserve">). Zde šlo zejména </w:t>
            </w:r>
            <w:r w:rsidR="001A33A3">
              <w:t>o </w:t>
            </w:r>
            <w:r>
              <w:t xml:space="preserve">propad nákupů osobních dopravních prostředků </w:t>
            </w:r>
            <w:r w:rsidR="001A33A3">
              <w:t>o </w:t>
            </w:r>
            <w:r>
              <w:t>3,0</w:t>
            </w:r>
            <w:r w:rsidR="00F118D5">
              <w:t> %</w:t>
            </w:r>
            <w:r>
              <w:t xml:space="preserve"> (největší zaznamenaný pokles v celé časové řadě). Naopak výdaje na jejich provoz se zvýšily </w:t>
            </w:r>
            <w:r w:rsidR="001A33A3">
              <w:t>o </w:t>
            </w:r>
            <w:r>
              <w:t>2,2</w:t>
            </w:r>
            <w:r w:rsidR="00F118D5">
              <w:t> %</w:t>
            </w:r>
            <w:r>
              <w:t>.</w:t>
            </w:r>
          </w:p>
        </w:tc>
      </w:tr>
      <w:tr w:rsidR="000979EC" w:rsidRPr="00894C66" w14:paraId="3E289043" w14:textId="77777777" w:rsidTr="00E503A5">
        <w:trPr>
          <w:trHeight w:val="170"/>
        </w:trPr>
        <w:tc>
          <w:tcPr>
            <w:tcW w:w="1976" w:type="dxa"/>
          </w:tcPr>
          <w:p w14:paraId="412DF43E" w14:textId="27E1C6FF" w:rsidR="000979EC" w:rsidRDefault="000979EC" w:rsidP="00E503A5">
            <w:pPr>
              <w:pStyle w:val="Marginlie"/>
            </w:pPr>
            <w:r>
              <w:t xml:space="preserve">Investiční aktivita domácností se loni zvýšila. Rostla </w:t>
            </w:r>
            <w:r w:rsidR="001A33A3">
              <w:t>i </w:t>
            </w:r>
            <w:r>
              <w:t>míra investic.</w:t>
            </w:r>
          </w:p>
        </w:tc>
        <w:tc>
          <w:tcPr>
            <w:tcW w:w="277" w:type="dxa"/>
          </w:tcPr>
          <w:p w14:paraId="1AFFB6FB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5F1B8776" w14:textId="44078893" w:rsidR="000979EC" w:rsidRDefault="000979EC" w:rsidP="00E503A5">
            <w:r>
              <w:t>Výdaje domácností na tvorbu hrubého fixního kapitálu loni dosáhly 285,5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meziročně se zvýšily </w:t>
            </w:r>
            <w:r w:rsidR="001A33A3">
              <w:t>o </w:t>
            </w:r>
            <w:r>
              <w:t>26,8</w:t>
            </w:r>
            <w:r w:rsidR="00A21624">
              <w:t> mld.</w:t>
            </w:r>
            <w:r>
              <w:t xml:space="preserve"> Nominální přírůstek byl tak oproti roku 2018 zhruba poloviční. Míra investic</w:t>
            </w:r>
            <w:r>
              <w:rPr>
                <w:rStyle w:val="Znakapoznpodarou"/>
              </w:rPr>
              <w:footnoteReference w:id="14"/>
            </w:r>
            <w:r>
              <w:t xml:space="preserve"> domácností dosáhla loni 9,4</w:t>
            </w:r>
            <w:r w:rsidR="00F118D5">
              <w:t> %</w:t>
            </w:r>
            <w:r>
              <w:t xml:space="preserve"> </w:t>
            </w:r>
            <w:r w:rsidR="001A33A3">
              <w:t>a </w:t>
            </w:r>
            <w:r>
              <w:t xml:space="preserve">meziročně se zvýšila </w:t>
            </w:r>
            <w:r w:rsidR="001A33A3">
              <w:t>o </w:t>
            </w:r>
            <w:r>
              <w:t>0,4</w:t>
            </w:r>
            <w:r w:rsidR="00F118D5">
              <w:t> p. b.</w:t>
            </w:r>
            <w:r>
              <w:t xml:space="preserve"> Nad 10% hranicí tak </w:t>
            </w:r>
            <w:r w:rsidR="001B5C4D">
              <w:t xml:space="preserve">byla </w:t>
            </w:r>
            <w:r>
              <w:t>míra investic naposledy v roce 2010. Podíl disponibilního příjmu, který domácnosti investují, se tak nedostal k předkrizovým hodnotám ani po několika příjmově bohatších letech.</w:t>
            </w:r>
          </w:p>
        </w:tc>
      </w:tr>
      <w:tr w:rsidR="000979EC" w:rsidRPr="00894C66" w14:paraId="4B1C057E" w14:textId="77777777" w:rsidTr="00E503A5">
        <w:trPr>
          <w:trHeight w:val="170"/>
        </w:trPr>
        <w:tc>
          <w:tcPr>
            <w:tcW w:w="1976" w:type="dxa"/>
          </w:tcPr>
          <w:p w14:paraId="35331E60" w14:textId="2A536336" w:rsidR="000979EC" w:rsidRDefault="000979EC" w:rsidP="00E503A5">
            <w:pPr>
              <w:pStyle w:val="Marginlie"/>
            </w:pPr>
            <w:r>
              <w:t xml:space="preserve">Spotřeba domácností v EU se loni zvýšila </w:t>
            </w:r>
            <w:r w:rsidR="001A33A3">
              <w:t>o </w:t>
            </w:r>
            <w:r>
              <w:t>1,6</w:t>
            </w:r>
            <w:r w:rsidR="00F118D5">
              <w:t> %</w:t>
            </w:r>
            <w:r>
              <w:t>.</w:t>
            </w:r>
          </w:p>
        </w:tc>
        <w:tc>
          <w:tcPr>
            <w:tcW w:w="277" w:type="dxa"/>
          </w:tcPr>
          <w:p w14:paraId="05212005" w14:textId="77777777" w:rsidR="000979EC" w:rsidRPr="005E4483" w:rsidRDefault="000979EC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62D61CCE" w14:textId="263D1350" w:rsidR="000979EC" w:rsidRDefault="000979EC" w:rsidP="00E503A5">
            <w:pPr>
              <w:spacing w:after="0"/>
            </w:pPr>
            <w:r>
              <w:t>Celkový reálný růst výdajů na konečnou spotřebu v EU</w:t>
            </w:r>
            <w:r>
              <w:rPr>
                <w:rStyle w:val="Znakapoznpodarou"/>
              </w:rPr>
              <w:footnoteReference w:id="15"/>
            </w:r>
            <w:r>
              <w:t xml:space="preserve"> loni dosáhl 1,6</w:t>
            </w:r>
            <w:r w:rsidR="00F118D5">
              <w:t> %</w:t>
            </w:r>
            <w:r>
              <w:t xml:space="preserve"> </w:t>
            </w:r>
            <w:r w:rsidR="001A33A3">
              <w:t>a </w:t>
            </w:r>
            <w:r>
              <w:t>oproti předchozímu roku se snížil jen nepatrně. Ve všech zemích EU spotřeba domácností rostla. Mezi státy s nejrychlejším tempem růstu se umístily zejména</w:t>
            </w:r>
            <w:r w:rsidR="00F118D5">
              <w:t xml:space="preserve"> </w:t>
            </w:r>
            <w:r>
              <w:t>členské státy, které vstoupily po roce 2000. Ty na předních místech v dynamice setrvávají již více než pět let. Spotřeba domácností společně s investiční aktivitou podpořenou dotacemi tak přispívala k jejich konvergenci ke starším členům EU. Nejvíce narostla spotřeba domácností v Rumunsku (6,0</w:t>
            </w:r>
            <w:r w:rsidR="00F118D5">
              <w:t> %</w:t>
            </w:r>
            <w:r>
              <w:t>), Bulharsku (5,8</w:t>
            </w:r>
            <w:r w:rsidR="00F118D5">
              <w:t> %</w:t>
            </w:r>
            <w:r>
              <w:t xml:space="preserve">) </w:t>
            </w:r>
            <w:r w:rsidR="001A33A3">
              <w:t>a </w:t>
            </w:r>
            <w:r>
              <w:t>Maďarsku (5,0</w:t>
            </w:r>
            <w:r w:rsidR="00F118D5">
              <w:t> %</w:t>
            </w:r>
            <w:r>
              <w:t xml:space="preserve">). To se projevuje </w:t>
            </w:r>
            <w:r w:rsidR="001A33A3">
              <w:t>i </w:t>
            </w:r>
            <w:r>
              <w:t xml:space="preserve">na individuální spotřebě očištěné </w:t>
            </w:r>
            <w:r w:rsidR="001A33A3">
              <w:t>o </w:t>
            </w:r>
            <w:r>
              <w:t>vliv cenové hladiny – Rumunsko se loni posunulo ze 75</w:t>
            </w:r>
            <w:r w:rsidR="00F118D5">
              <w:t> %</w:t>
            </w:r>
            <w:r>
              <w:t xml:space="preserve"> na 79</w:t>
            </w:r>
            <w:r w:rsidR="00F118D5">
              <w:t> %</w:t>
            </w:r>
            <w:r>
              <w:t xml:space="preserve"> průměru EU (v roce 2015 bylo Rumunsko na 60</w:t>
            </w:r>
            <w:r w:rsidR="00BF6EE6">
              <w:t> </w:t>
            </w:r>
            <w:r>
              <w:t>%, Česku trval posun z 80</w:t>
            </w:r>
            <w:r w:rsidR="00F118D5">
              <w:t> %</w:t>
            </w:r>
            <w:r>
              <w:t xml:space="preserve"> na současných 85</w:t>
            </w:r>
            <w:r w:rsidR="00F118D5">
              <w:t> %</w:t>
            </w:r>
            <w:r>
              <w:t xml:space="preserve"> tři roky). Pod 1% hranicí byl přírůstek spotřeby v Itálii (0,4</w:t>
            </w:r>
            <w:r w:rsidR="00F118D5">
              <w:t> %</w:t>
            </w:r>
            <w:r>
              <w:t xml:space="preserve">), Řecku (0,8 %) </w:t>
            </w:r>
            <w:r w:rsidR="001A33A3">
              <w:t>a </w:t>
            </w:r>
            <w:r>
              <w:t>Finsku (0,9 %).</w:t>
            </w:r>
          </w:p>
        </w:tc>
      </w:tr>
    </w:tbl>
    <w:p w14:paraId="0D0B99E1" w14:textId="6E25C91E" w:rsidR="0060404F" w:rsidRDefault="0060404F" w:rsidP="00457FA3">
      <w:pPr>
        <w:pStyle w:val="Marginlie"/>
        <w:rPr>
          <w:lang w:eastAsia="en-US"/>
        </w:rPr>
      </w:pPr>
      <w:bookmarkStart w:id="4" w:name="_GoBack"/>
      <w:bookmarkEnd w:id="4"/>
    </w:p>
    <w:sectPr w:rsidR="0060404F" w:rsidSect="00457FA3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22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7FAE8" w16cid:durableId="22D3FA44"/>
  <w16cid:commentId w16cid:paraId="1C72AF4D" w16cid:durableId="22D64A75"/>
  <w16cid:commentId w16cid:paraId="282A67DB" w16cid:durableId="22D40348"/>
  <w16cid:commentId w16cid:paraId="74131377" w16cid:durableId="22D405B0"/>
  <w16cid:commentId w16cid:paraId="7D1A41B8" w16cid:durableId="22D40777"/>
  <w16cid:commentId w16cid:paraId="01FFE40C" w16cid:durableId="22D41165"/>
  <w16cid:commentId w16cid:paraId="6EBCA2E2" w16cid:durableId="22D42359"/>
  <w16cid:commentId w16cid:paraId="506DC739" w16cid:durableId="22D64B1C"/>
  <w16cid:commentId w16cid:paraId="014CC69D" w16cid:durableId="22D6A1C4"/>
  <w16cid:commentId w16cid:paraId="28552269" w16cid:durableId="22D6A357"/>
  <w16cid:commentId w16cid:paraId="05257285" w16cid:durableId="22D6FF5C"/>
  <w16cid:commentId w16cid:paraId="65249E36" w16cid:durableId="22D70089"/>
  <w16cid:commentId w16cid:paraId="3DEEA2F9" w16cid:durableId="22D7B641"/>
  <w16cid:commentId w16cid:paraId="51E0656F" w16cid:durableId="22D7B96C"/>
  <w16cid:commentId w16cid:paraId="319DD0C7" w16cid:durableId="22D7BBCD"/>
  <w16cid:commentId w16cid:paraId="2DB24C55" w16cid:durableId="22D80165"/>
  <w16cid:commentId w16cid:paraId="07B9B879" w16cid:durableId="22D809B2"/>
  <w16cid:commentId w16cid:paraId="7C9C8F73" w16cid:durableId="22D824B1"/>
  <w16cid:commentId w16cid:paraId="5483C675" w16cid:durableId="22D81600"/>
  <w16cid:commentId w16cid:paraId="7AA21C0F" w16cid:durableId="22D819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DB218" w14:textId="77777777" w:rsidR="00D2094C" w:rsidRDefault="00D2094C" w:rsidP="00E71A58">
      <w:r>
        <w:separator/>
      </w:r>
    </w:p>
  </w:endnote>
  <w:endnote w:type="continuationSeparator" w:id="0">
    <w:p w14:paraId="27F38BA4" w14:textId="77777777" w:rsidR="00D2094C" w:rsidRDefault="00D2094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1694B" w14:textId="79BA55E0" w:rsidR="00B606BE" w:rsidRPr="00932443" w:rsidRDefault="00B606B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1384CD77" wp14:editId="68CB0E97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3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457FA3">
      <w:rPr>
        <w:szCs w:val="16"/>
      </w:rPr>
      <w:t>24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5AA9" w14:textId="24ACCF68" w:rsidR="00B606BE" w:rsidRPr="00932443" w:rsidRDefault="00B606B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704" behindDoc="0" locked="0" layoutInCell="1" allowOverlap="1" wp14:anchorId="50FBB82E" wp14:editId="63D5AA2E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1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457FA3">
      <w:rPr>
        <w:rStyle w:val="ZpatChar"/>
        <w:szCs w:val="16"/>
      </w:rPr>
      <w:t>23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2D849" w14:textId="77777777" w:rsidR="00D2094C" w:rsidRDefault="00D2094C" w:rsidP="0084727E">
      <w:pPr>
        <w:spacing w:after="0"/>
      </w:pPr>
      <w:r>
        <w:separator/>
      </w:r>
    </w:p>
  </w:footnote>
  <w:footnote w:type="continuationSeparator" w:id="0">
    <w:p w14:paraId="71F06580" w14:textId="77777777" w:rsidR="00D2094C" w:rsidRDefault="00D2094C" w:rsidP="00E71A58">
      <w:r>
        <w:continuationSeparator/>
      </w:r>
    </w:p>
  </w:footnote>
  <w:footnote w:id="1">
    <w:p w14:paraId="6B0B4882" w14:textId="55EA81E9" w:rsidR="00B606BE" w:rsidRPr="00EF6D28" w:rsidRDefault="00B606BE" w:rsidP="000979EC">
      <w:pPr>
        <w:pStyle w:val="Textpoznpodarou"/>
        <w:rPr>
          <w:sz w:val="16"/>
          <w:szCs w:val="16"/>
        </w:rPr>
      </w:pPr>
      <w:r w:rsidRPr="00EF6D28">
        <w:rPr>
          <w:rStyle w:val="Znakapoznpodarou"/>
          <w:sz w:val="16"/>
          <w:szCs w:val="16"/>
        </w:rPr>
        <w:footnoteRef/>
      </w:r>
      <w:r w:rsidRPr="00EF6D28">
        <w:rPr>
          <w:sz w:val="16"/>
          <w:szCs w:val="16"/>
        </w:rPr>
        <w:t xml:space="preserve"> </w:t>
      </w:r>
      <w:r>
        <w:rPr>
          <w:sz w:val="16"/>
          <w:szCs w:val="16"/>
        </w:rPr>
        <w:t>Okolo 170 mld. se přírůstek držel i v letech 2017 a 2018</w:t>
      </w:r>
      <w:r w:rsidRPr="00EF6D28">
        <w:rPr>
          <w:sz w:val="16"/>
          <w:szCs w:val="16"/>
        </w:rPr>
        <w:t>.</w:t>
      </w:r>
      <w:r>
        <w:rPr>
          <w:sz w:val="16"/>
          <w:szCs w:val="16"/>
        </w:rPr>
        <w:t xml:space="preserve"> V roce 2018 byl nárůst nejvyšší, a to 171,8 mld.</w:t>
      </w:r>
    </w:p>
  </w:footnote>
  <w:footnote w:id="2">
    <w:p w14:paraId="2AE99A5D" w14:textId="78C5D6DC" w:rsidR="00B606BE" w:rsidRPr="00202B22" w:rsidRDefault="00B606BE" w:rsidP="000979EC">
      <w:pPr>
        <w:pStyle w:val="Textpoznpodarou"/>
        <w:rPr>
          <w:sz w:val="16"/>
          <w:szCs w:val="16"/>
        </w:rPr>
      </w:pPr>
      <w:r w:rsidRPr="00202B22">
        <w:rPr>
          <w:rStyle w:val="Znakapoznpodarou"/>
          <w:sz w:val="16"/>
          <w:szCs w:val="16"/>
        </w:rPr>
        <w:footnoteRef/>
      </w:r>
      <w:r w:rsidRPr="00202B2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Reálný růst hrubého disponibilního důchodu i vyplacených mezd a platů byl vypočítán </w:t>
      </w:r>
      <w:r w:rsidRPr="00202B22">
        <w:rPr>
          <w:sz w:val="16"/>
          <w:szCs w:val="16"/>
        </w:rPr>
        <w:t>pomocí deflátoru výdajů na spotřebu domácností.</w:t>
      </w:r>
    </w:p>
  </w:footnote>
  <w:footnote w:id="3">
    <w:p w14:paraId="5ED3B46E" w14:textId="64F47220" w:rsidR="00B606BE" w:rsidRDefault="00B606BE" w:rsidP="000979EC">
      <w:pPr>
        <w:pStyle w:val="Normlnweb"/>
        <w:spacing w:before="0" w:beforeAutospacing="0" w:after="0" w:afterAutospacing="0"/>
      </w:pPr>
      <w:r w:rsidRPr="002F08C0">
        <w:rPr>
          <w:rStyle w:val="Znakapoznpodarou"/>
          <w:rFonts w:ascii="Arial" w:hAnsi="Arial" w:cs="Arial"/>
          <w:sz w:val="16"/>
          <w:szCs w:val="16"/>
        </w:rPr>
        <w:footnoteRef/>
      </w:r>
      <w:r w:rsidRPr="002F08C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Jde o transfery od vládních institucí nebo neziskových institucí sloužících domácnostem (NISD). P</w:t>
      </w:r>
      <w:r w:rsidRPr="002F08C0">
        <w:rPr>
          <w:rFonts w:ascii="Arial" w:hAnsi="Arial" w:cs="Arial"/>
          <w:sz w:val="16"/>
          <w:szCs w:val="16"/>
        </w:rPr>
        <w:t>ředstavují hodnotu zboží a</w:t>
      </w:r>
      <w:r>
        <w:rPr>
          <w:rFonts w:ascii="Arial" w:hAnsi="Arial" w:cs="Arial"/>
          <w:sz w:val="16"/>
          <w:szCs w:val="16"/>
        </w:rPr>
        <w:t> </w:t>
      </w:r>
      <w:r w:rsidRPr="002F08C0">
        <w:rPr>
          <w:rFonts w:ascii="Arial" w:hAnsi="Arial" w:cs="Arial"/>
          <w:sz w:val="16"/>
          <w:szCs w:val="16"/>
        </w:rPr>
        <w:t>služeb poskytnutých zejména ve formě zdravotní a</w:t>
      </w:r>
      <w:r>
        <w:rPr>
          <w:rFonts w:ascii="Arial" w:hAnsi="Arial" w:cs="Arial"/>
          <w:sz w:val="16"/>
          <w:szCs w:val="16"/>
        </w:rPr>
        <w:t> </w:t>
      </w:r>
      <w:r w:rsidRPr="002F08C0">
        <w:rPr>
          <w:rFonts w:ascii="Arial" w:hAnsi="Arial" w:cs="Arial"/>
          <w:sz w:val="16"/>
          <w:szCs w:val="16"/>
        </w:rPr>
        <w:t>sociální péče, vzdělání, bydlení.</w:t>
      </w:r>
    </w:p>
  </w:footnote>
  <w:footnote w:id="4">
    <w:p w14:paraId="7ABDC735" w14:textId="456B5231" w:rsidR="00B606BE" w:rsidRPr="00F32D34" w:rsidRDefault="00B606BE" w:rsidP="000979EC">
      <w:pPr>
        <w:pStyle w:val="Textpoznpodarou"/>
        <w:rPr>
          <w:sz w:val="16"/>
          <w:szCs w:val="16"/>
        </w:rPr>
      </w:pPr>
      <w:r w:rsidRPr="00F32D34">
        <w:rPr>
          <w:rStyle w:val="Znakapoznpodarou"/>
          <w:sz w:val="16"/>
          <w:szCs w:val="16"/>
        </w:rPr>
        <w:footnoteRef/>
      </w:r>
      <w:r w:rsidRPr="00F32D34">
        <w:rPr>
          <w:sz w:val="16"/>
          <w:szCs w:val="16"/>
        </w:rPr>
        <w:t xml:space="preserve"> Jde o</w:t>
      </w:r>
      <w:r>
        <w:rPr>
          <w:sz w:val="16"/>
          <w:szCs w:val="16"/>
        </w:rPr>
        <w:t> </w:t>
      </w:r>
      <w:r w:rsidRPr="00F32D34">
        <w:rPr>
          <w:sz w:val="16"/>
          <w:szCs w:val="16"/>
        </w:rPr>
        <w:t>součet hrubého disponibilního důchodu a</w:t>
      </w:r>
      <w:r>
        <w:rPr>
          <w:sz w:val="16"/>
          <w:szCs w:val="16"/>
        </w:rPr>
        <w:t> </w:t>
      </w:r>
      <w:r w:rsidRPr="00F32D34">
        <w:rPr>
          <w:sz w:val="16"/>
          <w:szCs w:val="16"/>
        </w:rPr>
        <w:t>naturálních sociálních transferů.</w:t>
      </w:r>
    </w:p>
  </w:footnote>
  <w:footnote w:id="5">
    <w:p w14:paraId="5D9047FE" w14:textId="77777777" w:rsidR="00B606BE" w:rsidRPr="00EB5544" w:rsidRDefault="00B606BE" w:rsidP="000979EC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příjmy z podnikání drobných podnikatelů zařazených do sektorů domácností</w:t>
      </w:r>
      <w:r>
        <w:rPr>
          <w:sz w:val="16"/>
          <w:szCs w:val="16"/>
        </w:rPr>
        <w:t>.</w:t>
      </w:r>
    </w:p>
  </w:footnote>
  <w:footnote w:id="6">
    <w:p w14:paraId="0326D257" w14:textId="158C0477" w:rsidR="00B606BE" w:rsidRPr="00EB5544" w:rsidRDefault="00B606BE" w:rsidP="000979EC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hodnotu produkce domácností pro vlastní spotřebu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rovněž imputované nájemné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poskytování služeb bydlení</w:t>
      </w:r>
      <w:r>
        <w:rPr>
          <w:sz w:val="16"/>
          <w:szCs w:val="16"/>
        </w:rPr>
        <w:t>.</w:t>
      </w:r>
    </w:p>
  </w:footnote>
  <w:footnote w:id="7">
    <w:p w14:paraId="035FF8C6" w14:textId="43241C06" w:rsidR="00B606BE" w:rsidRPr="002154E1" w:rsidRDefault="00B606BE" w:rsidP="000979EC">
      <w:pPr>
        <w:pStyle w:val="Textpoznpodarou"/>
        <w:rPr>
          <w:sz w:val="16"/>
          <w:szCs w:val="16"/>
        </w:rPr>
      </w:pPr>
      <w:r w:rsidRPr="002154E1">
        <w:rPr>
          <w:rStyle w:val="Znakapoznpodarou"/>
          <w:sz w:val="16"/>
          <w:szCs w:val="16"/>
        </w:rPr>
        <w:footnoteRef/>
      </w:r>
      <w:r w:rsidRPr="002154E1">
        <w:rPr>
          <w:sz w:val="16"/>
          <w:szCs w:val="16"/>
        </w:rPr>
        <w:t xml:space="preserve"> </w:t>
      </w:r>
      <w:r>
        <w:rPr>
          <w:sz w:val="16"/>
          <w:szCs w:val="16"/>
        </w:rPr>
        <w:t>Na straně zdrojů důchody z vlastnictví loni činily 173 mld. korun. J</w:t>
      </w:r>
      <w:r w:rsidRPr="002154E1">
        <w:rPr>
          <w:sz w:val="16"/>
          <w:szCs w:val="16"/>
        </w:rPr>
        <w:t>ejich saldo tvořilo 5,1</w:t>
      </w:r>
      <w:r>
        <w:rPr>
          <w:sz w:val="16"/>
          <w:szCs w:val="16"/>
        </w:rPr>
        <w:t> %</w:t>
      </w:r>
      <w:r w:rsidRPr="002154E1">
        <w:rPr>
          <w:sz w:val="16"/>
          <w:szCs w:val="16"/>
        </w:rPr>
        <w:t xml:space="preserve"> HDD</w:t>
      </w:r>
      <w:r>
        <w:rPr>
          <w:sz w:val="16"/>
          <w:szCs w:val="16"/>
        </w:rPr>
        <w:t>.</w:t>
      </w:r>
    </w:p>
  </w:footnote>
  <w:footnote w:id="8">
    <w:p w14:paraId="13D77B02" w14:textId="7D813E90" w:rsidR="00B606BE" w:rsidRPr="00E755AF" w:rsidRDefault="00B606BE" w:rsidP="000979EC">
      <w:pPr>
        <w:pStyle w:val="Textpoznpodarou"/>
        <w:rPr>
          <w:sz w:val="16"/>
          <w:szCs w:val="16"/>
        </w:rPr>
      </w:pPr>
      <w:r w:rsidRPr="00E755AF">
        <w:rPr>
          <w:rStyle w:val="Znakapoznpodarou"/>
          <w:sz w:val="16"/>
          <w:szCs w:val="16"/>
        </w:rPr>
        <w:footnoteRef/>
      </w:r>
      <w:r w:rsidRPr="00E755AF">
        <w:rPr>
          <w:sz w:val="16"/>
          <w:szCs w:val="16"/>
        </w:rPr>
        <w:t xml:space="preserve"> Sociální příspěvky po odečtení sociálních příspěvků zaměstnavatelů.</w:t>
      </w:r>
    </w:p>
  </w:footnote>
  <w:footnote w:id="9">
    <w:p w14:paraId="4C96B33D" w14:textId="1CC208F8" w:rsidR="00B606BE" w:rsidRPr="003D6F54" w:rsidRDefault="00B606BE" w:rsidP="000979E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16"/>
          <w:szCs w:val="16"/>
        </w:rPr>
      </w:pPr>
      <w:r w:rsidRPr="003D6F54">
        <w:rPr>
          <w:rStyle w:val="Znakapoznpodarou"/>
          <w:rFonts w:cs="Arial"/>
          <w:sz w:val="16"/>
          <w:szCs w:val="16"/>
        </w:rPr>
        <w:footnoteRef/>
      </w:r>
      <w:r w:rsidRPr="003D6F54">
        <w:rPr>
          <w:rFonts w:cs="Arial"/>
          <w:sz w:val="16"/>
          <w:szCs w:val="16"/>
        </w:rPr>
        <w:t xml:space="preserve"> </w:t>
      </w:r>
      <w:r w:rsidRPr="003D6F54">
        <w:rPr>
          <w:rFonts w:eastAsia="Calibri" w:cs="Arial"/>
          <w:bCs/>
          <w:iCs/>
          <w:sz w:val="16"/>
          <w:szCs w:val="16"/>
          <w:lang w:eastAsia="en-US"/>
        </w:rPr>
        <w:t xml:space="preserve">Míra úspor domácností </w:t>
      </w:r>
      <w:r w:rsidRPr="003D6F54">
        <w:rPr>
          <w:rFonts w:eastAsia="Calibri" w:cs="Arial"/>
          <w:iCs/>
          <w:sz w:val="16"/>
          <w:szCs w:val="16"/>
          <w:lang w:eastAsia="en-US"/>
        </w:rPr>
        <w:t>je definována jako podíl hrubých úspor a</w:t>
      </w:r>
      <w:r>
        <w:rPr>
          <w:rFonts w:eastAsia="Calibri" w:cs="Arial"/>
          <w:iCs/>
          <w:sz w:val="16"/>
          <w:szCs w:val="16"/>
          <w:lang w:eastAsia="en-US"/>
        </w:rPr>
        <w:t> </w:t>
      </w:r>
      <w:r w:rsidRPr="003D6F54">
        <w:rPr>
          <w:rFonts w:eastAsia="Calibri" w:cs="Arial"/>
          <w:iCs/>
          <w:sz w:val="16"/>
          <w:szCs w:val="16"/>
          <w:lang w:eastAsia="en-US"/>
        </w:rPr>
        <w:t>hrubého disponibilního důchodu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3D6F54">
        <w:rPr>
          <w:rFonts w:eastAsia="Calibri" w:cs="Arial"/>
          <w:iCs/>
          <w:sz w:val="16"/>
          <w:szCs w:val="16"/>
          <w:lang w:eastAsia="en-US"/>
        </w:rPr>
        <w:t>se zahrnutím úpravy o</w:t>
      </w:r>
      <w:r>
        <w:rPr>
          <w:rFonts w:eastAsia="Calibri" w:cs="Arial"/>
          <w:iCs/>
          <w:sz w:val="16"/>
          <w:szCs w:val="16"/>
          <w:lang w:eastAsia="en-US"/>
        </w:rPr>
        <w:t> </w:t>
      </w:r>
      <w:r w:rsidRPr="003D6F54">
        <w:rPr>
          <w:rFonts w:eastAsia="Calibri" w:cs="Arial"/>
          <w:iCs/>
          <w:sz w:val="16"/>
          <w:szCs w:val="16"/>
          <w:lang w:eastAsia="en-US"/>
        </w:rPr>
        <w:t>čistý podíl domácností na rezervách penzijních fondů (B.8g/(B.6g+D.8)). Hrubé úspory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3D6F54">
        <w:rPr>
          <w:rFonts w:eastAsia="Calibri" w:cs="Arial"/>
          <w:iCs/>
          <w:sz w:val="16"/>
          <w:szCs w:val="16"/>
          <w:lang w:eastAsia="en-US"/>
        </w:rPr>
        <w:t>představují část hrubého disponibilního důchodu, který nebyl spotřebován ve formě výdajů na konečnou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3D6F54">
        <w:rPr>
          <w:rFonts w:eastAsia="Calibri" w:cs="Arial"/>
          <w:iCs/>
          <w:sz w:val="16"/>
          <w:szCs w:val="16"/>
          <w:lang w:eastAsia="en-US"/>
        </w:rPr>
        <w:t>spotřebu.</w:t>
      </w:r>
    </w:p>
  </w:footnote>
  <w:footnote w:id="10">
    <w:p w14:paraId="4C670C9B" w14:textId="46E19CBB" w:rsidR="00B606BE" w:rsidRPr="00406F21" w:rsidRDefault="00B606BE" w:rsidP="000979EC">
      <w:pPr>
        <w:pStyle w:val="Textpoznpodarou"/>
        <w:rPr>
          <w:sz w:val="16"/>
          <w:szCs w:val="16"/>
        </w:rPr>
      </w:pPr>
      <w:r w:rsidRPr="00406F21">
        <w:rPr>
          <w:rStyle w:val="Znakapoznpodarou"/>
          <w:sz w:val="16"/>
          <w:szCs w:val="16"/>
        </w:rPr>
        <w:footnoteRef/>
      </w:r>
      <w:r w:rsidRPr="00406F21">
        <w:rPr>
          <w:sz w:val="16"/>
          <w:szCs w:val="16"/>
        </w:rPr>
        <w:t xml:space="preserve"> Údaje o</w:t>
      </w:r>
      <w:r>
        <w:rPr>
          <w:sz w:val="16"/>
          <w:szCs w:val="16"/>
        </w:rPr>
        <w:t> </w:t>
      </w:r>
      <w:r w:rsidRPr="00406F21">
        <w:rPr>
          <w:sz w:val="16"/>
          <w:szCs w:val="16"/>
        </w:rPr>
        <w:t>spotřebě podle trvanlivosti i</w:t>
      </w:r>
      <w:r>
        <w:rPr>
          <w:sz w:val="16"/>
          <w:szCs w:val="16"/>
        </w:rPr>
        <w:t> </w:t>
      </w:r>
      <w:r w:rsidRPr="00406F21">
        <w:rPr>
          <w:sz w:val="16"/>
          <w:szCs w:val="16"/>
        </w:rPr>
        <w:t>účelové struktuře výdajů jsou v národním pojetí</w:t>
      </w:r>
      <w:r>
        <w:rPr>
          <w:sz w:val="16"/>
          <w:szCs w:val="16"/>
        </w:rPr>
        <w:t>.</w:t>
      </w:r>
    </w:p>
  </w:footnote>
  <w:footnote w:id="11">
    <w:p w14:paraId="285B6596" w14:textId="0B67967B" w:rsidR="00B606BE" w:rsidRPr="00406F21" w:rsidRDefault="00B606BE" w:rsidP="000979EC">
      <w:pPr>
        <w:pStyle w:val="Textpoznpodarou"/>
        <w:rPr>
          <w:sz w:val="16"/>
          <w:szCs w:val="16"/>
        </w:rPr>
      </w:pPr>
      <w:r w:rsidRPr="00406F21">
        <w:rPr>
          <w:rStyle w:val="Znakapoznpodarou"/>
          <w:sz w:val="16"/>
          <w:szCs w:val="16"/>
        </w:rPr>
        <w:footnoteRef/>
      </w:r>
      <w:r w:rsidRPr="00406F21">
        <w:rPr>
          <w:sz w:val="16"/>
          <w:szCs w:val="16"/>
        </w:rPr>
        <w:t xml:space="preserve"> Jedná se o</w:t>
      </w:r>
      <w:r>
        <w:rPr>
          <w:sz w:val="16"/>
          <w:szCs w:val="16"/>
        </w:rPr>
        <w:t> </w:t>
      </w:r>
      <w:r w:rsidRPr="00406F21">
        <w:rPr>
          <w:sz w:val="16"/>
          <w:szCs w:val="16"/>
        </w:rPr>
        <w:t>potraviny, nápoje, tabák, farmaceutické výrobky, pohonné hmoty, kosmetiku apod.</w:t>
      </w:r>
    </w:p>
  </w:footnote>
  <w:footnote w:id="12">
    <w:p w14:paraId="5554E5B6" w14:textId="540AAFBC" w:rsidR="00B606BE" w:rsidRPr="00406F21" w:rsidRDefault="00B606BE" w:rsidP="000979EC">
      <w:pPr>
        <w:pStyle w:val="Textpoznpodarou"/>
        <w:rPr>
          <w:sz w:val="16"/>
          <w:szCs w:val="16"/>
        </w:rPr>
      </w:pPr>
      <w:r w:rsidRPr="00406F21">
        <w:rPr>
          <w:rStyle w:val="Znakapoznpodarou"/>
          <w:sz w:val="16"/>
          <w:szCs w:val="16"/>
        </w:rPr>
        <w:footnoteRef/>
      </w:r>
      <w:r w:rsidRPr="00406F21">
        <w:rPr>
          <w:sz w:val="16"/>
          <w:szCs w:val="16"/>
        </w:rPr>
        <w:t xml:space="preserve"> Obecně jsou trvanliv</w:t>
      </w:r>
      <w:r>
        <w:rPr>
          <w:sz w:val="16"/>
          <w:szCs w:val="16"/>
        </w:rPr>
        <w:t>ými</w:t>
      </w:r>
      <w:r w:rsidRPr="00406F21">
        <w:rPr>
          <w:sz w:val="16"/>
          <w:szCs w:val="16"/>
        </w:rPr>
        <w:t xml:space="preserve"> statky ty, které lze používat opakovaně nebo kontinuálně po časové období jednoho roku a</w:t>
      </w:r>
      <w:r>
        <w:rPr>
          <w:sz w:val="16"/>
          <w:szCs w:val="16"/>
        </w:rPr>
        <w:t> </w:t>
      </w:r>
      <w:r w:rsidRPr="00406F21">
        <w:rPr>
          <w:sz w:val="16"/>
          <w:szCs w:val="16"/>
        </w:rPr>
        <w:t xml:space="preserve">více. </w:t>
      </w:r>
      <w:r>
        <w:rPr>
          <w:sz w:val="16"/>
          <w:szCs w:val="16"/>
        </w:rPr>
        <w:t>Dělí se na statky</w:t>
      </w:r>
      <w:r w:rsidRPr="00406F21">
        <w:rPr>
          <w:sz w:val="16"/>
          <w:szCs w:val="16"/>
        </w:rPr>
        <w:t xml:space="preserve"> dlouhodobé spotřeby</w:t>
      </w:r>
      <w:r>
        <w:rPr>
          <w:sz w:val="16"/>
          <w:szCs w:val="16"/>
        </w:rPr>
        <w:t xml:space="preserve">, kam se </w:t>
      </w:r>
      <w:r w:rsidRPr="00406F21">
        <w:rPr>
          <w:sz w:val="16"/>
          <w:szCs w:val="16"/>
        </w:rPr>
        <w:t>řadí mimo jiné motorová vozidla, nábytek, ledničky, pračky, hudební vybavení, počítačové vybavení či šperky</w:t>
      </w:r>
      <w:r>
        <w:rPr>
          <w:sz w:val="16"/>
          <w:szCs w:val="16"/>
        </w:rPr>
        <w:t>, a s</w:t>
      </w:r>
      <w:r w:rsidRPr="00406F21">
        <w:rPr>
          <w:sz w:val="16"/>
          <w:szCs w:val="16"/>
        </w:rPr>
        <w:t>třednědob</w:t>
      </w:r>
      <w:r>
        <w:rPr>
          <w:sz w:val="16"/>
          <w:szCs w:val="16"/>
        </w:rPr>
        <w:t>é spotřeby, které</w:t>
      </w:r>
      <w:r w:rsidRPr="00406F21">
        <w:rPr>
          <w:sz w:val="16"/>
          <w:szCs w:val="16"/>
        </w:rPr>
        <w:t xml:space="preserve"> zahrnuj</w:t>
      </w:r>
      <w:r>
        <w:rPr>
          <w:sz w:val="16"/>
          <w:szCs w:val="16"/>
        </w:rPr>
        <w:t>í</w:t>
      </w:r>
      <w:r w:rsidRPr="00406F21">
        <w:rPr>
          <w:sz w:val="16"/>
          <w:szCs w:val="16"/>
        </w:rPr>
        <w:t xml:space="preserve"> oblečení, obuv, potřeby v domácnosti, vybavení pro sport a</w:t>
      </w:r>
      <w:r>
        <w:rPr>
          <w:sz w:val="16"/>
          <w:szCs w:val="16"/>
        </w:rPr>
        <w:t> </w:t>
      </w:r>
      <w:r w:rsidRPr="00406F21">
        <w:rPr>
          <w:sz w:val="16"/>
          <w:szCs w:val="16"/>
        </w:rPr>
        <w:t>knihy.</w:t>
      </w:r>
    </w:p>
  </w:footnote>
  <w:footnote w:id="13">
    <w:p w14:paraId="34FD5621" w14:textId="1824BD6D" w:rsidR="00B606BE" w:rsidRPr="00147050" w:rsidRDefault="00B606BE" w:rsidP="000979EC">
      <w:pPr>
        <w:pStyle w:val="Textpoznpodarou"/>
        <w:rPr>
          <w:sz w:val="16"/>
          <w:szCs w:val="16"/>
        </w:rPr>
      </w:pPr>
      <w:r w:rsidRPr="00147050">
        <w:rPr>
          <w:rStyle w:val="Znakapoznpodarou"/>
          <w:sz w:val="16"/>
          <w:szCs w:val="16"/>
        </w:rPr>
        <w:footnoteRef/>
      </w:r>
      <w:r w:rsidRPr="001470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Konjunkturální průzkumy ukazují pokles důvěry spotřebitelů již od druhé poloviny roku 2018. </w:t>
      </w:r>
      <w:r w:rsidRPr="00147050">
        <w:rPr>
          <w:sz w:val="16"/>
          <w:szCs w:val="16"/>
        </w:rPr>
        <w:t>Srovnání s vývojem maloobchodních tržeb</w:t>
      </w:r>
      <w:r>
        <w:rPr>
          <w:sz w:val="16"/>
          <w:szCs w:val="16"/>
        </w:rPr>
        <w:t xml:space="preserve"> pak</w:t>
      </w:r>
      <w:r w:rsidRPr="00147050">
        <w:rPr>
          <w:sz w:val="16"/>
          <w:szCs w:val="16"/>
        </w:rPr>
        <w:t xml:space="preserve"> tento sentiment</w:t>
      </w:r>
      <w:r>
        <w:rPr>
          <w:sz w:val="16"/>
          <w:szCs w:val="16"/>
        </w:rPr>
        <w:t xml:space="preserve"> domácností</w:t>
      </w:r>
      <w:r w:rsidRPr="00147050">
        <w:rPr>
          <w:sz w:val="16"/>
          <w:szCs w:val="16"/>
        </w:rPr>
        <w:t xml:space="preserve"> potvrzuje – zatímco obchod s motorovými vozidly loni spíše stagnoval, růst tržeb podporovaly výrobky</w:t>
      </w:r>
      <w:r>
        <w:rPr>
          <w:sz w:val="16"/>
          <w:szCs w:val="16"/>
        </w:rPr>
        <w:t xml:space="preserve"> pro domácnost, výrobky pro kulturu a rekreaci, počítačové a komunikační zařízení a podobně. Spotřebitelé tak své prostředky směřovali do služeb a jen části trvanlivého zboží.</w:t>
      </w:r>
    </w:p>
  </w:footnote>
  <w:footnote w:id="14">
    <w:p w14:paraId="75DDEFC0" w14:textId="6F2B6BAE" w:rsidR="00B606BE" w:rsidRPr="00D20875" w:rsidRDefault="00B606BE" w:rsidP="000979E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16"/>
          <w:szCs w:val="16"/>
        </w:rPr>
      </w:pPr>
      <w:r w:rsidRPr="00D20875">
        <w:rPr>
          <w:rStyle w:val="Znakapoznpodarou"/>
          <w:rFonts w:cs="Arial"/>
          <w:sz w:val="16"/>
          <w:szCs w:val="16"/>
        </w:rPr>
        <w:footnoteRef/>
      </w:r>
      <w:r w:rsidRPr="00D20875">
        <w:rPr>
          <w:rFonts w:cs="Arial"/>
          <w:sz w:val="16"/>
          <w:szCs w:val="16"/>
        </w:rPr>
        <w:t xml:space="preserve"> </w:t>
      </w:r>
      <w:r w:rsidRPr="00D20875">
        <w:rPr>
          <w:rFonts w:eastAsia="Calibri" w:cs="Arial"/>
          <w:bCs/>
          <w:iCs/>
          <w:sz w:val="16"/>
          <w:szCs w:val="16"/>
          <w:lang w:eastAsia="en-US"/>
        </w:rPr>
        <w:t xml:space="preserve">Míra investic domácností </w:t>
      </w:r>
      <w:r w:rsidRPr="00D20875">
        <w:rPr>
          <w:rFonts w:eastAsia="Calibri" w:cs="Arial"/>
          <w:iCs/>
          <w:sz w:val="16"/>
          <w:szCs w:val="16"/>
          <w:lang w:eastAsia="en-US"/>
        </w:rPr>
        <w:t>je definována jako podíl hrubé tvorby fixního kapitálu k hrubému disponibilnímu důchodu se zahrnutím</w:t>
      </w:r>
      <w:r>
        <w:rPr>
          <w:rFonts w:eastAsia="Calibri" w:cs="Arial"/>
          <w:iCs/>
          <w:sz w:val="16"/>
          <w:szCs w:val="16"/>
          <w:lang w:eastAsia="en-US"/>
        </w:rPr>
        <w:t xml:space="preserve"> </w:t>
      </w:r>
      <w:r w:rsidRPr="00D20875">
        <w:rPr>
          <w:rFonts w:eastAsia="Calibri" w:cs="Arial"/>
          <w:iCs/>
          <w:sz w:val="16"/>
          <w:szCs w:val="16"/>
          <w:lang w:eastAsia="en-US"/>
        </w:rPr>
        <w:t>úpravy o</w:t>
      </w:r>
      <w:r>
        <w:rPr>
          <w:rFonts w:eastAsia="Calibri" w:cs="Arial"/>
          <w:iCs/>
          <w:sz w:val="16"/>
          <w:szCs w:val="16"/>
          <w:lang w:eastAsia="en-US"/>
        </w:rPr>
        <w:t> </w:t>
      </w:r>
      <w:r w:rsidRPr="00D20875">
        <w:rPr>
          <w:rFonts w:eastAsia="Calibri" w:cs="Arial"/>
          <w:iCs/>
          <w:sz w:val="16"/>
          <w:szCs w:val="16"/>
          <w:lang w:eastAsia="en-US"/>
        </w:rPr>
        <w:t>čistý podíl domácností na rezervách penzijních fondů (P.51g/B.6g</w:t>
      </w:r>
      <w:r w:rsidR="00976681">
        <w:rPr>
          <w:rFonts w:eastAsia="Calibri" w:cs="Arial"/>
          <w:iCs/>
          <w:sz w:val="16"/>
          <w:szCs w:val="16"/>
          <w:lang w:eastAsia="en-US"/>
        </w:rPr>
        <w:t>+</w:t>
      </w:r>
      <w:r w:rsidRPr="00D20875">
        <w:rPr>
          <w:rFonts w:eastAsia="Calibri" w:cs="Arial"/>
          <w:iCs/>
          <w:sz w:val="16"/>
          <w:szCs w:val="16"/>
          <w:lang w:eastAsia="en-US"/>
        </w:rPr>
        <w:t>D.8).</w:t>
      </w:r>
    </w:p>
  </w:footnote>
  <w:footnote w:id="15">
    <w:p w14:paraId="5E4388B1" w14:textId="73D06DF6" w:rsidR="00B606BE" w:rsidRPr="003C0B68" w:rsidRDefault="00B606BE" w:rsidP="000979EC">
      <w:pPr>
        <w:pStyle w:val="Textpoznpodarou"/>
        <w:rPr>
          <w:sz w:val="16"/>
          <w:szCs w:val="16"/>
        </w:rPr>
      </w:pPr>
      <w:r w:rsidRPr="003C0B68">
        <w:rPr>
          <w:rStyle w:val="Znakapoznpodarou"/>
          <w:sz w:val="16"/>
          <w:szCs w:val="16"/>
        </w:rPr>
        <w:footnoteRef/>
      </w:r>
      <w:r w:rsidRPr="003C0B68">
        <w:rPr>
          <w:sz w:val="16"/>
          <w:szCs w:val="16"/>
        </w:rPr>
        <w:t xml:space="preserve"> EU – 27</w:t>
      </w:r>
      <w:r>
        <w:rPr>
          <w:sz w:val="16"/>
          <w:szCs w:val="16"/>
        </w:rPr>
        <w:t> </w:t>
      </w:r>
      <w:r w:rsidRPr="003C0B68">
        <w:rPr>
          <w:sz w:val="16"/>
          <w:szCs w:val="16"/>
        </w:rPr>
        <w:t>států bez Velké Británie.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1C6B" w14:textId="77777777" w:rsidR="00B606BE" w:rsidRPr="00601A2E" w:rsidRDefault="00B606BE" w:rsidP="00601A2E">
    <w:pPr>
      <w:pStyle w:val="Zhlav"/>
    </w:pPr>
    <w:r>
      <w:t>Analýza ekonomického vývoje v roce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5F4E2" w14:textId="77777777" w:rsidR="00B606BE" w:rsidRDefault="00B606BE" w:rsidP="00937AE2">
    <w:pPr>
      <w:pStyle w:val="Zhlav"/>
    </w:pPr>
    <w:r>
      <w:t>Analýza ekonomického vývoje v roce 2019</w:t>
    </w:r>
  </w:p>
  <w:p w14:paraId="525077D0" w14:textId="77777777" w:rsidR="00B606BE" w:rsidRPr="006F5416" w:rsidRDefault="00B606B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15AC1"/>
    <w:multiLevelType w:val="hybridMultilevel"/>
    <w:tmpl w:val="7464A696"/>
    <w:lvl w:ilvl="0" w:tplc="4246FC1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4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02"/>
    <w:rsid w:val="0000083D"/>
    <w:rsid w:val="0000209D"/>
    <w:rsid w:val="00004D5A"/>
    <w:rsid w:val="000056D5"/>
    <w:rsid w:val="00006ABD"/>
    <w:rsid w:val="0000767A"/>
    <w:rsid w:val="00007BEF"/>
    <w:rsid w:val="00010256"/>
    <w:rsid w:val="00010702"/>
    <w:rsid w:val="00011912"/>
    <w:rsid w:val="00012408"/>
    <w:rsid w:val="00014E7F"/>
    <w:rsid w:val="0002195D"/>
    <w:rsid w:val="000234D6"/>
    <w:rsid w:val="00023D29"/>
    <w:rsid w:val="00026389"/>
    <w:rsid w:val="00031AE0"/>
    <w:rsid w:val="000322EF"/>
    <w:rsid w:val="000333B9"/>
    <w:rsid w:val="00033FCD"/>
    <w:rsid w:val="00037A79"/>
    <w:rsid w:val="00041CEC"/>
    <w:rsid w:val="0004694F"/>
    <w:rsid w:val="000500AB"/>
    <w:rsid w:val="000522E4"/>
    <w:rsid w:val="000610E1"/>
    <w:rsid w:val="00062EC5"/>
    <w:rsid w:val="00062F22"/>
    <w:rsid w:val="00064B6A"/>
    <w:rsid w:val="00067A82"/>
    <w:rsid w:val="000712B3"/>
    <w:rsid w:val="000748F2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979EC"/>
    <w:rsid w:val="000A1183"/>
    <w:rsid w:val="000A256D"/>
    <w:rsid w:val="000A3A2C"/>
    <w:rsid w:val="000A66F4"/>
    <w:rsid w:val="000A75F4"/>
    <w:rsid w:val="000B525B"/>
    <w:rsid w:val="000C1D78"/>
    <w:rsid w:val="000C3408"/>
    <w:rsid w:val="000C6AFD"/>
    <w:rsid w:val="000D2C3F"/>
    <w:rsid w:val="000D5637"/>
    <w:rsid w:val="000E3D0E"/>
    <w:rsid w:val="000E53C3"/>
    <w:rsid w:val="000E6C04"/>
    <w:rsid w:val="000E6FBD"/>
    <w:rsid w:val="000F7084"/>
    <w:rsid w:val="00100F5C"/>
    <w:rsid w:val="0010106F"/>
    <w:rsid w:val="00101CDA"/>
    <w:rsid w:val="0010268C"/>
    <w:rsid w:val="00104C4C"/>
    <w:rsid w:val="00117623"/>
    <w:rsid w:val="0012192F"/>
    <w:rsid w:val="00122BB3"/>
    <w:rsid w:val="00125A9C"/>
    <w:rsid w:val="00125D69"/>
    <w:rsid w:val="00135FEE"/>
    <w:rsid w:val="00137DF7"/>
    <w:rsid w:val="001405FA"/>
    <w:rsid w:val="00141782"/>
    <w:rsid w:val="001425C3"/>
    <w:rsid w:val="00142C1C"/>
    <w:rsid w:val="001457AA"/>
    <w:rsid w:val="0014794C"/>
    <w:rsid w:val="0015085A"/>
    <w:rsid w:val="001528B9"/>
    <w:rsid w:val="001612F4"/>
    <w:rsid w:val="00162312"/>
    <w:rsid w:val="0016256B"/>
    <w:rsid w:val="00163793"/>
    <w:rsid w:val="001671FF"/>
    <w:rsid w:val="001706D6"/>
    <w:rsid w:val="001714F2"/>
    <w:rsid w:val="00175B9F"/>
    <w:rsid w:val="00175F48"/>
    <w:rsid w:val="00181BBC"/>
    <w:rsid w:val="00182799"/>
    <w:rsid w:val="00184B08"/>
    <w:rsid w:val="00185010"/>
    <w:rsid w:val="00186919"/>
    <w:rsid w:val="001916DB"/>
    <w:rsid w:val="00193818"/>
    <w:rsid w:val="00194520"/>
    <w:rsid w:val="001969D1"/>
    <w:rsid w:val="001A0487"/>
    <w:rsid w:val="001A0D6B"/>
    <w:rsid w:val="001A33A3"/>
    <w:rsid w:val="001A480E"/>
    <w:rsid w:val="001A5387"/>
    <w:rsid w:val="001A552F"/>
    <w:rsid w:val="001B28D3"/>
    <w:rsid w:val="001B2CA9"/>
    <w:rsid w:val="001B3110"/>
    <w:rsid w:val="001B4729"/>
    <w:rsid w:val="001B5C4D"/>
    <w:rsid w:val="001B6310"/>
    <w:rsid w:val="001B6C09"/>
    <w:rsid w:val="001C05CD"/>
    <w:rsid w:val="001C1B66"/>
    <w:rsid w:val="001C487C"/>
    <w:rsid w:val="001D198A"/>
    <w:rsid w:val="001D463E"/>
    <w:rsid w:val="001D51EB"/>
    <w:rsid w:val="001D68B2"/>
    <w:rsid w:val="001D70E9"/>
    <w:rsid w:val="001E504C"/>
    <w:rsid w:val="001F138C"/>
    <w:rsid w:val="001F4063"/>
    <w:rsid w:val="001F4597"/>
    <w:rsid w:val="001F52D6"/>
    <w:rsid w:val="00203DA4"/>
    <w:rsid w:val="002052C6"/>
    <w:rsid w:val="002054B4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1CC2"/>
    <w:rsid w:val="00236443"/>
    <w:rsid w:val="00241035"/>
    <w:rsid w:val="00241B06"/>
    <w:rsid w:val="002436BA"/>
    <w:rsid w:val="00244A15"/>
    <w:rsid w:val="00244EB3"/>
    <w:rsid w:val="00247319"/>
    <w:rsid w:val="0024799E"/>
    <w:rsid w:val="00253C0F"/>
    <w:rsid w:val="002558C1"/>
    <w:rsid w:val="00255943"/>
    <w:rsid w:val="00260FC5"/>
    <w:rsid w:val="002632EC"/>
    <w:rsid w:val="00271465"/>
    <w:rsid w:val="00274037"/>
    <w:rsid w:val="00285412"/>
    <w:rsid w:val="0028587B"/>
    <w:rsid w:val="00291640"/>
    <w:rsid w:val="002A16D4"/>
    <w:rsid w:val="002A230C"/>
    <w:rsid w:val="002A5D97"/>
    <w:rsid w:val="002A7679"/>
    <w:rsid w:val="002B2127"/>
    <w:rsid w:val="002B213A"/>
    <w:rsid w:val="002B4845"/>
    <w:rsid w:val="002B6B06"/>
    <w:rsid w:val="002C43BD"/>
    <w:rsid w:val="002D0E59"/>
    <w:rsid w:val="002D2D9F"/>
    <w:rsid w:val="002D6BD2"/>
    <w:rsid w:val="002E02A1"/>
    <w:rsid w:val="002E1A9C"/>
    <w:rsid w:val="002E32FC"/>
    <w:rsid w:val="002E4E4C"/>
    <w:rsid w:val="002F4860"/>
    <w:rsid w:val="002F550B"/>
    <w:rsid w:val="0030150E"/>
    <w:rsid w:val="00303533"/>
    <w:rsid w:val="00304771"/>
    <w:rsid w:val="003052D4"/>
    <w:rsid w:val="00306C5B"/>
    <w:rsid w:val="00314A41"/>
    <w:rsid w:val="003209D6"/>
    <w:rsid w:val="00321924"/>
    <w:rsid w:val="0032314C"/>
    <w:rsid w:val="0032656E"/>
    <w:rsid w:val="003268DD"/>
    <w:rsid w:val="00330060"/>
    <w:rsid w:val="00332190"/>
    <w:rsid w:val="0033250B"/>
    <w:rsid w:val="00343331"/>
    <w:rsid w:val="0034335E"/>
    <w:rsid w:val="00344668"/>
    <w:rsid w:val="003462D9"/>
    <w:rsid w:val="00347378"/>
    <w:rsid w:val="00347604"/>
    <w:rsid w:val="003576EB"/>
    <w:rsid w:val="00357908"/>
    <w:rsid w:val="00360C86"/>
    <w:rsid w:val="00360DE3"/>
    <w:rsid w:val="00360FBC"/>
    <w:rsid w:val="00362E90"/>
    <w:rsid w:val="00364C32"/>
    <w:rsid w:val="00364FA0"/>
    <w:rsid w:val="003657F3"/>
    <w:rsid w:val="003733A0"/>
    <w:rsid w:val="00376C3B"/>
    <w:rsid w:val="003818DC"/>
    <w:rsid w:val="00384327"/>
    <w:rsid w:val="003852A9"/>
    <w:rsid w:val="00385D98"/>
    <w:rsid w:val="003870EE"/>
    <w:rsid w:val="003A2B4D"/>
    <w:rsid w:val="003A2D12"/>
    <w:rsid w:val="003A478C"/>
    <w:rsid w:val="003A5525"/>
    <w:rsid w:val="003A6B38"/>
    <w:rsid w:val="003B461F"/>
    <w:rsid w:val="003B5A32"/>
    <w:rsid w:val="003B6B9E"/>
    <w:rsid w:val="003C3490"/>
    <w:rsid w:val="003C4BE8"/>
    <w:rsid w:val="003C77D0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0B82"/>
    <w:rsid w:val="00407C13"/>
    <w:rsid w:val="00410638"/>
    <w:rsid w:val="0041215C"/>
    <w:rsid w:val="0041501E"/>
    <w:rsid w:val="004159C3"/>
    <w:rsid w:val="00425F45"/>
    <w:rsid w:val="00432A58"/>
    <w:rsid w:val="00433C0C"/>
    <w:rsid w:val="00434617"/>
    <w:rsid w:val="00436778"/>
    <w:rsid w:val="00437E53"/>
    <w:rsid w:val="00440900"/>
    <w:rsid w:val="00441BF6"/>
    <w:rsid w:val="004441A0"/>
    <w:rsid w:val="0045078A"/>
    <w:rsid w:val="0045086D"/>
    <w:rsid w:val="00457FA3"/>
    <w:rsid w:val="00460FB3"/>
    <w:rsid w:val="00467ABC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48F4"/>
    <w:rsid w:val="004A14E4"/>
    <w:rsid w:val="004A3212"/>
    <w:rsid w:val="004A5494"/>
    <w:rsid w:val="004A61C5"/>
    <w:rsid w:val="004A670E"/>
    <w:rsid w:val="004A77DF"/>
    <w:rsid w:val="004B1417"/>
    <w:rsid w:val="004B481B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D3177"/>
    <w:rsid w:val="004E326C"/>
    <w:rsid w:val="004F06F5"/>
    <w:rsid w:val="004F16F7"/>
    <w:rsid w:val="004F1879"/>
    <w:rsid w:val="004F33A0"/>
    <w:rsid w:val="004F6EDC"/>
    <w:rsid w:val="0050689D"/>
    <w:rsid w:val="0051031A"/>
    <w:rsid w:val="005108C0"/>
    <w:rsid w:val="00511873"/>
    <w:rsid w:val="00512A2F"/>
    <w:rsid w:val="00513B7E"/>
    <w:rsid w:val="0051465A"/>
    <w:rsid w:val="005152D9"/>
    <w:rsid w:val="00515C74"/>
    <w:rsid w:val="00515FFA"/>
    <w:rsid w:val="005172FF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1B03"/>
    <w:rsid w:val="00563EB8"/>
    <w:rsid w:val="005647BF"/>
    <w:rsid w:val="00564AF1"/>
    <w:rsid w:val="00570D95"/>
    <w:rsid w:val="0057364B"/>
    <w:rsid w:val="00574773"/>
    <w:rsid w:val="00581AC8"/>
    <w:rsid w:val="00583FFD"/>
    <w:rsid w:val="005901E9"/>
    <w:rsid w:val="005911BE"/>
    <w:rsid w:val="00593152"/>
    <w:rsid w:val="00596F92"/>
    <w:rsid w:val="005A10F2"/>
    <w:rsid w:val="005A21E0"/>
    <w:rsid w:val="005A28FF"/>
    <w:rsid w:val="005A2A19"/>
    <w:rsid w:val="005A2C7B"/>
    <w:rsid w:val="005A3DF8"/>
    <w:rsid w:val="005A5549"/>
    <w:rsid w:val="005A5D45"/>
    <w:rsid w:val="005A655B"/>
    <w:rsid w:val="005A7666"/>
    <w:rsid w:val="005B121D"/>
    <w:rsid w:val="005C06ED"/>
    <w:rsid w:val="005C2609"/>
    <w:rsid w:val="005C35A1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104FB"/>
    <w:rsid w:val="0061249B"/>
    <w:rsid w:val="00612A2F"/>
    <w:rsid w:val="00616E05"/>
    <w:rsid w:val="00624093"/>
    <w:rsid w:val="006254CB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63B2"/>
    <w:rsid w:val="00695BEF"/>
    <w:rsid w:val="006977F6"/>
    <w:rsid w:val="00697A13"/>
    <w:rsid w:val="006A109C"/>
    <w:rsid w:val="006A3E08"/>
    <w:rsid w:val="006A5C31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6AF4"/>
    <w:rsid w:val="006C7CA6"/>
    <w:rsid w:val="006D3E8A"/>
    <w:rsid w:val="006D5C0C"/>
    <w:rsid w:val="006D61F6"/>
    <w:rsid w:val="006D64C2"/>
    <w:rsid w:val="006E279A"/>
    <w:rsid w:val="006E313B"/>
    <w:rsid w:val="006E7227"/>
    <w:rsid w:val="006F0AC6"/>
    <w:rsid w:val="006F2595"/>
    <w:rsid w:val="006F438E"/>
    <w:rsid w:val="006F5416"/>
    <w:rsid w:val="00705242"/>
    <w:rsid w:val="00706AD4"/>
    <w:rsid w:val="00707150"/>
    <w:rsid w:val="00711BB0"/>
    <w:rsid w:val="007140BE"/>
    <w:rsid w:val="00716E3F"/>
    <w:rsid w:val="007211F5"/>
    <w:rsid w:val="007240E2"/>
    <w:rsid w:val="00725BB5"/>
    <w:rsid w:val="00730AE8"/>
    <w:rsid w:val="00730F1B"/>
    <w:rsid w:val="00740575"/>
    <w:rsid w:val="00741493"/>
    <w:rsid w:val="0074369B"/>
    <w:rsid w:val="00744EE6"/>
    <w:rsid w:val="00745062"/>
    <w:rsid w:val="00745BC3"/>
    <w:rsid w:val="007506A5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5698"/>
    <w:rsid w:val="007661E9"/>
    <w:rsid w:val="00774779"/>
    <w:rsid w:val="00775F45"/>
    <w:rsid w:val="00776169"/>
    <w:rsid w:val="00776527"/>
    <w:rsid w:val="00780EF1"/>
    <w:rsid w:val="00785232"/>
    <w:rsid w:val="00790764"/>
    <w:rsid w:val="0079343E"/>
    <w:rsid w:val="0079453C"/>
    <w:rsid w:val="00794677"/>
    <w:rsid w:val="007A38F2"/>
    <w:rsid w:val="007A3F0C"/>
    <w:rsid w:val="007A516D"/>
    <w:rsid w:val="007B0750"/>
    <w:rsid w:val="007B6689"/>
    <w:rsid w:val="007C13A4"/>
    <w:rsid w:val="007C2D23"/>
    <w:rsid w:val="007C6BBD"/>
    <w:rsid w:val="007C7BAE"/>
    <w:rsid w:val="007D0C24"/>
    <w:rsid w:val="007D106B"/>
    <w:rsid w:val="007D1AEA"/>
    <w:rsid w:val="007D40DF"/>
    <w:rsid w:val="007E29B4"/>
    <w:rsid w:val="007E435A"/>
    <w:rsid w:val="007E7E61"/>
    <w:rsid w:val="007F0845"/>
    <w:rsid w:val="007F661C"/>
    <w:rsid w:val="007F708D"/>
    <w:rsid w:val="00801E13"/>
    <w:rsid w:val="00805381"/>
    <w:rsid w:val="00807674"/>
    <w:rsid w:val="00807C82"/>
    <w:rsid w:val="00816905"/>
    <w:rsid w:val="00817FDA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364D5"/>
    <w:rsid w:val="00846121"/>
    <w:rsid w:val="0084708F"/>
    <w:rsid w:val="0084727E"/>
    <w:rsid w:val="008477C8"/>
    <w:rsid w:val="00847931"/>
    <w:rsid w:val="0085114D"/>
    <w:rsid w:val="00852217"/>
    <w:rsid w:val="00855408"/>
    <w:rsid w:val="00856D65"/>
    <w:rsid w:val="00857658"/>
    <w:rsid w:val="00861B41"/>
    <w:rsid w:val="00861BE3"/>
    <w:rsid w:val="00863434"/>
    <w:rsid w:val="008637A2"/>
    <w:rsid w:val="00865E4C"/>
    <w:rsid w:val="008701E4"/>
    <w:rsid w:val="00873072"/>
    <w:rsid w:val="00875A32"/>
    <w:rsid w:val="00876086"/>
    <w:rsid w:val="00884A6F"/>
    <w:rsid w:val="008856A3"/>
    <w:rsid w:val="008873D4"/>
    <w:rsid w:val="0089296D"/>
    <w:rsid w:val="00893E85"/>
    <w:rsid w:val="00894031"/>
    <w:rsid w:val="00894C3D"/>
    <w:rsid w:val="00895508"/>
    <w:rsid w:val="00895A7B"/>
    <w:rsid w:val="008B1391"/>
    <w:rsid w:val="008B2636"/>
    <w:rsid w:val="008B7C02"/>
    <w:rsid w:val="008B7D2B"/>
    <w:rsid w:val="008C0049"/>
    <w:rsid w:val="008C0E88"/>
    <w:rsid w:val="008D0DBD"/>
    <w:rsid w:val="008D1E6A"/>
    <w:rsid w:val="008D2A16"/>
    <w:rsid w:val="008D664D"/>
    <w:rsid w:val="008D7BE5"/>
    <w:rsid w:val="008E0DC9"/>
    <w:rsid w:val="008E2830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5CF4"/>
    <w:rsid w:val="0091728D"/>
    <w:rsid w:val="009177D4"/>
    <w:rsid w:val="0092180B"/>
    <w:rsid w:val="00921F14"/>
    <w:rsid w:val="0092434D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3F28"/>
    <w:rsid w:val="009540B7"/>
    <w:rsid w:val="0095759C"/>
    <w:rsid w:val="0096154D"/>
    <w:rsid w:val="0096221A"/>
    <w:rsid w:val="00972F87"/>
    <w:rsid w:val="00974923"/>
    <w:rsid w:val="00976681"/>
    <w:rsid w:val="00976BAF"/>
    <w:rsid w:val="00980D3D"/>
    <w:rsid w:val="00987A30"/>
    <w:rsid w:val="00992CF3"/>
    <w:rsid w:val="009942B6"/>
    <w:rsid w:val="00994868"/>
    <w:rsid w:val="009968D6"/>
    <w:rsid w:val="009A1CAB"/>
    <w:rsid w:val="009A4901"/>
    <w:rsid w:val="009A60D1"/>
    <w:rsid w:val="009B6FD3"/>
    <w:rsid w:val="009B7C82"/>
    <w:rsid w:val="009C0293"/>
    <w:rsid w:val="009C03C8"/>
    <w:rsid w:val="009C1750"/>
    <w:rsid w:val="009C1EEA"/>
    <w:rsid w:val="009C2E29"/>
    <w:rsid w:val="009C554B"/>
    <w:rsid w:val="009C719E"/>
    <w:rsid w:val="009D3ACD"/>
    <w:rsid w:val="009E0DD4"/>
    <w:rsid w:val="009E42ED"/>
    <w:rsid w:val="009E5273"/>
    <w:rsid w:val="009E5DDB"/>
    <w:rsid w:val="009F46EA"/>
    <w:rsid w:val="009F4CA7"/>
    <w:rsid w:val="00A01CA0"/>
    <w:rsid w:val="00A10D66"/>
    <w:rsid w:val="00A1260E"/>
    <w:rsid w:val="00A14114"/>
    <w:rsid w:val="00A16413"/>
    <w:rsid w:val="00A16E1D"/>
    <w:rsid w:val="00A17D5B"/>
    <w:rsid w:val="00A20028"/>
    <w:rsid w:val="00A21624"/>
    <w:rsid w:val="00A2181F"/>
    <w:rsid w:val="00A230A8"/>
    <w:rsid w:val="00A23E43"/>
    <w:rsid w:val="00A25216"/>
    <w:rsid w:val="00A27420"/>
    <w:rsid w:val="00A27C85"/>
    <w:rsid w:val="00A30F65"/>
    <w:rsid w:val="00A32759"/>
    <w:rsid w:val="00A329DF"/>
    <w:rsid w:val="00A35142"/>
    <w:rsid w:val="00A35EA6"/>
    <w:rsid w:val="00A40EAC"/>
    <w:rsid w:val="00A416D4"/>
    <w:rsid w:val="00A418BC"/>
    <w:rsid w:val="00A46DE0"/>
    <w:rsid w:val="00A4750C"/>
    <w:rsid w:val="00A50D73"/>
    <w:rsid w:val="00A51F19"/>
    <w:rsid w:val="00A51F45"/>
    <w:rsid w:val="00A52CAD"/>
    <w:rsid w:val="00A537F0"/>
    <w:rsid w:val="00A53FC7"/>
    <w:rsid w:val="00A54250"/>
    <w:rsid w:val="00A55161"/>
    <w:rsid w:val="00A55593"/>
    <w:rsid w:val="00A62B23"/>
    <w:rsid w:val="00A62CE1"/>
    <w:rsid w:val="00A66A11"/>
    <w:rsid w:val="00A6741E"/>
    <w:rsid w:val="00A73C77"/>
    <w:rsid w:val="00A75E40"/>
    <w:rsid w:val="00A77D1D"/>
    <w:rsid w:val="00A84923"/>
    <w:rsid w:val="00A857C0"/>
    <w:rsid w:val="00A90FED"/>
    <w:rsid w:val="00A97A1E"/>
    <w:rsid w:val="00AA2996"/>
    <w:rsid w:val="00AA52BF"/>
    <w:rsid w:val="00AA559A"/>
    <w:rsid w:val="00AB2AF1"/>
    <w:rsid w:val="00AB5421"/>
    <w:rsid w:val="00AB5F7B"/>
    <w:rsid w:val="00AC45BD"/>
    <w:rsid w:val="00AC46DA"/>
    <w:rsid w:val="00AD1355"/>
    <w:rsid w:val="00AD168E"/>
    <w:rsid w:val="00AD306C"/>
    <w:rsid w:val="00AD68C4"/>
    <w:rsid w:val="00AD7D0B"/>
    <w:rsid w:val="00AE09B3"/>
    <w:rsid w:val="00AE1A83"/>
    <w:rsid w:val="00AE7FB2"/>
    <w:rsid w:val="00AF71EC"/>
    <w:rsid w:val="00B00913"/>
    <w:rsid w:val="00B01593"/>
    <w:rsid w:val="00B023F2"/>
    <w:rsid w:val="00B04B4A"/>
    <w:rsid w:val="00B07379"/>
    <w:rsid w:val="00B10A4D"/>
    <w:rsid w:val="00B120A1"/>
    <w:rsid w:val="00B12AA6"/>
    <w:rsid w:val="00B14BC1"/>
    <w:rsid w:val="00B17E71"/>
    <w:rsid w:val="00B17FDE"/>
    <w:rsid w:val="00B20632"/>
    <w:rsid w:val="00B22CD2"/>
    <w:rsid w:val="00B23055"/>
    <w:rsid w:val="00B2379C"/>
    <w:rsid w:val="00B2687D"/>
    <w:rsid w:val="00B32DDB"/>
    <w:rsid w:val="00B34528"/>
    <w:rsid w:val="00B34CC9"/>
    <w:rsid w:val="00B357BF"/>
    <w:rsid w:val="00B366E5"/>
    <w:rsid w:val="00B402FC"/>
    <w:rsid w:val="00B40FF9"/>
    <w:rsid w:val="00B42470"/>
    <w:rsid w:val="00B439DA"/>
    <w:rsid w:val="00B46604"/>
    <w:rsid w:val="00B530CD"/>
    <w:rsid w:val="00B53AB0"/>
    <w:rsid w:val="00B55F5E"/>
    <w:rsid w:val="00B57338"/>
    <w:rsid w:val="00B5752E"/>
    <w:rsid w:val="00B57E25"/>
    <w:rsid w:val="00B606BE"/>
    <w:rsid w:val="00B619A9"/>
    <w:rsid w:val="00B63A11"/>
    <w:rsid w:val="00B64C24"/>
    <w:rsid w:val="00B6608F"/>
    <w:rsid w:val="00B679FB"/>
    <w:rsid w:val="00B76D1E"/>
    <w:rsid w:val="00B80EC6"/>
    <w:rsid w:val="00B84CF6"/>
    <w:rsid w:val="00B86F03"/>
    <w:rsid w:val="00B9088A"/>
    <w:rsid w:val="00B9200E"/>
    <w:rsid w:val="00B92D1D"/>
    <w:rsid w:val="00B938C5"/>
    <w:rsid w:val="00B9432C"/>
    <w:rsid w:val="00B950E3"/>
    <w:rsid w:val="00B95940"/>
    <w:rsid w:val="00B962D2"/>
    <w:rsid w:val="00B97434"/>
    <w:rsid w:val="00BA0DD3"/>
    <w:rsid w:val="00BA6C2B"/>
    <w:rsid w:val="00BA76E6"/>
    <w:rsid w:val="00BB2F03"/>
    <w:rsid w:val="00BB46F3"/>
    <w:rsid w:val="00BB4AF6"/>
    <w:rsid w:val="00BB4CB1"/>
    <w:rsid w:val="00BB4F98"/>
    <w:rsid w:val="00BC0E31"/>
    <w:rsid w:val="00BC5C12"/>
    <w:rsid w:val="00BC7075"/>
    <w:rsid w:val="00BC7154"/>
    <w:rsid w:val="00BC731E"/>
    <w:rsid w:val="00BD163C"/>
    <w:rsid w:val="00BD1B27"/>
    <w:rsid w:val="00BD2991"/>
    <w:rsid w:val="00BD366B"/>
    <w:rsid w:val="00BD6D50"/>
    <w:rsid w:val="00BE18B9"/>
    <w:rsid w:val="00BE2495"/>
    <w:rsid w:val="00BE468E"/>
    <w:rsid w:val="00BE6186"/>
    <w:rsid w:val="00BF1578"/>
    <w:rsid w:val="00BF45D9"/>
    <w:rsid w:val="00BF4B4B"/>
    <w:rsid w:val="00BF6EE6"/>
    <w:rsid w:val="00C024B1"/>
    <w:rsid w:val="00C12D52"/>
    <w:rsid w:val="00C21405"/>
    <w:rsid w:val="00C21F94"/>
    <w:rsid w:val="00C25709"/>
    <w:rsid w:val="00C27913"/>
    <w:rsid w:val="00C33B68"/>
    <w:rsid w:val="00C36A79"/>
    <w:rsid w:val="00C401D2"/>
    <w:rsid w:val="00C405D4"/>
    <w:rsid w:val="00C4513B"/>
    <w:rsid w:val="00C466D2"/>
    <w:rsid w:val="00C53576"/>
    <w:rsid w:val="00C5390B"/>
    <w:rsid w:val="00C54697"/>
    <w:rsid w:val="00C60191"/>
    <w:rsid w:val="00C609C9"/>
    <w:rsid w:val="00C6152B"/>
    <w:rsid w:val="00C73885"/>
    <w:rsid w:val="00C747B1"/>
    <w:rsid w:val="00C82191"/>
    <w:rsid w:val="00C83134"/>
    <w:rsid w:val="00C83FAA"/>
    <w:rsid w:val="00C8418E"/>
    <w:rsid w:val="00C85545"/>
    <w:rsid w:val="00C86B84"/>
    <w:rsid w:val="00C90CF4"/>
    <w:rsid w:val="00C90F53"/>
    <w:rsid w:val="00C92EB6"/>
    <w:rsid w:val="00C93389"/>
    <w:rsid w:val="00C936C3"/>
    <w:rsid w:val="00C96D08"/>
    <w:rsid w:val="00CA28BC"/>
    <w:rsid w:val="00CA6668"/>
    <w:rsid w:val="00CA6AB4"/>
    <w:rsid w:val="00CB259D"/>
    <w:rsid w:val="00CB390A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E7F95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20FA"/>
    <w:rsid w:val="00D13986"/>
    <w:rsid w:val="00D2094C"/>
    <w:rsid w:val="00D21D83"/>
    <w:rsid w:val="00D22038"/>
    <w:rsid w:val="00D235B7"/>
    <w:rsid w:val="00D25F28"/>
    <w:rsid w:val="00D26071"/>
    <w:rsid w:val="00D27973"/>
    <w:rsid w:val="00D32F90"/>
    <w:rsid w:val="00D35E1A"/>
    <w:rsid w:val="00D50F46"/>
    <w:rsid w:val="00D52BE2"/>
    <w:rsid w:val="00D57677"/>
    <w:rsid w:val="00D62FF4"/>
    <w:rsid w:val="00D64227"/>
    <w:rsid w:val="00D64F56"/>
    <w:rsid w:val="00D66223"/>
    <w:rsid w:val="00D67375"/>
    <w:rsid w:val="00D73384"/>
    <w:rsid w:val="00D8084C"/>
    <w:rsid w:val="00D85980"/>
    <w:rsid w:val="00D915EA"/>
    <w:rsid w:val="00D92FD1"/>
    <w:rsid w:val="00D93CE2"/>
    <w:rsid w:val="00D943C6"/>
    <w:rsid w:val="00D965EC"/>
    <w:rsid w:val="00DA0BBD"/>
    <w:rsid w:val="00DA7C0C"/>
    <w:rsid w:val="00DB08A9"/>
    <w:rsid w:val="00DB2EC8"/>
    <w:rsid w:val="00DC37E3"/>
    <w:rsid w:val="00DC5B3B"/>
    <w:rsid w:val="00DC76ED"/>
    <w:rsid w:val="00DD0AE9"/>
    <w:rsid w:val="00DD129F"/>
    <w:rsid w:val="00DD242A"/>
    <w:rsid w:val="00DD6B52"/>
    <w:rsid w:val="00DE0F63"/>
    <w:rsid w:val="00DE4C19"/>
    <w:rsid w:val="00DF317B"/>
    <w:rsid w:val="00DF42FF"/>
    <w:rsid w:val="00DF7190"/>
    <w:rsid w:val="00DF7AD4"/>
    <w:rsid w:val="00E01C0E"/>
    <w:rsid w:val="00E03F9A"/>
    <w:rsid w:val="00E04694"/>
    <w:rsid w:val="00E04F27"/>
    <w:rsid w:val="00E102BD"/>
    <w:rsid w:val="00E10A2E"/>
    <w:rsid w:val="00E11DE1"/>
    <w:rsid w:val="00E12B1E"/>
    <w:rsid w:val="00E17262"/>
    <w:rsid w:val="00E212C9"/>
    <w:rsid w:val="00E2394F"/>
    <w:rsid w:val="00E253A2"/>
    <w:rsid w:val="00E305C8"/>
    <w:rsid w:val="00E3309D"/>
    <w:rsid w:val="00E333BA"/>
    <w:rsid w:val="00E364BB"/>
    <w:rsid w:val="00E453F9"/>
    <w:rsid w:val="00E47EBA"/>
    <w:rsid w:val="00E50156"/>
    <w:rsid w:val="00E503A5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8168E"/>
    <w:rsid w:val="00E924B2"/>
    <w:rsid w:val="00E93820"/>
    <w:rsid w:val="00E94A86"/>
    <w:rsid w:val="00E96143"/>
    <w:rsid w:val="00E972A9"/>
    <w:rsid w:val="00E972B3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D7B65"/>
    <w:rsid w:val="00EE160E"/>
    <w:rsid w:val="00EE3446"/>
    <w:rsid w:val="00EE3C8D"/>
    <w:rsid w:val="00EE3E78"/>
    <w:rsid w:val="00EE466C"/>
    <w:rsid w:val="00EE4B1B"/>
    <w:rsid w:val="00EE50DB"/>
    <w:rsid w:val="00EF150D"/>
    <w:rsid w:val="00EF1F5A"/>
    <w:rsid w:val="00EF348D"/>
    <w:rsid w:val="00EF47BF"/>
    <w:rsid w:val="00F04811"/>
    <w:rsid w:val="00F0488C"/>
    <w:rsid w:val="00F05E10"/>
    <w:rsid w:val="00F10F11"/>
    <w:rsid w:val="00F118D5"/>
    <w:rsid w:val="00F13819"/>
    <w:rsid w:val="00F13C9C"/>
    <w:rsid w:val="00F15AAA"/>
    <w:rsid w:val="00F15BEF"/>
    <w:rsid w:val="00F160CE"/>
    <w:rsid w:val="00F161E1"/>
    <w:rsid w:val="00F162B3"/>
    <w:rsid w:val="00F231AE"/>
    <w:rsid w:val="00F24407"/>
    <w:rsid w:val="00F24FAA"/>
    <w:rsid w:val="00F26590"/>
    <w:rsid w:val="00F3364D"/>
    <w:rsid w:val="00F33926"/>
    <w:rsid w:val="00F33E56"/>
    <w:rsid w:val="00F41068"/>
    <w:rsid w:val="00F433FE"/>
    <w:rsid w:val="00F437CC"/>
    <w:rsid w:val="00F44537"/>
    <w:rsid w:val="00F4530D"/>
    <w:rsid w:val="00F46502"/>
    <w:rsid w:val="00F47067"/>
    <w:rsid w:val="00F525EB"/>
    <w:rsid w:val="00F55E08"/>
    <w:rsid w:val="00F56129"/>
    <w:rsid w:val="00F63DDE"/>
    <w:rsid w:val="00F63FB7"/>
    <w:rsid w:val="00F6421B"/>
    <w:rsid w:val="00F649D2"/>
    <w:rsid w:val="00F6602B"/>
    <w:rsid w:val="00F73A0C"/>
    <w:rsid w:val="00F73D08"/>
    <w:rsid w:val="00F756DB"/>
    <w:rsid w:val="00F8090E"/>
    <w:rsid w:val="00F84E7D"/>
    <w:rsid w:val="00F85066"/>
    <w:rsid w:val="00F853A9"/>
    <w:rsid w:val="00F859D0"/>
    <w:rsid w:val="00F87A4D"/>
    <w:rsid w:val="00F87A8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F3E63"/>
    <w:rsid w:val="00FF3EE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C691A96"/>
  <w15:docId w15:val="{A4C7AF56-5B51-4067-BDB9-17A6C36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44EE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4EE6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44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Ro&#269;n&#237;%20n&#225;rodn&#237;%20&#250;&#269;ty\Dom&#225;cnosti\QSA_S14_2020q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Ro&#269;n&#237;%20n&#225;rodn&#237;%20&#250;&#269;ty\Dom&#225;cnosti\QSA_S14_2020q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Ro&#269;n&#237;%20n&#225;rodn&#237;%20&#250;&#269;ty\Dom&#225;cnosti\QSA_S14_2020q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51021037554418E-2"/>
          <c:y val="4.0456050018389117E-2"/>
          <c:w val="0.90214914695447923"/>
          <c:h val="0.75927607706631373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'S14'!$E$157</c:f>
              <c:strCache>
                <c:ptCount val="1"/>
                <c:pt idx="0">
                  <c:v>Mzdy a platy (reálné)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A7A7"/>
              </a:solidFill>
            </a:ln>
            <a:effectLst/>
          </c:spPr>
          <c:invertIfNegative val="0"/>
          <c:cat>
            <c:numRef>
              <c:f>'S14'!$C$167:$C$177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'S14'!$E$167:$E$177</c:f>
              <c:numCache>
                <c:formatCode>0.0_ ;[Red]\-0.0\ </c:formatCode>
                <c:ptCount val="11"/>
                <c:pt idx="0">
                  <c:v>-2.5320416680746405</c:v>
                </c:pt>
                <c:pt idx="1">
                  <c:v>1.5051817483306564</c:v>
                </c:pt>
                <c:pt idx="2">
                  <c:v>0.75541842027337225</c:v>
                </c:pt>
                <c:pt idx="3">
                  <c:v>0.86966220906701608</c:v>
                </c:pt>
                <c:pt idx="4">
                  <c:v>0.67114030431214644</c:v>
                </c:pt>
                <c:pt idx="5">
                  <c:v>3.5696687649617189</c:v>
                </c:pt>
                <c:pt idx="6">
                  <c:v>5.3135048908303162</c:v>
                </c:pt>
                <c:pt idx="7">
                  <c:v>5.4494671386671882</c:v>
                </c:pt>
                <c:pt idx="8">
                  <c:v>6.6837856218967318</c:v>
                </c:pt>
                <c:pt idx="9">
                  <c:v>6.4533882194389065</c:v>
                </c:pt>
                <c:pt idx="10">
                  <c:v>3.0934037376726167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38-47F7-8D24-901A739701E2}"/>
            </c:ext>
          </c:extLst>
        </c:ser>
        <c:ser>
          <c:idx val="4"/>
          <c:order val="3"/>
          <c:tx>
            <c:strRef>
              <c:f>'S14'!$G$157</c:f>
              <c:strCache>
                <c:ptCount val="1"/>
                <c:pt idx="0">
                  <c:v>Hrubý disponibilní důchod (reálný)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'S14'!$C$167:$C$177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'S14'!$G$167:$G$177</c:f>
              <c:numCache>
                <c:formatCode>0.0_ ;[Red]\-0.0\ </c:formatCode>
                <c:ptCount val="11"/>
                <c:pt idx="0">
                  <c:v>1.9372292739892032</c:v>
                </c:pt>
                <c:pt idx="1">
                  <c:v>0.65290175829856878</c:v>
                </c:pt>
                <c:pt idx="2">
                  <c:v>-0.97183396684415868</c:v>
                </c:pt>
                <c:pt idx="3">
                  <c:v>-0.71953724480063386</c:v>
                </c:pt>
                <c:pt idx="4">
                  <c:v>-0.55377756429551539</c:v>
                </c:pt>
                <c:pt idx="5">
                  <c:v>2.5538459029937428</c:v>
                </c:pt>
                <c:pt idx="6">
                  <c:v>3.7073367609696817</c:v>
                </c:pt>
                <c:pt idx="7">
                  <c:v>3.0032020367611381</c:v>
                </c:pt>
                <c:pt idx="8">
                  <c:v>4.3567705810523449</c:v>
                </c:pt>
                <c:pt idx="9">
                  <c:v>3.8389190309166281</c:v>
                </c:pt>
                <c:pt idx="10">
                  <c:v>3.1273826970673326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38-47F7-8D24-901A739701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-27"/>
        <c:axId val="855449296"/>
        <c:axId val="855443888"/>
      </c:barChart>
      <c:lineChart>
        <c:grouping val="standard"/>
        <c:varyColors val="0"/>
        <c:ser>
          <c:idx val="1"/>
          <c:order val="0"/>
          <c:tx>
            <c:strRef>
              <c:f>'S14'!$D$157</c:f>
              <c:strCache>
                <c:ptCount val="1"/>
                <c:pt idx="0">
                  <c:v>Mzdy a platy (nominální)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square"/>
            <c:size val="8"/>
            <c:spPr>
              <a:solidFill>
                <a:srgbClr val="FFA7A7"/>
              </a:solidFill>
              <a:ln w="9525">
                <a:noFill/>
              </a:ln>
              <a:effectLst/>
            </c:spPr>
          </c:marker>
          <c:cat>
            <c:numRef>
              <c:f>'S14'!$C$167:$C$177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'S14'!$D$167:$D$177</c:f>
              <c:numCache>
                <c:formatCode>0.0_ ;[Red]\-0.0\ </c:formatCode>
                <c:ptCount val="11"/>
                <c:pt idx="0">
                  <c:v>-1.683077563725675</c:v>
                </c:pt>
                <c:pt idx="1">
                  <c:v>1.9709697599637792</c:v>
                </c:pt>
                <c:pt idx="2">
                  <c:v>2.5106426997047748</c:v>
                </c:pt>
                <c:pt idx="3">
                  <c:v>3.0662541275900708</c:v>
                </c:pt>
                <c:pt idx="4">
                  <c:v>1.3860688184222738</c:v>
                </c:pt>
                <c:pt idx="5">
                  <c:v>4.449378541481579</c:v>
                </c:pt>
                <c:pt idx="6">
                  <c:v>5.2903629581426515</c:v>
                </c:pt>
                <c:pt idx="7">
                  <c:v>5.8810298337287179</c:v>
                </c:pt>
                <c:pt idx="8">
                  <c:v>9.170106772463086</c:v>
                </c:pt>
                <c:pt idx="9">
                  <c:v>9.1221562288901197</c:v>
                </c:pt>
                <c:pt idx="10">
                  <c:v>5.9696153454821967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38-47F7-8D24-901A739701E2}"/>
            </c:ext>
          </c:extLst>
        </c:ser>
        <c:ser>
          <c:idx val="3"/>
          <c:order val="2"/>
          <c:tx>
            <c:strRef>
              <c:f>'S14'!$F$157</c:f>
              <c:strCache>
                <c:ptCount val="1"/>
                <c:pt idx="0">
                  <c:v>Hrubý disponibilní důchod (nominální)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square"/>
            <c:size val="8"/>
            <c:spPr>
              <a:solidFill>
                <a:schemeClr val="accent1">
                  <a:lumMod val="40000"/>
                  <a:lumOff val="60000"/>
                </a:schemeClr>
              </a:solidFill>
              <a:ln w="9525">
                <a:noFill/>
              </a:ln>
              <a:effectLst/>
            </c:spPr>
          </c:marker>
          <c:cat>
            <c:numRef>
              <c:f>'S14'!$C$167:$C$177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'S14'!$F$167:$F$177</c:f>
              <c:numCache>
                <c:formatCode>0.0_ ;[Red]\-0.0\ </c:formatCode>
                <c:ptCount val="11"/>
                <c:pt idx="0">
                  <c:v>2.8251215621983476</c:v>
                </c:pt>
                <c:pt idx="1">
                  <c:v>1.1147788188346652</c:v>
                </c:pt>
                <c:pt idx="2">
                  <c:v>0.75330046358349989</c:v>
                </c:pt>
                <c:pt idx="3">
                  <c:v>1.4424474132157741</c:v>
                </c:pt>
                <c:pt idx="4">
                  <c:v>0.152452044556739</c:v>
                </c:pt>
                <c:pt idx="5">
                  <c:v>3.4249273879148916</c:v>
                </c:pt>
                <c:pt idx="6">
                  <c:v>3.6845477728999469</c:v>
                </c:pt>
                <c:pt idx="7">
                  <c:v>3.4247531424912268</c:v>
                </c:pt>
                <c:pt idx="8">
                  <c:v>6.7888594349298614</c:v>
                </c:pt>
                <c:pt idx="9">
                  <c:v>6.4421427505267275</c:v>
                </c:pt>
                <c:pt idx="10">
                  <c:v>6.0045422867447229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B38-47F7-8D24-901A739701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5449296"/>
        <c:axId val="855443888"/>
      </c:lineChart>
      <c:catAx>
        <c:axId val="85544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855443888"/>
        <c:crosses val="autoZero"/>
        <c:auto val="1"/>
        <c:lblAlgn val="ctr"/>
        <c:lblOffset val="100"/>
        <c:noMultiLvlLbl val="0"/>
      </c:catAx>
      <c:valAx>
        <c:axId val="85544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85544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510492715096588E-2"/>
          <c:y val="3.9316672295395698E-2"/>
          <c:w val="0.88300196443173207"/>
          <c:h val="0.74222285288998679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'S14'!$N$133</c:f>
              <c:strCache>
                <c:ptCount val="1"/>
                <c:pt idx="0">
                  <c:v>Hrubý provozní přebytek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numRef>
              <c:f>'S14'!$L$143:$L$153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'S14'!$N$143:$N$153</c:f>
              <c:numCache>
                <c:formatCode>0.0_ ;[Red]\-0.0\ </c:formatCode>
                <c:ptCount val="11"/>
                <c:pt idx="0">
                  <c:v>3.8119999999999998</c:v>
                </c:pt>
                <c:pt idx="1">
                  <c:v>5.5750000000000002</c:v>
                </c:pt>
                <c:pt idx="2">
                  <c:v>-2.7E-2</c:v>
                </c:pt>
                <c:pt idx="3">
                  <c:v>-4.4210000000000003</c:v>
                </c:pt>
                <c:pt idx="4">
                  <c:v>1.972</c:v>
                </c:pt>
                <c:pt idx="5">
                  <c:v>5.3079999999999998</c:v>
                </c:pt>
                <c:pt idx="6">
                  <c:v>1.4670000000000001</c:v>
                </c:pt>
                <c:pt idx="7">
                  <c:v>8.5069999999999997</c:v>
                </c:pt>
                <c:pt idx="8">
                  <c:v>20.48</c:v>
                </c:pt>
                <c:pt idx="9">
                  <c:v>35.523000000000003</c:v>
                </c:pt>
                <c:pt idx="10">
                  <c:v>23.969000000000001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47-47B3-815D-BC7CB01C5444}"/>
            </c:ext>
          </c:extLst>
        </c:ser>
        <c:ser>
          <c:idx val="2"/>
          <c:order val="2"/>
          <c:tx>
            <c:strRef>
              <c:f>'S14'!$O$133</c:f>
              <c:strCache>
                <c:ptCount val="1"/>
                <c:pt idx="0">
                  <c:v>Hrubý smíšený důchod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'S14'!$L$143:$L$153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'S14'!$O$143:$O$153</c:f>
              <c:numCache>
                <c:formatCode>0.0_ ;[Red]\-0.0\ </c:formatCode>
                <c:ptCount val="11"/>
                <c:pt idx="0">
                  <c:v>23.431000000000001</c:v>
                </c:pt>
                <c:pt idx="1">
                  <c:v>0.63100000000000001</c:v>
                </c:pt>
                <c:pt idx="2">
                  <c:v>-6.2060000000000004</c:v>
                </c:pt>
                <c:pt idx="3">
                  <c:v>-21.460999999999999</c:v>
                </c:pt>
                <c:pt idx="4">
                  <c:v>-6.8570000000000002</c:v>
                </c:pt>
                <c:pt idx="5">
                  <c:v>14.276999999999999</c:v>
                </c:pt>
                <c:pt idx="6">
                  <c:v>15.021000000000001</c:v>
                </c:pt>
                <c:pt idx="7">
                  <c:v>3.3759999999999999</c:v>
                </c:pt>
                <c:pt idx="8">
                  <c:v>16.259</c:v>
                </c:pt>
                <c:pt idx="9">
                  <c:v>22.93</c:v>
                </c:pt>
                <c:pt idx="10">
                  <c:v>29.506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47-47B3-815D-BC7CB01C5444}"/>
            </c:ext>
          </c:extLst>
        </c:ser>
        <c:ser>
          <c:idx val="3"/>
          <c:order val="3"/>
          <c:tx>
            <c:strRef>
              <c:f>'S14'!$P$133</c:f>
              <c:strCache>
                <c:ptCount val="1"/>
                <c:pt idx="0">
                  <c:v>Mzdy a platy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'S14'!$L$143:$L$153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'S14'!$P$143:$P$153</c:f>
              <c:numCache>
                <c:formatCode>0.0_ ;[Red]\-0.0\ </c:formatCode>
                <c:ptCount val="11"/>
                <c:pt idx="0">
                  <c:v>-21.097999999999999</c:v>
                </c:pt>
                <c:pt idx="1">
                  <c:v>24.291</c:v>
                </c:pt>
                <c:pt idx="2">
                  <c:v>31.552</c:v>
                </c:pt>
                <c:pt idx="3">
                  <c:v>39.502000000000002</c:v>
                </c:pt>
                <c:pt idx="4">
                  <c:v>18.404</c:v>
                </c:pt>
                <c:pt idx="5">
                  <c:v>59.896999999999998</c:v>
                </c:pt>
                <c:pt idx="6">
                  <c:v>74.387</c:v>
                </c:pt>
                <c:pt idx="7">
                  <c:v>87.066999999999993</c:v>
                </c:pt>
                <c:pt idx="8">
                  <c:v>143.745</c:v>
                </c:pt>
                <c:pt idx="9">
                  <c:v>156.10599999999999</c:v>
                </c:pt>
                <c:pt idx="10">
                  <c:v>111.476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47-47B3-815D-BC7CB01C5444}"/>
            </c:ext>
          </c:extLst>
        </c:ser>
        <c:ser>
          <c:idx val="4"/>
          <c:order val="4"/>
          <c:tx>
            <c:strRef>
              <c:f>'S14'!$Q$133</c:f>
              <c:strCache>
                <c:ptCount val="1"/>
                <c:pt idx="0">
                  <c:v>Saldo důchodů z vlastnictví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numRef>
              <c:f>'S14'!$L$143:$L$153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'S14'!$Q$143:$Q$153</c:f>
              <c:numCache>
                <c:formatCode>0.0_ ;[Red]\-0.0\ </c:formatCode>
                <c:ptCount val="11"/>
                <c:pt idx="0">
                  <c:v>-5.835</c:v>
                </c:pt>
                <c:pt idx="1">
                  <c:v>-15.747999999999999</c:v>
                </c:pt>
                <c:pt idx="2">
                  <c:v>4.7649999999999997</c:v>
                </c:pt>
                <c:pt idx="3">
                  <c:v>12.079000000000001</c:v>
                </c:pt>
                <c:pt idx="4">
                  <c:v>-1.113</c:v>
                </c:pt>
                <c:pt idx="5">
                  <c:v>5.1909999999999998</c:v>
                </c:pt>
                <c:pt idx="6">
                  <c:v>-3.9740000000000002</c:v>
                </c:pt>
                <c:pt idx="7">
                  <c:v>5.1639999999999997</c:v>
                </c:pt>
                <c:pt idx="8">
                  <c:v>30.094000000000001</c:v>
                </c:pt>
                <c:pt idx="9">
                  <c:v>-6.1980000000000004</c:v>
                </c:pt>
                <c:pt idx="10">
                  <c:v>11.371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47-47B3-815D-BC7CB01C5444}"/>
            </c:ext>
          </c:extLst>
        </c:ser>
        <c:ser>
          <c:idx val="5"/>
          <c:order val="5"/>
          <c:tx>
            <c:strRef>
              <c:f>'S14'!$R$133</c:f>
              <c:strCache>
                <c:ptCount val="1"/>
                <c:pt idx="0">
                  <c:v>Saldo druhotného rozdělení*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'S14'!$L$143:$L$153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'S14'!$R$143:$R$153</c:f>
              <c:numCache>
                <c:formatCode>#\ ##0.0_ ;[Red]\-#\ ##0.0\ </c:formatCode>
                <c:ptCount val="11"/>
                <c:pt idx="0">
                  <c:v>59.451999999999998</c:v>
                </c:pt>
                <c:pt idx="1">
                  <c:v>9.4990000000000006</c:v>
                </c:pt>
                <c:pt idx="2">
                  <c:v>-13.516</c:v>
                </c:pt>
                <c:pt idx="3">
                  <c:v>6.2649999999999997</c:v>
                </c:pt>
                <c:pt idx="4">
                  <c:v>-8.9789999999999992</c:v>
                </c:pt>
                <c:pt idx="5">
                  <c:v>-7.5659999999999998</c:v>
                </c:pt>
                <c:pt idx="6">
                  <c:v>-1.1080000000000001</c:v>
                </c:pt>
                <c:pt idx="7">
                  <c:v>-21.431999999999999</c:v>
                </c:pt>
                <c:pt idx="8">
                  <c:v>-41.064999999999998</c:v>
                </c:pt>
                <c:pt idx="9">
                  <c:v>-36.585000000000001</c:v>
                </c:pt>
                <c:pt idx="10">
                  <c:v>-5.9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47-47B3-815D-BC7CB01C54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024169744"/>
        <c:axId val="1024177648"/>
      </c:barChart>
      <c:lineChart>
        <c:grouping val="standard"/>
        <c:varyColors val="0"/>
        <c:ser>
          <c:idx val="0"/>
          <c:order val="0"/>
          <c:tx>
            <c:strRef>
              <c:f>'S14'!$M$133</c:f>
              <c:strCache>
                <c:ptCount val="1"/>
                <c:pt idx="0">
                  <c:v>Hrubý disponibilní důchod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'S14'!$L$143:$L$153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'S14'!$M$143:$M$153</c:f>
              <c:numCache>
                <c:formatCode>0.0_ ;[Red]\-0.0\ </c:formatCode>
                <c:ptCount val="11"/>
                <c:pt idx="0">
                  <c:v>59.762</c:v>
                </c:pt>
                <c:pt idx="1">
                  <c:v>24.248000000000001</c:v>
                </c:pt>
                <c:pt idx="2">
                  <c:v>16.568000000000001</c:v>
                </c:pt>
                <c:pt idx="3">
                  <c:v>31.963999999999999</c:v>
                </c:pt>
                <c:pt idx="4">
                  <c:v>3.427</c:v>
                </c:pt>
                <c:pt idx="5">
                  <c:v>77.106999999999999</c:v>
                </c:pt>
                <c:pt idx="6">
                  <c:v>85.793000000000006</c:v>
                </c:pt>
                <c:pt idx="7">
                  <c:v>82.682000000000002</c:v>
                </c:pt>
                <c:pt idx="8">
                  <c:v>169.51300000000001</c:v>
                </c:pt>
                <c:pt idx="9">
                  <c:v>171.77600000000001</c:v>
                </c:pt>
                <c:pt idx="10">
                  <c:v>170.422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C47-47B3-815D-BC7CB01C54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4169744"/>
        <c:axId val="1024177648"/>
      </c:lineChart>
      <c:catAx>
        <c:axId val="102416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024177648"/>
        <c:crosses val="autoZero"/>
        <c:auto val="1"/>
        <c:lblAlgn val="ctr"/>
        <c:lblOffset val="100"/>
        <c:noMultiLvlLbl val="0"/>
      </c:catAx>
      <c:valAx>
        <c:axId val="1024177648"/>
        <c:scaling>
          <c:orientation val="minMax"/>
          <c:min val="-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/>
                  <a:t>mld.</a:t>
                </a:r>
                <a:r>
                  <a:rPr lang="cs-CZ" baseline="0"/>
                  <a:t> korun</a:t>
                </a: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02416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7656197230665311E-2"/>
          <c:y val="0.86015647866711697"/>
          <c:w val="0.87562056737588656"/>
          <c:h val="0.118398063717212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986406619385334E-2"/>
          <c:y val="3.9316672295395698E-2"/>
          <c:w val="0.8112755403579871"/>
          <c:h val="0.8137560508837105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'S14'!$W$133</c:f>
              <c:strCache>
                <c:ptCount val="1"/>
                <c:pt idx="0">
                  <c:v>Změna výdajů na konečnou spotřebu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'S14'!$A$144:$B$154</c:f>
              <c:strCach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strCache>
            </c:strRef>
          </c:cat>
          <c:val>
            <c:numRef>
              <c:f>'S14'!$W$144:$W$154</c:f>
              <c:numCache>
                <c:formatCode>0.0</c:formatCode>
                <c:ptCount val="11"/>
                <c:pt idx="0">
                  <c:v>6.9909999999999997</c:v>
                </c:pt>
                <c:pt idx="1">
                  <c:v>35.316000000000003</c:v>
                </c:pt>
                <c:pt idx="2">
                  <c:v>41.198999999999998</c:v>
                </c:pt>
                <c:pt idx="3">
                  <c:v>20.727</c:v>
                </c:pt>
                <c:pt idx="4">
                  <c:v>31.285000000000231</c:v>
                </c:pt>
                <c:pt idx="5">
                  <c:v>45.36099999999977</c:v>
                </c:pt>
                <c:pt idx="6">
                  <c:v>80.171999999999997</c:v>
                </c:pt>
                <c:pt idx="7">
                  <c:v>88.927000000000007</c:v>
                </c:pt>
                <c:pt idx="8">
                  <c:v>142.33199999999999</c:v>
                </c:pt>
                <c:pt idx="9">
                  <c:v>140.22300000000001</c:v>
                </c:pt>
                <c:pt idx="10">
                  <c:v>146.82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64-453A-BDE2-DB03AD22DB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10994495"/>
        <c:axId val="1310992415"/>
      </c:barChart>
      <c:lineChart>
        <c:grouping val="standard"/>
        <c:varyColors val="0"/>
        <c:ser>
          <c:idx val="0"/>
          <c:order val="0"/>
          <c:tx>
            <c:strRef>
              <c:f>'S14'!$U$133</c:f>
              <c:strCache>
                <c:ptCount val="1"/>
                <c:pt idx="0">
                  <c:v>Míra úspor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strRef>
              <c:f>'S14'!$A$144:$B$154</c:f>
              <c:strCach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strCache>
            </c:strRef>
          </c:cat>
          <c:val>
            <c:numRef>
              <c:f>'S14'!$U$144:$U$154</c:f>
              <c:numCache>
                <c:formatCode>0.0</c:formatCode>
                <c:ptCount val="11"/>
                <c:pt idx="0">
                  <c:v>13.428256180392331</c:v>
                </c:pt>
                <c:pt idx="1">
                  <c:v>12.708876373902989</c:v>
                </c:pt>
                <c:pt idx="2">
                  <c:v>11.533122870090175</c:v>
                </c:pt>
                <c:pt idx="3">
                  <c:v>11.812111209627018</c:v>
                </c:pt>
                <c:pt idx="4">
                  <c:v>11.356833508373718</c:v>
                </c:pt>
                <c:pt idx="5">
                  <c:v>12.354309297469618</c:v>
                </c:pt>
                <c:pt idx="6">
                  <c:v>12.06210623783827</c:v>
                </c:pt>
                <c:pt idx="7">
                  <c:v>11.335043090794136</c:v>
                </c:pt>
                <c:pt idx="8">
                  <c:v>11.679917346000227</c:v>
                </c:pt>
                <c:pt idx="9">
                  <c:v>12.102942672159767</c:v>
                </c:pt>
                <c:pt idx="10">
                  <c:v>12.356255536522918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064-453A-BDE2-DB03AD22DBD7}"/>
            </c:ext>
          </c:extLst>
        </c:ser>
        <c:ser>
          <c:idx val="1"/>
          <c:order val="1"/>
          <c:tx>
            <c:strRef>
              <c:f>'S14'!$V$133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'S14'!$A$144:$B$154</c:f>
              <c:strCach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strCache>
            </c:strRef>
          </c:cat>
          <c:val>
            <c:numRef>
              <c:f>'S14'!$V$144:$V$154</c:f>
              <c:numCache>
                <c:formatCode>0.0</c:formatCode>
                <c:ptCount val="11"/>
                <c:pt idx="0">
                  <c:v>10.824734979431001</c:v>
                </c:pt>
                <c:pt idx="1">
                  <c:v>11.148531651410735</c:v>
                </c:pt>
                <c:pt idx="2">
                  <c:v>9.808853614540423</c:v>
                </c:pt>
                <c:pt idx="3">
                  <c:v>8.6201958394070903</c:v>
                </c:pt>
                <c:pt idx="4">
                  <c:v>8.7046325704605003</c:v>
                </c:pt>
                <c:pt idx="5">
                  <c:v>8.7789646991935406</c:v>
                </c:pt>
                <c:pt idx="6">
                  <c:v>8.699360010068542</c:v>
                </c:pt>
                <c:pt idx="7">
                  <c:v>9.1412544006735637</c:v>
                </c:pt>
                <c:pt idx="8">
                  <c:v>7.7770876768311625</c:v>
                </c:pt>
                <c:pt idx="9">
                  <c:v>9.011123665794031</c:v>
                </c:pt>
                <c:pt idx="10">
                  <c:v>9.3702501597570969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064-453A-BDE2-DB03AD22DB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0007711"/>
        <c:axId val="1310983263"/>
      </c:lineChart>
      <c:catAx>
        <c:axId val="1310994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310992415"/>
        <c:crosses val="autoZero"/>
        <c:auto val="1"/>
        <c:lblAlgn val="ctr"/>
        <c:lblOffset val="100"/>
        <c:noMultiLvlLbl val="0"/>
      </c:catAx>
      <c:valAx>
        <c:axId val="1310992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Změna výdajů na konečnou spotřebu (</a:t>
                </a:r>
                <a:r>
                  <a:rPr lang="cs-CZ"/>
                  <a:t>mld.</a:t>
                </a:r>
                <a:r>
                  <a:rPr lang="cs-CZ" baseline="0"/>
                  <a:t> korun</a:t>
                </a:r>
                <a:r>
                  <a:rPr lang="en-US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310994495"/>
        <c:crosses val="autoZero"/>
        <c:crossBetween val="between"/>
      </c:valAx>
      <c:valAx>
        <c:axId val="1310983263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úspor, míra investic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560007711"/>
        <c:crosses val="max"/>
        <c:crossBetween val="between"/>
      </c:valAx>
      <c:catAx>
        <c:axId val="156000771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1098326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9DE8-803F-4B1A-9AB0-8DD7E46E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2</TotalTime>
  <Pages>4</Pages>
  <Words>1318</Words>
  <Characters>7777</Characters>
  <Application>Microsoft Office Word</Application>
  <DocSecurity>0</DocSecurity>
  <Lines>64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9077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3</cp:revision>
  <cp:lastPrinted>2019-09-12T09:26:00Z</cp:lastPrinted>
  <dcterms:created xsi:type="dcterms:W3CDTF">2020-08-10T06:56:00Z</dcterms:created>
  <dcterms:modified xsi:type="dcterms:W3CDTF">2020-08-17T07:35:00Z</dcterms:modified>
</cp:coreProperties>
</file>