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intercenzálním období.</w:t>
      </w:r>
    </w:p>
    <w:p w14:paraId="11D4A90E"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 xml:space="preserve">Veškeré údaje se týkají všech obyvatel, kteří mají v České republice trvalé bydliště, a to bez ohledu na státní občanství. Od roku 2001 (v návaznosti na </w:t>
      </w:r>
      <w:r>
        <w:rPr>
          <w:sz w:val="20"/>
          <w:szCs w:val="20"/>
        </w:rPr>
        <w:t>s</w:t>
      </w:r>
      <w:r w:rsidRPr="00CB3439">
        <w:rPr>
          <w:sz w:val="20"/>
          <w:szCs w:val="20"/>
        </w:rPr>
        <w:t xml:space="preserve">čítání lidu, domů a bytů 2001) údaje zahrnují také cizince s vízy </w:t>
      </w:r>
      <w:r>
        <w:rPr>
          <w:sz w:val="20"/>
          <w:szCs w:val="20"/>
        </w:rPr>
        <w:t>k pobytu</w:t>
      </w:r>
      <w:r w:rsidRPr="00CB3439">
        <w:rPr>
          <w:sz w:val="20"/>
          <w:szCs w:val="20"/>
        </w:rPr>
        <w:t xml:space="preserve"> nad 90 dnů (podle zákona č. 326/1999 Sb., o pobytu cizinců) a cizince s přiznaným azylem (podle zákona č. 325/1999 Sb., o azylu). Od 1. 5. 2004, v návaznosti na tzv. euronovelu zákona č. 326/1999 Sb., o</w:t>
      </w:r>
      <w:r>
        <w:rPr>
          <w:sz w:val="20"/>
          <w:szCs w:val="20"/>
        </w:rPr>
        <w:t> </w:t>
      </w:r>
      <w:r w:rsidRPr="00CB3439">
        <w:rPr>
          <w:sz w:val="20"/>
          <w:szCs w:val="20"/>
        </w:rPr>
        <w:t xml:space="preserve">pobytu cizinců, se údaje týkají </w:t>
      </w:r>
      <w:r>
        <w:rPr>
          <w:sz w:val="20"/>
          <w:szCs w:val="20"/>
        </w:rPr>
        <w:t xml:space="preserve">též </w:t>
      </w:r>
      <w:r w:rsidRPr="00CB3439">
        <w:rPr>
          <w:sz w:val="20"/>
          <w:szCs w:val="20"/>
        </w:rPr>
        <w:t>občanů zemí EU s přechodným pobytem na území ČR a občanů třetích zemí s</w:t>
      </w:r>
      <w:r>
        <w:rPr>
          <w:sz w:val="20"/>
          <w:szCs w:val="20"/>
        </w:rPr>
        <w:t xml:space="preserve"> povolením k </w:t>
      </w:r>
      <w:r w:rsidRPr="00CB3439">
        <w:rPr>
          <w:sz w:val="20"/>
          <w:szCs w:val="20"/>
        </w:rPr>
        <w:t>dlouhodob</w:t>
      </w:r>
      <w:r>
        <w:rPr>
          <w:sz w:val="20"/>
          <w:szCs w:val="20"/>
        </w:rPr>
        <w:t>é</w:t>
      </w:r>
      <w:r w:rsidRPr="00CB3439">
        <w:rPr>
          <w:sz w:val="20"/>
          <w:szCs w:val="20"/>
        </w:rPr>
        <w:t>m</w:t>
      </w:r>
      <w:r>
        <w:rPr>
          <w:sz w:val="20"/>
          <w:szCs w:val="20"/>
        </w:rPr>
        <w:t>u</w:t>
      </w:r>
      <w:r w:rsidRPr="00CB3439">
        <w:rPr>
          <w:sz w:val="20"/>
          <w:szCs w:val="20"/>
        </w:rPr>
        <w:t xml:space="preserve"> pobyt</w:t>
      </w:r>
      <w:r>
        <w:rPr>
          <w:sz w:val="20"/>
          <w:szCs w:val="20"/>
        </w:rPr>
        <w:t>u</w:t>
      </w:r>
      <w:r w:rsidRPr="00CB3439">
        <w:rPr>
          <w:sz w:val="20"/>
          <w:szCs w:val="20"/>
        </w:rPr>
        <w:t>.</w:t>
      </w:r>
    </w:p>
    <w:p w14:paraId="26664BF0"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 xml:space="preserve">Údaje zohledňují rovněž události (sňatky, narození a úmrtí) </w:t>
      </w:r>
      <w:r>
        <w:rPr>
          <w:sz w:val="20"/>
          <w:szCs w:val="20"/>
        </w:rPr>
        <w:t xml:space="preserve">českých </w:t>
      </w:r>
      <w:r w:rsidRPr="00CB3439">
        <w:rPr>
          <w:sz w:val="20"/>
          <w:szCs w:val="20"/>
        </w:rPr>
        <w:t>občanů s trvalým pobytem na území ČR, které nastaly v cizině.</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42866CF5" w:rsidR="00817429" w:rsidRPr="003E49F4" w:rsidRDefault="00832EE3" w:rsidP="003E49F4">
      <w:pPr>
        <w:pStyle w:val="Default"/>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  </w:t>
      </w:r>
      <w:r w:rsidR="00817429" w:rsidRPr="003E49F4">
        <w:rPr>
          <w:color w:val="auto"/>
          <w:sz w:val="20"/>
          <w:szCs w:val="20"/>
        </w:rPr>
        <w:t xml:space="preserve"> </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w:t>
      </w:r>
      <w:r>
        <w:rPr>
          <w:sz w:val="20"/>
          <w:szCs w:val="20"/>
        </w:rPr>
        <w:lastRenderedPageBreak/>
        <w:t>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Jeho zjištění se opírá o výstupy ze statistického šetření vývozu a dovozu zboží ve vztahu k členským zemím EU (v systému Intrastat)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Cenové indexy jsou počítány na základě cen za výběrové soubory reprezentantů do úhrnu pomocí výpočetního vzorce typu Laspeyres.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53pt" o:ole="">
            <v:imagedata r:id="rId8" o:title=""/>
          </v:shape>
          <o:OLEObject Type="Embed" ProgID="Equation.3" ShapeID="_x0000_i1025" DrawAspect="Content" ObjectID="_1686140129"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35CD398A" w14:textId="77777777" w:rsidR="00630DE6" w:rsidRDefault="00630DE6" w:rsidP="006906C2">
      <w:pPr>
        <w:pStyle w:val="Nadpis1"/>
        <w:keepNext w:val="0"/>
        <w:spacing w:before="240"/>
        <w:jc w:val="both"/>
        <w:rPr>
          <w:rFonts w:ascii="Arial" w:hAnsi="Arial" w:cs="Arial"/>
        </w:rPr>
      </w:pP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lastRenderedPageBreak/>
        <w:t>Index cen zemědělských výrobců</w:t>
      </w:r>
    </w:p>
    <w:p w14:paraId="38E5EB07" w14:textId="77777777"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bCs/>
          <w:sz w:val="20"/>
          <w:szCs w:val="20"/>
        </w:rPr>
        <w:t>průměr roku 2015 =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496CB0">
        <w:rPr>
          <w:sz w:val="20"/>
          <w:szCs w:val="20"/>
        </w:rPr>
        <w:t>4 800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16B3AEDB"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průběhu roku 2016 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w:t>
      </w:r>
      <w:r>
        <w:rPr>
          <w:sz w:val="20"/>
          <w:szCs w:val="20"/>
        </w:rPr>
        <w:t>e statistických</w:t>
      </w:r>
      <w:r w:rsidRPr="006333C5">
        <w:rPr>
          <w:sz w:val="20"/>
          <w:szCs w:val="20"/>
        </w:rPr>
        <w:t> výkazů Prům 2- 01, P4-01 a Ceny Prům 1-12.</w:t>
      </w:r>
    </w:p>
    <w:p w14:paraId="0647B3C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Technické indexy počítané k základu prosinec 2010 = 100 byly nahrazeny novými technickými indexy s cenovým základem prosinec 2015 = 100. Takto vypočtené indexy jsou od čtyřmístné úrovně </w:t>
      </w:r>
      <w:r>
        <w:rPr>
          <w:sz w:val="20"/>
          <w:szCs w:val="20"/>
        </w:rPr>
        <w:t>K</w:t>
      </w:r>
      <w:r w:rsidRPr="006333C5">
        <w:rPr>
          <w:sz w:val="20"/>
          <w:szCs w:val="20"/>
        </w:rPr>
        <w:t xml:space="preserve">lasifikace </w:t>
      </w:r>
      <w:r>
        <w:rPr>
          <w:sz w:val="20"/>
          <w:szCs w:val="20"/>
        </w:rPr>
        <w:t>produkce (</w:t>
      </w:r>
      <w:r w:rsidRPr="006333C5">
        <w:rPr>
          <w:sz w:val="20"/>
          <w:szCs w:val="20"/>
        </w:rPr>
        <w:t>CZ-CPA</w:t>
      </w:r>
      <w:r>
        <w:rPr>
          <w:sz w:val="20"/>
          <w:szCs w:val="20"/>
        </w:rPr>
        <w:t>)</w:t>
      </w:r>
      <w:r w:rsidRPr="006333C5">
        <w:rPr>
          <w:sz w:val="20"/>
          <w:szCs w:val="20"/>
        </w:rPr>
        <w:t xml:space="preserve"> výše řetězeny k novému indexnímu základu průměr roku 2015 = 100 a ke stávajícímu základu průměr roku 2005 = 100, čímž je zajištěno pokračování současných časových řad indexů.</w:t>
      </w:r>
    </w:p>
    <w:p w14:paraId="07C8467D"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14:paraId="2944EC8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 2005 = 100 byl v prosinci 2016 ukončen.</w:t>
      </w:r>
    </w:p>
    <w:p w14:paraId="5433871B" w14:textId="77777777"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 xml:space="preserve">cen průmyslových výrobců udává, o kolik </w:t>
      </w:r>
      <w:r>
        <w:rPr>
          <w:rFonts w:ascii="Arial" w:hAnsi="Arial" w:cs="Arial"/>
          <w:sz w:val="20"/>
          <w:szCs w:val="20"/>
        </w:rPr>
        <w:t>procent</w:t>
      </w:r>
      <w:r w:rsidRPr="006333C5">
        <w:rPr>
          <w:rFonts w:ascii="Arial" w:hAnsi="Arial" w:cs="Arial"/>
          <w:sz w:val="20"/>
          <w:szCs w:val="20"/>
        </w:rPr>
        <w:t xml:space="preserve"> se v dané</w:t>
      </w:r>
      <w:r>
        <w:rPr>
          <w:rFonts w:ascii="Arial" w:hAnsi="Arial" w:cs="Arial"/>
          <w:sz w:val="20"/>
          <w:szCs w:val="20"/>
        </w:rPr>
        <w:t>m</w:t>
      </w:r>
      <w:r w:rsidRPr="006333C5">
        <w:rPr>
          <w:rFonts w:ascii="Arial" w:hAnsi="Arial" w:cs="Arial"/>
          <w:sz w:val="20"/>
          <w:szCs w:val="20"/>
        </w:rPr>
        <w:t xml:space="preserve"> měsíci zvýšila (snížila) průměrná cenová hladina těchto cen v porovnání s průměrnou cenovou hladinou ve stejném období předchozího roku.</w:t>
      </w:r>
    </w:p>
    <w:p w14:paraId="57D30540" w14:textId="77777777" w:rsidR="000078E1" w:rsidRPr="006333C5" w:rsidRDefault="000078E1" w:rsidP="001528A4">
      <w:pPr>
        <w:spacing w:before="120" w:line="288" w:lineRule="auto"/>
        <w:ind w:firstLine="425"/>
        <w:jc w:val="both"/>
        <w:rPr>
          <w:sz w:val="20"/>
          <w:szCs w:val="20"/>
        </w:rPr>
      </w:pPr>
    </w:p>
    <w:p w14:paraId="557D5E69" w14:textId="3B93EC37" w:rsidR="00832EE3" w:rsidRPr="006333C5" w:rsidRDefault="00832EE3">
      <w:pPr>
        <w:spacing w:before="240"/>
        <w:jc w:val="both"/>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 xml:space="preserve">v oddílech 49, 50, </w:t>
      </w:r>
      <w:bookmarkStart w:id="2" w:name="_GoBack"/>
      <w:bookmarkEnd w:id="2"/>
      <w:r w:rsidRPr="006333C5">
        <w:rPr>
          <w:sz w:val="20"/>
          <w:szCs w:val="20"/>
        </w:rPr>
        <w:t>52, 53,</w:t>
      </w:r>
      <w:r w:rsidR="00706CD6">
        <w:rPr>
          <w:sz w:val="20"/>
          <w:szCs w:val="20"/>
        </w:rPr>
        <w:t xml:space="preserve"> 58,</w:t>
      </w:r>
      <w:r w:rsidRPr="006333C5">
        <w:rPr>
          <w:sz w:val="20"/>
          <w:szCs w:val="20"/>
        </w:rPr>
        <w:t xml:space="preserve"> 61, 62, 63, 64, 65, 68, 69, 70, 71, 73, 74, 77, 78, 80, 81 a 82.</w:t>
      </w:r>
    </w:p>
    <w:p w14:paraId="0519C69B" w14:textId="77777777" w:rsidR="00832EE3" w:rsidRPr="006333C5" w:rsidRDefault="00832EE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7777777" w:rsidR="00832EE3" w:rsidRPr="006333C5" w:rsidRDefault="007A4CCE" w:rsidP="001528A4">
      <w:pPr>
        <w:pStyle w:val="Zkladntext"/>
        <w:spacing w:before="120" w:after="0" w:line="288" w:lineRule="auto"/>
        <w:ind w:firstLine="425"/>
        <w:rPr>
          <w:sz w:val="20"/>
          <w:szCs w:val="20"/>
        </w:rPr>
      </w:pPr>
      <w:r w:rsidRPr="007A4CCE">
        <w:rPr>
          <w:sz w:val="20"/>
          <w:szCs w:val="20"/>
        </w:rPr>
        <w:t xml:space="preserve">V roce 2019 proběhla revize váhového systému. Váhy jsou od ledna roku 2020 </w:t>
      </w:r>
      <w:r>
        <w:rPr>
          <w:sz w:val="20"/>
          <w:szCs w:val="20"/>
        </w:rPr>
        <w:t>stanoveny</w:t>
      </w:r>
      <w:r w:rsidRPr="007A4CCE">
        <w:rPr>
          <w:sz w:val="20"/>
          <w:szCs w:val="20"/>
        </w:rPr>
        <w:t xml:space="preserve"> na základě výdajů domácností statistiky národních účtů z roku 2018. Váhy pro detailní cenové reprezentanty jsou aktualizovány dle údajů statistiky rodinných účtů doplněných o další dostupné zdroje a šetření. Od ledna roku 2020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77777777" w:rsidR="003E3851" w:rsidRPr="006333C5" w:rsidRDefault="003E3851" w:rsidP="001528A4">
      <w:pPr>
        <w:spacing w:before="120" w:line="288" w:lineRule="auto"/>
        <w:ind w:firstLine="425"/>
        <w:jc w:val="both"/>
        <w:rPr>
          <w:rFonts w:ascii="Arial" w:hAnsi="Arial" w:cs="Arial"/>
          <w:sz w:val="20"/>
          <w:szCs w:val="20"/>
        </w:rPr>
      </w:pPr>
      <w:r>
        <w:rPr>
          <w:rFonts w:ascii="Arial" w:hAnsi="Arial" w:cs="Arial"/>
          <w:sz w:val="20"/>
          <w:szCs w:val="20"/>
        </w:rPr>
        <w:lastRenderedPageBreak/>
        <w:t>Od roku 2019 dochází k postupné implementaci „scanner dat“ (SD, dat z pokladen maloobchodních řetězců) do výpočtu inflace. Od ledna 2021 pro oddíly 01 – Potraviny a nealkoholické nápoje, 02 – Alkoholické nápoje, tabák již tato SD zcela nahradila terénní sběr cen.</w:t>
      </w:r>
    </w:p>
    <w:p w14:paraId="4F1FE88A" w14:textId="77777777" w:rsidR="007A4CCE"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3pt;height:53pt" o:ole="">
            <v:imagedata r:id="rId8" o:title=""/>
          </v:shape>
          <o:OLEObject Type="Embed" ProgID="Equation.3" ShapeID="_x0000_i1026" DrawAspect="Content" ObjectID="_1686140130" r:id="rId10"/>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2020</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2017</w:t>
      </w:r>
      <w:r w:rsidRPr="006333C5">
        <w:rPr>
          <w:sz w:val="20"/>
          <w:szCs w:val="20"/>
        </w:rPr>
        <w:t xml:space="preserve"> na prosinec </w:t>
      </w:r>
      <w:r w:rsidR="00566964">
        <w:rPr>
          <w:sz w:val="20"/>
          <w:szCs w:val="20"/>
        </w:rPr>
        <w:t>2019</w:t>
      </w:r>
      <w:r w:rsidRPr="006333C5">
        <w:rPr>
          <w:sz w:val="20"/>
          <w:szCs w:val="20"/>
        </w:rPr>
        <w:t xml:space="preserve">. Nově vypočítávané indexy o základu prosinec </w:t>
      </w:r>
      <w:r w:rsidR="00566964">
        <w:rPr>
          <w:sz w:val="20"/>
          <w:szCs w:val="20"/>
        </w:rPr>
        <w:t>2019</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lastRenderedPageBreak/>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201</w:t>
      </w:r>
      <w:r>
        <w:rPr>
          <w:sz w:val="20"/>
          <w:szCs w:val="20"/>
        </w:rPr>
        <w:t>6</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77777777"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1528A4">
      <w:pPr>
        <w:pStyle w:val="Zkladntext"/>
        <w:spacing w:before="12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w:t>
      </w:r>
      <w:r w:rsidRPr="006333C5">
        <w:rPr>
          <w:rFonts w:eastAsia="SimSun"/>
          <w:sz w:val="20"/>
          <w:szCs w:val="20"/>
        </w:rPr>
        <w:lastRenderedPageBreak/>
        <w:t xml:space="preserve">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77777777" w:rsidR="00832EE3" w:rsidRPr="006333C5" w:rsidRDefault="00832EE3" w:rsidP="00DE03B4">
      <w:pPr>
        <w:pStyle w:val="titulek1"/>
        <w:spacing w:before="360" w:after="0"/>
        <w:rPr>
          <w:sz w:val="28"/>
          <w:szCs w:val="28"/>
        </w:rPr>
      </w:pPr>
      <w:r w:rsidRPr="006333C5">
        <w:rPr>
          <w:sz w:val="28"/>
          <w:szCs w:val="28"/>
        </w:rPr>
        <w:t>Vybrané ukazatele z výběrového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58E0FB5E" w14:textId="3ADEBFB1"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sz w:val="20"/>
          <w:szCs w:val="20"/>
        </w:rPr>
      </w:pPr>
      <w:r w:rsidRPr="00D46DC9">
        <w:rPr>
          <w:rFonts w:ascii="Arial" w:hAnsi="Arial" w:cs="Arial"/>
          <w:sz w:val="20"/>
          <w:szCs w:val="20"/>
        </w:rPr>
        <w:t xml:space="preserve">Český statistický úřad </w:t>
      </w:r>
      <w:r w:rsidR="00074FAB">
        <w:rPr>
          <w:rFonts w:ascii="Arial" w:hAnsi="Arial" w:cs="Arial"/>
          <w:sz w:val="20"/>
          <w:szCs w:val="20"/>
        </w:rPr>
        <w:t>změnil v roce</w:t>
      </w:r>
      <w:r w:rsidRPr="00D46DC9">
        <w:rPr>
          <w:rFonts w:ascii="Arial" w:hAnsi="Arial" w:cs="Arial"/>
          <w:sz w:val="20"/>
          <w:szCs w:val="20"/>
        </w:rPr>
        <w:t xml:space="preserve"> 2020 doposud používanou terminologii a způsob prezentování údajů. Pod pojmem zahraniční obchod se zbožím </w:t>
      </w:r>
      <w:r w:rsidR="00C27A7D" w:rsidRPr="00D46DC9">
        <w:rPr>
          <w:rFonts w:ascii="Arial" w:hAnsi="Arial" w:cs="Arial"/>
          <w:sz w:val="20"/>
          <w:szCs w:val="20"/>
        </w:rPr>
        <w:t xml:space="preserve">jsou </w:t>
      </w:r>
      <w:r w:rsidRPr="00D46DC9">
        <w:rPr>
          <w:rFonts w:ascii="Arial" w:hAnsi="Arial" w:cs="Arial"/>
          <w:sz w:val="20"/>
          <w:szCs w:val="20"/>
        </w:rPr>
        <w:t>prezentovány údaje, které jsou založeny na změně vlastnictví mezi rezidenty a nerezidenty (dříve tzv. národní pojetí zahraničního obchodu).</w:t>
      </w:r>
    </w:p>
    <w:p w14:paraId="4A182B20" w14:textId="77777777"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b/>
          <w:bCs/>
          <w:sz w:val="20"/>
          <w:szCs w:val="20"/>
        </w:rPr>
        <w:t>Zahraniční obchod se zbožím</w:t>
      </w:r>
      <w:r w:rsidRPr="00D46DC9">
        <w:rPr>
          <w:rFonts w:ascii="Arial" w:hAnsi="Arial" w:cs="Arial"/>
          <w:sz w:val="20"/>
          <w:szCs w:val="20"/>
        </w:rPr>
        <w:t xml:space="preserve"> vypovídá o vývozní a dovozní výkonnosti české ekonomiky, tedy i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 </w:t>
      </w:r>
    </w:p>
    <w:p w14:paraId="1C3B4CA2" w14:textId="77777777"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77777777"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Data o zahraničním obchodě se zbožím jsou základním zdrojovým údajem pro sestavování HDP podle výdajové metody a rovněž běžného účtu platební bilance.</w:t>
      </w:r>
    </w:p>
    <w:p w14:paraId="1DAD3F64" w14:textId="77777777"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Tabulka o počtech jednotek v registru ekonomických subjektů je sestavena na základě údajů z registru ekonomických subjektů podle stavu registrace k příslušnému datu.</w:t>
      </w:r>
    </w:p>
    <w:p w14:paraId="4A1EC812"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 postavení podnikatele.</w:t>
      </w:r>
    </w:p>
    <w:p w14:paraId="19EE37FA"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lastRenderedPageBreak/>
        <w:t>Ekonomické subjekty se zjištěnou aktivitou jsou subjekty, které podle informací z administrativních zdrojů nebo ze statistických zjišťování vykazují ekonomickou aktivitu.</w:t>
      </w:r>
    </w:p>
    <w:p w14:paraId="62E638B3" w14:textId="35E23B24" w:rsidR="00832EE3" w:rsidRDefault="00832EE3" w:rsidP="0001786B">
      <w:pPr>
        <w:pStyle w:val="titulek1"/>
        <w:spacing w:before="120" w:after="0" w:line="288" w:lineRule="auto"/>
        <w:ind w:firstLine="425"/>
        <w:rPr>
          <w:b w:val="0"/>
          <w:bCs w:val="0"/>
          <w:sz w:val="20"/>
          <w:szCs w:val="20"/>
        </w:rPr>
      </w:pPr>
      <w:r w:rsidRPr="006333C5">
        <w:rPr>
          <w:b w:val="0"/>
          <w:bCs w:val="0"/>
          <w:sz w:val="20"/>
          <w:szCs w:val="20"/>
        </w:rPr>
        <w:t xml:space="preserve">Soukromí podnikatelé </w:t>
      </w:r>
      <w:r w:rsidR="00177262">
        <w:rPr>
          <w:b w:val="0"/>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Zemědělští podnikatelé – fyzické osoby</w:t>
      </w:r>
      <w:r>
        <w:rPr>
          <w:b w:val="0"/>
          <w:bCs w:val="0"/>
          <w:sz w:val="20"/>
          <w:szCs w:val="20"/>
        </w:rPr>
        <w:t xml:space="preserve"> </w:t>
      </w:r>
      <w:r w:rsidR="00177262">
        <w:rPr>
          <w:b w:val="0"/>
          <w:bCs w:val="0"/>
          <w:sz w:val="20"/>
          <w:szCs w:val="20"/>
        </w:rPr>
        <w:t>zahrnují osoby podnikající podle</w:t>
      </w:r>
      <w:r>
        <w:rPr>
          <w:b w:val="0"/>
          <w:bCs w:val="0"/>
          <w:sz w:val="20"/>
          <w:szCs w:val="20"/>
        </w:rPr>
        <w:t xml:space="preserve"> zákona č. 252/1997 Sb., o zemědělství. </w:t>
      </w:r>
    </w:p>
    <w:p w14:paraId="351A24C9" w14:textId="4303B21D"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Obchodní společnosti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 Družstvy se rozumí družstva a evropské družstevní společnosti. Do počtu státních podniků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DD627D">
      <w:pPr>
        <w:pStyle w:val="titulek1"/>
        <w:spacing w:before="360" w:after="0"/>
        <w:rPr>
          <w:sz w:val="28"/>
          <w:szCs w:val="28"/>
        </w:rPr>
      </w:pPr>
      <w:r w:rsidRPr="006333C5">
        <w:rPr>
          <w:sz w:val="28"/>
          <w:szCs w:val="28"/>
        </w:rPr>
        <w:t>Průmysl</w:t>
      </w:r>
    </w:p>
    <w:p w14:paraId="3F2FA3B9"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p>
    <w:p w14:paraId="21A8D6DC"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souladu s předpisy Eurostatu index průmyslové produkce  pokrývá sekce CZ-NACE B, C, D (kromě skupiny 35.3).</w:t>
      </w:r>
    </w:p>
    <w:p w14:paraId="654789EA"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Dříve používaná klasifikace OKEČ (národní verze NACE Rev.1.1.) byla nahrazena </w:t>
      </w:r>
      <w:r>
        <w:rPr>
          <w:sz w:val="20"/>
          <w:szCs w:val="20"/>
        </w:rPr>
        <w:t>K</w:t>
      </w:r>
      <w:r w:rsidRPr="006333C5">
        <w:rPr>
          <w:sz w:val="20"/>
          <w:szCs w:val="20"/>
        </w:rPr>
        <w:t xml:space="preserve">lasifikací ekonomických činnosti </w:t>
      </w:r>
      <w:r>
        <w:rPr>
          <w:sz w:val="20"/>
          <w:szCs w:val="20"/>
        </w:rPr>
        <w:t>(</w:t>
      </w:r>
      <w:r w:rsidRPr="006333C5">
        <w:rPr>
          <w:sz w:val="20"/>
          <w:szCs w:val="20"/>
        </w:rPr>
        <w:t>CZ-NACE</w:t>
      </w:r>
      <w:r>
        <w:rPr>
          <w:sz w:val="20"/>
          <w:szCs w:val="20"/>
        </w:rPr>
        <w:t>),</w:t>
      </w:r>
      <w:r w:rsidRPr="006333C5">
        <w:rPr>
          <w:sz w:val="20"/>
          <w:szCs w:val="20"/>
        </w:rPr>
        <w:t xml:space="preserve"> národní verz</w:t>
      </w:r>
      <w:r>
        <w:rPr>
          <w:sz w:val="20"/>
          <w:szCs w:val="20"/>
        </w:rPr>
        <w:t>í</w:t>
      </w:r>
      <w:r w:rsidRPr="006333C5">
        <w:rPr>
          <w:sz w:val="20"/>
          <w:szCs w:val="20"/>
        </w:rPr>
        <w:t xml:space="preserve"> NACE Rev.2.</w:t>
      </w:r>
    </w:p>
    <w:p w14:paraId="0482C79A" w14:textId="77777777" w:rsidR="00832EE3" w:rsidRPr="006333C5" w:rsidRDefault="00832EE3" w:rsidP="001528A4">
      <w:pPr>
        <w:pStyle w:val="Zkladntext"/>
        <w:spacing w:before="120" w:after="0" w:line="288" w:lineRule="auto"/>
        <w:jc w:val="center"/>
        <w:rPr>
          <w:b/>
          <w:bCs/>
          <w:sz w:val="20"/>
          <w:szCs w:val="20"/>
        </w:rPr>
      </w:pPr>
      <w:r w:rsidRPr="006333C5">
        <w:rPr>
          <w:sz w:val="20"/>
          <w:szCs w:val="20"/>
        </w:rPr>
        <w:t>Bližší informace viz</w:t>
      </w:r>
      <w:r w:rsidRPr="006333C5">
        <w:t xml:space="preserve"> </w:t>
      </w:r>
      <w:hyperlink r:id="rId11" w:history="1">
        <w:r w:rsidRPr="006333C5">
          <w:rPr>
            <w:rStyle w:val="Hypertextovodkaz"/>
            <w:color w:val="auto"/>
            <w:sz w:val="20"/>
            <w:szCs w:val="20"/>
            <w:u w:val="none"/>
          </w:rPr>
          <w:t>www.czso.cz/csu/czso/prumysl_metodika</w:t>
        </w:r>
      </w:hyperlink>
      <w:r w:rsidRPr="006333C5">
        <w:rPr>
          <w:sz w:val="20"/>
          <w:szCs w:val="20"/>
        </w:rPr>
        <w:t>.</w:t>
      </w:r>
    </w:p>
    <w:p w14:paraId="28302082" w14:textId="77777777" w:rsidR="00832EE3" w:rsidRPr="006333C5" w:rsidRDefault="00832EE3" w:rsidP="001528A4">
      <w:pPr>
        <w:spacing w:before="120" w:line="288" w:lineRule="auto"/>
        <w:ind w:firstLine="426"/>
        <w:jc w:val="both"/>
        <w:rPr>
          <w:rFonts w:ascii="Arial" w:hAnsi="Arial" w:cs="Arial"/>
          <w:sz w:val="20"/>
          <w:szCs w:val="20"/>
        </w:rPr>
      </w:pPr>
      <w:r w:rsidRPr="006333C5">
        <w:rPr>
          <w:rFonts w:ascii="Arial" w:hAnsi="Arial" w:cs="Arial"/>
          <w:b/>
          <w:bCs/>
          <w:sz w:val="20"/>
          <w:szCs w:val="20"/>
        </w:rPr>
        <w:t>V roce 2018</w:t>
      </w:r>
      <w:r w:rsidRPr="006333C5">
        <w:rPr>
          <w:rFonts w:ascii="Arial" w:hAnsi="Arial" w:cs="Arial"/>
          <w:sz w:val="20"/>
          <w:szCs w:val="20"/>
        </w:rPr>
        <w:t xml:space="preserve"> došlo </w:t>
      </w:r>
      <w:r w:rsidRPr="006333C5">
        <w:rPr>
          <w:rFonts w:ascii="Arial" w:hAnsi="Arial" w:cs="Arial"/>
          <w:b/>
          <w:bCs/>
          <w:sz w:val="20"/>
          <w:szCs w:val="20"/>
        </w:rPr>
        <w:t>ke změně bazického období krátkodobých statistik</w:t>
      </w:r>
      <w:r w:rsidRPr="006333C5">
        <w:rPr>
          <w:rFonts w:ascii="Arial" w:hAnsi="Arial" w:cs="Arial"/>
          <w:sz w:val="20"/>
          <w:szCs w:val="20"/>
        </w:rPr>
        <w:t>, což představuje standardní opatření prováděné v pětileté periodě a koordinované v rámci Evropského statistického systému. Změna má následující důsledky.</w:t>
      </w:r>
    </w:p>
    <w:p w14:paraId="595BF297"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období u bazických indexů bylo změněno z průměru roku 2010 na průměr roku 2015.</w:t>
      </w:r>
    </w:p>
    <w:p w14:paraId="3776831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Používají se nová váhová schémata odvozená z výsledků strukturální podnikové statistiky za rok 2015.</w:t>
      </w:r>
    </w:p>
    <w:p w14:paraId="5890DDD4"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souladu s Manuálem Eurostatu ke krátkodobým statistikám byly nové váhy využity ke zpětnému přepočtu dat do roku 2014. To má za následek revizi dat za roky 2014-2017.</w:t>
      </w:r>
    </w:p>
    <w:p w14:paraId="489AF63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w:t>
      </w:r>
      <w:r w:rsidRPr="006333C5">
        <w:rPr>
          <w:rFonts w:ascii="Arial" w:hAnsi="Arial" w:cs="Arial"/>
          <w:sz w:val="20"/>
          <w:szCs w:val="20"/>
        </w:rPr>
        <w:lastRenderedPageBreak/>
        <w:t>propojení se nemění meziroční indexy. Důsledkem změny však je, že historické řady před rokem 2014 ztratily aditivitu, tzn. nejsou agregovatelné pomocí aktuálního váhového schématu.</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77777777" w:rsidR="00832EE3" w:rsidRPr="006333C5" w:rsidRDefault="00832EE3" w:rsidP="001528A4">
      <w:pPr>
        <w:pStyle w:val="Zkladntext"/>
        <w:spacing w:before="120" w:after="0" w:line="288" w:lineRule="auto"/>
        <w:ind w:firstLine="425"/>
      </w:pPr>
      <w:r w:rsidRPr="006333C5">
        <w:rPr>
          <w:sz w:val="20"/>
          <w:szCs w:val="20"/>
        </w:rPr>
        <w:t>Index stavební produkce je vypočten ze stálých cen roku 2015.</w:t>
      </w:r>
    </w:p>
    <w:p w14:paraId="23991C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r w:rsidRPr="006333C5">
        <w:rPr>
          <w:sz w:val="20"/>
          <w:szCs w:val="20"/>
        </w:rPr>
        <w:t>Za dům je pro účely této definice považován rodinný dům, bytový dům, nástavba, vestavba nebo přístavba k oběma uvedeným domům, dům s pečovatelskou službou a domov-penzion, nebytový objekt (služební byty – zpravidla mimo bytové objekty) a</w:t>
      </w:r>
      <w:r>
        <w:rPr>
          <w:sz w:val="20"/>
          <w:szCs w:val="20"/>
        </w:rPr>
        <w:t> </w:t>
      </w:r>
      <w:r w:rsidRPr="006333C5">
        <w:rPr>
          <w:sz w:val="20"/>
          <w:szCs w:val="20"/>
        </w:rPr>
        <w:t xml:space="preserve"> jakýkoliv nebytový prostor, jehož adaptací vznikne nový byt.</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74715A">
      <w:pPr>
        <w:pStyle w:val="titulek1"/>
        <w:tabs>
          <w:tab w:val="clear" w:pos="424"/>
          <w:tab w:val="left" w:pos="426"/>
        </w:tabs>
        <w:spacing w:before="360" w:after="0"/>
        <w:ind w:left="425" w:hanging="425"/>
        <w:jc w:val="left"/>
        <w:rPr>
          <w:sz w:val="28"/>
          <w:szCs w:val="28"/>
        </w:rPr>
      </w:pPr>
      <w:r w:rsidRPr="006333C5">
        <w:rPr>
          <w:sz w:val="28"/>
          <w:szCs w:val="28"/>
        </w:rPr>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lastRenderedPageBreak/>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roce 2012 došlo k přerušení souvislé časové řady a od tohoto roku jsou publikována data v nové srovnatelné časové řadě. Nerevidované údaje za roky 2000 až 2013 jsou umístěny v archivu. 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14:paraId="0062070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Hromadné ubytovací zařízení </w:t>
      </w:r>
      <w:r>
        <w:rPr>
          <w:sz w:val="20"/>
          <w:szCs w:val="20"/>
        </w:rPr>
        <w:t>je</w:t>
      </w:r>
      <w:r w:rsidRPr="006333C5">
        <w:rPr>
          <w:sz w:val="20"/>
          <w:szCs w:val="20"/>
        </w:rPr>
        <w:t xml:space="preserve"> zařízení s minimálně pěti pokoji </w:t>
      </w:r>
      <w:r w:rsidR="009827C1">
        <w:rPr>
          <w:sz w:val="20"/>
          <w:szCs w:val="20"/>
        </w:rPr>
        <w:t xml:space="preserve">a zároveň minimálně s </w:t>
      </w:r>
      <w:r w:rsidRPr="006333C5">
        <w:rPr>
          <w:sz w:val="20"/>
          <w:szCs w:val="20"/>
        </w:rPr>
        <w:t>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 xml:space="preserve">ia, pobytu dětí ve škole v přírodě, v letních a zimních táborech apod. V rekreačních zařízeních a školicích střediscích podniku (odborových svazů) se hostem rozumí každá osoba, která použila zařízení k přechodnému ubytování z výše </w:t>
      </w:r>
      <w:r w:rsidRPr="006333C5">
        <w:rPr>
          <w:sz w:val="20"/>
          <w:szCs w:val="20"/>
        </w:rPr>
        <w:lastRenderedPageBreak/>
        <w:t>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7777777" w:rsidR="00832EE3" w:rsidRPr="006333C5" w:rsidRDefault="00832EE3" w:rsidP="00861F7A">
      <w:pPr>
        <w:pStyle w:val="Zkladntext"/>
        <w:spacing w:before="240" w:after="0" w:line="288" w:lineRule="auto"/>
        <w:rPr>
          <w:sz w:val="20"/>
          <w:szCs w:val="20"/>
        </w:rPr>
      </w:pPr>
      <w:r w:rsidRPr="006333C5">
        <w:rPr>
          <w:sz w:val="20"/>
          <w:szCs w:val="20"/>
        </w:rPr>
        <w:t>Sekce M –  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77777777" w:rsidR="00832EE3" w:rsidRPr="006333C5" w:rsidRDefault="00832EE3" w:rsidP="00861F7A">
      <w:pPr>
        <w:pStyle w:val="Zkladntext"/>
        <w:spacing w:before="240" w:after="0" w:line="288" w:lineRule="auto"/>
        <w:rPr>
          <w:sz w:val="20"/>
          <w:szCs w:val="20"/>
        </w:rPr>
      </w:pPr>
      <w:r w:rsidRPr="006333C5">
        <w:rPr>
          <w:sz w:val="20"/>
          <w:szCs w:val="20"/>
        </w:rPr>
        <w:t>Sekce N –  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 sekce N neobsahuje skupinu 813 – Činnosti spojené s úpravou krajiny.</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lastRenderedPageBreak/>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lastRenderedPageBreak/>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6AAC" w14:textId="77777777" w:rsidR="006623FE" w:rsidRDefault="006623FE">
      <w:r>
        <w:separator/>
      </w:r>
    </w:p>
  </w:endnote>
  <w:endnote w:type="continuationSeparator" w:id="0">
    <w:p w14:paraId="244B0BFA" w14:textId="77777777" w:rsidR="006623FE" w:rsidRDefault="0066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quarter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13C5367E"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9D4B85">
      <w:rPr>
        <w:rFonts w:ascii="Arial" w:hAnsi="Arial" w:cs="Arial"/>
        <w:noProof/>
        <w:sz w:val="16"/>
        <w:szCs w:val="16"/>
      </w:rPr>
      <w:t>1</w:t>
    </w:r>
    <w:r>
      <w:rPr>
        <w:rFonts w:ascii="Arial" w:hAnsi="Arial" w:cs="Arial"/>
        <w:noProof/>
        <w:sz w:val="16"/>
        <w:szCs w:val="16"/>
      </w:rPr>
      <w:t>. čtvrtletí 20</w:t>
    </w:r>
    <w:r w:rsidR="009827C1">
      <w:rPr>
        <w:rFonts w:ascii="Arial" w:hAnsi="Arial" w:cs="Arial"/>
        <w:noProof/>
        <w:sz w:val="16"/>
        <w:szCs w:val="16"/>
      </w:rPr>
      <w:t>2</w:t>
    </w:r>
    <w:r w:rsidR="009D4B85">
      <w:rPr>
        <w:rFonts w:ascii="Arial" w:hAnsi="Arial" w:cs="Arial"/>
        <w:noProof/>
        <w:sz w:val="16"/>
        <w:szCs w:val="16"/>
      </w:rPr>
      <w:t>1</w:t>
    </w:r>
    <w:r>
      <w:rPr>
        <w:rFonts w:ascii="Arial" w:hAnsi="Arial" w:cs="Arial"/>
        <w:noProof/>
        <w:sz w:val="16"/>
        <w:szCs w:val="16"/>
      </w:rPr>
      <w:t xml:space="preserve"> / </w:t>
    </w:r>
    <w:r w:rsidR="009D4B85">
      <w:rPr>
        <w:rFonts w:ascii="Arial" w:hAnsi="Arial" w:cs="Arial"/>
        <w:i/>
        <w:noProof/>
        <w:sz w:val="16"/>
        <w:szCs w:val="16"/>
      </w:rPr>
      <w:t>1st</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9D4B85">
      <w:rPr>
        <w:rFonts w:ascii="Arial" w:hAnsi="Arial" w:cs="Arial"/>
        <w:i/>
        <w:iCs/>
        <w:noProof/>
        <w:sz w:val="16"/>
        <w:szCs w:val="16"/>
      </w:rPr>
      <w:t>1</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706CD6">
      <w:rPr>
        <w:rFonts w:ascii="Arial" w:hAnsi="Arial" w:cs="Arial"/>
        <w:noProof/>
        <w:sz w:val="16"/>
        <w:szCs w:val="16"/>
        <w:lang w:val="en-US"/>
      </w:rPr>
      <w:t>13</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958C" w14:textId="77777777" w:rsidR="006623FE" w:rsidRDefault="006623FE">
      <w:r>
        <w:separator/>
      </w:r>
    </w:p>
  </w:footnote>
  <w:footnote w:type="continuationSeparator" w:id="0">
    <w:p w14:paraId="43BF03E8" w14:textId="77777777" w:rsidR="006623FE" w:rsidRDefault="0066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r w:rsidRPr="00A344CB">
      <w:rPr>
        <w:rFonts w:ascii="Arial" w:hAnsi="Arial" w:cs="Arial"/>
        <w:i/>
        <w:iCs/>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r w:rsidRPr="00A344CB">
      <w:rPr>
        <w:rFonts w:ascii="Arial" w:hAnsi="Arial" w:cs="Arial"/>
        <w:i/>
        <w:iCs/>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635"/>
    <w:rsid w:val="00103B36"/>
    <w:rsid w:val="00104810"/>
    <w:rsid w:val="00105EC2"/>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90621"/>
    <w:rsid w:val="0019532F"/>
    <w:rsid w:val="00195E64"/>
    <w:rsid w:val="001A0450"/>
    <w:rsid w:val="001A16EA"/>
    <w:rsid w:val="001A3CC1"/>
    <w:rsid w:val="001A7C42"/>
    <w:rsid w:val="001B0547"/>
    <w:rsid w:val="001B0A70"/>
    <w:rsid w:val="001B3C62"/>
    <w:rsid w:val="001B658A"/>
    <w:rsid w:val="001C7280"/>
    <w:rsid w:val="001C7432"/>
    <w:rsid w:val="001C7FD7"/>
    <w:rsid w:val="001D1D95"/>
    <w:rsid w:val="001D289F"/>
    <w:rsid w:val="001D2F84"/>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1BAD"/>
    <w:rsid w:val="002C622E"/>
    <w:rsid w:val="002D271E"/>
    <w:rsid w:val="002D3630"/>
    <w:rsid w:val="002E465A"/>
    <w:rsid w:val="002E4A32"/>
    <w:rsid w:val="002E5814"/>
    <w:rsid w:val="002E7325"/>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3B6A"/>
    <w:rsid w:val="003D4692"/>
    <w:rsid w:val="003D47C9"/>
    <w:rsid w:val="003D6224"/>
    <w:rsid w:val="003D6F39"/>
    <w:rsid w:val="003D7FF2"/>
    <w:rsid w:val="003E1ACE"/>
    <w:rsid w:val="003E2937"/>
    <w:rsid w:val="003E3851"/>
    <w:rsid w:val="003E49F4"/>
    <w:rsid w:val="003E55E3"/>
    <w:rsid w:val="003F6983"/>
    <w:rsid w:val="00401641"/>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5C20"/>
    <w:rsid w:val="005475E8"/>
    <w:rsid w:val="00547702"/>
    <w:rsid w:val="005513C3"/>
    <w:rsid w:val="00552831"/>
    <w:rsid w:val="00553E2C"/>
    <w:rsid w:val="00554C3E"/>
    <w:rsid w:val="005563DF"/>
    <w:rsid w:val="0055644F"/>
    <w:rsid w:val="00556EAA"/>
    <w:rsid w:val="005576FE"/>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68A"/>
    <w:rsid w:val="007E485E"/>
    <w:rsid w:val="007F2D30"/>
    <w:rsid w:val="007F3146"/>
    <w:rsid w:val="00804970"/>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78FC"/>
    <w:rsid w:val="0086076C"/>
    <w:rsid w:val="00861F7A"/>
    <w:rsid w:val="008716A4"/>
    <w:rsid w:val="00871DFF"/>
    <w:rsid w:val="00875CB8"/>
    <w:rsid w:val="00877E67"/>
    <w:rsid w:val="008811B1"/>
    <w:rsid w:val="00883BDD"/>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2E0"/>
    <w:rsid w:val="008F1972"/>
    <w:rsid w:val="008F324C"/>
    <w:rsid w:val="00902B1A"/>
    <w:rsid w:val="00904AA2"/>
    <w:rsid w:val="0090593A"/>
    <w:rsid w:val="009076CB"/>
    <w:rsid w:val="00910673"/>
    <w:rsid w:val="00923F72"/>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6D8A"/>
    <w:rsid w:val="00A0750B"/>
    <w:rsid w:val="00A07F6A"/>
    <w:rsid w:val="00A12149"/>
    <w:rsid w:val="00A12CD9"/>
    <w:rsid w:val="00A12D60"/>
    <w:rsid w:val="00A12E81"/>
    <w:rsid w:val="00A1350D"/>
    <w:rsid w:val="00A14782"/>
    <w:rsid w:val="00A14AB0"/>
    <w:rsid w:val="00A14F6C"/>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A6"/>
    <w:rsid w:val="00B01AD8"/>
    <w:rsid w:val="00B04D54"/>
    <w:rsid w:val="00B102FD"/>
    <w:rsid w:val="00B20271"/>
    <w:rsid w:val="00B22813"/>
    <w:rsid w:val="00B233BB"/>
    <w:rsid w:val="00B26C69"/>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7946"/>
    <w:rsid w:val="00B622A9"/>
    <w:rsid w:val="00B64551"/>
    <w:rsid w:val="00B66502"/>
    <w:rsid w:val="00B71073"/>
    <w:rsid w:val="00B81E99"/>
    <w:rsid w:val="00B8486B"/>
    <w:rsid w:val="00B85791"/>
    <w:rsid w:val="00B87C17"/>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439"/>
    <w:rsid w:val="00CB40C1"/>
    <w:rsid w:val="00CB4411"/>
    <w:rsid w:val="00CB49B3"/>
    <w:rsid w:val="00CC7441"/>
    <w:rsid w:val="00CD1194"/>
    <w:rsid w:val="00CD1862"/>
    <w:rsid w:val="00CD69B5"/>
    <w:rsid w:val="00CD7ABC"/>
    <w:rsid w:val="00CE11B2"/>
    <w:rsid w:val="00CE1808"/>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5CEB"/>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292E"/>
    <w:rsid w:val="00FB3FBE"/>
    <w:rsid w:val="00FB7BFC"/>
    <w:rsid w:val="00FC1F5B"/>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3066-B8F9-4B97-91F0-6D3BC5BD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5528</Words>
  <Characters>32617</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32</cp:revision>
  <cp:lastPrinted>2018-06-19T11:28:00Z</cp:lastPrinted>
  <dcterms:created xsi:type="dcterms:W3CDTF">2020-09-21T14:19:00Z</dcterms:created>
  <dcterms:modified xsi:type="dcterms:W3CDTF">2021-06-25T13:29:00Z</dcterms:modified>
</cp:coreProperties>
</file>