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6C59" w14:textId="77777777" w:rsidR="00BB50C0" w:rsidRDefault="00BB50C0" w:rsidP="00BB50C0">
      <w:pPr>
        <w:pStyle w:val="Nadpis11"/>
      </w:pPr>
      <w:bookmarkStart w:id="0" w:name="_GoBack"/>
      <w:bookmarkEnd w:id="0"/>
      <w:r w:rsidRPr="00787441">
        <w:rPr>
          <w:szCs w:val="32"/>
        </w:rPr>
        <w:t>8</w:t>
      </w:r>
      <w:r>
        <w:t>. St</w:t>
      </w:r>
      <w:r w:rsidRPr="009110F7">
        <w:t>átní rozpočet</w:t>
      </w:r>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BB50C0" w:rsidRPr="003C07E6" w14:paraId="52AAA9E6" w14:textId="77777777" w:rsidTr="00F57D57">
        <w:trPr>
          <w:trHeight w:val="145"/>
        </w:trPr>
        <w:tc>
          <w:tcPr>
            <w:tcW w:w="1732" w:type="dxa"/>
            <w:shd w:val="clear" w:color="auto" w:fill="auto"/>
            <w:tcMar>
              <w:left w:w="0" w:type="dxa"/>
            </w:tcMar>
          </w:tcPr>
          <w:p w14:paraId="1A6A729E" w14:textId="77777777" w:rsidR="00BB50C0" w:rsidRDefault="00BB50C0" w:rsidP="00F57D57">
            <w:pPr>
              <w:pStyle w:val="Marginlie"/>
            </w:pPr>
            <w:r>
              <w:t>K rekordnímu pololetnímu schodku státního rozpočtu přispěl podobným dílem vývoj v 1. i 2. čtvrtletí 2021.</w:t>
            </w:r>
          </w:p>
        </w:tc>
        <w:tc>
          <w:tcPr>
            <w:tcW w:w="217" w:type="dxa"/>
            <w:shd w:val="clear" w:color="auto" w:fill="auto"/>
            <w:tcMar>
              <w:left w:w="0" w:type="dxa"/>
            </w:tcMar>
          </w:tcPr>
          <w:p w14:paraId="00BBDA8A" w14:textId="77777777" w:rsidR="00BB50C0" w:rsidRDefault="00BB50C0" w:rsidP="00F57D57">
            <w:pPr>
              <w:pStyle w:val="Textpoznpodarou"/>
              <w:jc w:val="both"/>
              <w:rPr>
                <w:spacing w:val="-4"/>
              </w:rPr>
            </w:pPr>
          </w:p>
        </w:tc>
        <w:tc>
          <w:tcPr>
            <w:tcW w:w="7720" w:type="dxa"/>
            <w:shd w:val="clear" w:color="auto" w:fill="auto"/>
            <w:tcMar>
              <w:left w:w="0" w:type="dxa"/>
            </w:tcMar>
          </w:tcPr>
          <w:p w14:paraId="41BB8A05" w14:textId="77777777" w:rsidR="00BB50C0" w:rsidRPr="009B277E" w:rsidRDefault="00BB50C0" w:rsidP="00F57D57">
            <w:pPr>
              <w:spacing w:after="200"/>
              <w:rPr>
                <w:spacing w:val="-2"/>
              </w:rPr>
            </w:pPr>
            <w:r w:rsidRPr="009B277E">
              <w:rPr>
                <w:spacing w:val="-2"/>
              </w:rPr>
              <w:t>V 1. pololetí 2021 hospodařil státní rozpočet (SR)</w:t>
            </w:r>
            <w:r w:rsidRPr="009B277E">
              <w:rPr>
                <w:rStyle w:val="Znakapoznpodarou"/>
                <w:spacing w:val="-2"/>
              </w:rPr>
              <w:footnoteReference w:id="1"/>
            </w:r>
            <w:r w:rsidRPr="009B277E">
              <w:rPr>
                <w:spacing w:val="-2"/>
              </w:rPr>
              <w:t xml:space="preserve"> s hlubokým </w:t>
            </w:r>
            <w:r w:rsidRPr="009B277E">
              <w:rPr>
                <w:color w:val="0D0D0D" w:themeColor="text1" w:themeTint="F2"/>
                <w:spacing w:val="-2"/>
              </w:rPr>
              <w:t xml:space="preserve">schodkem ve výši </w:t>
            </w:r>
            <w:r w:rsidRPr="009B277E">
              <w:rPr>
                <w:spacing w:val="-2"/>
              </w:rPr>
              <w:t>265,1 mld. korun. Ten byl oproti dosud rekordnímu deficitu z první poloviny loňského roku takřka o 70 mld. hlubší. K dosavadnímu letošnímu schodku přispěl rovnoměrně vývoj v obou čtvrtletích. Během června se ale i díky výraznějšímu rozvolnění protipandemických opatření schodek prohloubil „jen“ o 10 mld. korun. V úhrnu za celé pololetí bylo ale hospodaření SR stále zásadně ovlivňováno nižší ekonomickou aktivitou. Ta spolu s úlevami podnikatelským subjektům, snížením daňového zatížení práce i majetku a změnou rozpočtového určení daní ve prospěch územních rozpočtů</w:t>
            </w:r>
            <w:r w:rsidRPr="009B277E">
              <w:rPr>
                <w:rStyle w:val="Znakapoznpodarou"/>
                <w:spacing w:val="-2"/>
              </w:rPr>
              <w:footnoteReference w:id="2"/>
            </w:r>
            <w:r w:rsidRPr="009B277E">
              <w:rPr>
                <w:spacing w:val="-2"/>
              </w:rPr>
              <w:t xml:space="preserve"> tlumila růst daňových příjmů. Vedle toho přetrvávala také potřeba posílení výdajových transferů na podporu zasažených odvětví a samotných pracovníků, ale i na kompenzaci zvýšených nároků hlavně v oblasti zdravotní péče.</w:t>
            </w:r>
          </w:p>
        </w:tc>
      </w:tr>
      <w:tr w:rsidR="00BB50C0" w:rsidRPr="003C07E6" w14:paraId="2DEF875F" w14:textId="77777777" w:rsidTr="00F57D57">
        <w:trPr>
          <w:trHeight w:val="145"/>
        </w:trPr>
        <w:tc>
          <w:tcPr>
            <w:tcW w:w="1732" w:type="dxa"/>
            <w:shd w:val="clear" w:color="auto" w:fill="auto"/>
            <w:tcMar>
              <w:left w:w="0" w:type="dxa"/>
            </w:tcMar>
          </w:tcPr>
          <w:p w14:paraId="7844B7D0" w14:textId="77777777" w:rsidR="00BB50C0" w:rsidRDefault="00BB50C0" w:rsidP="00F57D57">
            <w:pPr>
              <w:pStyle w:val="Marginlie"/>
            </w:pPr>
            <w:r>
              <w:t>Celostátní daňové inkaso v 1. pololetí mírně rostlo hlavně díky slabší loňské základně. Oproti roku 2019 bylo vyšší až letos v červnu.</w:t>
            </w:r>
          </w:p>
        </w:tc>
        <w:tc>
          <w:tcPr>
            <w:tcW w:w="217" w:type="dxa"/>
            <w:shd w:val="clear" w:color="auto" w:fill="auto"/>
            <w:tcMar>
              <w:left w:w="0" w:type="dxa"/>
            </w:tcMar>
          </w:tcPr>
          <w:p w14:paraId="7F4CAFE7" w14:textId="77777777" w:rsidR="00BB50C0" w:rsidRDefault="00BB50C0" w:rsidP="00F57D57">
            <w:pPr>
              <w:pStyle w:val="Textpoznpodarou"/>
              <w:jc w:val="both"/>
              <w:rPr>
                <w:spacing w:val="-4"/>
              </w:rPr>
            </w:pPr>
          </w:p>
        </w:tc>
        <w:tc>
          <w:tcPr>
            <w:tcW w:w="7720" w:type="dxa"/>
            <w:shd w:val="clear" w:color="auto" w:fill="auto"/>
            <w:tcMar>
              <w:left w:w="0" w:type="dxa"/>
            </w:tcMar>
          </w:tcPr>
          <w:p w14:paraId="3C052F2C" w14:textId="77777777" w:rsidR="00BB50C0" w:rsidRPr="009B277E" w:rsidRDefault="00BB50C0" w:rsidP="00F57D57">
            <w:pPr>
              <w:spacing w:after="200"/>
              <w:rPr>
                <w:spacing w:val="-2"/>
              </w:rPr>
            </w:pPr>
            <w:r w:rsidRPr="009B277E">
              <w:rPr>
                <w:spacing w:val="-2"/>
              </w:rPr>
              <w:t>Celkové příjmy SR se v 1. pololetí 2021 meziročně mírně zvýšily o 1,9 % (resp. 13 mld. korun). Bylo tomu tak ale i vlivem nižší loňské základny, neboť předkoronavirové úrovně příjmy letos dosud nedosáhly</w:t>
            </w:r>
            <w:r w:rsidRPr="009B277E">
              <w:rPr>
                <w:rStyle w:val="Znakapoznpodarou"/>
                <w:spacing w:val="-2"/>
              </w:rPr>
              <w:footnoteReference w:id="3"/>
            </w:r>
            <w:r w:rsidRPr="009B277E">
              <w:rPr>
                <w:spacing w:val="-2"/>
              </w:rPr>
              <w:t>. Na meziroční růst působil především vyšší výběr pojistného na sociální zabezpečení (díky dobré kondici pracovního trhu i výplatě mimořádných odměn zejména zdravotnickým pracovníkům) a silnější inkaso korporátní daně. Souhrnný celostátní výběr daní (bez pojistného) na úrovni všech veřejných rozpočtů se letos nacházel o 4,4 % nad úrovní prvního loňského pololetí, až v červnu ale mírně převýšil i odpovídající předkoronavirovou úroveň (z června 2019). Nedaňové a kapitálové příjmy a transfery SR v letošním pololetí poprvé od roku 2017 klesly (o 7,8 %), a to jak vinou mírně nižších příjmů z rozpočtu EU, tak zejména proto, že plánovaný převod prostředků privatizačního účtu do SR (10 mld. korun) se letos, na rozdíl od loňského roku, dosud neuskutečnil</w:t>
            </w:r>
            <w:r w:rsidRPr="009B277E">
              <w:rPr>
                <w:rStyle w:val="Znakapoznpodarou"/>
                <w:spacing w:val="-2"/>
              </w:rPr>
              <w:footnoteReference w:id="4"/>
            </w:r>
            <w:r w:rsidRPr="009B277E">
              <w:rPr>
                <w:spacing w:val="-2"/>
              </w:rPr>
              <w:t>.</w:t>
            </w:r>
          </w:p>
        </w:tc>
      </w:tr>
      <w:tr w:rsidR="00BB50C0" w:rsidRPr="003C07E6" w14:paraId="2C8D3E82" w14:textId="77777777" w:rsidTr="00F57D57">
        <w:trPr>
          <w:trHeight w:val="145"/>
        </w:trPr>
        <w:tc>
          <w:tcPr>
            <w:tcW w:w="1732" w:type="dxa"/>
            <w:shd w:val="clear" w:color="auto" w:fill="auto"/>
            <w:tcMar>
              <w:left w:w="0" w:type="dxa"/>
            </w:tcMar>
          </w:tcPr>
          <w:p w14:paraId="59291FED" w14:textId="77777777" w:rsidR="00BB50C0" w:rsidRDefault="00BB50C0" w:rsidP="00F57D57">
            <w:pPr>
              <w:pStyle w:val="Marginlie"/>
            </w:pPr>
            <w:r>
              <w:t>K vyššímu výběru DPH výrazně pomohlo oživení spotřeby letos v</w:t>
            </w:r>
            <w:r>
              <w:rPr>
                <w:spacing w:val="-4"/>
              </w:rPr>
              <w:t> </w:t>
            </w:r>
            <w:r>
              <w:t>červnu.</w:t>
            </w:r>
          </w:p>
        </w:tc>
        <w:tc>
          <w:tcPr>
            <w:tcW w:w="217" w:type="dxa"/>
            <w:shd w:val="clear" w:color="auto" w:fill="auto"/>
            <w:tcMar>
              <w:left w:w="0" w:type="dxa"/>
            </w:tcMar>
          </w:tcPr>
          <w:p w14:paraId="19BAADD4" w14:textId="77777777" w:rsidR="00BB50C0" w:rsidRDefault="00BB50C0" w:rsidP="00F57D57">
            <w:pPr>
              <w:pStyle w:val="Textpoznpodarou"/>
              <w:jc w:val="both"/>
              <w:rPr>
                <w:spacing w:val="-4"/>
              </w:rPr>
            </w:pPr>
          </w:p>
        </w:tc>
        <w:tc>
          <w:tcPr>
            <w:tcW w:w="7720" w:type="dxa"/>
            <w:shd w:val="clear" w:color="auto" w:fill="auto"/>
            <w:tcMar>
              <w:left w:w="0" w:type="dxa"/>
            </w:tcMar>
          </w:tcPr>
          <w:p w14:paraId="29AB529E" w14:textId="77777777" w:rsidR="00BB50C0" w:rsidRDefault="00BB50C0" w:rsidP="00F57D57">
            <w:pPr>
              <w:spacing w:after="200"/>
              <w:rPr>
                <w:spacing w:val="-4"/>
              </w:rPr>
            </w:pPr>
            <w:r>
              <w:rPr>
                <w:spacing w:val="-4"/>
              </w:rPr>
              <w:t xml:space="preserve">Z váhově dominantní daně – DPH – plynulo do SR v 1. pololetí meziročně o 3,9 % (resp. o 5 mld. korun) více. Na úrovni všech veřejných rozpočtů posílilo inkaso dokonce o 9,1 %. Meziroční srovnání je však ovlivněno slabší loňskou základnou v důsledku citelného omezení provozoven obchodu a dalších služeb. Ve srovnání s předpandemickým obdobím (1. pololetí 2019) bylo celostátní inkaso o 2,5 % vyšší, především zásluhou výraznějšího oživení soukromé spotřeby letos v červnu. Dílčí dopad na </w:t>
            </w:r>
            <w:r>
              <w:rPr>
                <w:spacing w:val="-5"/>
              </w:rPr>
              <w:t>výběr DPH mělo i snížení</w:t>
            </w:r>
            <w:r w:rsidRPr="00F033DA">
              <w:rPr>
                <w:spacing w:val="-5"/>
              </w:rPr>
              <w:t xml:space="preserve"> saz</w:t>
            </w:r>
            <w:r>
              <w:rPr>
                <w:spacing w:val="-5"/>
              </w:rPr>
              <w:t xml:space="preserve">eb daně u některých služeb (zejména </w:t>
            </w:r>
            <w:r w:rsidRPr="00F033DA">
              <w:rPr>
                <w:spacing w:val="-5"/>
              </w:rPr>
              <w:t>ve stravování)</w:t>
            </w:r>
            <w:r>
              <w:rPr>
                <w:rStyle w:val="Znakapoznpodarou"/>
                <w:spacing w:val="-5"/>
              </w:rPr>
              <w:footnoteReference w:id="5"/>
            </w:r>
            <w:r w:rsidRPr="00F033DA">
              <w:rPr>
                <w:spacing w:val="-5"/>
              </w:rPr>
              <w:t>.</w:t>
            </w:r>
          </w:p>
        </w:tc>
      </w:tr>
      <w:tr w:rsidR="00BB50C0" w:rsidRPr="003C07E6" w14:paraId="6070DA3F" w14:textId="77777777" w:rsidTr="00F57D57">
        <w:trPr>
          <w:trHeight w:val="145"/>
        </w:trPr>
        <w:tc>
          <w:tcPr>
            <w:tcW w:w="1732" w:type="dxa"/>
            <w:shd w:val="clear" w:color="auto" w:fill="auto"/>
            <w:tcMar>
              <w:left w:w="0" w:type="dxa"/>
            </w:tcMar>
          </w:tcPr>
          <w:p w14:paraId="41A3C32A" w14:textId="77777777" w:rsidR="00BB50C0" w:rsidRDefault="00BB50C0" w:rsidP="00F57D57">
            <w:pPr>
              <w:pStyle w:val="Marginlie"/>
            </w:pPr>
            <w:r>
              <w:t>Inkaso spotřebních daní propadlo meziročně o</w:t>
            </w:r>
            <w:r>
              <w:rPr>
                <w:spacing w:val="-4"/>
              </w:rPr>
              <w:t> </w:t>
            </w:r>
            <w:r>
              <w:t>více než desetinu a za rozpočtovým očekáváním notně zaostávalo.</w:t>
            </w:r>
          </w:p>
        </w:tc>
        <w:tc>
          <w:tcPr>
            <w:tcW w:w="217" w:type="dxa"/>
            <w:shd w:val="clear" w:color="auto" w:fill="auto"/>
            <w:tcMar>
              <w:left w:w="0" w:type="dxa"/>
            </w:tcMar>
          </w:tcPr>
          <w:p w14:paraId="4282F61A" w14:textId="77777777" w:rsidR="00BB50C0" w:rsidRDefault="00BB50C0" w:rsidP="00F57D57">
            <w:pPr>
              <w:pStyle w:val="Textpoznpodarou"/>
              <w:jc w:val="both"/>
              <w:rPr>
                <w:spacing w:val="-4"/>
              </w:rPr>
            </w:pPr>
          </w:p>
        </w:tc>
        <w:tc>
          <w:tcPr>
            <w:tcW w:w="7720" w:type="dxa"/>
            <w:shd w:val="clear" w:color="auto" w:fill="auto"/>
            <w:tcMar>
              <w:left w:w="0" w:type="dxa"/>
            </w:tcMar>
          </w:tcPr>
          <w:p w14:paraId="3528271A" w14:textId="77777777" w:rsidR="00BB50C0" w:rsidRPr="00B25FF5" w:rsidRDefault="00BB50C0" w:rsidP="00F57D57">
            <w:pPr>
              <w:spacing w:after="200"/>
              <w:rPr>
                <w:spacing w:val="-5"/>
              </w:rPr>
            </w:pPr>
            <w:r w:rsidRPr="00460F0F">
              <w:rPr>
                <w:color w:val="0D0D0D" w:themeColor="text1" w:themeTint="F2"/>
                <w:spacing w:val="-5"/>
              </w:rPr>
              <w:t>Celkové příjmy SR ze spotřebních daní</w:t>
            </w:r>
            <w:r>
              <w:rPr>
                <w:spacing w:val="-4"/>
              </w:rPr>
              <w:t xml:space="preserve"> v 1. pololetí propadly o více než desetinu (za dva roky dokonce o šestinu). Jejich výběr tak na rozdíl od DPH dosud letos za rozpočtovým očekáváním citelně zaostával. Projevilo se výrazné snížení inkasa u daně z minerálních olejů (meziročně o pětinu), v důsledku slabších přepravních výkonů zejména v osobní dopravě umocněné nově zavedeným snížením sazby daně u motorové nafty</w:t>
            </w:r>
            <w:r>
              <w:rPr>
                <w:rStyle w:val="Znakapoznpodarou"/>
                <w:spacing w:val="-4"/>
              </w:rPr>
              <w:footnoteReference w:id="6"/>
            </w:r>
            <w:r>
              <w:rPr>
                <w:spacing w:val="-4"/>
              </w:rPr>
              <w:t xml:space="preserve">. Skoro </w:t>
            </w:r>
            <w:r w:rsidRPr="00460F0F">
              <w:rPr>
                <w:color w:val="0D0D0D" w:themeColor="text1" w:themeTint="F2"/>
                <w:spacing w:val="-5"/>
              </w:rPr>
              <w:t xml:space="preserve">polovina meziročního poklesu </w:t>
            </w:r>
            <w:r>
              <w:rPr>
                <w:color w:val="0D0D0D" w:themeColor="text1" w:themeTint="F2"/>
                <w:spacing w:val="-5"/>
              </w:rPr>
              <w:t xml:space="preserve">výběru všech spotřebních daní </w:t>
            </w:r>
            <w:r w:rsidRPr="00460F0F">
              <w:rPr>
                <w:color w:val="0D0D0D" w:themeColor="text1" w:themeTint="F2"/>
                <w:spacing w:val="-5"/>
              </w:rPr>
              <w:t xml:space="preserve">šla </w:t>
            </w:r>
            <w:r>
              <w:rPr>
                <w:color w:val="0D0D0D" w:themeColor="text1" w:themeTint="F2"/>
                <w:spacing w:val="-5"/>
              </w:rPr>
              <w:t xml:space="preserve">letos </w:t>
            </w:r>
            <w:r w:rsidRPr="00460F0F">
              <w:rPr>
                <w:color w:val="0D0D0D" w:themeColor="text1" w:themeTint="F2"/>
                <w:spacing w:val="-5"/>
              </w:rPr>
              <w:t xml:space="preserve">na vrub slabšího </w:t>
            </w:r>
            <w:r>
              <w:rPr>
                <w:color w:val="0D0D0D" w:themeColor="text1" w:themeTint="F2"/>
                <w:spacing w:val="-5"/>
              </w:rPr>
              <w:t>inkasa u tabákových výrobků (</w:t>
            </w:r>
            <w:r w:rsidRPr="00460F0F">
              <w:rPr>
                <w:spacing w:val="-5"/>
              </w:rPr>
              <w:t>–</w:t>
            </w:r>
            <w:r>
              <w:rPr>
                <w:color w:val="0D0D0D" w:themeColor="text1" w:themeTint="F2"/>
                <w:spacing w:val="-5"/>
              </w:rPr>
              <w:t>14 %). V samotném 2. čtvrtletí však výběr kopíroval loňskou úroveň, neboť se již začal výrazněji projevovat dopad růstu daňové sazby a patrně</w:t>
            </w:r>
            <w:r>
              <w:rPr>
                <w:spacing w:val="-4"/>
              </w:rPr>
              <w:t xml:space="preserve"> </w:t>
            </w:r>
            <w:r>
              <w:rPr>
                <w:color w:val="0D0D0D" w:themeColor="text1" w:themeTint="F2"/>
                <w:spacing w:val="-5"/>
              </w:rPr>
              <w:t>i</w:t>
            </w:r>
            <w:r>
              <w:rPr>
                <w:spacing w:val="-4"/>
              </w:rPr>
              <w:t> </w:t>
            </w:r>
            <w:r>
              <w:rPr>
                <w:color w:val="0D0D0D" w:themeColor="text1" w:themeTint="F2"/>
                <w:spacing w:val="-5"/>
              </w:rPr>
              <w:t>oživení přeshraničních nákupů. Výběr váhově méně významné daně u piva klesal v obou letošních čtvrtletích, naopak u daně z lihu došlo během 2. čtvrtletí k pozitivnímu obratu. Příznivý efekt znovuotevření restauračních zařízení, jakož i pozvolného oživení cestovního ruchu by se ale měl ve výběru spotřebních daní naplno projevit až během letního období.</w:t>
            </w:r>
          </w:p>
        </w:tc>
      </w:tr>
      <w:tr w:rsidR="00BB50C0" w:rsidRPr="003C07E6" w14:paraId="05F2EA7C" w14:textId="77777777" w:rsidTr="00F57D57">
        <w:trPr>
          <w:trHeight w:val="145"/>
        </w:trPr>
        <w:tc>
          <w:tcPr>
            <w:tcW w:w="1732" w:type="dxa"/>
            <w:shd w:val="clear" w:color="auto" w:fill="auto"/>
            <w:tcMar>
              <w:left w:w="0" w:type="dxa"/>
            </w:tcMar>
          </w:tcPr>
          <w:p w14:paraId="64719FDD" w14:textId="77777777" w:rsidR="00BB50C0" w:rsidRDefault="00BB50C0" w:rsidP="00F57D57">
            <w:pPr>
              <w:pStyle w:val="Marginlie"/>
            </w:pPr>
            <w:r>
              <w:lastRenderedPageBreak/>
              <w:t xml:space="preserve">Inkaso korporátní daně předpandemickou úroveň již převýšilo. </w:t>
            </w:r>
          </w:p>
        </w:tc>
        <w:tc>
          <w:tcPr>
            <w:tcW w:w="217" w:type="dxa"/>
            <w:shd w:val="clear" w:color="auto" w:fill="auto"/>
            <w:tcMar>
              <w:left w:w="0" w:type="dxa"/>
            </w:tcMar>
          </w:tcPr>
          <w:p w14:paraId="760EE096" w14:textId="77777777" w:rsidR="00BB50C0" w:rsidRDefault="00BB50C0" w:rsidP="00F57D57">
            <w:pPr>
              <w:pStyle w:val="Textpoznpodarou"/>
              <w:jc w:val="both"/>
              <w:rPr>
                <w:spacing w:val="-4"/>
              </w:rPr>
            </w:pPr>
          </w:p>
        </w:tc>
        <w:tc>
          <w:tcPr>
            <w:tcW w:w="7720" w:type="dxa"/>
            <w:shd w:val="clear" w:color="auto" w:fill="auto"/>
            <w:tcMar>
              <w:left w:w="0" w:type="dxa"/>
            </w:tcMar>
          </w:tcPr>
          <w:p w14:paraId="33CACBA3" w14:textId="77777777" w:rsidR="00BB50C0" w:rsidRPr="00A66749" w:rsidRDefault="00BB50C0" w:rsidP="00F57D57">
            <w:pPr>
              <w:spacing w:after="200"/>
              <w:rPr>
                <w:spacing w:val="-5"/>
              </w:rPr>
            </w:pPr>
            <w:r w:rsidRPr="00A66749">
              <w:rPr>
                <w:spacing w:val="-5"/>
              </w:rPr>
              <w:t>Na korporátní dani získal SR v 1.</w:t>
            </w:r>
            <w:r>
              <w:rPr>
                <w:spacing w:val="-5"/>
              </w:rPr>
              <w:t> pololet</w:t>
            </w:r>
            <w:r w:rsidRPr="00A66749">
              <w:rPr>
                <w:spacing w:val="-5"/>
              </w:rPr>
              <w:t>í meziročně o</w:t>
            </w:r>
            <w:r>
              <w:rPr>
                <w:spacing w:val="-5"/>
              </w:rPr>
              <w:t> </w:t>
            </w:r>
            <w:r w:rsidRPr="00A66749">
              <w:rPr>
                <w:spacing w:val="-5"/>
              </w:rPr>
              <w:t>45</w:t>
            </w:r>
            <w:r>
              <w:rPr>
                <w:spacing w:val="-5"/>
              </w:rPr>
              <w:t> %</w:t>
            </w:r>
            <w:r w:rsidRPr="00A66749">
              <w:rPr>
                <w:spacing w:val="-5"/>
              </w:rPr>
              <w:t xml:space="preserve"> (+23</w:t>
            </w:r>
            <w:r>
              <w:rPr>
                <w:spacing w:val="-5"/>
              </w:rPr>
              <w:t> mld.</w:t>
            </w:r>
            <w:r w:rsidRPr="00A66749">
              <w:rPr>
                <w:spacing w:val="-5"/>
              </w:rPr>
              <w:t xml:space="preserve"> korun) více. Přes polovinu z tohoto přírůstku lze připsat nízké loňské základně (hlavně vlivem prominutí červnové zálohy na daň). Meziroční srovnání je rozostřeno i</w:t>
            </w:r>
            <w:r>
              <w:rPr>
                <w:spacing w:val="-5"/>
              </w:rPr>
              <w:t> změnou rozpočtového určení daní a </w:t>
            </w:r>
            <w:r w:rsidRPr="00A66749">
              <w:rPr>
                <w:spacing w:val="-5"/>
              </w:rPr>
              <w:t>individuálními žádostmi firem o</w:t>
            </w:r>
            <w:r>
              <w:rPr>
                <w:spacing w:val="-5"/>
              </w:rPr>
              <w:t> </w:t>
            </w:r>
            <w:r w:rsidRPr="00A66749">
              <w:rPr>
                <w:spacing w:val="-5"/>
              </w:rPr>
              <w:t>úpravu záloh na da</w:t>
            </w:r>
            <w:r>
              <w:rPr>
                <w:spacing w:val="-5"/>
              </w:rPr>
              <w:t>ň</w:t>
            </w:r>
            <w:r w:rsidRPr="00A66749">
              <w:rPr>
                <w:rStyle w:val="Znakapoznpodarou"/>
                <w:spacing w:val="-5"/>
              </w:rPr>
              <w:footnoteReference w:id="7"/>
            </w:r>
            <w:r w:rsidRPr="00A66749">
              <w:rPr>
                <w:spacing w:val="-5"/>
              </w:rPr>
              <w:t>. Celostátní inkaso korporátní daně převýšilo letos úroveň z</w:t>
            </w:r>
            <w:r>
              <w:rPr>
                <w:spacing w:val="-5"/>
              </w:rPr>
              <w:t> </w:t>
            </w:r>
            <w:r w:rsidRPr="00A66749">
              <w:rPr>
                <w:spacing w:val="-5"/>
              </w:rPr>
              <w:t>1.</w:t>
            </w:r>
            <w:r>
              <w:rPr>
                <w:spacing w:val="-5"/>
              </w:rPr>
              <w:t> pololet</w:t>
            </w:r>
            <w:r w:rsidRPr="00A66749">
              <w:rPr>
                <w:spacing w:val="-5"/>
              </w:rPr>
              <w:t>í 2019 o</w:t>
            </w:r>
            <w:r>
              <w:rPr>
                <w:spacing w:val="-5"/>
              </w:rPr>
              <w:t> </w:t>
            </w:r>
            <w:r w:rsidRPr="00A66749">
              <w:rPr>
                <w:spacing w:val="-5"/>
              </w:rPr>
              <w:t>8,5</w:t>
            </w:r>
            <w:r>
              <w:rPr>
                <w:spacing w:val="-5"/>
              </w:rPr>
              <w:t> %</w:t>
            </w:r>
            <w:r w:rsidRPr="00A66749">
              <w:rPr>
                <w:spacing w:val="-5"/>
              </w:rPr>
              <w:t xml:space="preserve">. </w:t>
            </w:r>
          </w:p>
        </w:tc>
      </w:tr>
      <w:tr w:rsidR="00BB50C0" w:rsidRPr="003C07E6" w14:paraId="54B64A56" w14:textId="77777777" w:rsidTr="00F57D57">
        <w:trPr>
          <w:trHeight w:val="145"/>
        </w:trPr>
        <w:tc>
          <w:tcPr>
            <w:tcW w:w="1732" w:type="dxa"/>
            <w:shd w:val="clear" w:color="auto" w:fill="auto"/>
            <w:tcMar>
              <w:left w:w="0" w:type="dxa"/>
            </w:tcMar>
          </w:tcPr>
          <w:p w14:paraId="531A4859" w14:textId="77777777" w:rsidR="00BB50C0" w:rsidRDefault="00BB50C0" w:rsidP="00F57D57">
            <w:pPr>
              <w:pStyle w:val="Marginlie"/>
            </w:pPr>
            <w:r>
              <w:t>Výběr daně z příjmů FO ze závislé činnosti byl ovlivněn zrušením superhrubé mzdy i pokračující výplatou kompenzačních bonusů.</w:t>
            </w:r>
          </w:p>
        </w:tc>
        <w:tc>
          <w:tcPr>
            <w:tcW w:w="217" w:type="dxa"/>
            <w:shd w:val="clear" w:color="auto" w:fill="auto"/>
            <w:tcMar>
              <w:left w:w="0" w:type="dxa"/>
            </w:tcMar>
          </w:tcPr>
          <w:p w14:paraId="32566C1A" w14:textId="77777777" w:rsidR="00BB50C0" w:rsidRDefault="00BB50C0" w:rsidP="00F57D57">
            <w:pPr>
              <w:pStyle w:val="Textpoznpodarou"/>
              <w:jc w:val="both"/>
              <w:rPr>
                <w:spacing w:val="-4"/>
              </w:rPr>
            </w:pPr>
          </w:p>
        </w:tc>
        <w:tc>
          <w:tcPr>
            <w:tcW w:w="7720" w:type="dxa"/>
            <w:shd w:val="clear" w:color="auto" w:fill="auto"/>
            <w:tcMar>
              <w:left w:w="0" w:type="dxa"/>
            </w:tcMar>
          </w:tcPr>
          <w:p w14:paraId="387DFF42" w14:textId="77777777" w:rsidR="00BB50C0" w:rsidRPr="0095443E" w:rsidRDefault="00BB50C0" w:rsidP="00F57D57">
            <w:pPr>
              <w:spacing w:after="200"/>
              <w:rPr>
                <w:spacing w:val="-4"/>
              </w:rPr>
            </w:pPr>
            <w:r>
              <w:rPr>
                <w:spacing w:val="-4"/>
              </w:rPr>
              <w:t>S</w:t>
            </w:r>
            <w:r w:rsidRPr="0095443E">
              <w:rPr>
                <w:spacing w:val="-4"/>
              </w:rPr>
              <w:t>nížení daňového zatížení práce</w:t>
            </w:r>
            <w:r w:rsidRPr="00285F04">
              <w:rPr>
                <w:vertAlign w:val="superscript"/>
              </w:rPr>
              <w:footnoteReference w:id="8"/>
            </w:r>
            <w:r>
              <w:rPr>
                <w:spacing w:val="-4"/>
              </w:rPr>
              <w:t xml:space="preserve"> představovalo klíčový faktor vedoucí k tomu, že celostátní inkaso </w:t>
            </w:r>
            <w:r w:rsidRPr="0095443E">
              <w:rPr>
                <w:spacing w:val="-4"/>
              </w:rPr>
              <w:t>daně</w:t>
            </w:r>
            <w:r>
              <w:rPr>
                <w:spacing w:val="-4"/>
              </w:rPr>
              <w:t xml:space="preserve"> z příjmů</w:t>
            </w:r>
            <w:r w:rsidRPr="0095443E">
              <w:rPr>
                <w:spacing w:val="-4"/>
              </w:rPr>
              <w:t xml:space="preserve"> </w:t>
            </w:r>
            <w:r>
              <w:rPr>
                <w:spacing w:val="-4"/>
              </w:rPr>
              <w:t xml:space="preserve">fyzických osob </w:t>
            </w:r>
            <w:r w:rsidRPr="0095443E">
              <w:rPr>
                <w:spacing w:val="-4"/>
              </w:rPr>
              <w:t>ze závislé činnosti</w:t>
            </w:r>
            <w:r>
              <w:rPr>
                <w:spacing w:val="-4"/>
              </w:rPr>
              <w:t xml:space="preserve"> propadlo meziročně téměř o třetinu a dosáhlo nejnižší pololetní úrovně za posledních devět let (58,3 mld. korun). Na výši inkasa nadále působily i vyplacené kompenzační bonusy (zejména OSVČ), jejich negativní rozpočtový dopad byl ale letos ve srovnání s 1. pololetím 2020 skoro o polovinu slabší.</w:t>
            </w:r>
          </w:p>
        </w:tc>
      </w:tr>
      <w:tr w:rsidR="00BB50C0" w:rsidRPr="00F704D2" w14:paraId="0053ED81" w14:textId="77777777" w:rsidTr="00F57D57">
        <w:trPr>
          <w:trHeight w:val="170"/>
        </w:trPr>
        <w:tc>
          <w:tcPr>
            <w:tcW w:w="1732" w:type="dxa"/>
            <w:vMerge w:val="restart"/>
            <w:shd w:val="clear" w:color="auto" w:fill="auto"/>
            <w:tcMar>
              <w:left w:w="0" w:type="dxa"/>
            </w:tcMar>
          </w:tcPr>
          <w:p w14:paraId="704EAA65" w14:textId="77777777" w:rsidR="00BB50C0" w:rsidRDefault="00BB50C0" w:rsidP="00F57D57">
            <w:pPr>
              <w:pStyle w:val="Marginlie"/>
            </w:pPr>
          </w:p>
        </w:tc>
        <w:tc>
          <w:tcPr>
            <w:tcW w:w="217" w:type="dxa"/>
            <w:vMerge w:val="restart"/>
            <w:shd w:val="clear" w:color="auto" w:fill="auto"/>
            <w:tcMar>
              <w:left w:w="0" w:type="dxa"/>
            </w:tcMar>
          </w:tcPr>
          <w:p w14:paraId="14EBC6C7" w14:textId="77777777" w:rsidR="00BB50C0" w:rsidRDefault="00BB50C0" w:rsidP="00F57D57">
            <w:pPr>
              <w:pStyle w:val="Textpoznpodarou"/>
              <w:jc w:val="both"/>
              <w:rPr>
                <w:spacing w:val="-4"/>
              </w:rPr>
            </w:pPr>
          </w:p>
        </w:tc>
        <w:tc>
          <w:tcPr>
            <w:tcW w:w="7720" w:type="dxa"/>
            <w:shd w:val="clear" w:color="auto" w:fill="auto"/>
            <w:tcMar>
              <w:left w:w="0" w:type="dxa"/>
            </w:tcMar>
          </w:tcPr>
          <w:p w14:paraId="34356AEE" w14:textId="77777777" w:rsidR="00BB50C0" w:rsidRPr="00A66749" w:rsidRDefault="00BB50C0" w:rsidP="00F57D57">
            <w:pPr>
              <w:spacing w:after="0" w:line="240" w:lineRule="auto"/>
              <w:rPr>
                <w:rFonts w:cs="Arial"/>
                <w:bCs/>
                <w:spacing w:val="-4"/>
              </w:rPr>
            </w:pPr>
            <w:r w:rsidRPr="00A66749">
              <w:rPr>
                <w:rFonts w:cs="Arial"/>
                <w:b/>
                <w:bCs/>
                <w:color w:val="000000"/>
                <w:spacing w:val="-4"/>
                <w:szCs w:val="20"/>
              </w:rPr>
              <w:t>Graf č. 16  Příspěvek dílčích příjmů k</w:t>
            </w:r>
            <w:r>
              <w:rPr>
                <w:rFonts w:cs="Arial"/>
                <w:b/>
                <w:bCs/>
                <w:color w:val="000000"/>
                <w:spacing w:val="-4"/>
                <w:szCs w:val="20"/>
              </w:rPr>
              <w:t> </w:t>
            </w:r>
            <w:r w:rsidRPr="00A66749">
              <w:rPr>
                <w:rFonts w:cs="Arial"/>
                <w:b/>
                <w:bCs/>
                <w:color w:val="000000"/>
                <w:spacing w:val="-4"/>
                <w:szCs w:val="20"/>
              </w:rPr>
              <w:t xml:space="preserve">růstu </w:t>
            </w:r>
            <w:r w:rsidRPr="00A66749">
              <w:rPr>
                <w:rFonts w:cs="Arial"/>
                <w:b/>
                <w:bCs/>
                <w:spacing w:val="-4"/>
                <w:szCs w:val="20"/>
              </w:rPr>
              <w:t>celostátního</w:t>
            </w:r>
            <w:r w:rsidRPr="00A66749">
              <w:rPr>
                <w:rFonts w:cs="Arial"/>
                <w:b/>
                <w:bCs/>
                <w:spacing w:val="-4"/>
              </w:rPr>
              <w:t xml:space="preserve"> daňového inkasa* </w:t>
            </w:r>
            <w:r w:rsidRPr="00A66749">
              <w:rPr>
                <w:rFonts w:cs="Arial"/>
                <w:bCs/>
                <w:spacing w:val="-4"/>
              </w:rPr>
              <w:t>(</w:t>
            </w:r>
            <w:r w:rsidRPr="00A66749">
              <w:rPr>
                <w:spacing w:val="-4"/>
              </w:rPr>
              <w:t>meziročně</w:t>
            </w:r>
            <w:r w:rsidRPr="00A66749">
              <w:rPr>
                <w:bCs/>
                <w:spacing w:val="-4"/>
              </w:rPr>
              <w:t xml:space="preserve"> v p.</w:t>
            </w:r>
            <w:r>
              <w:rPr>
                <w:bCs/>
                <w:spacing w:val="-4"/>
              </w:rPr>
              <w:t> </w:t>
            </w:r>
            <w:r w:rsidRPr="00A66749">
              <w:rPr>
                <w:bCs/>
                <w:spacing w:val="-4"/>
              </w:rPr>
              <w:t xml:space="preserve">b.) </w:t>
            </w:r>
            <w:r w:rsidRPr="00A66749">
              <w:rPr>
                <w:rFonts w:cs="Arial"/>
                <w:b/>
                <w:bCs/>
                <w:spacing w:val="-4"/>
              </w:rPr>
              <w:t>a saldo státního rozpočtu v rámci 1. pololetí</w:t>
            </w:r>
            <w:r w:rsidRPr="00A66749">
              <w:rPr>
                <w:spacing w:val="-4"/>
              </w:rPr>
              <w:t xml:space="preserve"> </w:t>
            </w:r>
            <w:r w:rsidRPr="00A66749">
              <w:rPr>
                <w:rFonts w:cs="Arial"/>
                <w:bCs/>
                <w:spacing w:val="-4"/>
              </w:rPr>
              <w:t>(v mld. korun, pravá osa)</w:t>
            </w:r>
          </w:p>
        </w:tc>
      </w:tr>
      <w:tr w:rsidR="00BB50C0" w14:paraId="4BC7DE98" w14:textId="77777777" w:rsidTr="00F57D57">
        <w:tblPrEx>
          <w:tblCellMar>
            <w:left w:w="70" w:type="dxa"/>
            <w:right w:w="70" w:type="dxa"/>
          </w:tblCellMar>
        </w:tblPrEx>
        <w:trPr>
          <w:trHeight w:val="170"/>
        </w:trPr>
        <w:tc>
          <w:tcPr>
            <w:tcW w:w="1732" w:type="dxa"/>
            <w:vMerge/>
            <w:shd w:val="clear" w:color="auto" w:fill="auto"/>
          </w:tcPr>
          <w:p w14:paraId="2ECB1474" w14:textId="77777777" w:rsidR="00BB50C0" w:rsidRDefault="00BB50C0" w:rsidP="00F57D57">
            <w:pPr>
              <w:pStyle w:val="Marginlie"/>
            </w:pPr>
          </w:p>
        </w:tc>
        <w:tc>
          <w:tcPr>
            <w:tcW w:w="217" w:type="dxa"/>
            <w:vMerge/>
            <w:shd w:val="clear" w:color="auto" w:fill="auto"/>
          </w:tcPr>
          <w:p w14:paraId="3FDC6E86" w14:textId="77777777" w:rsidR="00BB50C0" w:rsidRDefault="00BB50C0" w:rsidP="00F57D57">
            <w:pPr>
              <w:pStyle w:val="Textpoznpodarou"/>
              <w:jc w:val="both"/>
              <w:rPr>
                <w:spacing w:val="-4"/>
              </w:rPr>
            </w:pPr>
          </w:p>
        </w:tc>
        <w:tc>
          <w:tcPr>
            <w:tcW w:w="7720" w:type="dxa"/>
            <w:shd w:val="clear" w:color="auto" w:fill="auto"/>
          </w:tcPr>
          <w:p w14:paraId="0688DE61" w14:textId="77777777" w:rsidR="00BB50C0" w:rsidRPr="0067514E" w:rsidRDefault="00BB50C0" w:rsidP="00F57D57">
            <w:pPr>
              <w:spacing w:after="0"/>
              <w:rPr>
                <w:spacing w:val="-6"/>
              </w:rPr>
            </w:pPr>
            <w:r>
              <w:rPr>
                <w:noProof/>
              </w:rPr>
              <w:drawing>
                <wp:inline distT="0" distB="0" distL="0" distR="0" wp14:anchorId="0F41D84D" wp14:editId="6C13C8DA">
                  <wp:extent cx="4755515" cy="3459708"/>
                  <wp:effectExtent l="0" t="0" r="6985" b="762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B50C0" w:rsidRPr="007B3A78" w14:paraId="5153BC70" w14:textId="77777777" w:rsidTr="00F57D57">
        <w:trPr>
          <w:trHeight w:val="170"/>
        </w:trPr>
        <w:tc>
          <w:tcPr>
            <w:tcW w:w="1732" w:type="dxa"/>
            <w:vMerge/>
            <w:shd w:val="clear" w:color="auto" w:fill="auto"/>
            <w:tcMar>
              <w:left w:w="0" w:type="dxa"/>
            </w:tcMar>
          </w:tcPr>
          <w:p w14:paraId="4DB33F44" w14:textId="77777777" w:rsidR="00BB50C0" w:rsidRDefault="00BB50C0" w:rsidP="00F57D57">
            <w:pPr>
              <w:pStyle w:val="Marginlie"/>
            </w:pPr>
          </w:p>
        </w:tc>
        <w:tc>
          <w:tcPr>
            <w:tcW w:w="217" w:type="dxa"/>
            <w:vMerge/>
            <w:shd w:val="clear" w:color="auto" w:fill="auto"/>
            <w:tcMar>
              <w:left w:w="0" w:type="dxa"/>
            </w:tcMar>
          </w:tcPr>
          <w:p w14:paraId="708EE991" w14:textId="77777777" w:rsidR="00BB50C0" w:rsidRDefault="00BB50C0" w:rsidP="00F57D57">
            <w:pPr>
              <w:pStyle w:val="Textpoznpodarou"/>
              <w:jc w:val="both"/>
              <w:rPr>
                <w:spacing w:val="-4"/>
              </w:rPr>
            </w:pPr>
          </w:p>
        </w:tc>
        <w:tc>
          <w:tcPr>
            <w:tcW w:w="7720" w:type="dxa"/>
            <w:shd w:val="clear" w:color="auto" w:fill="auto"/>
            <w:tcMar>
              <w:left w:w="0" w:type="dxa"/>
            </w:tcMar>
          </w:tcPr>
          <w:p w14:paraId="35A36606" w14:textId="77777777" w:rsidR="00BB50C0" w:rsidRDefault="00BB50C0" w:rsidP="00F57D57">
            <w:pPr>
              <w:tabs>
                <w:tab w:val="right" w:pos="7683"/>
              </w:tabs>
              <w:spacing w:after="0" w:line="240" w:lineRule="auto"/>
              <w:jc w:val="left"/>
              <w:rPr>
                <w:spacing w:val="-2"/>
                <w:sz w:val="14"/>
                <w:szCs w:val="14"/>
              </w:rPr>
            </w:pPr>
            <w:r>
              <w:rPr>
                <w:spacing w:val="-2"/>
                <w:sz w:val="14"/>
                <w:szCs w:val="14"/>
              </w:rPr>
              <w:t>* Zahrnuje d</w:t>
            </w:r>
            <w:r w:rsidRPr="00A66749">
              <w:rPr>
                <w:spacing w:val="-2"/>
                <w:sz w:val="14"/>
                <w:szCs w:val="14"/>
              </w:rPr>
              <w:t>aňové příjmy bez pojistného na sociální zabezpečení.</w:t>
            </w:r>
            <w:r>
              <w:rPr>
                <w:spacing w:val="-2"/>
                <w:sz w:val="14"/>
                <w:szCs w:val="14"/>
              </w:rPr>
              <w:tab/>
            </w:r>
          </w:p>
          <w:p w14:paraId="588DC1E1" w14:textId="77777777" w:rsidR="00BB50C0" w:rsidRPr="00A66749" w:rsidRDefault="00BB50C0" w:rsidP="00F57D57">
            <w:pPr>
              <w:tabs>
                <w:tab w:val="right" w:pos="7683"/>
              </w:tabs>
              <w:spacing w:after="180" w:line="240" w:lineRule="auto"/>
              <w:jc w:val="left"/>
              <w:rPr>
                <w:spacing w:val="-2"/>
                <w:sz w:val="14"/>
                <w:szCs w:val="14"/>
              </w:rPr>
            </w:pPr>
            <w:r w:rsidRPr="00A66749">
              <w:rPr>
                <w:spacing w:val="-2"/>
                <w:sz w:val="14"/>
                <w:szCs w:val="14"/>
              </w:rPr>
              <w:t>Zdroj: MF ČR</w:t>
            </w:r>
          </w:p>
        </w:tc>
      </w:tr>
      <w:tr w:rsidR="00BB50C0" w:rsidRPr="008266F0" w14:paraId="779F04C9" w14:textId="77777777" w:rsidTr="00F57D57">
        <w:trPr>
          <w:trHeight w:val="145"/>
        </w:trPr>
        <w:tc>
          <w:tcPr>
            <w:tcW w:w="1732" w:type="dxa"/>
            <w:shd w:val="clear" w:color="auto" w:fill="auto"/>
            <w:tcMar>
              <w:left w:w="0" w:type="dxa"/>
            </w:tcMar>
          </w:tcPr>
          <w:p w14:paraId="1470FD84" w14:textId="77777777" w:rsidR="00BB50C0" w:rsidRDefault="00BB50C0" w:rsidP="00F57D57">
            <w:pPr>
              <w:pStyle w:val="Marginlie"/>
            </w:pPr>
            <w:r>
              <w:t>Fiskální expanze probíhala výhradně pod taktovkou běžných výdajů SR. Ty byly zásadně ovlivněny vyššími výdaji ve zdravotnictví a na podpůrné programy pro firmy a organizace.</w:t>
            </w:r>
          </w:p>
        </w:tc>
        <w:tc>
          <w:tcPr>
            <w:tcW w:w="217" w:type="dxa"/>
            <w:shd w:val="clear" w:color="auto" w:fill="auto"/>
            <w:tcMar>
              <w:left w:w="0" w:type="dxa"/>
            </w:tcMar>
          </w:tcPr>
          <w:p w14:paraId="4DBA68D9" w14:textId="77777777" w:rsidR="00BB50C0" w:rsidRDefault="00BB50C0" w:rsidP="00F57D57">
            <w:pPr>
              <w:pStyle w:val="Textpoznpodarou"/>
              <w:jc w:val="both"/>
              <w:rPr>
                <w:spacing w:val="-4"/>
              </w:rPr>
            </w:pPr>
          </w:p>
        </w:tc>
        <w:tc>
          <w:tcPr>
            <w:tcW w:w="7720" w:type="dxa"/>
            <w:shd w:val="clear" w:color="auto" w:fill="auto"/>
            <w:tcMar>
              <w:left w:w="0" w:type="dxa"/>
            </w:tcMar>
          </w:tcPr>
          <w:p w14:paraId="03553A02" w14:textId="77777777" w:rsidR="00BB50C0" w:rsidRPr="004725AE" w:rsidRDefault="00BB50C0" w:rsidP="00F57D57">
            <w:pPr>
              <w:spacing w:after="200"/>
              <w:rPr>
                <w:color w:val="0D0D0D" w:themeColor="text1" w:themeTint="F2"/>
                <w:spacing w:val="-5"/>
              </w:rPr>
            </w:pPr>
            <w:r w:rsidRPr="004725AE">
              <w:rPr>
                <w:color w:val="0D0D0D" w:themeColor="text1" w:themeTint="F2"/>
                <w:spacing w:val="-5"/>
              </w:rPr>
              <w:t xml:space="preserve">Celkové výdaje SR </w:t>
            </w:r>
            <w:r>
              <w:rPr>
                <w:spacing w:val="-5"/>
              </w:rPr>
              <w:t>posílily</w:t>
            </w:r>
            <w:r>
              <w:rPr>
                <w:color w:val="0D0D0D" w:themeColor="text1" w:themeTint="F2"/>
                <w:spacing w:val="-5"/>
              </w:rPr>
              <w:t xml:space="preserve"> v 1. čtvrtletí</w:t>
            </w:r>
            <w:r>
              <w:rPr>
                <w:spacing w:val="-5"/>
              </w:rPr>
              <w:t xml:space="preserve"> </w:t>
            </w:r>
            <w:r w:rsidRPr="004725AE">
              <w:rPr>
                <w:color w:val="0D0D0D" w:themeColor="text1" w:themeTint="F2"/>
                <w:spacing w:val="-5"/>
              </w:rPr>
              <w:t>meziročně</w:t>
            </w:r>
            <w:r>
              <w:rPr>
                <w:spacing w:val="-5"/>
              </w:rPr>
              <w:t xml:space="preserve"> o 10,2 %, v následujícím kvartálu o 8,5 %. V úhrnu převýšily předpandemickou úroveň z 1. pololetí 2019 dokonce o 27,9 % (+213 mld. korun). Fiskální expanze byla letos dosud tažena výhradně běžnými výdaji, jejichž meziroční růst (o 88,3 mld.) lze dát z velké většiny do přímé souvislosti</w:t>
            </w:r>
            <w:r>
              <w:rPr>
                <w:color w:val="0D0D0D" w:themeColor="text1" w:themeTint="F2"/>
                <w:spacing w:val="-5"/>
              </w:rPr>
              <w:t xml:space="preserve"> s </w:t>
            </w:r>
            <w:r w:rsidRPr="00F91658">
              <w:rPr>
                <w:color w:val="0D0D0D" w:themeColor="text1" w:themeTint="F2"/>
                <w:spacing w:val="-5"/>
              </w:rPr>
              <w:t xml:space="preserve">opatřeními </w:t>
            </w:r>
            <w:r>
              <w:rPr>
                <w:color w:val="0D0D0D" w:themeColor="text1" w:themeTint="F2"/>
                <w:spacing w:val="-5"/>
              </w:rPr>
              <w:t xml:space="preserve">kompenzujícími negativní důsledky pandemie (na </w:t>
            </w:r>
            <w:r>
              <w:rPr>
                <w:spacing w:val="-5"/>
              </w:rPr>
              <w:t>podniky, jednotlivce i obce)</w:t>
            </w:r>
            <w:r w:rsidRPr="00456B08">
              <w:rPr>
                <w:spacing w:val="-5"/>
              </w:rPr>
              <w:t xml:space="preserve"> či </w:t>
            </w:r>
            <w:r>
              <w:rPr>
                <w:spacing w:val="-5"/>
              </w:rPr>
              <w:t>s </w:t>
            </w:r>
            <w:r w:rsidRPr="00456B08">
              <w:rPr>
                <w:spacing w:val="-5"/>
              </w:rPr>
              <w:t>podporou za</w:t>
            </w:r>
            <w:r>
              <w:rPr>
                <w:spacing w:val="-5"/>
              </w:rPr>
              <w:t xml:space="preserve">tíženého zdravotnického </w:t>
            </w:r>
            <w:r w:rsidRPr="00456B08">
              <w:rPr>
                <w:spacing w:val="-5"/>
              </w:rPr>
              <w:t>systému</w:t>
            </w:r>
            <w:r w:rsidRPr="00456B08">
              <w:rPr>
                <w:rStyle w:val="Znakapoznpodarou"/>
                <w:spacing w:val="-5"/>
              </w:rPr>
              <w:footnoteReference w:id="9"/>
            </w:r>
            <w:r w:rsidRPr="00456B08">
              <w:rPr>
                <w:spacing w:val="-5"/>
              </w:rPr>
              <w:t>.</w:t>
            </w:r>
            <w:r>
              <w:rPr>
                <w:spacing w:val="-5"/>
              </w:rPr>
              <w:t xml:space="preserve"> To lze vysvětlit tím, že zatímco v první půli loňského roku se velká část rychle přijatých protipandemických opatření soustředila na daňovou oblast včetně pojistného (odklady, zrušení či individuální úprava výše placených záloh, vratky formou kompenzačních bonusů), letos šlo primárně o výdaje do zdravotnictví (odměny pracovníkům, </w:t>
            </w:r>
            <w:r>
              <w:rPr>
                <w:spacing w:val="-5"/>
              </w:rPr>
              <w:lastRenderedPageBreak/>
              <w:t>vyšší platby za státní pojištěnce) i široké spektrum podpůrných programů pro zasažené podniky i organizace.</w:t>
            </w:r>
          </w:p>
        </w:tc>
      </w:tr>
      <w:tr w:rsidR="00BB50C0" w:rsidRPr="008266F0" w14:paraId="1B30DAC4" w14:textId="77777777" w:rsidTr="00F57D57">
        <w:trPr>
          <w:trHeight w:val="145"/>
        </w:trPr>
        <w:tc>
          <w:tcPr>
            <w:tcW w:w="1732" w:type="dxa"/>
            <w:shd w:val="clear" w:color="auto" w:fill="auto"/>
            <w:tcMar>
              <w:left w:w="0" w:type="dxa"/>
            </w:tcMar>
          </w:tcPr>
          <w:p w14:paraId="2A879DB7" w14:textId="77777777" w:rsidR="00BB50C0" w:rsidRDefault="00BB50C0" w:rsidP="00F57D57">
            <w:pPr>
              <w:pStyle w:val="Marginlie"/>
            </w:pPr>
            <w:r>
              <w:lastRenderedPageBreak/>
              <w:t>Růst výdajů na platy pracovníků ve školství pokračoval.</w:t>
            </w:r>
          </w:p>
          <w:p w14:paraId="2FBA4847" w14:textId="77777777" w:rsidR="00BB50C0" w:rsidRDefault="00BB50C0" w:rsidP="00F57D57">
            <w:pPr>
              <w:pStyle w:val="Marginlie"/>
            </w:pPr>
          </w:p>
          <w:p w14:paraId="18739A9F" w14:textId="77777777" w:rsidR="00BB50C0" w:rsidRDefault="00BB50C0" w:rsidP="00F57D57">
            <w:pPr>
              <w:pStyle w:val="Marginlie"/>
            </w:pPr>
          </w:p>
          <w:p w14:paraId="25FF7C89" w14:textId="77777777" w:rsidR="00BB50C0" w:rsidRDefault="00BB50C0" w:rsidP="00F57D57">
            <w:pPr>
              <w:pStyle w:val="Marginlie"/>
            </w:pPr>
          </w:p>
          <w:p w14:paraId="55596524" w14:textId="77777777" w:rsidR="00BB50C0" w:rsidRDefault="00BB50C0" w:rsidP="00F57D57">
            <w:pPr>
              <w:pStyle w:val="Marginlie"/>
            </w:pPr>
          </w:p>
          <w:p w14:paraId="6189F9F5" w14:textId="77777777" w:rsidR="00BB50C0" w:rsidRDefault="00BB50C0" w:rsidP="00F57D57">
            <w:pPr>
              <w:pStyle w:val="Marginlie"/>
            </w:pPr>
          </w:p>
          <w:p w14:paraId="05470AB8" w14:textId="77777777" w:rsidR="00BB50C0" w:rsidRDefault="00BB50C0" w:rsidP="00F57D57">
            <w:pPr>
              <w:pStyle w:val="Marginlie"/>
            </w:pPr>
          </w:p>
          <w:p w14:paraId="1172D8BD" w14:textId="77777777" w:rsidR="00BB50C0" w:rsidRDefault="00BB50C0" w:rsidP="00F57D57">
            <w:pPr>
              <w:pStyle w:val="Marginlie"/>
            </w:pPr>
          </w:p>
          <w:p w14:paraId="7DF17E5B" w14:textId="77777777" w:rsidR="00BB50C0" w:rsidRDefault="00BB50C0" w:rsidP="00F57D57">
            <w:pPr>
              <w:pStyle w:val="Marginlie"/>
            </w:pPr>
            <w:r>
              <w:t>Výdaje na neinvestiční nákupy proti loňské rekordní výši oslabily.</w:t>
            </w:r>
          </w:p>
        </w:tc>
        <w:tc>
          <w:tcPr>
            <w:tcW w:w="217" w:type="dxa"/>
            <w:shd w:val="clear" w:color="auto" w:fill="auto"/>
            <w:tcMar>
              <w:left w:w="0" w:type="dxa"/>
            </w:tcMar>
          </w:tcPr>
          <w:p w14:paraId="34897600" w14:textId="77777777" w:rsidR="00BB50C0" w:rsidRDefault="00BB50C0" w:rsidP="00F57D57">
            <w:pPr>
              <w:pStyle w:val="Textpoznpodarou"/>
              <w:jc w:val="both"/>
              <w:rPr>
                <w:spacing w:val="-4"/>
              </w:rPr>
            </w:pPr>
          </w:p>
        </w:tc>
        <w:tc>
          <w:tcPr>
            <w:tcW w:w="7720" w:type="dxa"/>
            <w:shd w:val="clear" w:color="auto" w:fill="auto"/>
            <w:tcMar>
              <w:left w:w="0" w:type="dxa"/>
            </w:tcMar>
          </w:tcPr>
          <w:p w14:paraId="1880AB1B" w14:textId="77777777" w:rsidR="00BB50C0" w:rsidRPr="004725AE" w:rsidRDefault="00BB50C0" w:rsidP="00F57D57">
            <w:pPr>
              <w:spacing w:after="210"/>
              <w:rPr>
                <w:color w:val="0D0D0D" w:themeColor="text1" w:themeTint="F2"/>
                <w:spacing w:val="-5"/>
              </w:rPr>
            </w:pPr>
            <w:r w:rsidRPr="00456B08">
              <w:rPr>
                <w:spacing w:val="-5"/>
              </w:rPr>
              <w:t xml:space="preserve">Z běžných výdajů </w:t>
            </w:r>
            <w:r>
              <w:rPr>
                <w:spacing w:val="-5"/>
              </w:rPr>
              <w:t>nejvíce vzrostl</w:t>
            </w:r>
            <w:r w:rsidRPr="00456B08">
              <w:rPr>
                <w:spacing w:val="-5"/>
              </w:rPr>
              <w:t xml:space="preserve">y </w:t>
            </w:r>
            <w:r w:rsidRPr="00456B08">
              <w:rPr>
                <w:color w:val="0D0D0D" w:themeColor="text1" w:themeTint="F2"/>
                <w:spacing w:val="-5"/>
              </w:rPr>
              <w:t>neinvestiční trans</w:t>
            </w:r>
            <w:r>
              <w:rPr>
                <w:color w:val="0D0D0D" w:themeColor="text1" w:themeTint="F2"/>
                <w:spacing w:val="-5"/>
              </w:rPr>
              <w:t>fery podnikatelským subjektům (+61 %, na</w:t>
            </w:r>
            <w:r>
              <w:rPr>
                <w:spacing w:val="-5"/>
              </w:rPr>
              <w:t xml:space="preserve"> 85,3 mld. korun) soustřeďující rozhodující část </w:t>
            </w:r>
            <w:r w:rsidRPr="00456B08">
              <w:rPr>
                <w:spacing w:val="-5"/>
              </w:rPr>
              <w:t>podpůrných opatření (program Antivirus, podpora firem v nejvíce</w:t>
            </w:r>
            <w:r>
              <w:rPr>
                <w:spacing w:val="-5"/>
              </w:rPr>
              <w:t xml:space="preserve"> zasažených odvětvích, ošetřovné pro OSVČ) a neinvestiční</w:t>
            </w:r>
            <w:r w:rsidRPr="00371E6A">
              <w:rPr>
                <w:spacing w:val="-5"/>
              </w:rPr>
              <w:t xml:space="preserve"> transfery f</w:t>
            </w:r>
            <w:r>
              <w:rPr>
                <w:spacing w:val="-5"/>
              </w:rPr>
              <w:t>ondům sociálního a veřejného zdravotního pojištění (+55 %). Naopak vyšší běžné transfery územním rozpočtům (+14 %, +18,8 mld.) souvisely především s pokračujícím růstem průměrných platů v regionálním školství</w:t>
            </w:r>
            <w:r>
              <w:rPr>
                <w:rStyle w:val="Znakapoznpodarou"/>
                <w:spacing w:val="-5"/>
              </w:rPr>
              <w:footnoteReference w:id="10"/>
            </w:r>
            <w:r>
              <w:rPr>
                <w:spacing w:val="-5"/>
              </w:rPr>
              <w:t xml:space="preserve"> a s navýšením prostředků na sociální služby. Naopak třetím rokem v řadě oslabovalo tempo růstu výdajů na </w:t>
            </w:r>
            <w:r w:rsidRPr="00456B08">
              <w:rPr>
                <w:spacing w:val="-5"/>
              </w:rPr>
              <w:t>platy v organizačních složkách státu</w:t>
            </w:r>
            <w:r>
              <w:rPr>
                <w:spacing w:val="-5"/>
              </w:rPr>
              <w:t xml:space="preserve"> </w:t>
            </w:r>
            <w:r w:rsidRPr="00AC078B">
              <w:rPr>
                <w:spacing w:val="-5"/>
              </w:rPr>
              <w:t>(na 1,1 %, nejméně</w:t>
            </w:r>
            <w:r>
              <w:rPr>
                <w:spacing w:val="-5"/>
              </w:rPr>
              <w:t xml:space="preserve"> za posledních deset let). Zhruba o 3 mld. korun méně vydal SR meziročně v 1. pololetí jak na běžných transferech příspěvkovým organizacím (loňské výdaje na oddlužení části nemocnic se již neopakovaly), tak i na neinvestičních nákupech</w:t>
            </w:r>
            <w:r>
              <w:rPr>
                <w:rStyle w:val="Znakapoznpodarou"/>
                <w:spacing w:val="-5"/>
              </w:rPr>
              <w:footnoteReference w:id="11"/>
            </w:r>
            <w:r>
              <w:rPr>
                <w:spacing w:val="-5"/>
              </w:rPr>
              <w:t>, v nichž byla letos nižší potřeba ochranných pomůcek i zdravotnického materiálu jen zčásti kompenzována nárůstem výdajů na nákup vakcín.</w:t>
            </w:r>
          </w:p>
        </w:tc>
      </w:tr>
      <w:tr w:rsidR="00BB50C0" w:rsidRPr="008266F0" w14:paraId="5E986A7D" w14:textId="77777777" w:rsidTr="00F57D57">
        <w:trPr>
          <w:trHeight w:val="145"/>
        </w:trPr>
        <w:tc>
          <w:tcPr>
            <w:tcW w:w="1732" w:type="dxa"/>
            <w:shd w:val="clear" w:color="auto" w:fill="auto"/>
            <w:tcMar>
              <w:left w:w="0" w:type="dxa"/>
            </w:tcMar>
          </w:tcPr>
          <w:p w14:paraId="3C454E45" w14:textId="77777777" w:rsidR="00BB50C0" w:rsidRDefault="00BB50C0" w:rsidP="00F57D57">
            <w:pPr>
              <w:pStyle w:val="Marginlie"/>
            </w:pPr>
            <w:r>
              <w:t>Čerpání nedůchodových sociálních dávek se meziročně snížilo. Oproti předpandemické úrovni bylo ale znatelně vyšší.</w:t>
            </w:r>
          </w:p>
          <w:p w14:paraId="49D88854" w14:textId="77777777" w:rsidR="00BB50C0" w:rsidRDefault="00BB50C0" w:rsidP="00F57D57">
            <w:pPr>
              <w:pStyle w:val="Marginlie"/>
            </w:pPr>
          </w:p>
          <w:p w14:paraId="12F2E180" w14:textId="77777777" w:rsidR="00BB50C0" w:rsidRDefault="00BB50C0" w:rsidP="00F57D57">
            <w:pPr>
              <w:pStyle w:val="Marginlie"/>
            </w:pPr>
          </w:p>
          <w:p w14:paraId="0AC19CF5" w14:textId="77777777" w:rsidR="00BB50C0" w:rsidRDefault="00BB50C0" w:rsidP="00F57D57">
            <w:pPr>
              <w:pStyle w:val="Marginlie"/>
            </w:pPr>
          </w:p>
          <w:p w14:paraId="40AF11FC" w14:textId="77777777" w:rsidR="00BB50C0" w:rsidRDefault="00BB50C0" w:rsidP="00F57D57">
            <w:pPr>
              <w:pStyle w:val="Marginlie"/>
            </w:pPr>
          </w:p>
          <w:p w14:paraId="1751C61E" w14:textId="77777777" w:rsidR="00BB50C0" w:rsidRDefault="00BB50C0" w:rsidP="00F57D57">
            <w:pPr>
              <w:pStyle w:val="Marginlie"/>
            </w:pPr>
          </w:p>
          <w:p w14:paraId="372A3102" w14:textId="77777777" w:rsidR="00BB50C0" w:rsidRDefault="00BB50C0" w:rsidP="00F57D57">
            <w:pPr>
              <w:pStyle w:val="Marginlie"/>
            </w:pPr>
            <w:r>
              <w:t>Růst objemu dávek hmotné nouze pokračoval, u podpor v nezaměstnanosti se ale ve 2. čtvrtletí zastavil.</w:t>
            </w:r>
          </w:p>
        </w:tc>
        <w:tc>
          <w:tcPr>
            <w:tcW w:w="217" w:type="dxa"/>
            <w:shd w:val="clear" w:color="auto" w:fill="auto"/>
            <w:tcMar>
              <w:left w:w="0" w:type="dxa"/>
            </w:tcMar>
          </w:tcPr>
          <w:p w14:paraId="68A6F7D6" w14:textId="77777777" w:rsidR="00BB50C0" w:rsidRDefault="00BB50C0" w:rsidP="00F57D57">
            <w:pPr>
              <w:pStyle w:val="Textpoznpodarou"/>
              <w:jc w:val="both"/>
              <w:rPr>
                <w:spacing w:val="-4"/>
              </w:rPr>
            </w:pPr>
          </w:p>
        </w:tc>
        <w:tc>
          <w:tcPr>
            <w:tcW w:w="7720" w:type="dxa"/>
            <w:shd w:val="clear" w:color="auto" w:fill="auto"/>
            <w:tcMar>
              <w:left w:w="0" w:type="dxa"/>
            </w:tcMar>
          </w:tcPr>
          <w:p w14:paraId="687EABF9" w14:textId="77777777" w:rsidR="00BB50C0" w:rsidRPr="008E078C" w:rsidRDefault="00BB50C0" w:rsidP="00F57D57">
            <w:pPr>
              <w:spacing w:after="210"/>
              <w:rPr>
                <w:spacing w:val="-3"/>
              </w:rPr>
            </w:pPr>
            <w:r>
              <w:rPr>
                <w:spacing w:val="-3"/>
              </w:rPr>
              <w:t>Ačkoliv sociální dávky tradičně představují</w:t>
            </w:r>
            <w:r w:rsidRPr="008E078C">
              <w:rPr>
                <w:spacing w:val="-3"/>
              </w:rPr>
              <w:t xml:space="preserve"> váhově dominantní výdaj SR, růst jejich čerpání zůstal </w:t>
            </w:r>
            <w:r>
              <w:rPr>
                <w:spacing w:val="-3"/>
              </w:rPr>
              <w:t xml:space="preserve">letos </w:t>
            </w:r>
            <w:r w:rsidRPr="008E078C">
              <w:rPr>
                <w:spacing w:val="-3"/>
              </w:rPr>
              <w:t>ve stínu výdajů přímo souvisejících s pandemií</w:t>
            </w:r>
            <w:r w:rsidRPr="008E078C">
              <w:rPr>
                <w:rStyle w:val="Znakapoznpodarou"/>
                <w:spacing w:val="-3"/>
              </w:rPr>
              <w:footnoteReference w:id="12"/>
            </w:r>
            <w:r w:rsidRPr="008E078C">
              <w:rPr>
                <w:spacing w:val="-3"/>
              </w:rPr>
              <w:t xml:space="preserve">. </w:t>
            </w:r>
            <w:r>
              <w:rPr>
                <w:spacing w:val="-3"/>
              </w:rPr>
              <w:t>Na tyto dávky putovalo v 1.</w:t>
            </w:r>
            <w:r w:rsidRPr="00456B08">
              <w:rPr>
                <w:spacing w:val="-5"/>
              </w:rPr>
              <w:t> </w:t>
            </w:r>
            <w:r w:rsidRPr="008E078C">
              <w:rPr>
                <w:spacing w:val="-3"/>
              </w:rPr>
              <w:t>pololetí meziročně jen o</w:t>
            </w:r>
            <w:r>
              <w:rPr>
                <w:spacing w:val="-3"/>
              </w:rPr>
              <w:t> </w:t>
            </w:r>
            <w:r w:rsidRPr="008E078C">
              <w:rPr>
                <w:spacing w:val="-3"/>
              </w:rPr>
              <w:t>3,7</w:t>
            </w:r>
            <w:r>
              <w:rPr>
                <w:spacing w:val="-3"/>
              </w:rPr>
              <w:t> %</w:t>
            </w:r>
            <w:r w:rsidRPr="008E078C">
              <w:rPr>
                <w:spacing w:val="-3"/>
              </w:rPr>
              <w:t xml:space="preserve"> (12,6</w:t>
            </w:r>
            <w:r>
              <w:rPr>
                <w:spacing w:val="-3"/>
              </w:rPr>
              <w:t> mld.</w:t>
            </w:r>
            <w:r w:rsidRPr="008E078C">
              <w:rPr>
                <w:spacing w:val="-3"/>
              </w:rPr>
              <w:t xml:space="preserve"> korun) více. Na rozdíl od většiny loňského roku vykázaly v letošním </w:t>
            </w:r>
            <w:r>
              <w:rPr>
                <w:spacing w:val="-3"/>
              </w:rPr>
              <w:t>1. </w:t>
            </w:r>
            <w:r w:rsidRPr="008E078C">
              <w:rPr>
                <w:spacing w:val="-3"/>
              </w:rPr>
              <w:t>pololetí vyšší tempo výdaje na důchody (+5,7 %) než na ostatní sociální dávky (–2,0 %)</w:t>
            </w:r>
            <w:r w:rsidRPr="008E078C">
              <w:rPr>
                <w:rStyle w:val="Znakapoznpodarou"/>
                <w:spacing w:val="-3"/>
              </w:rPr>
              <w:footnoteReference w:id="13"/>
            </w:r>
            <w:r w:rsidRPr="008E078C">
              <w:rPr>
                <w:spacing w:val="-3"/>
              </w:rPr>
              <w:t>. O</w:t>
            </w:r>
            <w:r>
              <w:rPr>
                <w:spacing w:val="-3"/>
              </w:rPr>
              <w:t> </w:t>
            </w:r>
            <w:r w:rsidRPr="008E078C">
              <w:rPr>
                <w:spacing w:val="-3"/>
              </w:rPr>
              <w:t xml:space="preserve">pokles jejich čerpání se nejvíce zasloužily dávky </w:t>
            </w:r>
            <w:r>
              <w:rPr>
                <w:spacing w:val="-3"/>
              </w:rPr>
              <w:t>plynoucí z </w:t>
            </w:r>
            <w:r w:rsidRPr="008E078C">
              <w:rPr>
                <w:spacing w:val="-3"/>
              </w:rPr>
              <w:t>nemocenského pojištění (–5,0 %)</w:t>
            </w:r>
            <w:r w:rsidRPr="008E078C">
              <w:rPr>
                <w:rStyle w:val="Znakapoznpodarou"/>
                <w:spacing w:val="-3"/>
              </w:rPr>
              <w:footnoteReference w:id="14"/>
            </w:r>
            <w:r w:rsidRPr="008E078C">
              <w:rPr>
                <w:spacing w:val="-3"/>
              </w:rPr>
              <w:t>. Stalo se tak přesto, že výdaje na většinu nemocenských dávek meziročně vzrostly. Klíčovým se ovšem ukázalo letošní jarní znovuotevření škol, které utlumilo potřebu dávek ošetřovného, jejichž čerpání v loňském 2.</w:t>
            </w:r>
            <w:r>
              <w:rPr>
                <w:spacing w:val="-3"/>
              </w:rPr>
              <w:t> </w:t>
            </w:r>
            <w:r w:rsidRPr="008E078C">
              <w:rPr>
                <w:spacing w:val="-3"/>
              </w:rPr>
              <w:t>čtvrtletí kulminovalo. Meziročně méně vydal letos SR i</w:t>
            </w:r>
            <w:r>
              <w:rPr>
                <w:spacing w:val="-3"/>
              </w:rPr>
              <w:t> </w:t>
            </w:r>
            <w:r w:rsidRPr="008E078C">
              <w:rPr>
                <w:spacing w:val="-3"/>
              </w:rPr>
              <w:t xml:space="preserve">na </w:t>
            </w:r>
            <w:r>
              <w:rPr>
                <w:spacing w:val="-3"/>
              </w:rPr>
              <w:t>dávky státní sociální podpory, a to díky příznivému vývoji takřka všech druhů</w:t>
            </w:r>
            <w:r w:rsidRPr="008E078C">
              <w:rPr>
                <w:spacing w:val="-3"/>
              </w:rPr>
              <w:t xml:space="preserve"> dávek, včetně těch příjmově testovaných. Zhoršenou příjmovou situaci někt</w:t>
            </w:r>
            <w:r>
              <w:rPr>
                <w:spacing w:val="-3"/>
              </w:rPr>
              <w:t>erých domácností ale naznačuje</w:t>
            </w:r>
            <w:r w:rsidRPr="008E078C">
              <w:rPr>
                <w:spacing w:val="-3"/>
              </w:rPr>
              <w:t xml:space="preserve"> vyšší čerpání dávek hmotné nouze, jež bylo patrné již pátý kvartál v řadě. Zlepšení celkové situace na trhu práce ve vazbě na ústup pandemie se promítlo do</w:t>
            </w:r>
            <w:r>
              <w:rPr>
                <w:spacing w:val="-3"/>
              </w:rPr>
              <w:t xml:space="preserve"> </w:t>
            </w:r>
            <w:r w:rsidRPr="008E078C">
              <w:rPr>
                <w:spacing w:val="-3"/>
              </w:rPr>
              <w:t>vyplacených podpor v nezaměstnanosti. Jejich objem se letos v</w:t>
            </w:r>
            <w:r>
              <w:rPr>
                <w:spacing w:val="-3"/>
              </w:rPr>
              <w:t> </w:t>
            </w:r>
            <w:r w:rsidRPr="008E078C">
              <w:rPr>
                <w:spacing w:val="-3"/>
              </w:rPr>
              <w:t>období od května do června meziročně snížil skoro o</w:t>
            </w:r>
            <w:r>
              <w:rPr>
                <w:spacing w:val="-3"/>
              </w:rPr>
              <w:t> </w:t>
            </w:r>
            <w:r w:rsidRPr="008E078C">
              <w:rPr>
                <w:spacing w:val="-3"/>
              </w:rPr>
              <w:t>pětinu</w:t>
            </w:r>
            <w:r w:rsidRPr="008E078C">
              <w:rPr>
                <w:rStyle w:val="Znakapoznpodarou"/>
                <w:spacing w:val="-3"/>
              </w:rPr>
              <w:footnoteReference w:id="15"/>
            </w:r>
            <w:r w:rsidRPr="008E078C">
              <w:rPr>
                <w:spacing w:val="-3"/>
              </w:rPr>
              <w:t>.</w:t>
            </w:r>
          </w:p>
        </w:tc>
      </w:tr>
      <w:tr w:rsidR="00BB50C0" w:rsidRPr="008266F0" w14:paraId="07FA6A37" w14:textId="77777777" w:rsidTr="00F57D57">
        <w:trPr>
          <w:trHeight w:val="145"/>
        </w:trPr>
        <w:tc>
          <w:tcPr>
            <w:tcW w:w="1732" w:type="dxa"/>
            <w:shd w:val="clear" w:color="auto" w:fill="auto"/>
            <w:tcMar>
              <w:left w:w="0" w:type="dxa"/>
            </w:tcMar>
          </w:tcPr>
          <w:p w14:paraId="183A20FE" w14:textId="77777777" w:rsidR="00BB50C0" w:rsidRDefault="00BB50C0" w:rsidP="00F57D57">
            <w:pPr>
              <w:pStyle w:val="Marginlie"/>
            </w:pPr>
            <w:r>
              <w:t>Saldo důchodového účtu se ve 2. čtvrtletí 2021 vrátilo k mírnému přebytku.</w:t>
            </w:r>
          </w:p>
        </w:tc>
        <w:tc>
          <w:tcPr>
            <w:tcW w:w="217" w:type="dxa"/>
            <w:shd w:val="clear" w:color="auto" w:fill="auto"/>
            <w:tcMar>
              <w:left w:w="0" w:type="dxa"/>
            </w:tcMar>
          </w:tcPr>
          <w:p w14:paraId="0910731D" w14:textId="77777777" w:rsidR="00BB50C0" w:rsidRDefault="00BB50C0" w:rsidP="00F57D57">
            <w:pPr>
              <w:pStyle w:val="Textpoznpodarou"/>
              <w:jc w:val="both"/>
              <w:rPr>
                <w:spacing w:val="-4"/>
              </w:rPr>
            </w:pPr>
          </w:p>
        </w:tc>
        <w:tc>
          <w:tcPr>
            <w:tcW w:w="7720" w:type="dxa"/>
            <w:shd w:val="clear" w:color="auto" w:fill="auto"/>
            <w:tcMar>
              <w:left w:w="0" w:type="dxa"/>
            </w:tcMar>
          </w:tcPr>
          <w:p w14:paraId="571CD3E9" w14:textId="77777777" w:rsidR="00BB50C0" w:rsidRPr="00AC6ABB" w:rsidRDefault="00BB50C0" w:rsidP="00F57D57">
            <w:pPr>
              <w:spacing w:after="210"/>
              <w:rPr>
                <w:spacing w:val="-5"/>
              </w:rPr>
            </w:pPr>
            <w:r w:rsidRPr="00AC6ABB">
              <w:rPr>
                <w:spacing w:val="-5"/>
              </w:rPr>
              <w:t>Růst výdajů na důchody byl tlumen poklesem počtu jejich příjemců</w:t>
            </w:r>
            <w:r>
              <w:rPr>
                <w:spacing w:val="-5"/>
              </w:rPr>
              <w:t>.</w:t>
            </w:r>
            <w:r w:rsidRPr="00AC6ABB">
              <w:rPr>
                <w:spacing w:val="-5"/>
              </w:rPr>
              <w:t xml:space="preserve"> Těch na konci</w:t>
            </w:r>
            <w:r>
              <w:rPr>
                <w:spacing w:val="-5"/>
              </w:rPr>
              <w:t xml:space="preserve"> </w:t>
            </w:r>
            <w:r w:rsidRPr="00AC6ABB">
              <w:rPr>
                <w:spacing w:val="-5"/>
              </w:rPr>
              <w:t>1.</w:t>
            </w:r>
            <w:r>
              <w:rPr>
                <w:spacing w:val="-5"/>
              </w:rPr>
              <w:t> pololet</w:t>
            </w:r>
            <w:r w:rsidRPr="00AC6ABB">
              <w:rPr>
                <w:spacing w:val="-5"/>
              </w:rPr>
              <w:t xml:space="preserve">í meziročně ubylo o významných </w:t>
            </w:r>
            <w:r>
              <w:rPr>
                <w:spacing w:val="-5"/>
              </w:rPr>
              <w:t>1,2 %, primárn</w:t>
            </w:r>
            <w:r w:rsidRPr="00AC6ABB">
              <w:rPr>
                <w:spacing w:val="-5"/>
              </w:rPr>
              <w:t>ě vlivem zvýšené úmrtnosti v období pandemie. P</w:t>
            </w:r>
            <w:r w:rsidRPr="00AC6ABB">
              <w:rPr>
                <w:rFonts w:cs="Arial"/>
                <w:color w:val="0D0D0D" w:themeColor="text1" w:themeTint="F2"/>
                <w:spacing w:val="-5"/>
              </w:rPr>
              <w:t>říjmy důchodového pojištění se oproti slabší loňské základně</w:t>
            </w:r>
            <w:r w:rsidRPr="00AC6ABB">
              <w:rPr>
                <w:rStyle w:val="Znakapoznpodarou"/>
                <w:color w:val="0D0D0D" w:themeColor="text1" w:themeTint="F2"/>
                <w:spacing w:val="-5"/>
              </w:rPr>
              <w:footnoteReference w:id="16"/>
            </w:r>
            <w:r w:rsidRPr="00AC6ABB">
              <w:rPr>
                <w:rFonts w:cs="Arial"/>
                <w:color w:val="0D0D0D" w:themeColor="text1" w:themeTint="F2"/>
                <w:spacing w:val="-5"/>
              </w:rPr>
              <w:t xml:space="preserve"> navýšily o 7,4 %. Pololetní saldo důchodového účtu</w:t>
            </w:r>
            <w:r w:rsidRPr="00AC6ABB">
              <w:rPr>
                <w:rStyle w:val="Znakapoznpodarou"/>
                <w:color w:val="0D0D0D" w:themeColor="text1" w:themeTint="F2"/>
                <w:spacing w:val="-5"/>
              </w:rPr>
              <w:footnoteReference w:id="17"/>
            </w:r>
            <w:r w:rsidRPr="00AC6ABB">
              <w:rPr>
                <w:rFonts w:cs="Arial"/>
                <w:color w:val="0D0D0D" w:themeColor="text1" w:themeTint="F2"/>
                <w:spacing w:val="-5"/>
              </w:rPr>
              <w:t xml:space="preserve"> vykázalo meziročně mírné zlepšení (na </w:t>
            </w:r>
            <w:r w:rsidRPr="00AC6ABB">
              <w:rPr>
                <w:spacing w:val="-5"/>
              </w:rPr>
              <w:t>–</w:t>
            </w:r>
            <w:r w:rsidRPr="00AC6ABB">
              <w:rPr>
                <w:rFonts w:cs="Arial"/>
                <w:color w:val="0D0D0D" w:themeColor="text1" w:themeTint="F2"/>
                <w:spacing w:val="-5"/>
              </w:rPr>
              <w:t>7 mld. korun). Ve 2.</w:t>
            </w:r>
            <w:r>
              <w:rPr>
                <w:rFonts w:cs="Arial"/>
                <w:color w:val="0D0D0D" w:themeColor="text1" w:themeTint="F2"/>
                <w:spacing w:val="-5"/>
              </w:rPr>
              <w:t> čtvrtlet</w:t>
            </w:r>
            <w:r w:rsidRPr="00AC6ABB">
              <w:rPr>
                <w:rFonts w:cs="Arial"/>
                <w:color w:val="0D0D0D" w:themeColor="text1" w:themeTint="F2"/>
                <w:spacing w:val="-5"/>
              </w:rPr>
              <w:t>í 2021 se díky oživení ekonomické aktivity (umocněném</w:t>
            </w:r>
            <w:r>
              <w:rPr>
                <w:rFonts w:cs="Arial"/>
                <w:color w:val="0D0D0D" w:themeColor="text1" w:themeTint="F2"/>
                <w:spacing w:val="-5"/>
              </w:rPr>
              <w:t>u</w:t>
            </w:r>
            <w:r w:rsidRPr="00AC6ABB">
              <w:rPr>
                <w:rFonts w:cs="Arial"/>
                <w:color w:val="0D0D0D" w:themeColor="text1" w:themeTint="F2"/>
                <w:spacing w:val="-5"/>
              </w:rPr>
              <w:t xml:space="preserve"> výplatou mimořádných odměn ve zdravotnictví) vrátilo do mírného přebytku (+2</w:t>
            </w:r>
            <w:r>
              <w:rPr>
                <w:rFonts w:cs="Arial"/>
                <w:color w:val="0D0D0D" w:themeColor="text1" w:themeTint="F2"/>
                <w:spacing w:val="-5"/>
              </w:rPr>
              <w:t> mld.</w:t>
            </w:r>
            <w:r w:rsidRPr="00AC6ABB">
              <w:rPr>
                <w:rFonts w:cs="Arial"/>
                <w:color w:val="0D0D0D" w:themeColor="text1" w:themeTint="F2"/>
                <w:spacing w:val="-5"/>
              </w:rPr>
              <w:t>), poprvé od konce roku 2019.</w:t>
            </w:r>
          </w:p>
        </w:tc>
      </w:tr>
      <w:tr w:rsidR="00BB50C0" w:rsidRPr="008266F0" w14:paraId="0129BADA" w14:textId="77777777" w:rsidTr="00F57D57">
        <w:trPr>
          <w:trHeight w:val="145"/>
        </w:trPr>
        <w:tc>
          <w:tcPr>
            <w:tcW w:w="1732" w:type="dxa"/>
            <w:shd w:val="clear" w:color="auto" w:fill="auto"/>
            <w:tcMar>
              <w:left w:w="0" w:type="dxa"/>
            </w:tcMar>
          </w:tcPr>
          <w:p w14:paraId="2CC967EB" w14:textId="77777777" w:rsidR="00BB50C0" w:rsidRDefault="00BB50C0" w:rsidP="00F57D57">
            <w:pPr>
              <w:pStyle w:val="Marginlie"/>
            </w:pPr>
            <w:r>
              <w:t>Strmý růst investic ze SR se po třech letech zastavil.</w:t>
            </w:r>
          </w:p>
          <w:p w14:paraId="45A47518" w14:textId="77777777" w:rsidR="00BB50C0" w:rsidRDefault="00BB50C0" w:rsidP="00F57D57">
            <w:pPr>
              <w:pStyle w:val="Marginlie"/>
            </w:pPr>
          </w:p>
          <w:p w14:paraId="512CE193" w14:textId="77777777" w:rsidR="00BB50C0" w:rsidRDefault="00BB50C0" w:rsidP="00F57D57">
            <w:pPr>
              <w:pStyle w:val="Marginlie"/>
            </w:pPr>
          </w:p>
          <w:p w14:paraId="41D6A5A9" w14:textId="77777777" w:rsidR="00BB50C0" w:rsidRDefault="00BB50C0" w:rsidP="00F57D57">
            <w:pPr>
              <w:pStyle w:val="Marginlie"/>
            </w:pPr>
          </w:p>
          <w:p w14:paraId="629E1564" w14:textId="77777777" w:rsidR="00BB50C0" w:rsidRDefault="00BB50C0" w:rsidP="00F57D57">
            <w:pPr>
              <w:pStyle w:val="Marginlie"/>
            </w:pPr>
            <w:r>
              <w:t>Příjmy ČR z rozpočtu EU byly i přes meziroční pokles druhé nejvyšší za posledních pět let.</w:t>
            </w:r>
          </w:p>
        </w:tc>
        <w:tc>
          <w:tcPr>
            <w:tcW w:w="217" w:type="dxa"/>
            <w:shd w:val="clear" w:color="auto" w:fill="auto"/>
            <w:tcMar>
              <w:left w:w="0" w:type="dxa"/>
            </w:tcMar>
          </w:tcPr>
          <w:p w14:paraId="65A784BA" w14:textId="77777777" w:rsidR="00BB50C0" w:rsidRDefault="00BB50C0" w:rsidP="00F57D57">
            <w:pPr>
              <w:pStyle w:val="Textpoznpodarou"/>
              <w:jc w:val="both"/>
              <w:rPr>
                <w:spacing w:val="-4"/>
              </w:rPr>
            </w:pPr>
          </w:p>
        </w:tc>
        <w:tc>
          <w:tcPr>
            <w:tcW w:w="7720" w:type="dxa"/>
            <w:shd w:val="clear" w:color="auto" w:fill="auto"/>
            <w:tcMar>
              <w:left w:w="0" w:type="dxa"/>
            </w:tcMar>
          </w:tcPr>
          <w:p w14:paraId="669BC6E2" w14:textId="77777777" w:rsidR="00BB50C0" w:rsidRPr="00AC078B" w:rsidRDefault="00BB50C0" w:rsidP="00F57D57">
            <w:pPr>
              <w:spacing w:after="200"/>
              <w:rPr>
                <w:color w:val="0D0D0D" w:themeColor="text1" w:themeTint="F2"/>
                <w:spacing w:val="-5"/>
              </w:rPr>
            </w:pPr>
            <w:r w:rsidRPr="003060BC">
              <w:rPr>
                <w:color w:val="0D0D0D" w:themeColor="text1" w:themeTint="F2"/>
                <w:spacing w:val="-4"/>
              </w:rPr>
              <w:t>Kapitálové výdaje čítaly v 1.</w:t>
            </w:r>
            <w:r>
              <w:rPr>
                <w:color w:val="0D0D0D" w:themeColor="text1" w:themeTint="F2"/>
                <w:spacing w:val="-4"/>
              </w:rPr>
              <w:t> pololet</w:t>
            </w:r>
            <w:r w:rsidRPr="003060BC">
              <w:rPr>
                <w:color w:val="0D0D0D" w:themeColor="text1" w:themeTint="F2"/>
                <w:spacing w:val="-4"/>
              </w:rPr>
              <w:t>í 60 mld. korun</w:t>
            </w:r>
            <w:r>
              <w:rPr>
                <w:color w:val="0D0D0D" w:themeColor="text1" w:themeTint="F2"/>
                <w:spacing w:val="-4"/>
              </w:rPr>
              <w:t>, tedy</w:t>
            </w:r>
            <w:r w:rsidRPr="003060BC">
              <w:rPr>
                <w:spacing w:val="-4"/>
              </w:rPr>
              <w:t xml:space="preserve"> </w:t>
            </w:r>
            <w:r w:rsidRPr="003060BC">
              <w:rPr>
                <w:color w:val="0D0D0D" w:themeColor="text1" w:themeTint="F2"/>
                <w:spacing w:val="-4"/>
              </w:rPr>
              <w:t>méně než třetinu celoročního rozpočtového cíle</w:t>
            </w:r>
            <w:r w:rsidRPr="003060BC">
              <w:rPr>
                <w:color w:val="0D0D0D" w:themeColor="text1" w:themeTint="F2"/>
                <w:spacing w:val="-6"/>
              </w:rPr>
              <w:t>.</w:t>
            </w:r>
            <w:r>
              <w:rPr>
                <w:color w:val="0D0D0D" w:themeColor="text1" w:themeTint="F2"/>
                <w:spacing w:val="-5"/>
              </w:rPr>
              <w:t xml:space="preserve"> Po třech letech silného meziročního růstu se letos snížily o 8,7 %. Na všech výdajích SR se však tato položka podílela více než 6 %. To v rámci všech 1.</w:t>
            </w:r>
            <w:r w:rsidRPr="003060BC">
              <w:rPr>
                <w:color w:val="0D0D0D" w:themeColor="text1" w:themeTint="F2"/>
                <w:spacing w:val="-6"/>
              </w:rPr>
              <w:t> </w:t>
            </w:r>
            <w:r>
              <w:rPr>
                <w:color w:val="0D0D0D" w:themeColor="text1" w:themeTint="F2"/>
                <w:spacing w:val="-5"/>
              </w:rPr>
              <w:t>pololetí stále představovalo druhou nejvyšší hodnotu za posledních pět let. Nejvyšší podíl dosud realizovaných investic směřoval tradičně do dopravní infrastruktury, především na projekty spolufinancované z evropských fondů. Celkové příjmy ČR z rozpočtu EU v 1. pololetí činily 71,5 mld. korun, meziročně klesly o 8 %. Přispěly k tomu hlavně nižší příjmy ze strukturálních fondů (</w:t>
            </w:r>
            <w:r w:rsidRPr="00D863C6">
              <w:rPr>
                <w:spacing w:val="-5"/>
              </w:rPr>
              <w:t>–</w:t>
            </w:r>
            <w:r>
              <w:rPr>
                <w:color w:val="0D0D0D" w:themeColor="text1" w:themeTint="F2"/>
                <w:spacing w:val="-5"/>
              </w:rPr>
              <w:t>18 %) a objemově méně významné příjmy na rozvoj venkova (</w:t>
            </w:r>
            <w:r w:rsidRPr="00D863C6">
              <w:rPr>
                <w:spacing w:val="-5"/>
              </w:rPr>
              <w:t>–</w:t>
            </w:r>
            <w:r>
              <w:rPr>
                <w:color w:val="0D0D0D" w:themeColor="text1" w:themeTint="F2"/>
                <w:spacing w:val="-5"/>
              </w:rPr>
              <w:t xml:space="preserve">19 %). K menším </w:t>
            </w:r>
            <w:r>
              <w:rPr>
                <w:color w:val="0D0D0D" w:themeColor="text1" w:themeTint="F2"/>
                <w:spacing w:val="-5"/>
              </w:rPr>
              <w:lastRenderedPageBreak/>
              <w:t>poklesům ale došlo i u všech ostatních hlavních programových oblastí. Po zohlednění mírného navýšení odvodů ČR do rozpočtu EU (+3 %) dosáhla celková čistá pozice ČR vůči Unii 38,7 mld. korun, což představovalo druhé nejvyšší pololetní saldo za posledních pět let.</w:t>
            </w:r>
          </w:p>
        </w:tc>
      </w:tr>
      <w:tr w:rsidR="00BB50C0" w:rsidRPr="00F704D2" w14:paraId="5EBB439D" w14:textId="77777777" w:rsidTr="00F57D57">
        <w:trPr>
          <w:trHeight w:val="170"/>
        </w:trPr>
        <w:tc>
          <w:tcPr>
            <w:tcW w:w="1732" w:type="dxa"/>
            <w:vMerge w:val="restart"/>
            <w:shd w:val="clear" w:color="auto" w:fill="auto"/>
            <w:tcMar>
              <w:left w:w="0" w:type="dxa"/>
            </w:tcMar>
          </w:tcPr>
          <w:p w14:paraId="38F1DC24" w14:textId="77777777" w:rsidR="00BB50C0" w:rsidRDefault="00BB50C0" w:rsidP="00F57D57">
            <w:pPr>
              <w:pStyle w:val="Marginlie"/>
            </w:pPr>
          </w:p>
        </w:tc>
        <w:tc>
          <w:tcPr>
            <w:tcW w:w="217" w:type="dxa"/>
            <w:vMerge w:val="restart"/>
            <w:shd w:val="clear" w:color="auto" w:fill="auto"/>
            <w:tcMar>
              <w:left w:w="0" w:type="dxa"/>
            </w:tcMar>
          </w:tcPr>
          <w:p w14:paraId="31972B98" w14:textId="77777777" w:rsidR="00BB50C0" w:rsidRDefault="00BB50C0" w:rsidP="00F57D57">
            <w:pPr>
              <w:pStyle w:val="Textpoznpodarou"/>
              <w:jc w:val="both"/>
              <w:rPr>
                <w:spacing w:val="-4"/>
              </w:rPr>
            </w:pPr>
          </w:p>
        </w:tc>
        <w:tc>
          <w:tcPr>
            <w:tcW w:w="7720" w:type="dxa"/>
            <w:shd w:val="clear" w:color="auto" w:fill="auto"/>
            <w:tcMar>
              <w:left w:w="0" w:type="dxa"/>
            </w:tcMar>
          </w:tcPr>
          <w:p w14:paraId="0F703559" w14:textId="77777777" w:rsidR="00BB50C0" w:rsidRPr="00D232BB" w:rsidRDefault="00BB50C0" w:rsidP="00F57D57">
            <w:pPr>
              <w:spacing w:after="20" w:line="240" w:lineRule="auto"/>
              <w:jc w:val="left"/>
              <w:rPr>
                <w:rFonts w:cs="Arial"/>
                <w:bCs/>
              </w:rPr>
            </w:pPr>
            <w:r w:rsidRPr="00D232BB">
              <w:rPr>
                <w:b/>
              </w:rPr>
              <w:t xml:space="preserve">Graf č. 17  </w:t>
            </w:r>
            <w:r>
              <w:rPr>
                <w:rFonts w:cs="Arial"/>
                <w:b/>
                <w:bCs/>
              </w:rPr>
              <w:t>Vybrané výdaje státního rozpočtu v rámci 1. pololetí</w:t>
            </w:r>
            <w:r w:rsidRPr="002757DC">
              <w:rPr>
                <w:rFonts w:cs="Arial"/>
              </w:rPr>
              <w:t xml:space="preserve"> (v</w:t>
            </w:r>
            <w:r>
              <w:rPr>
                <w:rFonts w:cs="Arial"/>
              </w:rPr>
              <w:t> </w:t>
            </w:r>
            <w:r w:rsidRPr="002757DC">
              <w:rPr>
                <w:rFonts w:cs="Arial"/>
              </w:rPr>
              <w:t>mld. korun)</w:t>
            </w:r>
          </w:p>
        </w:tc>
      </w:tr>
      <w:tr w:rsidR="00BB50C0" w14:paraId="7F64E744" w14:textId="77777777" w:rsidTr="00F57D57">
        <w:tblPrEx>
          <w:tblCellMar>
            <w:left w:w="70" w:type="dxa"/>
            <w:right w:w="70" w:type="dxa"/>
          </w:tblCellMar>
        </w:tblPrEx>
        <w:trPr>
          <w:trHeight w:val="170"/>
        </w:trPr>
        <w:tc>
          <w:tcPr>
            <w:tcW w:w="1732" w:type="dxa"/>
            <w:vMerge/>
            <w:shd w:val="clear" w:color="auto" w:fill="auto"/>
          </w:tcPr>
          <w:p w14:paraId="511DC549" w14:textId="77777777" w:rsidR="00BB50C0" w:rsidRDefault="00BB50C0" w:rsidP="00F57D57">
            <w:pPr>
              <w:pStyle w:val="Marginlie"/>
            </w:pPr>
          </w:p>
        </w:tc>
        <w:tc>
          <w:tcPr>
            <w:tcW w:w="217" w:type="dxa"/>
            <w:vMerge/>
            <w:shd w:val="clear" w:color="auto" w:fill="auto"/>
          </w:tcPr>
          <w:p w14:paraId="7E2666E5" w14:textId="77777777" w:rsidR="00BB50C0" w:rsidRDefault="00BB50C0" w:rsidP="00F57D57">
            <w:pPr>
              <w:pStyle w:val="Textpoznpodarou"/>
              <w:jc w:val="both"/>
              <w:rPr>
                <w:spacing w:val="-4"/>
              </w:rPr>
            </w:pPr>
          </w:p>
        </w:tc>
        <w:tc>
          <w:tcPr>
            <w:tcW w:w="7720" w:type="dxa"/>
            <w:shd w:val="clear" w:color="auto" w:fill="auto"/>
          </w:tcPr>
          <w:p w14:paraId="2246562E" w14:textId="77777777" w:rsidR="00BB50C0" w:rsidRPr="0067514E" w:rsidRDefault="00BB50C0" w:rsidP="00F57D57">
            <w:pPr>
              <w:spacing w:after="0"/>
              <w:rPr>
                <w:spacing w:val="-6"/>
              </w:rPr>
            </w:pPr>
            <w:r>
              <w:rPr>
                <w:noProof/>
              </w:rPr>
              <w:drawing>
                <wp:inline distT="0" distB="0" distL="0" distR="0" wp14:anchorId="4E0D4CF4" wp14:editId="6F4E0CEC">
                  <wp:extent cx="4759876" cy="3401149"/>
                  <wp:effectExtent l="0" t="0" r="3175" b="889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B50C0" w:rsidRPr="00343AC1" w14:paraId="3D5FC4E3" w14:textId="77777777" w:rsidTr="00F57D57">
        <w:trPr>
          <w:trHeight w:val="170"/>
        </w:trPr>
        <w:tc>
          <w:tcPr>
            <w:tcW w:w="1732" w:type="dxa"/>
            <w:vMerge/>
            <w:shd w:val="clear" w:color="auto" w:fill="auto"/>
            <w:tcMar>
              <w:left w:w="0" w:type="dxa"/>
            </w:tcMar>
          </w:tcPr>
          <w:p w14:paraId="5D09239F" w14:textId="77777777" w:rsidR="00BB50C0" w:rsidRDefault="00BB50C0" w:rsidP="00F57D57">
            <w:pPr>
              <w:pStyle w:val="Marginlie"/>
            </w:pPr>
          </w:p>
        </w:tc>
        <w:tc>
          <w:tcPr>
            <w:tcW w:w="217" w:type="dxa"/>
            <w:vMerge/>
            <w:shd w:val="clear" w:color="auto" w:fill="auto"/>
            <w:tcMar>
              <w:left w:w="0" w:type="dxa"/>
            </w:tcMar>
          </w:tcPr>
          <w:p w14:paraId="42A877C8" w14:textId="77777777" w:rsidR="00BB50C0" w:rsidRDefault="00BB50C0" w:rsidP="00F57D57">
            <w:pPr>
              <w:pStyle w:val="Textpoznpodarou"/>
              <w:jc w:val="both"/>
              <w:rPr>
                <w:spacing w:val="-4"/>
              </w:rPr>
            </w:pPr>
          </w:p>
        </w:tc>
        <w:tc>
          <w:tcPr>
            <w:tcW w:w="7720" w:type="dxa"/>
            <w:shd w:val="clear" w:color="auto" w:fill="auto"/>
            <w:tcMar>
              <w:left w:w="0" w:type="dxa"/>
            </w:tcMar>
          </w:tcPr>
          <w:p w14:paraId="54081882" w14:textId="77777777" w:rsidR="00BB50C0" w:rsidRPr="008F2BE2" w:rsidRDefault="00BB50C0" w:rsidP="00F57D57">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55A11FCC" w14:textId="77777777" w:rsidR="00BB50C0" w:rsidRDefault="00BB50C0" w:rsidP="00F57D57">
            <w:pPr>
              <w:pStyle w:val="Textpoznpodarou"/>
              <w:tabs>
                <w:tab w:val="right" w:pos="7683"/>
              </w:tabs>
              <w:rPr>
                <w:spacing w:val="-6"/>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w:t>
            </w:r>
            <w:r w:rsidRPr="008F2BE2">
              <w:rPr>
                <w:spacing w:val="-4"/>
                <w:sz w:val="14"/>
                <w:szCs w:val="14"/>
              </w:rPr>
              <w:t>****Obsahují zejména výdaje na nákup služeb, materiálu, energií či ostatních služeb (například výdaje na opravy a udržování).</w:t>
            </w:r>
            <w:r>
              <w:rPr>
                <w:spacing w:val="-4"/>
                <w:sz w:val="14"/>
                <w:szCs w:val="14"/>
              </w:rPr>
              <w:t xml:space="preserve"> </w:t>
            </w:r>
            <w:r w:rsidRPr="0067514E">
              <w:rPr>
                <w:spacing w:val="-6"/>
                <w:sz w:val="14"/>
                <w:szCs w:val="14"/>
              </w:rPr>
              <w:t>*****Odpovídá saldu rozpočtové kapitoly Státní dluh.</w:t>
            </w:r>
            <w:r>
              <w:rPr>
                <w:spacing w:val="-6"/>
                <w:sz w:val="14"/>
                <w:szCs w:val="14"/>
              </w:rPr>
              <w:tab/>
            </w:r>
          </w:p>
          <w:p w14:paraId="214DB685" w14:textId="77777777" w:rsidR="00BB50C0" w:rsidRPr="008F2BE2" w:rsidRDefault="00BB50C0" w:rsidP="00F57D57">
            <w:pPr>
              <w:pStyle w:val="Textpoznpodarou"/>
              <w:tabs>
                <w:tab w:val="right" w:pos="7683"/>
              </w:tabs>
              <w:spacing w:after="200"/>
              <w:rPr>
                <w:spacing w:val="-4"/>
                <w:sz w:val="14"/>
                <w:szCs w:val="14"/>
              </w:rPr>
            </w:pPr>
            <w:r w:rsidRPr="0067514E">
              <w:rPr>
                <w:spacing w:val="-6"/>
                <w:sz w:val="14"/>
                <w:szCs w:val="14"/>
              </w:rPr>
              <w:t>Zdroj: MF ČR, MPSV</w:t>
            </w:r>
          </w:p>
        </w:tc>
      </w:tr>
      <w:tr w:rsidR="00BB50C0" w:rsidRPr="00343AC1" w14:paraId="55B37388" w14:textId="77777777" w:rsidTr="00F57D57">
        <w:trPr>
          <w:trHeight w:val="170"/>
        </w:trPr>
        <w:tc>
          <w:tcPr>
            <w:tcW w:w="1732" w:type="dxa"/>
            <w:shd w:val="clear" w:color="auto" w:fill="auto"/>
            <w:tcMar>
              <w:left w:w="0" w:type="dxa"/>
            </w:tcMar>
          </w:tcPr>
          <w:p w14:paraId="1E1117A0" w14:textId="77777777" w:rsidR="00BB50C0" w:rsidRDefault="00BB50C0" w:rsidP="00F57D57">
            <w:pPr>
              <w:pStyle w:val="Marginlie"/>
            </w:pPr>
            <w:r>
              <w:t>Dynamický růst státního dluhu pokračoval. Za 1. pololetí ale vzrostl méně než ve stejném loňském období.</w:t>
            </w:r>
          </w:p>
          <w:p w14:paraId="10C422D4" w14:textId="77777777" w:rsidR="00BB50C0" w:rsidRDefault="00BB50C0" w:rsidP="00F57D57">
            <w:pPr>
              <w:pStyle w:val="Marginlie"/>
            </w:pPr>
          </w:p>
          <w:p w14:paraId="4F78E05A" w14:textId="77777777" w:rsidR="00BB50C0" w:rsidRDefault="00BB50C0" w:rsidP="00F57D57">
            <w:pPr>
              <w:pStyle w:val="Marginlie"/>
            </w:pPr>
          </w:p>
          <w:p w14:paraId="6B43C585" w14:textId="77777777" w:rsidR="00BB50C0" w:rsidRDefault="00BB50C0" w:rsidP="00F57D57">
            <w:pPr>
              <w:pStyle w:val="Marginlie"/>
            </w:pPr>
          </w:p>
          <w:p w14:paraId="21FD5D94" w14:textId="77777777" w:rsidR="00BB50C0" w:rsidRDefault="00BB50C0" w:rsidP="00F57D57">
            <w:pPr>
              <w:pStyle w:val="Marginlie"/>
            </w:pPr>
          </w:p>
          <w:p w14:paraId="0FFBBDBA" w14:textId="77777777" w:rsidR="00BB50C0" w:rsidRDefault="00BB50C0" w:rsidP="00F57D57">
            <w:pPr>
              <w:pStyle w:val="Marginlie"/>
            </w:pPr>
            <w:r>
              <w:t>Výdaje na obsluhu státního dluhu po příznivém vývoji v letech 2019 i 2020 opět rostly.</w:t>
            </w:r>
          </w:p>
        </w:tc>
        <w:tc>
          <w:tcPr>
            <w:tcW w:w="217" w:type="dxa"/>
            <w:shd w:val="clear" w:color="auto" w:fill="auto"/>
            <w:tcMar>
              <w:left w:w="0" w:type="dxa"/>
            </w:tcMar>
          </w:tcPr>
          <w:p w14:paraId="47AA3C92" w14:textId="77777777" w:rsidR="00BB50C0" w:rsidRDefault="00BB50C0" w:rsidP="00F57D57">
            <w:pPr>
              <w:pStyle w:val="Textpoznpodarou"/>
              <w:jc w:val="both"/>
              <w:rPr>
                <w:spacing w:val="-4"/>
              </w:rPr>
            </w:pPr>
          </w:p>
        </w:tc>
        <w:tc>
          <w:tcPr>
            <w:tcW w:w="7720" w:type="dxa"/>
            <w:shd w:val="clear" w:color="auto" w:fill="auto"/>
            <w:tcMar>
              <w:left w:w="0" w:type="dxa"/>
            </w:tcMar>
          </w:tcPr>
          <w:p w14:paraId="68E28920" w14:textId="77777777" w:rsidR="00BB50C0" w:rsidRPr="00794328" w:rsidRDefault="00BB50C0" w:rsidP="00F57D57">
            <w:pPr>
              <w:rPr>
                <w:color w:val="0D0D0D" w:themeColor="text1" w:themeTint="F2"/>
                <w:spacing w:val="-4"/>
              </w:rPr>
            </w:pPr>
            <w:r w:rsidRPr="00794328">
              <w:rPr>
                <w:color w:val="0D0D0D" w:themeColor="text1" w:themeTint="F2"/>
                <w:spacing w:val="-4"/>
              </w:rPr>
              <w:t>Silně rostoucí</w:t>
            </w:r>
            <w:r>
              <w:rPr>
                <w:color w:val="0D0D0D" w:themeColor="text1" w:themeTint="F2"/>
                <w:spacing w:val="-4"/>
              </w:rPr>
              <w:t xml:space="preserve"> potřeba financování vázaná na </w:t>
            </w:r>
            <w:r w:rsidRPr="00794328">
              <w:rPr>
                <w:color w:val="0D0D0D" w:themeColor="text1" w:themeTint="F2"/>
                <w:spacing w:val="-4"/>
              </w:rPr>
              <w:t>nutnos</w:t>
            </w:r>
            <w:r>
              <w:rPr>
                <w:color w:val="0D0D0D" w:themeColor="text1" w:themeTint="F2"/>
                <w:spacing w:val="-4"/>
              </w:rPr>
              <w:t xml:space="preserve">t pokrytí krizového schodku SR vyústila v akceleraci </w:t>
            </w:r>
            <w:r w:rsidRPr="00794328">
              <w:rPr>
                <w:color w:val="0D0D0D" w:themeColor="text1" w:themeTint="F2"/>
                <w:spacing w:val="-4"/>
              </w:rPr>
              <w:t>státního dluhu</w:t>
            </w:r>
            <w:r>
              <w:rPr>
                <w:color w:val="0D0D0D" w:themeColor="text1" w:themeTint="F2"/>
                <w:spacing w:val="-4"/>
              </w:rPr>
              <w:t>. Ten vystoupal na konci června na</w:t>
            </w:r>
            <w:r>
              <w:rPr>
                <w:spacing w:val="-4"/>
              </w:rPr>
              <w:t xml:space="preserve"> rekordních 2 416 mld. korun a meziročně posílil o osminu. Od počátku letošního roku se navýšil o</w:t>
            </w:r>
            <w:r w:rsidRPr="00794328">
              <w:rPr>
                <w:color w:val="0D0D0D" w:themeColor="text1" w:themeTint="F2"/>
                <w:spacing w:val="-4"/>
              </w:rPr>
              <w:t> </w:t>
            </w:r>
            <w:r>
              <w:rPr>
                <w:spacing w:val="-4"/>
              </w:rPr>
              <w:t>366,5</w:t>
            </w:r>
            <w:r w:rsidRPr="00794328">
              <w:rPr>
                <w:color w:val="0D0D0D" w:themeColor="text1" w:themeTint="F2"/>
                <w:spacing w:val="-4"/>
              </w:rPr>
              <w:t> </w:t>
            </w:r>
            <w:r>
              <w:rPr>
                <w:spacing w:val="-4"/>
              </w:rPr>
              <w:t>mld., což bylo ale méně než bezprecedentní skok ve shodném loňském období (+516,7 mld.). I v letošním vývoji se projevila tradiční silná emisní činnost v oblasti státních dluhopisů</w:t>
            </w:r>
            <w:r>
              <w:rPr>
                <w:rStyle w:val="Znakapoznpodarou"/>
                <w:spacing w:val="-4"/>
              </w:rPr>
              <w:footnoteReference w:id="18"/>
            </w:r>
            <w:r>
              <w:rPr>
                <w:spacing w:val="-4"/>
              </w:rPr>
              <w:t xml:space="preserve"> soustředěná primárně do první čtvrtiny roku, jež umožnila plně pokrýt letos plánované splátky dluhu. Vlivem splátek klesla korunová hodnota vnějšího dluhu na konci pololetí meziročně o více než čtvrtinu a na celkovém zadlužení se podílela jen 6,6 %. Čisté výdaje na obsluhu státního dluhu</w:t>
            </w:r>
            <w:r>
              <w:rPr>
                <w:rStyle w:val="Znakapoznpodarou"/>
                <w:spacing w:val="-4"/>
              </w:rPr>
              <w:footnoteReference w:id="19"/>
            </w:r>
            <w:r>
              <w:rPr>
                <w:spacing w:val="-4"/>
              </w:rPr>
              <w:t xml:space="preserve"> dosáhly v pololetí 18,6 mld. korun, meziročně skoro o polovinu více. Trend poklesu výdajů na státní dluh viditelný v letech 2019 i 2020 se zastavil. To souviselo s nárůstem </w:t>
            </w:r>
            <w:r w:rsidRPr="00603665">
              <w:rPr>
                <w:spacing w:val="-5"/>
              </w:rPr>
              <w:t>celkové zadluženosti i</w:t>
            </w:r>
            <w:r>
              <w:rPr>
                <w:spacing w:val="-5"/>
              </w:rPr>
              <w:t> </w:t>
            </w:r>
            <w:r w:rsidRPr="00603665">
              <w:rPr>
                <w:spacing w:val="-5"/>
              </w:rPr>
              <w:t>vyššími výnosy státních dluhopisů, patrnými již na konci loňského roku.</w:t>
            </w:r>
          </w:p>
        </w:tc>
      </w:tr>
      <w:tr w:rsidR="00BB50C0" w:rsidRPr="00343AC1" w14:paraId="1C09E693" w14:textId="77777777" w:rsidTr="00F57D57">
        <w:trPr>
          <w:trHeight w:val="170"/>
        </w:trPr>
        <w:tc>
          <w:tcPr>
            <w:tcW w:w="1732" w:type="dxa"/>
            <w:shd w:val="clear" w:color="auto" w:fill="auto"/>
            <w:tcMar>
              <w:left w:w="0" w:type="dxa"/>
            </w:tcMar>
          </w:tcPr>
          <w:p w14:paraId="6063F941" w14:textId="77777777" w:rsidR="00BB50C0" w:rsidRDefault="00BB50C0" w:rsidP="00F57D57">
            <w:pPr>
              <w:pStyle w:val="Marginlie"/>
            </w:pPr>
            <w:r>
              <w:t>Slabý růst příjmů i akcelerace výdajů vyústily v 1. čtvrtletí v rekordní schodek hospodaření sektoru vládních institucí.</w:t>
            </w:r>
          </w:p>
        </w:tc>
        <w:tc>
          <w:tcPr>
            <w:tcW w:w="217" w:type="dxa"/>
            <w:shd w:val="clear" w:color="auto" w:fill="auto"/>
            <w:tcMar>
              <w:left w:w="0" w:type="dxa"/>
            </w:tcMar>
          </w:tcPr>
          <w:p w14:paraId="765E0C13" w14:textId="77777777" w:rsidR="00BB50C0" w:rsidRDefault="00BB50C0" w:rsidP="00F57D57">
            <w:pPr>
              <w:pStyle w:val="Textpoznpodarou"/>
              <w:jc w:val="both"/>
              <w:rPr>
                <w:spacing w:val="-4"/>
              </w:rPr>
            </w:pPr>
          </w:p>
        </w:tc>
        <w:tc>
          <w:tcPr>
            <w:tcW w:w="7720" w:type="dxa"/>
            <w:shd w:val="clear" w:color="auto" w:fill="auto"/>
            <w:tcMar>
              <w:left w:w="0" w:type="dxa"/>
            </w:tcMar>
          </w:tcPr>
          <w:p w14:paraId="11023076" w14:textId="77777777" w:rsidR="00BB50C0" w:rsidRPr="00E65CA0" w:rsidRDefault="00BB50C0" w:rsidP="00F57D57">
            <w:pPr>
              <w:spacing w:after="200"/>
              <w:rPr>
                <w:spacing w:val="-4"/>
              </w:rPr>
            </w:pPr>
            <w:r w:rsidRPr="00E65CA0">
              <w:rPr>
                <w:rFonts w:cs="Arial"/>
                <w:color w:val="0D0D0D" w:themeColor="text1" w:themeTint="F2"/>
                <w:spacing w:val="-4"/>
              </w:rPr>
              <w:t>Sektor vládních institucí (VI) v ČR hospodařil v 1.</w:t>
            </w:r>
            <w:r>
              <w:rPr>
                <w:rFonts w:cs="Arial"/>
                <w:color w:val="0D0D0D" w:themeColor="text1" w:themeTint="F2"/>
                <w:spacing w:val="-4"/>
              </w:rPr>
              <w:t> čtvrtlet</w:t>
            </w:r>
            <w:r w:rsidRPr="00E65CA0">
              <w:rPr>
                <w:rFonts w:cs="Arial"/>
                <w:color w:val="0D0D0D" w:themeColor="text1" w:themeTint="F2"/>
                <w:spacing w:val="-4"/>
              </w:rPr>
              <w:t>í 2021</w:t>
            </w:r>
            <w:r w:rsidRPr="00E65CA0">
              <w:rPr>
                <w:rStyle w:val="Znakapoznpodarou"/>
                <w:color w:val="0D0D0D" w:themeColor="text1" w:themeTint="F2"/>
                <w:spacing w:val="-4"/>
              </w:rPr>
              <w:footnoteReference w:id="20"/>
            </w:r>
            <w:r w:rsidRPr="00E65CA0">
              <w:rPr>
                <w:rFonts w:cs="Arial"/>
                <w:color w:val="0D0D0D" w:themeColor="text1" w:themeTint="F2"/>
                <w:spacing w:val="-4"/>
              </w:rPr>
              <w:t xml:space="preserve"> se schodkem 136</w:t>
            </w:r>
            <w:r>
              <w:rPr>
                <w:rFonts w:cs="Arial"/>
                <w:color w:val="0D0D0D" w:themeColor="text1" w:themeTint="F2"/>
                <w:spacing w:val="-4"/>
              </w:rPr>
              <w:t>,3 mld. korun</w:t>
            </w:r>
            <w:r w:rsidRPr="007B2DF8">
              <w:rPr>
                <w:rFonts w:cs="Arial"/>
                <w:color w:val="0D0D0D" w:themeColor="text1" w:themeTint="F2"/>
                <w:spacing w:val="-4"/>
                <w:szCs w:val="20"/>
              </w:rPr>
              <w:t xml:space="preserve">. </w:t>
            </w:r>
            <w:r w:rsidRPr="007B2DF8">
              <w:rPr>
                <w:rFonts w:cs="Arial"/>
                <w:szCs w:val="20"/>
              </w:rPr>
              <w:t xml:space="preserve">Šlo o nejhlubší zaznamenaný deficit za 1. čtvrtletí a </w:t>
            </w:r>
            <w:r>
              <w:rPr>
                <w:rFonts w:cs="Arial"/>
                <w:szCs w:val="20"/>
              </w:rPr>
              <w:t>druhý nejhorší výsledek</w:t>
            </w:r>
            <w:r w:rsidRPr="007B2DF8">
              <w:rPr>
                <w:rFonts w:cs="Arial"/>
                <w:szCs w:val="20"/>
              </w:rPr>
              <w:t xml:space="preserve"> vůbec (po 4. čtvrtletí 2020)</w:t>
            </w:r>
            <w:r w:rsidRPr="007B2DF8">
              <w:rPr>
                <w:rFonts w:cs="Arial"/>
                <w:color w:val="0D0D0D" w:themeColor="text1" w:themeTint="F2"/>
                <w:spacing w:val="-4"/>
                <w:szCs w:val="20"/>
              </w:rPr>
              <w:t>. Slabý</w:t>
            </w:r>
            <w:r w:rsidRPr="00E65CA0">
              <w:rPr>
                <w:rFonts w:cs="Arial"/>
                <w:color w:val="0D0D0D" w:themeColor="text1" w:themeTint="F2"/>
                <w:spacing w:val="-4"/>
              </w:rPr>
              <w:t xml:space="preserve"> růst příjmů (+0,8</w:t>
            </w:r>
            <w:r>
              <w:rPr>
                <w:rFonts w:cs="Arial"/>
                <w:color w:val="0D0D0D" w:themeColor="text1" w:themeTint="F2"/>
                <w:spacing w:val="-4"/>
              </w:rPr>
              <w:t> %</w:t>
            </w:r>
            <w:r w:rsidRPr="00E65CA0">
              <w:rPr>
                <w:rFonts w:cs="Arial"/>
                <w:color w:val="0D0D0D" w:themeColor="text1" w:themeTint="F2"/>
                <w:spacing w:val="-4"/>
              </w:rPr>
              <w:t xml:space="preserve"> meziročně) byl výrazně ovlivněn poklesem přijatých daní z důchodů a</w:t>
            </w:r>
            <w:r>
              <w:rPr>
                <w:rFonts w:cs="Arial"/>
                <w:color w:val="0D0D0D" w:themeColor="text1" w:themeTint="F2"/>
                <w:spacing w:val="-4"/>
              </w:rPr>
              <w:t> bohatství</w:t>
            </w:r>
            <w:r w:rsidRPr="00E65CA0">
              <w:rPr>
                <w:rFonts w:cs="Arial"/>
                <w:color w:val="0D0D0D" w:themeColor="text1" w:themeTint="F2"/>
                <w:spacing w:val="-4"/>
              </w:rPr>
              <w:t>, zejména vlivem daňových změn</w:t>
            </w:r>
            <w:r>
              <w:rPr>
                <w:rFonts w:cs="Arial"/>
                <w:color w:val="0D0D0D" w:themeColor="text1" w:themeTint="F2"/>
                <w:spacing w:val="-4"/>
              </w:rPr>
              <w:t>.</w:t>
            </w:r>
            <w:r w:rsidRPr="00E65CA0">
              <w:rPr>
                <w:rFonts w:cs="Arial"/>
                <w:color w:val="0D0D0D" w:themeColor="text1" w:themeTint="F2"/>
                <w:spacing w:val="-4"/>
              </w:rPr>
              <w:t xml:space="preserve"> Růst výdajů akceleroval (+14,1</w:t>
            </w:r>
            <w:r>
              <w:rPr>
                <w:rFonts w:cs="Arial"/>
                <w:color w:val="0D0D0D" w:themeColor="text1" w:themeTint="F2"/>
                <w:spacing w:val="-4"/>
              </w:rPr>
              <w:t> %</w:t>
            </w:r>
            <w:r w:rsidRPr="00E65CA0">
              <w:rPr>
                <w:rFonts w:cs="Arial"/>
                <w:color w:val="0D0D0D" w:themeColor="text1" w:themeTint="F2"/>
                <w:spacing w:val="-4"/>
              </w:rPr>
              <w:t>), hlavně pod taktovkou sociálních dávek a naturálních transferů a také silného přírůstku vyplacených dotací. Sezónně očištěné saldo hospodaření VI</w:t>
            </w:r>
            <w:r>
              <w:rPr>
                <w:rFonts w:cs="Arial"/>
                <w:color w:val="0D0D0D" w:themeColor="text1" w:themeTint="F2"/>
                <w:spacing w:val="-4"/>
              </w:rPr>
              <w:t xml:space="preserve"> </w:t>
            </w:r>
            <w:r w:rsidRPr="00E65CA0">
              <w:rPr>
                <w:rFonts w:cs="Arial"/>
                <w:color w:val="0D0D0D" w:themeColor="text1" w:themeTint="F2"/>
                <w:spacing w:val="-4"/>
              </w:rPr>
              <w:t xml:space="preserve">činilo </w:t>
            </w:r>
            <w:r w:rsidRPr="00E65CA0">
              <w:rPr>
                <w:spacing w:val="-4"/>
              </w:rPr>
              <w:t>–</w:t>
            </w:r>
            <w:r w:rsidRPr="00E65CA0">
              <w:rPr>
                <w:rFonts w:cs="Arial"/>
                <w:color w:val="0D0D0D" w:themeColor="text1" w:themeTint="F2"/>
                <w:spacing w:val="-4"/>
              </w:rPr>
              <w:t>8,8</w:t>
            </w:r>
            <w:r>
              <w:rPr>
                <w:rFonts w:cs="Arial"/>
                <w:color w:val="0D0D0D" w:themeColor="text1" w:themeTint="F2"/>
                <w:spacing w:val="-4"/>
              </w:rPr>
              <w:t> %</w:t>
            </w:r>
            <w:r w:rsidRPr="00E65CA0">
              <w:rPr>
                <w:rFonts w:cs="Arial"/>
                <w:color w:val="0D0D0D" w:themeColor="text1" w:themeTint="F2"/>
                <w:spacing w:val="-4"/>
              </w:rPr>
              <w:t xml:space="preserve"> </w:t>
            </w:r>
            <w:r w:rsidRPr="00E65CA0">
              <w:rPr>
                <w:rFonts w:cs="Arial"/>
                <w:color w:val="0D0D0D" w:themeColor="text1" w:themeTint="F2"/>
                <w:spacing w:val="-4"/>
              </w:rPr>
              <w:lastRenderedPageBreak/>
              <w:t>HDP, což znamenalo zhoršení v meziročním (o</w:t>
            </w:r>
            <w:r>
              <w:rPr>
                <w:rFonts w:cs="Arial"/>
                <w:color w:val="0D0D0D" w:themeColor="text1" w:themeTint="F2"/>
                <w:spacing w:val="-4"/>
              </w:rPr>
              <w:t> 6,1 p. b.</w:t>
            </w:r>
            <w:r w:rsidRPr="00E65CA0">
              <w:rPr>
                <w:rFonts w:cs="Arial"/>
                <w:color w:val="0D0D0D" w:themeColor="text1" w:themeTint="F2"/>
                <w:spacing w:val="-4"/>
              </w:rPr>
              <w:t>), ale i</w:t>
            </w:r>
            <w:r>
              <w:rPr>
                <w:rFonts w:cs="Arial"/>
                <w:color w:val="0D0D0D" w:themeColor="text1" w:themeTint="F2"/>
                <w:spacing w:val="-4"/>
              </w:rPr>
              <w:t> </w:t>
            </w:r>
            <w:r w:rsidRPr="00E65CA0">
              <w:rPr>
                <w:rFonts w:cs="Arial"/>
                <w:color w:val="0D0D0D" w:themeColor="text1" w:themeTint="F2"/>
                <w:spacing w:val="-4"/>
              </w:rPr>
              <w:t>mezikvart</w:t>
            </w:r>
            <w:r>
              <w:rPr>
                <w:rFonts w:cs="Arial"/>
                <w:color w:val="0D0D0D" w:themeColor="text1" w:themeTint="F2"/>
                <w:spacing w:val="-4"/>
              </w:rPr>
              <w:t>álním vyjádření</w:t>
            </w:r>
            <w:r w:rsidRPr="00E65CA0">
              <w:rPr>
                <w:rFonts w:cs="Arial"/>
                <w:color w:val="0D0D0D" w:themeColor="text1" w:themeTint="F2"/>
                <w:spacing w:val="-4"/>
              </w:rPr>
              <w:t xml:space="preserve"> (</w:t>
            </w:r>
            <w:r>
              <w:rPr>
                <w:rFonts w:cs="Arial"/>
                <w:color w:val="0D0D0D" w:themeColor="text1" w:themeTint="F2"/>
                <w:spacing w:val="-4"/>
              </w:rPr>
              <w:t>o </w:t>
            </w:r>
            <w:r w:rsidRPr="00E65CA0">
              <w:rPr>
                <w:rFonts w:cs="Arial"/>
                <w:color w:val="0D0D0D" w:themeColor="text1" w:themeTint="F2"/>
                <w:spacing w:val="-4"/>
              </w:rPr>
              <w:t>0,7</w:t>
            </w:r>
            <w:r>
              <w:rPr>
                <w:rFonts w:cs="Arial"/>
                <w:color w:val="0D0D0D" w:themeColor="text1" w:themeTint="F2"/>
                <w:spacing w:val="-4"/>
              </w:rPr>
              <w:t> p. b.</w:t>
            </w:r>
            <w:r w:rsidRPr="00E65CA0">
              <w:rPr>
                <w:rFonts w:cs="Arial"/>
                <w:color w:val="0D0D0D" w:themeColor="text1" w:themeTint="F2"/>
                <w:spacing w:val="-4"/>
              </w:rPr>
              <w:t xml:space="preserve">). </w:t>
            </w:r>
            <w:r w:rsidRPr="00E65CA0">
              <w:rPr>
                <w:spacing w:val="-4"/>
              </w:rPr>
              <w:t>Nominální dluh VI dosáhl letos na konci 1.</w:t>
            </w:r>
            <w:r>
              <w:rPr>
                <w:spacing w:val="-4"/>
              </w:rPr>
              <w:t> čtvrtlet</w:t>
            </w:r>
            <w:r w:rsidRPr="00E65CA0">
              <w:rPr>
                <w:spacing w:val="-4"/>
              </w:rPr>
              <w:t>í 2</w:t>
            </w:r>
            <w:r>
              <w:rPr>
                <w:rFonts w:cs="Arial"/>
                <w:color w:val="0D0D0D" w:themeColor="text1" w:themeTint="F2"/>
                <w:spacing w:val="-4"/>
              </w:rPr>
              <w:t> </w:t>
            </w:r>
            <w:r w:rsidRPr="00E65CA0">
              <w:rPr>
                <w:spacing w:val="-4"/>
              </w:rPr>
              <w:t>519</w:t>
            </w:r>
            <w:r>
              <w:rPr>
                <w:spacing w:val="-4"/>
              </w:rPr>
              <w:t>,1 mld.</w:t>
            </w:r>
            <w:r w:rsidRPr="00E65CA0">
              <w:rPr>
                <w:spacing w:val="-4"/>
              </w:rPr>
              <w:t xml:space="preserve"> korun. Míra zadlužení meziročně vzrostla – z 32,4</w:t>
            </w:r>
            <w:r>
              <w:rPr>
                <w:spacing w:val="-4"/>
              </w:rPr>
              <w:t> %</w:t>
            </w:r>
            <w:r w:rsidRPr="00E65CA0">
              <w:rPr>
                <w:spacing w:val="-4"/>
              </w:rPr>
              <w:t xml:space="preserve"> na 44,1</w:t>
            </w:r>
            <w:r>
              <w:rPr>
                <w:spacing w:val="-4"/>
              </w:rPr>
              <w:t> %</w:t>
            </w:r>
            <w:r w:rsidRPr="00E65CA0">
              <w:rPr>
                <w:spacing w:val="-4"/>
              </w:rPr>
              <w:t xml:space="preserve"> HDP. Na rekordním růstu zadlužení se podepsal i</w:t>
            </w:r>
            <w:r>
              <w:rPr>
                <w:spacing w:val="-4"/>
              </w:rPr>
              <w:t> </w:t>
            </w:r>
            <w:r w:rsidRPr="00E65CA0">
              <w:rPr>
                <w:spacing w:val="-4"/>
              </w:rPr>
              <w:t>klesající nominální HDP, dominantně (takřka z </w:t>
            </w:r>
            <w:r>
              <w:rPr>
                <w:spacing w:val="-4"/>
              </w:rPr>
              <w:t>95</w:t>
            </w:r>
            <w:r w:rsidRPr="00E65CA0">
              <w:rPr>
                <w:rFonts w:cs="Arial"/>
                <w:color w:val="0D0D0D" w:themeColor="text1" w:themeTint="F2"/>
                <w:spacing w:val="-4"/>
              </w:rPr>
              <w:t> </w:t>
            </w:r>
            <w:r w:rsidRPr="00E65CA0">
              <w:rPr>
                <w:spacing w:val="-4"/>
              </w:rPr>
              <w:t>%) však odrážel akceleraci absolutní výše dluhu.</w:t>
            </w:r>
          </w:p>
        </w:tc>
      </w:tr>
      <w:tr w:rsidR="00BB50C0" w:rsidRPr="00343AC1" w14:paraId="53BBF896" w14:textId="77777777" w:rsidTr="00F57D57">
        <w:trPr>
          <w:trHeight w:val="170"/>
        </w:trPr>
        <w:tc>
          <w:tcPr>
            <w:tcW w:w="1732" w:type="dxa"/>
            <w:shd w:val="clear" w:color="auto" w:fill="auto"/>
            <w:tcMar>
              <w:left w:w="0" w:type="dxa"/>
            </w:tcMar>
          </w:tcPr>
          <w:p w14:paraId="42DF68B9" w14:textId="77777777" w:rsidR="00BB50C0" w:rsidRDefault="00BB50C0" w:rsidP="00F57D57">
            <w:pPr>
              <w:pStyle w:val="Marginlie"/>
            </w:pPr>
            <w:r>
              <w:lastRenderedPageBreak/>
              <w:t>Schodek hospodaření vládních institucí se oproti konci roku 2020 v EU mírně snížil, v Česku narostl.</w:t>
            </w:r>
          </w:p>
          <w:p w14:paraId="0FC15A73" w14:textId="77777777" w:rsidR="00BB50C0" w:rsidRDefault="00BB50C0" w:rsidP="00F57D57">
            <w:pPr>
              <w:pStyle w:val="Marginlie"/>
            </w:pPr>
          </w:p>
          <w:p w14:paraId="07B7AE12" w14:textId="77777777" w:rsidR="00BB50C0" w:rsidRDefault="00BB50C0" w:rsidP="00F57D57">
            <w:pPr>
              <w:pStyle w:val="Marginlie"/>
            </w:pPr>
          </w:p>
          <w:p w14:paraId="2C9D962C" w14:textId="77777777" w:rsidR="00BB50C0" w:rsidRDefault="00BB50C0" w:rsidP="00F57D57">
            <w:pPr>
              <w:pStyle w:val="Marginlie"/>
            </w:pPr>
          </w:p>
          <w:p w14:paraId="3496E137" w14:textId="77777777" w:rsidR="00BB50C0" w:rsidRDefault="00BB50C0" w:rsidP="00F57D57">
            <w:pPr>
              <w:pStyle w:val="Marginlie"/>
            </w:pPr>
          </w:p>
          <w:p w14:paraId="1B4ABC8C" w14:textId="77777777" w:rsidR="00BB50C0" w:rsidRDefault="00BB50C0" w:rsidP="00F57D57">
            <w:pPr>
              <w:pStyle w:val="Marginlie"/>
            </w:pPr>
          </w:p>
          <w:p w14:paraId="1D2FF7DD" w14:textId="77777777" w:rsidR="00BB50C0" w:rsidRDefault="00BB50C0" w:rsidP="00F57D57">
            <w:pPr>
              <w:pStyle w:val="Marginlie"/>
            </w:pPr>
            <w:r>
              <w:t>Míra zadlužení vzrostla oproti předpandemické úrovni nejvíce v zemích jižní Evropy. Růst v ČR byl v kontextu zemí s nižší úrovní zadlužení poměrně silný.</w:t>
            </w:r>
          </w:p>
        </w:tc>
        <w:tc>
          <w:tcPr>
            <w:tcW w:w="217" w:type="dxa"/>
            <w:shd w:val="clear" w:color="auto" w:fill="auto"/>
            <w:tcMar>
              <w:left w:w="0" w:type="dxa"/>
            </w:tcMar>
          </w:tcPr>
          <w:p w14:paraId="5444AB2E" w14:textId="77777777" w:rsidR="00BB50C0" w:rsidRDefault="00BB50C0" w:rsidP="00F57D57">
            <w:pPr>
              <w:pStyle w:val="Textpoznpodarou"/>
              <w:jc w:val="both"/>
              <w:rPr>
                <w:spacing w:val="-4"/>
              </w:rPr>
            </w:pPr>
          </w:p>
        </w:tc>
        <w:tc>
          <w:tcPr>
            <w:tcW w:w="7720" w:type="dxa"/>
            <w:shd w:val="clear" w:color="auto" w:fill="auto"/>
            <w:tcMar>
              <w:left w:w="0" w:type="dxa"/>
            </w:tcMar>
          </w:tcPr>
          <w:p w14:paraId="6967F201" w14:textId="77777777" w:rsidR="00BB50C0" w:rsidRPr="000D151F" w:rsidRDefault="00BB50C0" w:rsidP="00F57D57">
            <w:pPr>
              <w:spacing w:after="0"/>
              <w:rPr>
                <w:spacing w:val="-4"/>
              </w:rPr>
            </w:pPr>
            <w:r>
              <w:rPr>
                <w:spacing w:val="-4"/>
              </w:rPr>
              <w:t xml:space="preserve">Schodek hospodaření sektoru vládních institucí v zemích EU (po sezónním očištění) se po rekordním propadu v počáteční fázi pandemie (na </w:t>
            </w:r>
            <w:r w:rsidRPr="00E65CA0">
              <w:rPr>
                <w:spacing w:val="-4"/>
              </w:rPr>
              <w:t>–</w:t>
            </w:r>
            <w:r>
              <w:rPr>
                <w:spacing w:val="-4"/>
              </w:rPr>
              <w:t xml:space="preserve">11,8 % HDP ve 2. čtvrtletí 2020) částečně stabilizoval. V první čtvrtině letošního roku činil </w:t>
            </w:r>
            <w:r w:rsidRPr="00E65CA0">
              <w:rPr>
                <w:spacing w:val="-4"/>
              </w:rPr>
              <w:t>–</w:t>
            </w:r>
            <w:r>
              <w:rPr>
                <w:spacing w:val="-4"/>
              </w:rPr>
              <w:t>6,8 % HDP a na rozdíl od Česka doznal ve srovnání s posledním loňským čtvrtletím pozitivního posunu. Mezičtvrtletní prohloubení deficitu sice letos zaznamenaly např. i Polsko a Německo, výše jejich schodku byla ovšem ve srovnání s ČR mírnější (</w:t>
            </w:r>
            <w:r w:rsidRPr="00E65CA0">
              <w:rPr>
                <w:spacing w:val="-4"/>
              </w:rPr>
              <w:t>–</w:t>
            </w:r>
            <w:r>
              <w:rPr>
                <w:spacing w:val="-4"/>
              </w:rPr>
              <w:t xml:space="preserve">2,6 %, resp. </w:t>
            </w:r>
            <w:r w:rsidRPr="00E65CA0">
              <w:rPr>
                <w:spacing w:val="-4"/>
              </w:rPr>
              <w:t>–</w:t>
            </w:r>
            <w:r>
              <w:rPr>
                <w:spacing w:val="-4"/>
              </w:rPr>
              <w:t>6,0 % HDP). Hluboké schodky (na úrovni ČR) sužovaly na počátku letošního roku také Španělsko, Francii, Maďarsko či Rumunsko. Naopak přebytek hospodaření vykázaly jen Dánsko a Lucembursko. Nepříznivý vývoj veřejných rozpočtů se logicky promítl v oblasti dluhu. Míra zadlužení VI v Unii vzrostla již na počátku loňského roku a po výrazné akceleraci ve 2. čtvrtletí (nad úroveň maxima z hospodářské recese 2013) pokračovala v mírnějším růstu až na 92,9 % HDP (v 1. čtvrtletí 2021). Oproti konci roku 2019 se letos zadlužení zvýšilo ve všech státech Unie, nejvíce v zemích jižního křídla eurozóny, které patřily v tomto ohledu k nejpostiženějším ještě před vzplanutím pandemie. Ze „středně zadlužených ekonomik“ zaznamenalo v tomto období nejméně příznivý vývoj Slovinsko (ze 65,6 % na 86,0 % HDP). Mezi státy plnícími maastrichtské dluhové kritérium si vedly nejhůře Malta (+17,0 p. b., na 59,0 % HDP) a Česko (+14,1 p. b.).</w:t>
            </w:r>
          </w:p>
        </w:tc>
      </w:tr>
    </w:tbl>
    <w:p w14:paraId="6D3C85BB" w14:textId="77777777" w:rsidR="002E1F8A" w:rsidRPr="000F45E7" w:rsidRDefault="002E1F8A" w:rsidP="002E1F8A">
      <w:pPr>
        <w:pStyle w:val="Nadpis11"/>
        <w:spacing w:after="0"/>
        <w:rPr>
          <w:b w:val="0"/>
          <w:sz w:val="2"/>
          <w:szCs w:val="2"/>
        </w:rPr>
      </w:pPr>
    </w:p>
    <w:p w14:paraId="45E33EB6" w14:textId="77777777" w:rsidR="00AB3BA7" w:rsidRPr="000F45E7" w:rsidRDefault="00AB3BA7" w:rsidP="00AB3BA7">
      <w:pPr>
        <w:pStyle w:val="Nadpis11"/>
        <w:spacing w:after="0"/>
        <w:rPr>
          <w:b w:val="0"/>
          <w:sz w:val="2"/>
          <w:szCs w:val="2"/>
        </w:rPr>
      </w:pPr>
    </w:p>
    <w:p w14:paraId="39E9959F" w14:textId="77777777" w:rsidR="000663F0" w:rsidRPr="00E42054" w:rsidRDefault="000663F0" w:rsidP="00AB3BA7">
      <w:pPr>
        <w:pStyle w:val="Nadpis11"/>
        <w:rPr>
          <w:b w:val="0"/>
          <w:sz w:val="2"/>
          <w:szCs w:val="2"/>
        </w:rPr>
      </w:pPr>
    </w:p>
    <w:sectPr w:rsidR="000663F0" w:rsidRPr="00E42054" w:rsidSect="00BE1361">
      <w:headerReference w:type="even" r:id="rId11"/>
      <w:headerReference w:type="default" r:id="rId12"/>
      <w:footerReference w:type="even" r:id="rId13"/>
      <w:footerReference w:type="default" r:id="rId14"/>
      <w:pgSz w:w="11906" w:h="16838" w:code="9"/>
      <w:pgMar w:top="1134" w:right="1134" w:bottom="1418" w:left="1134" w:header="680" w:footer="737"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C4AB" w14:textId="77777777" w:rsidR="008C0EE2" w:rsidRDefault="008C0EE2" w:rsidP="00E71A58">
      <w:r>
        <w:separator/>
      </w:r>
    </w:p>
  </w:endnote>
  <w:endnote w:type="continuationSeparator" w:id="0">
    <w:p w14:paraId="0E2A7014" w14:textId="77777777" w:rsidR="008C0EE2" w:rsidRDefault="008C0EE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1E56D530" w:rsidR="00C872AA" w:rsidRPr="00932443" w:rsidRDefault="00C872AA"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E1361">
      <w:rPr>
        <w:szCs w:val="16"/>
      </w:rPr>
      <w:t>32</w:t>
    </w:r>
    <w:r w:rsidRPr="00932443">
      <w:rPr>
        <w:szCs w:val="16"/>
      </w:rPr>
      <w:fldChar w:fldCharType="end"/>
    </w:r>
    <w:r w:rsidRPr="00932443">
      <w:rPr>
        <w:szCs w:val="16"/>
      </w:rPr>
      <w:tab/>
    </w:r>
    <w:r>
      <w:rPr>
        <w:szCs w:val="16"/>
      </w:rPr>
      <w:t>1. pololetí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19E14CD" w:rsidR="00C872AA" w:rsidRPr="00932443" w:rsidRDefault="00C872AA" w:rsidP="00FA6CB6">
    <w:pPr>
      <w:pStyle w:val="Zpat"/>
      <w:rPr>
        <w:szCs w:val="16"/>
      </w:rPr>
    </w:pPr>
    <w:r w:rsidRPr="00FA6CB6">
      <w:rPr>
        <w:szCs w:val="16"/>
      </w:rPr>
      <w:tab/>
    </w:r>
    <w:r>
      <w:rPr>
        <w:szCs w:val="16"/>
      </w:rPr>
      <w:t>1. pololetí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E1361">
      <w:rPr>
        <w:rStyle w:val="ZpatChar"/>
        <w:szCs w:val="16"/>
      </w:rPr>
      <w:t>33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6A36" w14:textId="77777777" w:rsidR="008C0EE2" w:rsidRDefault="008C0EE2" w:rsidP="00A21B4D">
      <w:pPr>
        <w:spacing w:after="0"/>
      </w:pPr>
      <w:r>
        <w:separator/>
      </w:r>
    </w:p>
  </w:footnote>
  <w:footnote w:type="continuationSeparator" w:id="0">
    <w:p w14:paraId="61DB5F47" w14:textId="77777777" w:rsidR="008C0EE2" w:rsidRDefault="008C0EE2" w:rsidP="00E71A58">
      <w:r>
        <w:continuationSeparator/>
      </w:r>
    </w:p>
  </w:footnote>
  <w:footnote w:id="1">
    <w:p w14:paraId="76F8A8A2" w14:textId="77777777" w:rsidR="00C872AA" w:rsidRPr="004A27B5" w:rsidRDefault="00C872AA" w:rsidP="00BB50C0">
      <w:pPr>
        <w:pStyle w:val="Textpoznpodarou"/>
        <w:jc w:val="both"/>
        <w:rPr>
          <w:spacing w:val="-3"/>
          <w:sz w:val="16"/>
          <w:szCs w:val="16"/>
        </w:rPr>
      </w:pPr>
      <w:r w:rsidRPr="004A27B5">
        <w:rPr>
          <w:rStyle w:val="Znakapoznpodarou"/>
          <w:spacing w:val="-3"/>
          <w:sz w:val="16"/>
          <w:szCs w:val="16"/>
        </w:rPr>
        <w:footnoteRef/>
      </w:r>
      <w:r w:rsidRPr="004A27B5">
        <w:rPr>
          <w:spacing w:val="-3"/>
          <w:sz w:val="16"/>
          <w:szCs w:val="16"/>
        </w:rPr>
        <w:t xml:space="preserve"> </w:t>
      </w:r>
      <w:r w:rsidRPr="004A27B5">
        <w:rPr>
          <w:color w:val="0D0D0D" w:themeColor="text1" w:themeTint="F2"/>
          <w:spacing w:val="-3"/>
          <w:sz w:val="16"/>
          <w:szCs w:val="16"/>
        </w:rPr>
        <w:t xml:space="preserve">Pokud není uvedeno jinak, vycházejí všechny údaje týkající se státního rozpočtu </w:t>
      </w:r>
      <w:r w:rsidRPr="004A27B5">
        <w:rPr>
          <w:rFonts w:cs="Arial"/>
          <w:color w:val="0D0D0D" w:themeColor="text1" w:themeTint="F2"/>
          <w:spacing w:val="-3"/>
          <w:sz w:val="16"/>
          <w:szCs w:val="16"/>
        </w:rPr>
        <w:t>z dat Ministerstva financí o pokladním plnění.</w:t>
      </w:r>
    </w:p>
  </w:footnote>
  <w:footnote w:id="2">
    <w:p w14:paraId="3C6A4BAF" w14:textId="77777777" w:rsidR="00C872AA" w:rsidRPr="004A27B5" w:rsidRDefault="00C872AA" w:rsidP="00BB50C0">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Na sdílených daní</w:t>
      </w:r>
      <w:r>
        <w:rPr>
          <w:spacing w:val="-2"/>
          <w:sz w:val="16"/>
          <w:szCs w:val="16"/>
        </w:rPr>
        <w:t>ch</w:t>
      </w:r>
      <w:r w:rsidRPr="004A27B5">
        <w:rPr>
          <w:spacing w:val="-2"/>
          <w:sz w:val="16"/>
          <w:szCs w:val="16"/>
        </w:rPr>
        <w:t xml:space="preserve"> (DPH, da</w:t>
      </w:r>
      <w:r>
        <w:rPr>
          <w:spacing w:val="-2"/>
          <w:sz w:val="16"/>
          <w:szCs w:val="16"/>
        </w:rPr>
        <w:t>ň</w:t>
      </w:r>
      <w:r w:rsidRPr="004A27B5">
        <w:rPr>
          <w:spacing w:val="-2"/>
          <w:sz w:val="16"/>
          <w:szCs w:val="16"/>
        </w:rPr>
        <w:t xml:space="preserve"> z příjmu) tak inkasoval SR v 1</w:t>
      </w:r>
      <w:r>
        <w:rPr>
          <w:spacing w:val="-2"/>
          <w:sz w:val="16"/>
          <w:szCs w:val="16"/>
        </w:rPr>
        <w:t>. letošním pololet</w:t>
      </w:r>
      <w:r w:rsidRPr="004A27B5">
        <w:rPr>
          <w:spacing w:val="-2"/>
          <w:sz w:val="16"/>
          <w:szCs w:val="16"/>
        </w:rPr>
        <w:t>í o</w:t>
      </w:r>
      <w:r>
        <w:rPr>
          <w:spacing w:val="-2"/>
          <w:sz w:val="16"/>
          <w:szCs w:val="16"/>
        </w:rPr>
        <w:t> 12,4 mld.</w:t>
      </w:r>
      <w:r w:rsidRPr="004A27B5">
        <w:rPr>
          <w:spacing w:val="-2"/>
          <w:sz w:val="16"/>
          <w:szCs w:val="16"/>
        </w:rPr>
        <w:t xml:space="preserve"> korun méně.</w:t>
      </w:r>
    </w:p>
  </w:footnote>
  <w:footnote w:id="3">
    <w:p w14:paraId="54E643BA" w14:textId="77777777" w:rsidR="00C872AA" w:rsidRPr="006E4C3F" w:rsidRDefault="00C872AA" w:rsidP="00BB50C0">
      <w:pPr>
        <w:pStyle w:val="Textpoznpodarou"/>
        <w:rPr>
          <w:sz w:val="16"/>
          <w:szCs w:val="16"/>
        </w:rPr>
      </w:pPr>
      <w:r w:rsidRPr="006E4C3F">
        <w:rPr>
          <w:rStyle w:val="Znakapoznpodarou"/>
          <w:sz w:val="16"/>
          <w:szCs w:val="16"/>
        </w:rPr>
        <w:footnoteRef/>
      </w:r>
      <w:r>
        <w:rPr>
          <w:sz w:val="16"/>
          <w:szCs w:val="16"/>
        </w:rPr>
        <w:t xml:space="preserve"> Za výší z 1. pololetí 2019 </w:t>
      </w:r>
      <w:r w:rsidRPr="006E4C3F">
        <w:rPr>
          <w:sz w:val="16"/>
          <w:szCs w:val="16"/>
        </w:rPr>
        <w:t>letošní příjmy SR o</w:t>
      </w:r>
      <w:r>
        <w:rPr>
          <w:sz w:val="16"/>
          <w:szCs w:val="16"/>
        </w:rPr>
        <w:t> </w:t>
      </w:r>
      <w:r w:rsidRPr="006E4C3F">
        <w:rPr>
          <w:sz w:val="16"/>
          <w:szCs w:val="16"/>
        </w:rPr>
        <w:t>4,2</w:t>
      </w:r>
      <w:r>
        <w:rPr>
          <w:sz w:val="16"/>
          <w:szCs w:val="16"/>
        </w:rPr>
        <w:t> %</w:t>
      </w:r>
      <w:r w:rsidRPr="006E4C3F">
        <w:rPr>
          <w:sz w:val="16"/>
          <w:szCs w:val="16"/>
        </w:rPr>
        <w:t xml:space="preserve"> zaostávaly.</w:t>
      </w:r>
    </w:p>
  </w:footnote>
  <w:footnote w:id="4">
    <w:p w14:paraId="20C11788" w14:textId="77777777" w:rsidR="00C872AA" w:rsidRPr="004A27B5" w:rsidRDefault="00C872AA" w:rsidP="00BB50C0">
      <w:pPr>
        <w:pStyle w:val="Textpoznpodarou"/>
        <w:rPr>
          <w:spacing w:val="-3"/>
          <w:sz w:val="16"/>
          <w:szCs w:val="16"/>
        </w:rPr>
      </w:pPr>
      <w:r w:rsidRPr="004A27B5">
        <w:rPr>
          <w:rStyle w:val="Znakapoznpodarou"/>
          <w:spacing w:val="-3"/>
          <w:sz w:val="16"/>
          <w:szCs w:val="16"/>
        </w:rPr>
        <w:footnoteRef/>
      </w:r>
      <w:r w:rsidRPr="004A27B5">
        <w:rPr>
          <w:spacing w:val="-3"/>
          <w:sz w:val="16"/>
          <w:szCs w:val="16"/>
        </w:rPr>
        <w:t xml:space="preserve"> </w:t>
      </w:r>
      <w:r>
        <w:rPr>
          <w:spacing w:val="-3"/>
          <w:sz w:val="16"/>
          <w:szCs w:val="16"/>
        </w:rPr>
        <w:t xml:space="preserve">Tato diskrepance byla </w:t>
      </w:r>
      <w:r w:rsidRPr="004A27B5">
        <w:rPr>
          <w:spacing w:val="-3"/>
          <w:sz w:val="16"/>
          <w:szCs w:val="16"/>
        </w:rPr>
        <w:t>čá</w:t>
      </w:r>
      <w:r>
        <w:rPr>
          <w:spacing w:val="-3"/>
          <w:sz w:val="16"/>
          <w:szCs w:val="16"/>
        </w:rPr>
        <w:t>stečně kompenzována mimořádnými letošními</w:t>
      </w:r>
      <w:r w:rsidRPr="004A27B5">
        <w:rPr>
          <w:spacing w:val="-3"/>
          <w:sz w:val="16"/>
          <w:szCs w:val="16"/>
        </w:rPr>
        <w:t xml:space="preserve"> výnosy z a</w:t>
      </w:r>
      <w:r>
        <w:rPr>
          <w:spacing w:val="-3"/>
          <w:sz w:val="16"/>
          <w:szCs w:val="16"/>
        </w:rPr>
        <w:t>u</w:t>
      </w:r>
      <w:r w:rsidRPr="004A27B5">
        <w:rPr>
          <w:spacing w:val="-3"/>
          <w:sz w:val="16"/>
          <w:szCs w:val="16"/>
        </w:rPr>
        <w:t>kce kmitočtů (+5,6</w:t>
      </w:r>
      <w:r>
        <w:rPr>
          <w:spacing w:val="-3"/>
          <w:sz w:val="16"/>
          <w:szCs w:val="16"/>
        </w:rPr>
        <w:t> mld.</w:t>
      </w:r>
      <w:r w:rsidRPr="004A27B5">
        <w:rPr>
          <w:spacing w:val="-3"/>
          <w:sz w:val="16"/>
          <w:szCs w:val="16"/>
        </w:rPr>
        <w:t>).</w:t>
      </w:r>
    </w:p>
  </w:footnote>
  <w:footnote w:id="5">
    <w:p w14:paraId="2AB07188" w14:textId="77777777" w:rsidR="00C872AA" w:rsidRPr="00277984" w:rsidRDefault="00C872AA" w:rsidP="00BB50C0">
      <w:pPr>
        <w:pStyle w:val="Textpoznpodarou"/>
        <w:rPr>
          <w:sz w:val="16"/>
          <w:szCs w:val="16"/>
        </w:rPr>
      </w:pPr>
      <w:r w:rsidRPr="00277984">
        <w:rPr>
          <w:rStyle w:val="Znakapoznpodarou"/>
          <w:sz w:val="16"/>
          <w:szCs w:val="16"/>
        </w:rPr>
        <w:footnoteRef/>
      </w:r>
      <w:r w:rsidRPr="00277984">
        <w:rPr>
          <w:sz w:val="16"/>
          <w:szCs w:val="16"/>
        </w:rPr>
        <w:t xml:space="preserve"> Nižší sazba na stravovací a</w:t>
      </w:r>
      <w:r>
        <w:rPr>
          <w:sz w:val="16"/>
          <w:szCs w:val="16"/>
        </w:rPr>
        <w:t> </w:t>
      </w:r>
      <w:r w:rsidRPr="00277984">
        <w:rPr>
          <w:sz w:val="16"/>
          <w:szCs w:val="16"/>
        </w:rPr>
        <w:t>další služby byla zavedena loni od května a</w:t>
      </w:r>
      <w:r>
        <w:rPr>
          <w:sz w:val="16"/>
          <w:szCs w:val="16"/>
        </w:rPr>
        <w:t> </w:t>
      </w:r>
      <w:r w:rsidRPr="00277984">
        <w:rPr>
          <w:sz w:val="16"/>
          <w:szCs w:val="16"/>
        </w:rPr>
        <w:t xml:space="preserve">července. Letošní inkaso DPH </w:t>
      </w:r>
      <w:r>
        <w:rPr>
          <w:sz w:val="16"/>
          <w:szCs w:val="16"/>
        </w:rPr>
        <w:t>bylo mírně tlumeno i dočasným</w:t>
      </w:r>
      <w:r w:rsidRPr="00277984">
        <w:rPr>
          <w:sz w:val="16"/>
          <w:szCs w:val="16"/>
        </w:rPr>
        <w:t xml:space="preserve"> prominutí</w:t>
      </w:r>
      <w:r>
        <w:rPr>
          <w:sz w:val="16"/>
          <w:szCs w:val="16"/>
        </w:rPr>
        <w:t>m</w:t>
      </w:r>
      <w:r w:rsidRPr="00277984">
        <w:rPr>
          <w:sz w:val="16"/>
          <w:szCs w:val="16"/>
        </w:rPr>
        <w:t xml:space="preserve"> daně u</w:t>
      </w:r>
      <w:r>
        <w:rPr>
          <w:sz w:val="16"/>
          <w:szCs w:val="16"/>
        </w:rPr>
        <w:t> </w:t>
      </w:r>
      <w:r w:rsidRPr="00277984">
        <w:rPr>
          <w:sz w:val="16"/>
          <w:szCs w:val="16"/>
        </w:rPr>
        <w:t>ochranných pomůcek (</w:t>
      </w:r>
      <w:r>
        <w:rPr>
          <w:sz w:val="16"/>
          <w:szCs w:val="16"/>
        </w:rPr>
        <w:t>např. respirátorů) a u testů i </w:t>
      </w:r>
      <w:r w:rsidRPr="00277984">
        <w:rPr>
          <w:sz w:val="16"/>
          <w:szCs w:val="16"/>
        </w:rPr>
        <w:t xml:space="preserve">vakcín souvisejících s epidemií </w:t>
      </w:r>
      <w:r>
        <w:rPr>
          <w:sz w:val="16"/>
          <w:szCs w:val="16"/>
        </w:rPr>
        <w:t>c</w:t>
      </w:r>
      <w:r w:rsidRPr="00277984">
        <w:rPr>
          <w:sz w:val="16"/>
          <w:szCs w:val="16"/>
        </w:rPr>
        <w:t>ovid</w:t>
      </w:r>
      <w:r>
        <w:rPr>
          <w:sz w:val="16"/>
          <w:szCs w:val="16"/>
        </w:rPr>
        <w:t>u</w:t>
      </w:r>
      <w:r w:rsidRPr="00277984">
        <w:rPr>
          <w:sz w:val="16"/>
          <w:szCs w:val="16"/>
        </w:rPr>
        <w:t>-19.</w:t>
      </w:r>
    </w:p>
  </w:footnote>
  <w:footnote w:id="6">
    <w:p w14:paraId="4E003FED" w14:textId="77777777" w:rsidR="00C872AA" w:rsidRPr="005F4CA2" w:rsidRDefault="00C872AA" w:rsidP="00BB50C0">
      <w:pPr>
        <w:pStyle w:val="Textpoznpodarou"/>
        <w:rPr>
          <w:sz w:val="16"/>
          <w:szCs w:val="16"/>
        </w:rPr>
      </w:pPr>
      <w:r w:rsidRPr="005F4CA2">
        <w:rPr>
          <w:rStyle w:val="Znakapoznpodarou"/>
          <w:sz w:val="16"/>
          <w:szCs w:val="16"/>
        </w:rPr>
        <w:footnoteRef/>
      </w:r>
      <w:r w:rsidRPr="005F4CA2">
        <w:rPr>
          <w:sz w:val="16"/>
          <w:szCs w:val="16"/>
        </w:rPr>
        <w:t xml:space="preserve"> Pokles sazby o</w:t>
      </w:r>
      <w:r>
        <w:rPr>
          <w:sz w:val="16"/>
          <w:szCs w:val="16"/>
        </w:rPr>
        <w:t> </w:t>
      </w:r>
      <w:r w:rsidRPr="005F4CA2">
        <w:rPr>
          <w:sz w:val="16"/>
          <w:szCs w:val="16"/>
        </w:rPr>
        <w:t>1</w:t>
      </w:r>
      <w:r>
        <w:rPr>
          <w:sz w:val="16"/>
          <w:szCs w:val="16"/>
        </w:rPr>
        <w:t> </w:t>
      </w:r>
      <w:r w:rsidRPr="005F4CA2">
        <w:rPr>
          <w:sz w:val="16"/>
          <w:szCs w:val="16"/>
        </w:rPr>
        <w:t>korunu se začal vlivem časového zpoždění letos ve výběru daně negativně projevovat až v březnu. Dle odhadů MF vedl za 1.</w:t>
      </w:r>
      <w:r>
        <w:rPr>
          <w:sz w:val="16"/>
          <w:szCs w:val="16"/>
        </w:rPr>
        <w:t> pololet</w:t>
      </w:r>
      <w:r w:rsidRPr="005F4CA2">
        <w:rPr>
          <w:sz w:val="16"/>
          <w:szCs w:val="16"/>
        </w:rPr>
        <w:t xml:space="preserve">í </w:t>
      </w:r>
      <w:r>
        <w:rPr>
          <w:sz w:val="16"/>
          <w:szCs w:val="16"/>
        </w:rPr>
        <w:t>ke snížení</w:t>
      </w:r>
      <w:r w:rsidRPr="005F4CA2">
        <w:rPr>
          <w:sz w:val="16"/>
          <w:szCs w:val="16"/>
        </w:rPr>
        <w:t xml:space="preserve"> inkasa </w:t>
      </w:r>
      <w:r>
        <w:rPr>
          <w:sz w:val="16"/>
          <w:szCs w:val="16"/>
        </w:rPr>
        <w:t xml:space="preserve">této daně na úrovni </w:t>
      </w:r>
      <w:r w:rsidRPr="005F4CA2">
        <w:rPr>
          <w:sz w:val="16"/>
          <w:szCs w:val="16"/>
        </w:rPr>
        <w:t>SR o</w:t>
      </w:r>
      <w:r>
        <w:rPr>
          <w:sz w:val="16"/>
          <w:szCs w:val="16"/>
        </w:rPr>
        <w:t> </w:t>
      </w:r>
      <w:r w:rsidRPr="005F4CA2">
        <w:rPr>
          <w:sz w:val="16"/>
          <w:szCs w:val="16"/>
        </w:rPr>
        <w:t>1,9</w:t>
      </w:r>
      <w:r>
        <w:rPr>
          <w:sz w:val="16"/>
          <w:szCs w:val="16"/>
        </w:rPr>
        <w:t> mld.</w:t>
      </w:r>
      <w:r w:rsidRPr="005F4CA2">
        <w:rPr>
          <w:sz w:val="16"/>
          <w:szCs w:val="16"/>
        </w:rPr>
        <w:t xml:space="preserve"> korun.</w:t>
      </w:r>
    </w:p>
  </w:footnote>
  <w:footnote w:id="7">
    <w:p w14:paraId="7AA158E9" w14:textId="77777777" w:rsidR="00C872AA" w:rsidRPr="004A27B5" w:rsidRDefault="00C872AA" w:rsidP="00BB50C0">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Dle odhadů MF vedl v 1.</w:t>
      </w:r>
      <w:r>
        <w:rPr>
          <w:spacing w:val="-2"/>
          <w:sz w:val="16"/>
          <w:szCs w:val="16"/>
        </w:rPr>
        <w:t> pololet</w:t>
      </w:r>
      <w:r w:rsidRPr="004A27B5">
        <w:rPr>
          <w:spacing w:val="-2"/>
          <w:sz w:val="16"/>
          <w:szCs w:val="16"/>
        </w:rPr>
        <w:t>í 2021 tento faktor k poklesu příjmů korporátní daně do</w:t>
      </w:r>
      <w:r>
        <w:rPr>
          <w:spacing w:val="-2"/>
          <w:sz w:val="16"/>
          <w:szCs w:val="16"/>
        </w:rPr>
        <w:t> </w:t>
      </w:r>
      <w:r w:rsidRPr="004A27B5">
        <w:rPr>
          <w:spacing w:val="-2"/>
          <w:sz w:val="16"/>
          <w:szCs w:val="16"/>
        </w:rPr>
        <w:t>SR o</w:t>
      </w:r>
      <w:r>
        <w:rPr>
          <w:spacing w:val="-2"/>
          <w:sz w:val="16"/>
          <w:szCs w:val="16"/>
        </w:rPr>
        <w:t> 6,4 mld. korun.</w:t>
      </w:r>
    </w:p>
  </w:footnote>
  <w:footnote w:id="8">
    <w:p w14:paraId="1ADCDF7A" w14:textId="77777777" w:rsidR="00C872AA" w:rsidRPr="004A27B5" w:rsidRDefault="00C872AA" w:rsidP="00BB50C0">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Po zrušení superhrubé mzdy byla od 1</w:t>
      </w:r>
      <w:r>
        <w:rPr>
          <w:spacing w:val="-2"/>
          <w:sz w:val="16"/>
          <w:szCs w:val="16"/>
        </w:rPr>
        <w:t>. </w:t>
      </w:r>
      <w:r w:rsidRPr="004A27B5">
        <w:rPr>
          <w:spacing w:val="-2"/>
          <w:sz w:val="16"/>
          <w:szCs w:val="16"/>
        </w:rPr>
        <w:t>ledna 2021 zavedena základní daňová sazba 15</w:t>
      </w:r>
      <w:r>
        <w:rPr>
          <w:spacing w:val="-2"/>
          <w:sz w:val="16"/>
          <w:szCs w:val="16"/>
        </w:rPr>
        <w:t> %</w:t>
      </w:r>
      <w:r w:rsidRPr="004A27B5">
        <w:rPr>
          <w:spacing w:val="-2"/>
          <w:sz w:val="16"/>
          <w:szCs w:val="16"/>
        </w:rPr>
        <w:t xml:space="preserve"> (a</w:t>
      </w:r>
      <w:r>
        <w:rPr>
          <w:spacing w:val="-2"/>
          <w:sz w:val="16"/>
          <w:szCs w:val="16"/>
        </w:rPr>
        <w:t> </w:t>
      </w:r>
      <w:r w:rsidRPr="004A27B5">
        <w:rPr>
          <w:spacing w:val="-2"/>
          <w:sz w:val="16"/>
          <w:szCs w:val="16"/>
        </w:rPr>
        <w:t>doplňková 23</w:t>
      </w:r>
      <w:r>
        <w:rPr>
          <w:spacing w:val="-2"/>
          <w:sz w:val="16"/>
          <w:szCs w:val="16"/>
        </w:rPr>
        <w:t> %</w:t>
      </w:r>
      <w:r w:rsidRPr="004A27B5">
        <w:rPr>
          <w:spacing w:val="-2"/>
          <w:sz w:val="16"/>
          <w:szCs w:val="16"/>
        </w:rPr>
        <w:t>) a</w:t>
      </w:r>
      <w:r>
        <w:rPr>
          <w:spacing w:val="-2"/>
          <w:sz w:val="16"/>
          <w:szCs w:val="16"/>
        </w:rPr>
        <w:t> </w:t>
      </w:r>
      <w:r w:rsidRPr="004A27B5">
        <w:rPr>
          <w:spacing w:val="-2"/>
          <w:sz w:val="16"/>
          <w:szCs w:val="16"/>
        </w:rPr>
        <w:t>navýšena roční daňová sleva na poplatníka (+3</w:t>
      </w:r>
      <w:r>
        <w:rPr>
          <w:spacing w:val="-2"/>
          <w:sz w:val="16"/>
          <w:szCs w:val="16"/>
        </w:rPr>
        <w:t> tis.</w:t>
      </w:r>
      <w:r w:rsidRPr="004A27B5">
        <w:rPr>
          <w:spacing w:val="-2"/>
          <w:sz w:val="16"/>
          <w:szCs w:val="16"/>
        </w:rPr>
        <w:t xml:space="preserve"> korun). Tyto změny by měly dle odhadů MF letos připravit veřejné rozpočty na výše uvedené dani </w:t>
      </w:r>
      <w:r>
        <w:rPr>
          <w:spacing w:val="-2"/>
          <w:sz w:val="16"/>
          <w:szCs w:val="16"/>
        </w:rPr>
        <w:t xml:space="preserve">až </w:t>
      </w:r>
      <w:r w:rsidRPr="004A27B5">
        <w:rPr>
          <w:spacing w:val="-2"/>
          <w:sz w:val="16"/>
          <w:szCs w:val="16"/>
        </w:rPr>
        <w:t>o</w:t>
      </w:r>
      <w:r>
        <w:rPr>
          <w:spacing w:val="-2"/>
          <w:sz w:val="16"/>
          <w:szCs w:val="16"/>
        </w:rPr>
        <w:t> </w:t>
      </w:r>
      <w:r w:rsidRPr="004A27B5">
        <w:rPr>
          <w:spacing w:val="-2"/>
          <w:sz w:val="16"/>
          <w:szCs w:val="16"/>
        </w:rPr>
        <w:t>90</w:t>
      </w:r>
      <w:r>
        <w:rPr>
          <w:spacing w:val="-2"/>
          <w:sz w:val="16"/>
          <w:szCs w:val="16"/>
        </w:rPr>
        <w:t> mld. korun. Z</w:t>
      </w:r>
      <w:r w:rsidRPr="004A27B5">
        <w:rPr>
          <w:spacing w:val="-2"/>
          <w:sz w:val="16"/>
          <w:szCs w:val="16"/>
        </w:rPr>
        <w:t>a 1.</w:t>
      </w:r>
      <w:r>
        <w:rPr>
          <w:spacing w:val="-2"/>
          <w:sz w:val="16"/>
          <w:szCs w:val="16"/>
        </w:rPr>
        <w:t> pololetí</w:t>
      </w:r>
      <w:r w:rsidRPr="004A27B5">
        <w:rPr>
          <w:spacing w:val="-2"/>
          <w:sz w:val="16"/>
          <w:szCs w:val="16"/>
        </w:rPr>
        <w:t xml:space="preserve"> 2021 kleslo celostátní inkaso DPFO ze závislé činnosti o</w:t>
      </w:r>
      <w:r>
        <w:rPr>
          <w:spacing w:val="-2"/>
          <w:sz w:val="16"/>
          <w:szCs w:val="16"/>
        </w:rPr>
        <w:t> 27,8 mld.</w:t>
      </w:r>
      <w:r w:rsidRPr="004A27B5">
        <w:rPr>
          <w:spacing w:val="-2"/>
          <w:sz w:val="16"/>
          <w:szCs w:val="16"/>
        </w:rPr>
        <w:t xml:space="preserve"> korun.</w:t>
      </w:r>
    </w:p>
  </w:footnote>
  <w:footnote w:id="9">
    <w:p w14:paraId="2676167A" w14:textId="77777777" w:rsidR="00C872AA" w:rsidRPr="00813E8A" w:rsidRDefault="00C872AA" w:rsidP="00BB50C0">
      <w:pPr>
        <w:pStyle w:val="Textpoznpodarou"/>
        <w:jc w:val="both"/>
        <w:rPr>
          <w:color w:val="0D0D0D" w:themeColor="text1" w:themeTint="F2"/>
          <w:spacing w:val="-4"/>
          <w:sz w:val="16"/>
          <w:szCs w:val="16"/>
        </w:rPr>
      </w:pPr>
      <w:r w:rsidRPr="00813E8A">
        <w:rPr>
          <w:rStyle w:val="Znakapoznpodarou"/>
          <w:spacing w:val="-4"/>
          <w:sz w:val="16"/>
          <w:szCs w:val="16"/>
        </w:rPr>
        <w:footnoteRef/>
      </w:r>
      <w:r>
        <w:rPr>
          <w:spacing w:val="-4"/>
          <w:sz w:val="16"/>
          <w:szCs w:val="16"/>
        </w:rPr>
        <w:t xml:space="preserve"> Šlo</w:t>
      </w:r>
      <w:r>
        <w:rPr>
          <w:color w:val="0D0D0D" w:themeColor="text1" w:themeTint="F2"/>
          <w:spacing w:val="-4"/>
          <w:sz w:val="16"/>
          <w:szCs w:val="16"/>
        </w:rPr>
        <w:t xml:space="preserve"> zejména</w:t>
      </w:r>
      <w:r w:rsidRPr="00813E8A">
        <w:rPr>
          <w:color w:val="0D0D0D" w:themeColor="text1" w:themeTint="F2"/>
          <w:spacing w:val="-4"/>
          <w:sz w:val="16"/>
          <w:szCs w:val="16"/>
        </w:rPr>
        <w:t xml:space="preserve"> </w:t>
      </w:r>
      <w:r>
        <w:rPr>
          <w:color w:val="0D0D0D" w:themeColor="text1" w:themeTint="F2"/>
          <w:spacing w:val="-4"/>
          <w:sz w:val="16"/>
          <w:szCs w:val="16"/>
        </w:rPr>
        <w:t>o </w:t>
      </w:r>
      <w:r w:rsidRPr="00813E8A">
        <w:rPr>
          <w:color w:val="0D0D0D" w:themeColor="text1" w:themeTint="F2"/>
          <w:spacing w:val="-4"/>
          <w:sz w:val="16"/>
          <w:szCs w:val="16"/>
        </w:rPr>
        <w:t>náhradu části mezd a</w:t>
      </w:r>
      <w:r>
        <w:rPr>
          <w:color w:val="0D0D0D" w:themeColor="text1" w:themeTint="F2"/>
          <w:spacing w:val="-4"/>
          <w:sz w:val="16"/>
          <w:szCs w:val="16"/>
        </w:rPr>
        <w:t> </w:t>
      </w:r>
      <w:r w:rsidRPr="00813E8A">
        <w:rPr>
          <w:color w:val="0D0D0D" w:themeColor="text1" w:themeTint="F2"/>
          <w:spacing w:val="-4"/>
          <w:sz w:val="16"/>
          <w:szCs w:val="16"/>
        </w:rPr>
        <w:t>povinných odvodů v rámci programu Antivirus A, A+ a</w:t>
      </w:r>
      <w:r>
        <w:rPr>
          <w:color w:val="0D0D0D" w:themeColor="text1" w:themeTint="F2"/>
          <w:spacing w:val="-4"/>
          <w:sz w:val="16"/>
          <w:szCs w:val="16"/>
        </w:rPr>
        <w:t> </w:t>
      </w:r>
      <w:r w:rsidRPr="00813E8A">
        <w:rPr>
          <w:color w:val="0D0D0D" w:themeColor="text1" w:themeTint="F2"/>
          <w:spacing w:val="-4"/>
          <w:sz w:val="16"/>
          <w:szCs w:val="16"/>
        </w:rPr>
        <w:t>B</w:t>
      </w:r>
      <w:r>
        <w:rPr>
          <w:color w:val="0D0D0D" w:themeColor="text1" w:themeTint="F2"/>
          <w:spacing w:val="-4"/>
          <w:sz w:val="16"/>
          <w:szCs w:val="16"/>
        </w:rPr>
        <w:t xml:space="preserve"> (v 1. pololetí 2021 vyplaceno ze SR 24,0</w:t>
      </w:r>
      <w:r w:rsidRPr="00813E8A">
        <w:rPr>
          <w:color w:val="0D0D0D" w:themeColor="text1" w:themeTint="F2"/>
          <w:spacing w:val="-4"/>
          <w:sz w:val="16"/>
          <w:szCs w:val="16"/>
        </w:rPr>
        <w:t> mld.</w:t>
      </w:r>
      <w:r>
        <w:rPr>
          <w:color w:val="0D0D0D" w:themeColor="text1" w:themeTint="F2"/>
          <w:spacing w:val="-4"/>
          <w:sz w:val="16"/>
          <w:szCs w:val="16"/>
        </w:rPr>
        <w:t xml:space="preserve"> korun</w:t>
      </w:r>
      <w:r w:rsidRPr="00813E8A">
        <w:rPr>
          <w:color w:val="0D0D0D" w:themeColor="text1" w:themeTint="F2"/>
          <w:spacing w:val="-4"/>
          <w:sz w:val="16"/>
          <w:szCs w:val="16"/>
        </w:rPr>
        <w:t>), speciální programy na přímou podporu zasažených sektorů ekonomiky, např. v oblasti pohostinství, cestovního ruchu, kultury, vzdělávání, sportu, zemědělství a</w:t>
      </w:r>
      <w:r>
        <w:rPr>
          <w:color w:val="0D0D0D" w:themeColor="text1" w:themeTint="F2"/>
          <w:spacing w:val="-4"/>
          <w:sz w:val="16"/>
          <w:szCs w:val="16"/>
        </w:rPr>
        <w:t> </w:t>
      </w:r>
      <w:r w:rsidRPr="00813E8A">
        <w:rPr>
          <w:color w:val="0D0D0D" w:themeColor="text1" w:themeTint="F2"/>
          <w:spacing w:val="-4"/>
          <w:sz w:val="16"/>
          <w:szCs w:val="16"/>
        </w:rPr>
        <w:t>potravinářství (v</w:t>
      </w:r>
      <w:r>
        <w:rPr>
          <w:color w:val="0D0D0D" w:themeColor="text1" w:themeTint="F2"/>
          <w:spacing w:val="-4"/>
          <w:sz w:val="16"/>
          <w:szCs w:val="16"/>
        </w:rPr>
        <w:t>četně programů</w:t>
      </w:r>
      <w:r w:rsidRPr="00813E8A">
        <w:rPr>
          <w:color w:val="0D0D0D" w:themeColor="text1" w:themeTint="F2"/>
          <w:spacing w:val="-4"/>
          <w:sz w:val="16"/>
          <w:szCs w:val="16"/>
        </w:rPr>
        <w:t xml:space="preserve"> CO</w:t>
      </w:r>
      <w:r>
        <w:rPr>
          <w:color w:val="0D0D0D" w:themeColor="text1" w:themeTint="F2"/>
          <w:spacing w:val="-4"/>
          <w:sz w:val="16"/>
          <w:szCs w:val="16"/>
        </w:rPr>
        <w:t xml:space="preserve">VID Nájemné, </w:t>
      </w:r>
      <w:r w:rsidRPr="00813E8A">
        <w:rPr>
          <w:color w:val="0D0D0D" w:themeColor="text1" w:themeTint="F2"/>
          <w:spacing w:val="-4"/>
          <w:sz w:val="16"/>
          <w:szCs w:val="16"/>
        </w:rPr>
        <w:t>CO</w:t>
      </w:r>
      <w:r>
        <w:rPr>
          <w:color w:val="0D0D0D" w:themeColor="text1" w:themeTint="F2"/>
          <w:spacing w:val="-4"/>
          <w:sz w:val="16"/>
          <w:szCs w:val="16"/>
        </w:rPr>
        <w:t>VID</w:t>
      </w:r>
      <w:r w:rsidRPr="009263AE">
        <w:rPr>
          <w:color w:val="0D0D0D" w:themeColor="text1" w:themeTint="F2"/>
          <w:spacing w:val="-4"/>
          <w:sz w:val="16"/>
          <w:szCs w:val="16"/>
        </w:rPr>
        <w:t xml:space="preserve"> Nepokryté náklady</w:t>
      </w:r>
      <w:r>
        <w:rPr>
          <w:color w:val="0D0D0D" w:themeColor="text1" w:themeTint="F2"/>
          <w:spacing w:val="-4"/>
          <w:sz w:val="16"/>
          <w:szCs w:val="16"/>
        </w:rPr>
        <w:t>) v celkové výši 27,1 mld., </w:t>
      </w:r>
      <w:r w:rsidRPr="00813E8A">
        <w:rPr>
          <w:color w:val="0D0D0D" w:themeColor="text1" w:themeTint="F2"/>
          <w:spacing w:val="-4"/>
          <w:sz w:val="16"/>
          <w:szCs w:val="16"/>
        </w:rPr>
        <w:t>dále o</w:t>
      </w:r>
      <w:r>
        <w:rPr>
          <w:color w:val="0D0D0D" w:themeColor="text1" w:themeTint="F2"/>
          <w:spacing w:val="-4"/>
          <w:sz w:val="16"/>
          <w:szCs w:val="16"/>
        </w:rPr>
        <w:t> </w:t>
      </w:r>
      <w:r w:rsidRPr="00813E8A">
        <w:rPr>
          <w:color w:val="0D0D0D" w:themeColor="text1" w:themeTint="F2"/>
          <w:spacing w:val="-4"/>
          <w:sz w:val="16"/>
          <w:szCs w:val="16"/>
        </w:rPr>
        <w:t>vyšší výdaje ve zdravotnictví, zejména zvýšení platby státu za tzv.</w:t>
      </w:r>
      <w:r>
        <w:rPr>
          <w:color w:val="0D0D0D" w:themeColor="text1" w:themeTint="F2"/>
          <w:spacing w:val="-4"/>
          <w:sz w:val="16"/>
          <w:szCs w:val="16"/>
        </w:rPr>
        <w:t> státního pojištěnce (25,1 mld.</w:t>
      </w:r>
      <w:r w:rsidRPr="00813E8A">
        <w:rPr>
          <w:color w:val="0D0D0D" w:themeColor="text1" w:themeTint="F2"/>
          <w:spacing w:val="-4"/>
          <w:sz w:val="16"/>
          <w:szCs w:val="16"/>
        </w:rPr>
        <w:t>)</w:t>
      </w:r>
      <w:r>
        <w:rPr>
          <w:color w:val="0D0D0D" w:themeColor="text1" w:themeTint="F2"/>
          <w:spacing w:val="-4"/>
          <w:sz w:val="16"/>
          <w:szCs w:val="16"/>
        </w:rPr>
        <w:t>, z</w:t>
      </w:r>
      <w:r w:rsidRPr="009263AE">
        <w:rPr>
          <w:color w:val="0D0D0D" w:themeColor="text1" w:themeTint="F2"/>
          <w:spacing w:val="-4"/>
          <w:sz w:val="16"/>
          <w:szCs w:val="16"/>
        </w:rPr>
        <w:t>výšené osobní náklady pracovníků ve zdravotnictví a</w:t>
      </w:r>
      <w:r>
        <w:rPr>
          <w:color w:val="0D0D0D" w:themeColor="text1" w:themeTint="F2"/>
          <w:spacing w:val="-4"/>
          <w:sz w:val="16"/>
          <w:szCs w:val="16"/>
        </w:rPr>
        <w:t> </w:t>
      </w:r>
      <w:r w:rsidRPr="009263AE">
        <w:rPr>
          <w:color w:val="0D0D0D" w:themeColor="text1" w:themeTint="F2"/>
          <w:spacing w:val="-4"/>
          <w:sz w:val="16"/>
          <w:szCs w:val="16"/>
        </w:rPr>
        <w:t>sociálních službách</w:t>
      </w:r>
      <w:r>
        <w:rPr>
          <w:color w:val="0D0D0D" w:themeColor="text1" w:themeTint="F2"/>
          <w:spacing w:val="-4"/>
          <w:sz w:val="16"/>
          <w:szCs w:val="16"/>
        </w:rPr>
        <w:t xml:space="preserve"> (16,3 mld.),</w:t>
      </w:r>
      <w:r w:rsidRPr="00813E8A">
        <w:rPr>
          <w:color w:val="0D0D0D" w:themeColor="text1" w:themeTint="F2"/>
          <w:spacing w:val="-4"/>
          <w:sz w:val="16"/>
          <w:szCs w:val="16"/>
        </w:rPr>
        <w:t xml:space="preserve"> n</w:t>
      </w:r>
      <w:r>
        <w:rPr>
          <w:color w:val="0D0D0D" w:themeColor="text1" w:themeTint="F2"/>
          <w:spacing w:val="-4"/>
          <w:sz w:val="16"/>
          <w:szCs w:val="16"/>
        </w:rPr>
        <w:t>ákupy ochranných prostředků (3,1 mld.) a konečně i zvýšené výdaje na některé sociální dávky – ošetřovné,</w:t>
      </w:r>
      <w:r w:rsidRPr="002B0A36">
        <w:t xml:space="preserve"> </w:t>
      </w:r>
      <w:r>
        <w:rPr>
          <w:color w:val="0D0D0D" w:themeColor="text1" w:themeTint="F2"/>
          <w:spacing w:val="-4"/>
          <w:sz w:val="16"/>
          <w:szCs w:val="16"/>
        </w:rPr>
        <w:t>m</w:t>
      </w:r>
      <w:r w:rsidRPr="002B0A36">
        <w:rPr>
          <w:color w:val="0D0D0D" w:themeColor="text1" w:themeTint="F2"/>
          <w:spacing w:val="-4"/>
          <w:sz w:val="16"/>
          <w:szCs w:val="16"/>
        </w:rPr>
        <w:t>imořádný příspě</w:t>
      </w:r>
      <w:r>
        <w:rPr>
          <w:color w:val="0D0D0D" w:themeColor="text1" w:themeTint="F2"/>
          <w:spacing w:val="-4"/>
          <w:sz w:val="16"/>
          <w:szCs w:val="16"/>
        </w:rPr>
        <w:t xml:space="preserve">vek pro zaměstnance v karanténě či </w:t>
      </w:r>
      <w:r w:rsidRPr="002B0A36">
        <w:rPr>
          <w:color w:val="0D0D0D" w:themeColor="text1" w:themeTint="F2"/>
          <w:spacing w:val="-4"/>
          <w:sz w:val="16"/>
          <w:szCs w:val="16"/>
        </w:rPr>
        <w:t>izolaci</w:t>
      </w:r>
      <w:r>
        <w:rPr>
          <w:color w:val="0D0D0D" w:themeColor="text1" w:themeTint="F2"/>
          <w:spacing w:val="-4"/>
          <w:sz w:val="16"/>
          <w:szCs w:val="16"/>
        </w:rPr>
        <w:t xml:space="preserve"> (5,1 mld.).</w:t>
      </w:r>
      <w:r w:rsidRPr="00813E8A">
        <w:rPr>
          <w:color w:val="0D0D0D" w:themeColor="text1" w:themeTint="F2"/>
          <w:spacing w:val="-4"/>
          <w:sz w:val="16"/>
          <w:szCs w:val="16"/>
        </w:rPr>
        <w:t xml:space="preserve"> </w:t>
      </w:r>
      <w:r>
        <w:rPr>
          <w:color w:val="0D0D0D" w:themeColor="text1" w:themeTint="F2"/>
          <w:spacing w:val="-4"/>
          <w:sz w:val="16"/>
          <w:szCs w:val="16"/>
        </w:rPr>
        <w:t>Většina z výše uvedených výdajů ve srovnání s 1. pololetím 2020 významně narostla, výjimkou byly ošetřovné, nákupy ochranných pomůcek a oddlužení nemocnic.</w:t>
      </w:r>
    </w:p>
  </w:footnote>
  <w:footnote w:id="10">
    <w:p w14:paraId="1B4900EB" w14:textId="77777777" w:rsidR="00C872AA" w:rsidRPr="00813E8A" w:rsidRDefault="00C872AA" w:rsidP="00BB50C0">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Odráží schválený </w:t>
      </w:r>
      <w:r>
        <w:rPr>
          <w:spacing w:val="-2"/>
          <w:sz w:val="16"/>
          <w:szCs w:val="16"/>
        </w:rPr>
        <w:t xml:space="preserve">letošní </w:t>
      </w:r>
      <w:r w:rsidRPr="00813E8A">
        <w:rPr>
          <w:spacing w:val="-2"/>
          <w:sz w:val="16"/>
          <w:szCs w:val="16"/>
        </w:rPr>
        <w:t>meziroční nárůst u</w:t>
      </w:r>
      <w:r>
        <w:rPr>
          <w:spacing w:val="-2"/>
          <w:sz w:val="16"/>
          <w:szCs w:val="16"/>
        </w:rPr>
        <w:t> </w:t>
      </w:r>
      <w:r w:rsidRPr="00813E8A">
        <w:rPr>
          <w:spacing w:val="-2"/>
          <w:sz w:val="16"/>
          <w:szCs w:val="16"/>
        </w:rPr>
        <w:t>pedagogických i</w:t>
      </w:r>
      <w:r>
        <w:rPr>
          <w:spacing w:val="-2"/>
          <w:sz w:val="16"/>
          <w:szCs w:val="16"/>
        </w:rPr>
        <w:t> </w:t>
      </w:r>
      <w:r w:rsidRPr="00813E8A">
        <w:rPr>
          <w:spacing w:val="-2"/>
          <w:sz w:val="16"/>
          <w:szCs w:val="16"/>
        </w:rPr>
        <w:t>nepedagogických pracovníků (o</w:t>
      </w:r>
      <w:r>
        <w:rPr>
          <w:spacing w:val="-2"/>
          <w:sz w:val="16"/>
          <w:szCs w:val="16"/>
        </w:rPr>
        <w:t> </w:t>
      </w:r>
      <w:r w:rsidRPr="00813E8A">
        <w:rPr>
          <w:spacing w:val="-2"/>
          <w:sz w:val="16"/>
          <w:szCs w:val="16"/>
        </w:rPr>
        <w:t>9</w:t>
      </w:r>
      <w:r>
        <w:rPr>
          <w:spacing w:val="-2"/>
          <w:sz w:val="16"/>
          <w:szCs w:val="16"/>
        </w:rPr>
        <w:t> %</w:t>
      </w:r>
      <w:r w:rsidRPr="00813E8A">
        <w:rPr>
          <w:spacing w:val="-2"/>
          <w:sz w:val="16"/>
          <w:szCs w:val="16"/>
        </w:rPr>
        <w:t>, resp. 4,3</w:t>
      </w:r>
      <w:r>
        <w:rPr>
          <w:spacing w:val="-2"/>
          <w:sz w:val="16"/>
          <w:szCs w:val="16"/>
        </w:rPr>
        <w:t> %</w:t>
      </w:r>
      <w:r w:rsidRPr="00813E8A">
        <w:rPr>
          <w:spacing w:val="-2"/>
          <w:sz w:val="16"/>
          <w:szCs w:val="16"/>
        </w:rPr>
        <w:t>).</w:t>
      </w:r>
    </w:p>
  </w:footnote>
  <w:footnote w:id="11">
    <w:p w14:paraId="5AB4EC7E" w14:textId="77777777" w:rsidR="00C872AA" w:rsidRPr="00D671AC" w:rsidRDefault="00C872AA" w:rsidP="00BB50C0">
      <w:pPr>
        <w:pStyle w:val="Textpoznpodarou"/>
        <w:rPr>
          <w:sz w:val="16"/>
          <w:szCs w:val="16"/>
        </w:rPr>
      </w:pPr>
      <w:r w:rsidRPr="00813E8A">
        <w:rPr>
          <w:rStyle w:val="Znakapoznpodarou"/>
          <w:spacing w:val="-2"/>
          <w:sz w:val="16"/>
          <w:szCs w:val="16"/>
        </w:rPr>
        <w:footnoteRef/>
      </w:r>
      <w:r w:rsidRPr="00813E8A">
        <w:rPr>
          <w:spacing w:val="-2"/>
          <w:sz w:val="16"/>
          <w:szCs w:val="16"/>
        </w:rPr>
        <w:t xml:space="preserve"> Nezahrnuje výdaje na obsluhu státního dluhu.</w:t>
      </w:r>
    </w:p>
  </w:footnote>
  <w:footnote w:id="12">
    <w:p w14:paraId="69E195A8" w14:textId="77777777" w:rsidR="00C872AA" w:rsidRPr="00FA3B92" w:rsidRDefault="00C872AA" w:rsidP="00BB50C0">
      <w:pPr>
        <w:pStyle w:val="Textpoznpodarou"/>
        <w:rPr>
          <w:sz w:val="16"/>
          <w:szCs w:val="16"/>
        </w:rPr>
      </w:pPr>
      <w:r w:rsidRPr="00FA3B92">
        <w:rPr>
          <w:rStyle w:val="Znakapoznpodarou"/>
          <w:sz w:val="16"/>
          <w:szCs w:val="16"/>
        </w:rPr>
        <w:footnoteRef/>
      </w:r>
      <w:r w:rsidRPr="00FA3B92">
        <w:rPr>
          <w:sz w:val="16"/>
          <w:szCs w:val="16"/>
        </w:rPr>
        <w:t xml:space="preserve"> </w:t>
      </w:r>
      <w:r w:rsidRPr="00FA3B92">
        <w:rPr>
          <w:spacing w:val="-5"/>
          <w:sz w:val="16"/>
          <w:szCs w:val="16"/>
        </w:rPr>
        <w:t>Podíl sociálních dávek na všech výdajích SR se v rámci 1.</w:t>
      </w:r>
      <w:r>
        <w:rPr>
          <w:spacing w:val="-5"/>
          <w:sz w:val="16"/>
          <w:szCs w:val="16"/>
        </w:rPr>
        <w:t> pololetí snižoval počtvrté v řadě (na 36,0 %, minimum v desetileté srovnatelné řadě).</w:t>
      </w:r>
    </w:p>
  </w:footnote>
  <w:footnote w:id="13">
    <w:p w14:paraId="0E373FDA" w14:textId="77777777" w:rsidR="00C872AA" w:rsidRPr="00BB50C0" w:rsidRDefault="00C872AA" w:rsidP="00BB50C0">
      <w:pPr>
        <w:pStyle w:val="Textpoznpodarou"/>
        <w:rPr>
          <w:spacing w:val="-4"/>
          <w:sz w:val="16"/>
          <w:szCs w:val="16"/>
        </w:rPr>
      </w:pPr>
      <w:r w:rsidRPr="00BB50C0">
        <w:rPr>
          <w:rStyle w:val="Znakapoznpodarou"/>
          <w:spacing w:val="-4"/>
          <w:sz w:val="16"/>
          <w:szCs w:val="16"/>
        </w:rPr>
        <w:footnoteRef/>
      </w:r>
      <w:r w:rsidRPr="00BB50C0">
        <w:rPr>
          <w:spacing w:val="-4"/>
          <w:sz w:val="16"/>
          <w:szCs w:val="16"/>
        </w:rPr>
        <w:t xml:space="preserve"> Na nedůchodové dávky putovalo ze SR 84,2 mld. korun. Proti předpandemické úrovni (1. pololetí 2019) to</w:t>
      </w:r>
      <w:r w:rsidRPr="00BB50C0">
        <w:rPr>
          <w:rFonts w:cs="Arial"/>
          <w:color w:val="000000" w:themeColor="text1"/>
          <w:spacing w:val="-4"/>
          <w:sz w:val="16"/>
          <w:szCs w:val="16"/>
        </w:rPr>
        <w:t xml:space="preserve"> ale </w:t>
      </w:r>
      <w:r w:rsidRPr="00BB50C0">
        <w:rPr>
          <w:spacing w:val="-4"/>
          <w:sz w:val="16"/>
          <w:szCs w:val="16"/>
        </w:rPr>
        <w:t>bylo o 19,4 mld. korun více.</w:t>
      </w:r>
    </w:p>
  </w:footnote>
  <w:footnote w:id="14">
    <w:p w14:paraId="78993E4C" w14:textId="77777777" w:rsidR="00C872AA" w:rsidRPr="007C28F4" w:rsidRDefault="00C872AA" w:rsidP="00BB50C0">
      <w:pPr>
        <w:pStyle w:val="Textpoznpodarou"/>
        <w:rPr>
          <w:sz w:val="16"/>
          <w:szCs w:val="16"/>
        </w:rPr>
      </w:pPr>
      <w:r w:rsidRPr="007C28F4">
        <w:rPr>
          <w:rStyle w:val="Znakapoznpodarou"/>
          <w:sz w:val="16"/>
          <w:szCs w:val="16"/>
        </w:rPr>
        <w:footnoteRef/>
      </w:r>
      <w:r w:rsidRPr="007C28F4">
        <w:rPr>
          <w:sz w:val="16"/>
          <w:szCs w:val="16"/>
        </w:rPr>
        <w:t xml:space="preserve"> </w:t>
      </w:r>
      <w:r w:rsidRPr="007C28F4">
        <w:rPr>
          <w:spacing w:val="-6"/>
          <w:sz w:val="16"/>
          <w:szCs w:val="16"/>
        </w:rPr>
        <w:t>Ty přitom byly v letech 2015 až 2020 hlavním tahounem růstu nedůchodových dávek.</w:t>
      </w:r>
    </w:p>
  </w:footnote>
  <w:footnote w:id="15">
    <w:p w14:paraId="29F7DAFA" w14:textId="77777777" w:rsidR="00C872AA" w:rsidRPr="008643BE" w:rsidRDefault="00C872AA" w:rsidP="00BB50C0">
      <w:pPr>
        <w:pStyle w:val="Textpoznpodarou"/>
        <w:rPr>
          <w:sz w:val="16"/>
          <w:szCs w:val="16"/>
        </w:rPr>
      </w:pPr>
      <w:r w:rsidRPr="008643BE">
        <w:rPr>
          <w:rStyle w:val="Znakapoznpodarou"/>
          <w:sz w:val="16"/>
          <w:szCs w:val="16"/>
        </w:rPr>
        <w:footnoteRef/>
      </w:r>
      <w:r w:rsidRPr="008643BE">
        <w:rPr>
          <w:sz w:val="16"/>
          <w:szCs w:val="16"/>
        </w:rPr>
        <w:t xml:space="preserve"> Čerpání dávek předtím naposledy </w:t>
      </w:r>
      <w:r>
        <w:rPr>
          <w:sz w:val="16"/>
          <w:szCs w:val="16"/>
        </w:rPr>
        <w:t xml:space="preserve">meziročně </w:t>
      </w:r>
      <w:r w:rsidRPr="008643BE">
        <w:rPr>
          <w:sz w:val="16"/>
          <w:szCs w:val="16"/>
        </w:rPr>
        <w:t>kleslo v srpnu 2018. Až do loňského nástupu pandemie</w:t>
      </w:r>
      <w:r>
        <w:rPr>
          <w:sz w:val="16"/>
          <w:szCs w:val="16"/>
        </w:rPr>
        <w:t xml:space="preserve"> však nebyl jejich růst</w:t>
      </w:r>
      <w:r w:rsidRPr="008643BE">
        <w:rPr>
          <w:sz w:val="16"/>
          <w:szCs w:val="16"/>
        </w:rPr>
        <w:t xml:space="preserve"> doprovázen významnějším navýšením míry nezaměstnanosti</w:t>
      </w:r>
      <w:r>
        <w:rPr>
          <w:sz w:val="16"/>
          <w:szCs w:val="16"/>
        </w:rPr>
        <w:t>,</w:t>
      </w:r>
      <w:r w:rsidRPr="008643BE">
        <w:rPr>
          <w:sz w:val="16"/>
          <w:szCs w:val="16"/>
        </w:rPr>
        <w:t xml:space="preserve"> a</w:t>
      </w:r>
      <w:r>
        <w:rPr>
          <w:sz w:val="16"/>
          <w:szCs w:val="16"/>
        </w:rPr>
        <w:t> </w:t>
      </w:r>
      <w:r w:rsidRPr="008643BE">
        <w:rPr>
          <w:sz w:val="16"/>
          <w:szCs w:val="16"/>
        </w:rPr>
        <w:t xml:space="preserve">odrážel tak primárně </w:t>
      </w:r>
      <w:r>
        <w:rPr>
          <w:sz w:val="16"/>
          <w:szCs w:val="16"/>
        </w:rPr>
        <w:t xml:space="preserve">posilování průměrné mzdy </w:t>
      </w:r>
      <w:r w:rsidRPr="008643BE">
        <w:rPr>
          <w:sz w:val="16"/>
          <w:szCs w:val="16"/>
        </w:rPr>
        <w:t>v ekonomice.</w:t>
      </w:r>
    </w:p>
  </w:footnote>
  <w:footnote w:id="16">
    <w:p w14:paraId="24987BEB" w14:textId="77777777" w:rsidR="00C872AA" w:rsidRPr="00813E8A" w:rsidRDefault="00C872AA" w:rsidP="00BB50C0">
      <w:pPr>
        <w:pStyle w:val="Textpoznpodarou"/>
        <w:rPr>
          <w:spacing w:val="-4"/>
          <w:sz w:val="16"/>
          <w:szCs w:val="16"/>
        </w:rPr>
      </w:pPr>
      <w:r w:rsidRPr="00813E8A">
        <w:rPr>
          <w:rStyle w:val="Znakapoznpodarou"/>
          <w:spacing w:val="-4"/>
          <w:sz w:val="16"/>
          <w:szCs w:val="16"/>
        </w:rPr>
        <w:footnoteRef/>
      </w:r>
      <w:r w:rsidRPr="00813E8A">
        <w:rPr>
          <w:spacing w:val="-4"/>
          <w:sz w:val="16"/>
          <w:szCs w:val="16"/>
        </w:rPr>
        <w:t xml:space="preserve"> Objem vybraného pojistného </w:t>
      </w:r>
      <w:r>
        <w:rPr>
          <w:spacing w:val="-4"/>
          <w:sz w:val="16"/>
          <w:szCs w:val="16"/>
        </w:rPr>
        <w:t>byl v 1. loňském pololetí</w:t>
      </w:r>
      <w:r w:rsidRPr="00813E8A">
        <w:rPr>
          <w:spacing w:val="-4"/>
          <w:sz w:val="16"/>
          <w:szCs w:val="16"/>
        </w:rPr>
        <w:t xml:space="preserve"> negativně poznamenán zrušením minimálních záloh pro osoby samostatně výdělečně činné a</w:t>
      </w:r>
      <w:r>
        <w:rPr>
          <w:spacing w:val="-4"/>
          <w:sz w:val="16"/>
          <w:szCs w:val="16"/>
        </w:rPr>
        <w:t> </w:t>
      </w:r>
      <w:r w:rsidRPr="00813E8A">
        <w:rPr>
          <w:spacing w:val="-4"/>
          <w:sz w:val="16"/>
          <w:szCs w:val="16"/>
        </w:rPr>
        <w:t>též prominutím pojistného placeného zaměstnavatelem (program Antivirus</w:t>
      </w:r>
      <w:r>
        <w:rPr>
          <w:spacing w:val="-4"/>
          <w:sz w:val="16"/>
          <w:szCs w:val="16"/>
        </w:rPr>
        <w:t> </w:t>
      </w:r>
      <w:r w:rsidRPr="00813E8A">
        <w:rPr>
          <w:spacing w:val="-4"/>
          <w:sz w:val="16"/>
          <w:szCs w:val="16"/>
        </w:rPr>
        <w:t>C).</w:t>
      </w:r>
    </w:p>
  </w:footnote>
  <w:footnote w:id="17">
    <w:p w14:paraId="08D6AAB6" w14:textId="77777777" w:rsidR="00C872AA" w:rsidRPr="00EC2E06" w:rsidRDefault="00C872AA" w:rsidP="00BB50C0">
      <w:pPr>
        <w:pStyle w:val="Textpoznpodarou"/>
        <w:jc w:val="both"/>
        <w:rPr>
          <w:spacing w:val="-4"/>
        </w:rPr>
      </w:pPr>
      <w:r w:rsidRPr="00EC2E06">
        <w:rPr>
          <w:rStyle w:val="Znakapoznpodarou"/>
          <w:spacing w:val="-4"/>
          <w:sz w:val="16"/>
          <w:szCs w:val="16"/>
        </w:rPr>
        <w:footnoteRef/>
      </w:r>
      <w:r w:rsidRPr="00EC2E06">
        <w:rPr>
          <w:spacing w:val="-4"/>
          <w:sz w:val="16"/>
          <w:szCs w:val="16"/>
        </w:rPr>
        <w:t xml:space="preserve"> Je vyjádřeno </w:t>
      </w:r>
      <w:r w:rsidRPr="00EC2E06">
        <w:rPr>
          <w:rFonts w:cs="Arial"/>
          <w:color w:val="000000" w:themeColor="text1"/>
          <w:spacing w:val="-4"/>
          <w:sz w:val="16"/>
          <w:szCs w:val="16"/>
        </w:rPr>
        <w:t xml:space="preserve">rozdílem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18">
    <w:p w14:paraId="2E5FAE68" w14:textId="77777777" w:rsidR="00C872AA" w:rsidRPr="00717B30" w:rsidRDefault="00C872AA" w:rsidP="00BB50C0">
      <w:pPr>
        <w:pStyle w:val="Textpoznpodarou"/>
        <w:rPr>
          <w:sz w:val="16"/>
          <w:szCs w:val="16"/>
        </w:rPr>
      </w:pPr>
      <w:r w:rsidRPr="007E5ABB">
        <w:rPr>
          <w:rStyle w:val="Znakapoznpodarou"/>
          <w:sz w:val="16"/>
          <w:szCs w:val="16"/>
        </w:rPr>
        <w:footnoteRef/>
      </w:r>
      <w:r w:rsidRPr="007E5ABB">
        <w:rPr>
          <w:sz w:val="16"/>
          <w:szCs w:val="16"/>
        </w:rPr>
        <w:t xml:space="preserve"> V 1.</w:t>
      </w:r>
      <w:r>
        <w:rPr>
          <w:sz w:val="16"/>
          <w:szCs w:val="16"/>
        </w:rPr>
        <w:t> pololet</w:t>
      </w:r>
      <w:r w:rsidRPr="007E5ABB">
        <w:rPr>
          <w:sz w:val="16"/>
          <w:szCs w:val="16"/>
        </w:rPr>
        <w:t>í byly na domácím finančním trhu vydány státní dluhopisy za 390,8</w:t>
      </w:r>
      <w:r>
        <w:rPr>
          <w:sz w:val="16"/>
          <w:szCs w:val="16"/>
        </w:rPr>
        <w:t> mld.</w:t>
      </w:r>
      <w:r w:rsidRPr="007E5ABB">
        <w:rPr>
          <w:sz w:val="16"/>
          <w:szCs w:val="16"/>
        </w:rPr>
        <w:t xml:space="preserve"> korun při průměrném ročním výnosu 1,3 % a době splatnosti 8 let. </w:t>
      </w:r>
      <w:r w:rsidRPr="007E5ABB">
        <w:rPr>
          <w:spacing w:val="-4"/>
          <w:sz w:val="16"/>
          <w:szCs w:val="16"/>
        </w:rPr>
        <w:t>Dluhopisy nejvíce poptávaly domácí banky a</w:t>
      </w:r>
      <w:r>
        <w:rPr>
          <w:spacing w:val="-4"/>
          <w:sz w:val="16"/>
          <w:szCs w:val="16"/>
        </w:rPr>
        <w:t> </w:t>
      </w:r>
      <w:r w:rsidRPr="007E5ABB">
        <w:rPr>
          <w:spacing w:val="-4"/>
          <w:sz w:val="16"/>
          <w:szCs w:val="16"/>
        </w:rPr>
        <w:t>ostatní finanční instituce v</w:t>
      </w:r>
      <w:r>
        <w:rPr>
          <w:spacing w:val="-4"/>
          <w:sz w:val="16"/>
          <w:szCs w:val="16"/>
        </w:rPr>
        <w:t> </w:t>
      </w:r>
      <w:r w:rsidRPr="007E5ABB">
        <w:rPr>
          <w:spacing w:val="-4"/>
          <w:sz w:val="16"/>
          <w:szCs w:val="16"/>
        </w:rPr>
        <w:t>tuzemsku, které tak na konci června 2021 držely již 64 % z celkových domácích státních dluhopisů. Na nerezidenty připadalo 32 %, meziročně o 3 p. b. a</w:t>
      </w:r>
      <w:r>
        <w:rPr>
          <w:spacing w:val="-4"/>
          <w:sz w:val="16"/>
          <w:szCs w:val="16"/>
        </w:rPr>
        <w:t> </w:t>
      </w:r>
      <w:r w:rsidRPr="007E5ABB">
        <w:rPr>
          <w:spacing w:val="-4"/>
          <w:sz w:val="16"/>
          <w:szCs w:val="16"/>
        </w:rPr>
        <w:t>za dva roky dokonce o</w:t>
      </w:r>
      <w:r>
        <w:rPr>
          <w:spacing w:val="-4"/>
          <w:sz w:val="16"/>
          <w:szCs w:val="16"/>
        </w:rPr>
        <w:t> </w:t>
      </w:r>
      <w:r w:rsidRPr="007E5ABB">
        <w:rPr>
          <w:spacing w:val="-4"/>
          <w:sz w:val="16"/>
          <w:szCs w:val="16"/>
        </w:rPr>
        <w:t>10</w:t>
      </w:r>
      <w:r>
        <w:rPr>
          <w:spacing w:val="-4"/>
          <w:sz w:val="16"/>
          <w:szCs w:val="16"/>
        </w:rPr>
        <w:t> p. b.</w:t>
      </w:r>
      <w:r w:rsidRPr="007E5ABB">
        <w:rPr>
          <w:spacing w:val="-4"/>
          <w:sz w:val="16"/>
          <w:szCs w:val="16"/>
        </w:rPr>
        <w:t xml:space="preserve"> méně. Z dalších letos uplatněných dluhových nástrojů nelze opomenout úvěry od Evropské komise (52,3 mld. korun) </w:t>
      </w:r>
      <w:r>
        <w:rPr>
          <w:spacing w:val="-4"/>
          <w:sz w:val="16"/>
          <w:szCs w:val="16"/>
        </w:rPr>
        <w:t>na pomoc ke</w:t>
      </w:r>
      <w:r w:rsidRPr="007E5ABB">
        <w:rPr>
          <w:sz w:val="16"/>
          <w:szCs w:val="16"/>
        </w:rPr>
        <w:t xml:space="preserve"> zmírnění rizik nezaměstnanosti vlivem rozšíření pandemie covidu-19. V</w:t>
      </w:r>
      <w:r w:rsidRPr="007E5ABB">
        <w:rPr>
          <w:spacing w:val="-4"/>
          <w:sz w:val="16"/>
          <w:szCs w:val="16"/>
        </w:rPr>
        <w:t>zrostla i</w:t>
      </w:r>
      <w:r>
        <w:rPr>
          <w:spacing w:val="-4"/>
          <w:sz w:val="16"/>
          <w:szCs w:val="16"/>
        </w:rPr>
        <w:t> </w:t>
      </w:r>
      <w:r w:rsidRPr="007E5ABB">
        <w:rPr>
          <w:spacing w:val="-4"/>
          <w:sz w:val="16"/>
          <w:szCs w:val="16"/>
        </w:rPr>
        <w:t>role krátkodobých zápůjček a</w:t>
      </w:r>
      <w:r>
        <w:rPr>
          <w:spacing w:val="-4"/>
          <w:sz w:val="16"/>
          <w:szCs w:val="16"/>
        </w:rPr>
        <w:t> </w:t>
      </w:r>
      <w:r w:rsidRPr="007E5ABB">
        <w:rPr>
          <w:spacing w:val="-4"/>
          <w:sz w:val="16"/>
          <w:szCs w:val="16"/>
        </w:rPr>
        <w:t>úvěrů k</w:t>
      </w:r>
      <w:r>
        <w:rPr>
          <w:spacing w:val="-4"/>
          <w:sz w:val="16"/>
          <w:szCs w:val="16"/>
        </w:rPr>
        <w:t> </w:t>
      </w:r>
      <w:r w:rsidRPr="007E5ABB">
        <w:rPr>
          <w:spacing w:val="-4"/>
          <w:sz w:val="16"/>
          <w:szCs w:val="16"/>
        </w:rPr>
        <w:t>posílení likvidity státní pokladny</w:t>
      </w:r>
      <w:r w:rsidRPr="00FC5FB7">
        <w:rPr>
          <w:spacing w:val="-4"/>
          <w:sz w:val="16"/>
          <w:szCs w:val="16"/>
        </w:rPr>
        <w:t>.</w:t>
      </w:r>
    </w:p>
  </w:footnote>
  <w:footnote w:id="19">
    <w:p w14:paraId="27B29EA7" w14:textId="77777777" w:rsidR="00C872AA" w:rsidRPr="007D08A9" w:rsidRDefault="00C872AA" w:rsidP="00BB50C0">
      <w:pPr>
        <w:pStyle w:val="Textpoznpodarou"/>
        <w:rPr>
          <w:sz w:val="16"/>
          <w:szCs w:val="16"/>
        </w:rPr>
      </w:pPr>
      <w:r w:rsidRPr="007D08A9">
        <w:rPr>
          <w:rStyle w:val="Znakapoznpodarou"/>
          <w:sz w:val="16"/>
          <w:szCs w:val="16"/>
        </w:rPr>
        <w:footnoteRef/>
      </w:r>
      <w:r w:rsidRPr="007D08A9">
        <w:rPr>
          <w:sz w:val="16"/>
          <w:szCs w:val="16"/>
        </w:rPr>
        <w:t xml:space="preserve"> Odpovídá saldu rozpočtové kapitoly Státní dluh.</w:t>
      </w:r>
    </w:p>
  </w:footnote>
  <w:footnote w:id="20">
    <w:p w14:paraId="0A7D4277" w14:textId="77777777" w:rsidR="00C872AA" w:rsidRPr="00603665" w:rsidRDefault="00C872AA" w:rsidP="00BB50C0">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Údaje o hospodaření vládních institucí za 2. čtvrtletí 2021 zveřejní ČSÚ 1. října 2021. Detailnější zhodnocení vývoje za 1. čtvrtletí je obsaženo v publikaci Analýza sektorových účtů:</w:t>
      </w:r>
      <w:r w:rsidRPr="00603665">
        <w:t xml:space="preserve"> </w:t>
      </w:r>
      <w:hyperlink r:id="rId1" w:history="1">
        <w:r w:rsidRPr="003B540A">
          <w:rPr>
            <w:rStyle w:val="Hypertextovodkaz"/>
            <w:sz w:val="16"/>
            <w:szCs w:val="16"/>
          </w:rPr>
          <w:t>https://www.czso.cz/csu/czso/cri/analyza-ctvrtletnich-sektorovych-uctu-1-ctvrtleti-2021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872AA" w:rsidRDefault="00C872AA" w:rsidP="00937AE2">
    <w:pPr>
      <w:pStyle w:val="Zhlav"/>
    </w:pPr>
    <w:r>
      <w:t>Vývoj ekonomiky České republiky</w:t>
    </w:r>
  </w:p>
  <w:p w14:paraId="3E881AB3" w14:textId="77777777" w:rsidR="00C872AA" w:rsidRPr="006F5416" w:rsidRDefault="00C872A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872AA" w:rsidRDefault="00C872AA" w:rsidP="00937AE2">
    <w:pPr>
      <w:pStyle w:val="Zhlav"/>
    </w:pPr>
    <w:r>
      <w:t>Vývoj ekonomiky České republiky</w:t>
    </w:r>
  </w:p>
  <w:p w14:paraId="57266714" w14:textId="77777777" w:rsidR="00C872AA" w:rsidRPr="006F5416" w:rsidRDefault="00C872AA"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1F9B"/>
    <w:rsid w:val="000228AE"/>
    <w:rsid w:val="000233D1"/>
    <w:rsid w:val="000234D6"/>
    <w:rsid w:val="00023D29"/>
    <w:rsid w:val="00024348"/>
    <w:rsid w:val="00026389"/>
    <w:rsid w:val="0002669F"/>
    <w:rsid w:val="000279E5"/>
    <w:rsid w:val="000305E0"/>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4212"/>
    <w:rsid w:val="000B67B7"/>
    <w:rsid w:val="000C0CA6"/>
    <w:rsid w:val="000C0EA8"/>
    <w:rsid w:val="000C13A2"/>
    <w:rsid w:val="000C21E7"/>
    <w:rsid w:val="000C23EC"/>
    <w:rsid w:val="000C290E"/>
    <w:rsid w:val="000C30C3"/>
    <w:rsid w:val="000C3408"/>
    <w:rsid w:val="000C35AB"/>
    <w:rsid w:val="000C3F7B"/>
    <w:rsid w:val="000C4769"/>
    <w:rsid w:val="000C4D56"/>
    <w:rsid w:val="000C5DFA"/>
    <w:rsid w:val="000C6AFD"/>
    <w:rsid w:val="000C6C90"/>
    <w:rsid w:val="000C72B7"/>
    <w:rsid w:val="000D0A26"/>
    <w:rsid w:val="000D2196"/>
    <w:rsid w:val="000D3058"/>
    <w:rsid w:val="000D310A"/>
    <w:rsid w:val="000D3EF4"/>
    <w:rsid w:val="000D4DC0"/>
    <w:rsid w:val="000D55BA"/>
    <w:rsid w:val="000D5637"/>
    <w:rsid w:val="000D5A03"/>
    <w:rsid w:val="000D5ED3"/>
    <w:rsid w:val="000D6F4E"/>
    <w:rsid w:val="000D73BB"/>
    <w:rsid w:val="000E0E96"/>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52C86"/>
    <w:rsid w:val="00152F4F"/>
    <w:rsid w:val="001544A1"/>
    <w:rsid w:val="001553B8"/>
    <w:rsid w:val="001554C2"/>
    <w:rsid w:val="001571C0"/>
    <w:rsid w:val="0015753D"/>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085B"/>
    <w:rsid w:val="001E149B"/>
    <w:rsid w:val="001E15CB"/>
    <w:rsid w:val="001E3306"/>
    <w:rsid w:val="001E504C"/>
    <w:rsid w:val="001E5A17"/>
    <w:rsid w:val="001E74C5"/>
    <w:rsid w:val="001F1236"/>
    <w:rsid w:val="001F2F90"/>
    <w:rsid w:val="001F4597"/>
    <w:rsid w:val="001F4826"/>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47E1"/>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B50"/>
    <w:rsid w:val="003C0B07"/>
    <w:rsid w:val="003C2CE7"/>
    <w:rsid w:val="003C2DB8"/>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E0"/>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114"/>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0EE2"/>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292B"/>
    <w:rsid w:val="008E2C57"/>
    <w:rsid w:val="008E31FF"/>
    <w:rsid w:val="008E3287"/>
    <w:rsid w:val="008E38E4"/>
    <w:rsid w:val="008E51EB"/>
    <w:rsid w:val="008E6DCB"/>
    <w:rsid w:val="008E6F06"/>
    <w:rsid w:val="008E7000"/>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558"/>
    <w:rsid w:val="009B284F"/>
    <w:rsid w:val="009B3764"/>
    <w:rsid w:val="009B3840"/>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F4"/>
    <w:rsid w:val="00BD6659"/>
    <w:rsid w:val="00BD6C75"/>
    <w:rsid w:val="00BD6D50"/>
    <w:rsid w:val="00BD73D2"/>
    <w:rsid w:val="00BE0AD1"/>
    <w:rsid w:val="00BE0EF9"/>
    <w:rsid w:val="00BE10A1"/>
    <w:rsid w:val="00BE136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72AA"/>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022"/>
    <w:rsid w:val="00CB4930"/>
    <w:rsid w:val="00CB4BA9"/>
    <w:rsid w:val="00CB4C63"/>
    <w:rsid w:val="00CB5A48"/>
    <w:rsid w:val="00CB5E10"/>
    <w:rsid w:val="00CB613B"/>
    <w:rsid w:val="00CB6152"/>
    <w:rsid w:val="00CB64E1"/>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D6B"/>
    <w:rsid w:val="00CD1060"/>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1E5D"/>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11C6"/>
    <w:rsid w:val="00E930A1"/>
    <w:rsid w:val="00E93820"/>
    <w:rsid w:val="00E94A86"/>
    <w:rsid w:val="00E951AB"/>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D57"/>
    <w:rsid w:val="00F62BFF"/>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1-ctvrtleti-20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St&#225;tn&#237;%20rozpo&#269;et\Grafy-st&#225;tn&#237;%20rozpo&#269;et-1.pol.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St&#225;tn&#237;%20rozpo&#269;et\Grafy-st&#225;tn&#237;%20rozpo&#269;et-1.pol.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3954550563562969"/>
          <c:h val="0.81082663967425594"/>
        </c:manualLayout>
      </c:layout>
      <c:barChart>
        <c:barDir val="col"/>
        <c:grouping val="stacked"/>
        <c:varyColors val="0"/>
        <c:ser>
          <c:idx val="1"/>
          <c:order val="1"/>
          <c:tx>
            <c:strRef>
              <c:f>'G1-Státní rozpočet-příjmy-2020'!$A$30</c:f>
              <c:strCache>
                <c:ptCount val="1"/>
                <c:pt idx="0">
                  <c:v>Ostatní daně a poplatky</c:v>
                </c:pt>
              </c:strCache>
            </c:strRef>
          </c:tx>
          <c:spPr>
            <a:solidFill>
              <a:schemeClr val="bg1">
                <a:lumMod val="75000"/>
              </a:schemeClr>
            </a:solidFill>
            <a:ln w="12700">
              <a:noFill/>
              <a:prstDash val="solid"/>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rozpočet-příjmy-2020'!$E$30:$R$30</c:f>
              <c:numCache>
                <c:formatCode>0.0</c:formatCode>
                <c:ptCount val="14"/>
                <c:pt idx="0">
                  <c:v>0.46668473188209703</c:v>
                </c:pt>
                <c:pt idx="1">
                  <c:v>-0.46157268379491267</c:v>
                </c:pt>
                <c:pt idx="2">
                  <c:v>0.49531003312386968</c:v>
                </c:pt>
                <c:pt idx="3">
                  <c:v>1.0955064214410237</c:v>
                </c:pt>
                <c:pt idx="4">
                  <c:v>-0.43477551457132552</c:v>
                </c:pt>
                <c:pt idx="5">
                  <c:v>-8.2653412292815559E-2</c:v>
                </c:pt>
                <c:pt idx="6">
                  <c:v>0.17424975798643608</c:v>
                </c:pt>
                <c:pt idx="7">
                  <c:v>0.53125962426855389</c:v>
                </c:pt>
                <c:pt idx="8">
                  <c:v>0.44522675502175058</c:v>
                </c:pt>
                <c:pt idx="9">
                  <c:v>0.3176936390146764</c:v>
                </c:pt>
                <c:pt idx="10">
                  <c:v>0.37441716268589098</c:v>
                </c:pt>
                <c:pt idx="11">
                  <c:v>0.32332107581403891</c:v>
                </c:pt>
                <c:pt idx="12">
                  <c:v>-0.43538278185604729</c:v>
                </c:pt>
                <c:pt idx="13">
                  <c:v>-0.90977846207546864</c:v>
                </c:pt>
              </c:numCache>
            </c:numRef>
          </c:val>
          <c:extLst>
            <c:ext xmlns:c16="http://schemas.microsoft.com/office/drawing/2014/chart" uri="{C3380CC4-5D6E-409C-BE32-E72D297353CC}">
              <c16:uniqueId val="{00000000-FB0C-4576-9213-9E3B1E90E0F1}"/>
            </c:ext>
          </c:extLst>
        </c:ser>
        <c:ser>
          <c:idx val="3"/>
          <c:order val="2"/>
          <c:tx>
            <c:strRef>
              <c:f>'G1-Státní rozpočet-příjmy-2020'!$A$31</c:f>
              <c:strCache>
                <c:ptCount val="1"/>
                <c:pt idx="0">
                  <c:v>Daně z příjmů fyzických osob</c:v>
                </c:pt>
              </c:strCache>
            </c:strRef>
          </c:tx>
          <c:spPr>
            <a:solidFill>
              <a:srgbClr val="EA6C75"/>
            </a:solidFill>
            <a:ln w="19050">
              <a:noFill/>
              <a:prstDash val="sysDot"/>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rozpočet-příjmy-2020'!$E$31:$R$31</c:f>
              <c:numCache>
                <c:formatCode>0.0</c:formatCode>
                <c:ptCount val="14"/>
                <c:pt idx="0">
                  <c:v>-0.37635865474362562</c:v>
                </c:pt>
                <c:pt idx="1">
                  <c:v>-2.6470915359804246</c:v>
                </c:pt>
                <c:pt idx="2">
                  <c:v>0.47364021917469173</c:v>
                </c:pt>
                <c:pt idx="3">
                  <c:v>-0.13443551385830171</c:v>
                </c:pt>
                <c:pt idx="4">
                  <c:v>0.76868928621709187</c:v>
                </c:pt>
                <c:pt idx="5">
                  <c:v>0.58399074131873729</c:v>
                </c:pt>
                <c:pt idx="6">
                  <c:v>1.3331489420550413</c:v>
                </c:pt>
                <c:pt idx="7">
                  <c:v>-0.27717893440098468</c:v>
                </c:pt>
                <c:pt idx="8">
                  <c:v>2.7153655001035406</c:v>
                </c:pt>
                <c:pt idx="9">
                  <c:v>2.0958296782759192</c:v>
                </c:pt>
                <c:pt idx="10">
                  <c:v>2.6381964014740937</c:v>
                </c:pt>
                <c:pt idx="11">
                  <c:v>2.8717758032576497</c:v>
                </c:pt>
                <c:pt idx="12">
                  <c:v>-3.7310659863948725</c:v>
                </c:pt>
                <c:pt idx="13">
                  <c:v>-4.8739262418741118</c:v>
                </c:pt>
              </c:numCache>
            </c:numRef>
          </c:val>
          <c:extLst>
            <c:ext xmlns:c16="http://schemas.microsoft.com/office/drawing/2014/chart" uri="{C3380CC4-5D6E-409C-BE32-E72D297353CC}">
              <c16:uniqueId val="{00000001-FB0C-4576-9213-9E3B1E90E0F1}"/>
            </c:ext>
          </c:extLst>
        </c:ser>
        <c:ser>
          <c:idx val="4"/>
          <c:order val="3"/>
          <c:tx>
            <c:strRef>
              <c:f>'G1-Státní rozpočet-příjmy-2020'!$A$32</c:f>
              <c:strCache>
                <c:ptCount val="1"/>
                <c:pt idx="0">
                  <c:v>Daně z příjmů právnických osob</c:v>
                </c:pt>
              </c:strCache>
            </c:strRef>
          </c:tx>
          <c:spPr>
            <a:solidFill>
              <a:schemeClr val="accent6">
                <a:lumMod val="60000"/>
                <a:lumOff val="40000"/>
              </a:schemeClr>
            </a:solidFill>
            <a:ln w="19050">
              <a:noFill/>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rozpočet-příjmy-2020'!$E$32:$R$32</c:f>
              <c:numCache>
                <c:formatCode>0.0</c:formatCode>
                <c:ptCount val="14"/>
                <c:pt idx="0">
                  <c:v>5.9133471833318252</c:v>
                </c:pt>
                <c:pt idx="1">
                  <c:v>-5.8002446891335788</c:v>
                </c:pt>
                <c:pt idx="2">
                  <c:v>2.28771321549082</c:v>
                </c:pt>
                <c:pt idx="3">
                  <c:v>-3.0948771488229725</c:v>
                </c:pt>
                <c:pt idx="4">
                  <c:v>-0.3519639588906085</c:v>
                </c:pt>
                <c:pt idx="5">
                  <c:v>-0.52038778929392293</c:v>
                </c:pt>
                <c:pt idx="6">
                  <c:v>1.5378232609597586</c:v>
                </c:pt>
                <c:pt idx="7">
                  <c:v>1.545015912124013</c:v>
                </c:pt>
                <c:pt idx="8">
                  <c:v>2.3012010768274993</c:v>
                </c:pt>
                <c:pt idx="9">
                  <c:v>1.5576471703928498</c:v>
                </c:pt>
                <c:pt idx="10">
                  <c:v>-1.5174506828525801E-2</c:v>
                </c:pt>
                <c:pt idx="11">
                  <c:v>1.1964034041960514</c:v>
                </c:pt>
                <c:pt idx="12">
                  <c:v>-4.7390510722411321</c:v>
                </c:pt>
                <c:pt idx="13">
                  <c:v>8.1290324343686748</c:v>
                </c:pt>
              </c:numCache>
            </c:numRef>
          </c:val>
          <c:extLst>
            <c:ext xmlns:c16="http://schemas.microsoft.com/office/drawing/2014/chart" uri="{C3380CC4-5D6E-409C-BE32-E72D297353CC}">
              <c16:uniqueId val="{00000002-FB0C-4576-9213-9E3B1E90E0F1}"/>
            </c:ext>
          </c:extLst>
        </c:ser>
        <c:ser>
          <c:idx val="2"/>
          <c:order val="4"/>
          <c:tx>
            <c:strRef>
              <c:f>'G1-Státní rozpočet-příjmy-2020'!$A$33</c:f>
              <c:strCache>
                <c:ptCount val="1"/>
                <c:pt idx="0">
                  <c:v>Spotřební daň</c:v>
                </c:pt>
              </c:strCache>
            </c:strRef>
          </c:tx>
          <c:spPr>
            <a:solidFill>
              <a:schemeClr val="accent5">
                <a:lumMod val="40000"/>
                <a:lumOff val="60000"/>
              </a:schemeClr>
            </a:solidFill>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rozpočet-příjmy-2020'!$E$33:$R$33</c:f>
              <c:numCache>
                <c:formatCode>0.0</c:formatCode>
                <c:ptCount val="14"/>
                <c:pt idx="0">
                  <c:v>0.59615210911390359</c:v>
                </c:pt>
                <c:pt idx="1">
                  <c:v>-0.7841174507841181</c:v>
                </c:pt>
                <c:pt idx="2">
                  <c:v>2.1855555211590265</c:v>
                </c:pt>
                <c:pt idx="3">
                  <c:v>1.2127799548067864</c:v>
                </c:pt>
                <c:pt idx="4">
                  <c:v>-0.51809094748697626</c:v>
                </c:pt>
                <c:pt idx="5">
                  <c:v>-0.60422804423572263</c:v>
                </c:pt>
                <c:pt idx="6">
                  <c:v>1.9416401604204097</c:v>
                </c:pt>
                <c:pt idx="7">
                  <c:v>-0.71604558053587719</c:v>
                </c:pt>
                <c:pt idx="8">
                  <c:v>1.4107475667840146</c:v>
                </c:pt>
                <c:pt idx="9">
                  <c:v>0.14462173119324545</c:v>
                </c:pt>
                <c:pt idx="10">
                  <c:v>0.15174506828528164</c:v>
                </c:pt>
                <c:pt idx="11">
                  <c:v>0.5951444531946295</c:v>
                </c:pt>
                <c:pt idx="12">
                  <c:v>-1.0191471511484216</c:v>
                </c:pt>
                <c:pt idx="13">
                  <c:v>-1.7301770736794635</c:v>
                </c:pt>
              </c:numCache>
            </c:numRef>
          </c:val>
          <c:extLst>
            <c:ext xmlns:c16="http://schemas.microsoft.com/office/drawing/2014/chart" uri="{C3380CC4-5D6E-409C-BE32-E72D297353CC}">
              <c16:uniqueId val="{00000003-FB0C-4576-9213-9E3B1E90E0F1}"/>
            </c:ext>
          </c:extLst>
        </c:ser>
        <c:ser>
          <c:idx val="5"/>
          <c:order val="5"/>
          <c:tx>
            <c:strRef>
              <c:f>'G1-Státní rozpočet-příjmy-2020'!$A$34</c:f>
              <c:strCache>
                <c:ptCount val="1"/>
                <c:pt idx="0">
                  <c:v>DPH</c:v>
                </c:pt>
              </c:strCache>
            </c:strRef>
          </c:tx>
          <c:spPr>
            <a:solidFill>
              <a:srgbClr val="92D050"/>
            </a:solidFill>
            <a:ln>
              <a:noFill/>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rozpočet-příjmy-2020'!$E$34:$R$34</c:f>
              <c:numCache>
                <c:formatCode>0.0</c:formatCode>
                <c:ptCount val="14"/>
                <c:pt idx="0">
                  <c:v>1.6830759040134915</c:v>
                </c:pt>
                <c:pt idx="1">
                  <c:v>-0.48659770881993442</c:v>
                </c:pt>
                <c:pt idx="2">
                  <c:v>2.7861189363217047</c:v>
                </c:pt>
                <c:pt idx="3">
                  <c:v>2.5056491519121336</c:v>
                </c:pt>
                <c:pt idx="4">
                  <c:v>-2.0695480782767839</c:v>
                </c:pt>
                <c:pt idx="5">
                  <c:v>5.1489480707359876</c:v>
                </c:pt>
                <c:pt idx="6">
                  <c:v>2.7824643894343817</c:v>
                </c:pt>
                <c:pt idx="7">
                  <c:v>-1.9351195975772471</c:v>
                </c:pt>
                <c:pt idx="8">
                  <c:v>2.3089666597639282</c:v>
                </c:pt>
                <c:pt idx="9">
                  <c:v>5.2514284359515448</c:v>
                </c:pt>
                <c:pt idx="10">
                  <c:v>3.210492087578587</c:v>
                </c:pt>
                <c:pt idx="11">
                  <c:v>1.1536019195484959</c:v>
                </c:pt>
                <c:pt idx="12">
                  <c:v>-2.3369375494227094</c:v>
                </c:pt>
                <c:pt idx="13">
                  <c:v>3.7426873954992734</c:v>
                </c:pt>
              </c:numCache>
            </c:numRef>
          </c:val>
          <c:extLst>
            <c:ext xmlns:c16="http://schemas.microsoft.com/office/drawing/2014/chart" uri="{C3380CC4-5D6E-409C-BE32-E72D297353CC}">
              <c16:uniqueId val="{00000004-FB0C-4576-9213-9E3B1E90E0F1}"/>
            </c:ext>
          </c:extLst>
        </c:ser>
        <c:dLbls>
          <c:showLegendKey val="0"/>
          <c:showVal val="0"/>
          <c:showCatName val="0"/>
          <c:showSerName val="0"/>
          <c:showPercent val="0"/>
          <c:showBubbleSize val="0"/>
        </c:dLbls>
        <c:gapWidth val="105"/>
        <c:overlap val="100"/>
        <c:axId val="37642240"/>
        <c:axId val="37643776"/>
      </c:barChart>
      <c:lineChart>
        <c:grouping val="standard"/>
        <c:varyColors val="0"/>
        <c:ser>
          <c:idx val="0"/>
          <c:order val="0"/>
          <c:tx>
            <c:strRef>
              <c:f>'G1-Státní rozpočet-příjmy-2020'!$A$29</c:f>
              <c:strCache>
                <c:ptCount val="1"/>
                <c:pt idx="0">
                  <c:v>Celkové daňové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rozpočet-příjmy-2020'!$E$29:$R$29</c:f>
              <c:numCache>
                <c:formatCode>0.0</c:formatCode>
                <c:ptCount val="14"/>
                <c:pt idx="0">
                  <c:v>8.2829012735976733</c:v>
                </c:pt>
                <c:pt idx="1">
                  <c:v>-10.179624068512965</c:v>
                </c:pt>
                <c:pt idx="2">
                  <c:v>8.228337925270111</c:v>
                </c:pt>
                <c:pt idx="3">
                  <c:v>1.5846228654786643</c:v>
                </c:pt>
                <c:pt idx="4">
                  <c:v>-2.6056892130086027</c:v>
                </c:pt>
                <c:pt idx="5">
                  <c:v>4.525669566232267</c:v>
                </c:pt>
                <c:pt idx="6">
                  <c:v>7.7693265108560183</c:v>
                </c:pt>
                <c:pt idx="7">
                  <c:v>-0.85206857612153897</c:v>
                </c:pt>
                <c:pt idx="8">
                  <c:v>9.1815075585007406</c:v>
                </c:pt>
                <c:pt idx="9">
                  <c:v>9.3672206548282304</c:v>
                </c:pt>
                <c:pt idx="10">
                  <c:v>6.3596762131953142</c:v>
                </c:pt>
                <c:pt idx="11">
                  <c:v>6.1402466560108451</c:v>
                </c:pt>
                <c:pt idx="12">
                  <c:v>-12.261584541063172</c:v>
                </c:pt>
                <c:pt idx="13">
                  <c:v>4.357838052238904</c:v>
                </c:pt>
              </c:numCache>
            </c:numRef>
          </c:val>
          <c:smooth val="0"/>
          <c:extLst>
            <c:ext xmlns:c16="http://schemas.microsoft.com/office/drawing/2014/chart" uri="{C3380CC4-5D6E-409C-BE32-E72D297353CC}">
              <c16:uniqueId val="{00000005-FB0C-4576-9213-9E3B1E90E0F1}"/>
            </c:ext>
          </c:extLst>
        </c:ser>
        <c:dLbls>
          <c:showLegendKey val="0"/>
          <c:showVal val="0"/>
          <c:showCatName val="0"/>
          <c:showSerName val="0"/>
          <c:showPercent val="0"/>
          <c:showBubbleSize val="0"/>
        </c:dLbls>
        <c:marker val="1"/>
        <c:smooth val="0"/>
        <c:axId val="37642240"/>
        <c:axId val="37643776"/>
      </c:lineChart>
      <c:lineChart>
        <c:grouping val="standard"/>
        <c:varyColors val="0"/>
        <c:ser>
          <c:idx val="6"/>
          <c:order val="6"/>
          <c:tx>
            <c:strRef>
              <c:f>'G1-Státní rozpočet-příjmy-2020'!$A$35</c:f>
              <c:strCache>
                <c:ptCount val="1"/>
                <c:pt idx="0">
                  <c:v>Saldo státního rozpočtu (pravá osa)</c:v>
                </c:pt>
              </c:strCache>
            </c:strRef>
          </c:tx>
          <c:spPr>
            <a:ln w="19050">
              <a:solidFill>
                <a:schemeClr val="tx1">
                  <a:lumMod val="95000"/>
                  <a:lumOff val="5000"/>
                </a:schemeClr>
              </a:solidFill>
            </a:ln>
          </c:spPr>
          <c:marker>
            <c:symbol val="none"/>
          </c:marker>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rozpočet-příjmy-2020'!$E$35:$R$35</c:f>
              <c:numCache>
                <c:formatCode>#\ ##0.0</c:formatCode>
                <c:ptCount val="14"/>
                <c:pt idx="0">
                  <c:v>-5.6520000000000001</c:v>
                </c:pt>
                <c:pt idx="1">
                  <c:v>-68.259</c:v>
                </c:pt>
                <c:pt idx="2">
                  <c:v>-75.662000000000006</c:v>
                </c:pt>
                <c:pt idx="3">
                  <c:v>-62.856000000000002</c:v>
                </c:pt>
                <c:pt idx="4">
                  <c:v>-71.721999999999994</c:v>
                </c:pt>
                <c:pt idx="5">
                  <c:v>-31.52</c:v>
                </c:pt>
                <c:pt idx="6">
                  <c:v>1.45</c:v>
                </c:pt>
                <c:pt idx="7">
                  <c:v>22.65</c:v>
                </c:pt>
                <c:pt idx="8">
                  <c:v>40.65</c:v>
                </c:pt>
                <c:pt idx="9">
                  <c:v>4.62</c:v>
                </c:pt>
                <c:pt idx="10">
                  <c:v>-5.88</c:v>
                </c:pt>
                <c:pt idx="11">
                  <c:v>-20.68</c:v>
                </c:pt>
                <c:pt idx="12">
                  <c:v>-195.24722774568022</c:v>
                </c:pt>
                <c:pt idx="13">
                  <c:v>-265.05468517270992</c:v>
                </c:pt>
              </c:numCache>
            </c:numRef>
          </c:val>
          <c:smooth val="0"/>
          <c:extLst>
            <c:ext xmlns:c16="http://schemas.microsoft.com/office/drawing/2014/chart" uri="{C3380CC4-5D6E-409C-BE32-E72D297353CC}">
              <c16:uniqueId val="{00000006-FB0C-4576-9213-9E3B1E90E0F1}"/>
            </c:ext>
          </c:extLst>
        </c:ser>
        <c:dLbls>
          <c:showLegendKey val="0"/>
          <c:showVal val="0"/>
          <c:showCatName val="0"/>
          <c:showSerName val="0"/>
          <c:showPercent val="0"/>
          <c:showBubbleSize val="0"/>
        </c:dLbls>
        <c:marker val="1"/>
        <c:smooth val="0"/>
        <c:axId val="37660160"/>
        <c:axId val="37645696"/>
      </c:lineChart>
      <c:catAx>
        <c:axId val="37642240"/>
        <c:scaling>
          <c:orientation val="minMax"/>
        </c:scaling>
        <c:delete val="0"/>
        <c:axPos val="b"/>
        <c:numFmt formatCode="General" sourceLinked="1"/>
        <c:majorTickMark val="out"/>
        <c:minorTickMark val="none"/>
        <c:tickLblPos val="low"/>
        <c:spPr>
          <a:ln w="6350">
            <a:solidFill>
              <a:schemeClr val="tx1"/>
            </a:solidFill>
          </a:ln>
        </c:spPr>
        <c:crossAx val="37643776"/>
        <c:crosses val="autoZero"/>
        <c:auto val="1"/>
        <c:lblAlgn val="ctr"/>
        <c:lblOffset val="0"/>
        <c:noMultiLvlLbl val="0"/>
      </c:catAx>
      <c:valAx>
        <c:axId val="37643776"/>
        <c:scaling>
          <c:orientation val="minMax"/>
          <c:max val="12"/>
          <c:min val="-15"/>
        </c:scaling>
        <c:delete val="0"/>
        <c:axPos val="l"/>
        <c:majorGridlines>
          <c:spPr>
            <a:ln w="6350">
              <a:solidFill>
                <a:schemeClr val="bg1">
                  <a:lumMod val="75000"/>
                </a:schemeClr>
              </a:solidFill>
            </a:ln>
          </c:spPr>
        </c:majorGridlines>
        <c:title>
          <c:tx>
            <c:rich>
              <a:bodyPr/>
              <a:lstStyle/>
              <a:p>
                <a:pPr>
                  <a:defRPr sz="700" b="0" i="1"/>
                </a:pPr>
                <a:r>
                  <a:rPr lang="en-US" sz="700" b="0" i="1"/>
                  <a:t>Příspěvek k růstu celkových daňových příjmů (v p. b.)</a:t>
                </a:r>
              </a:p>
            </c:rich>
          </c:tx>
          <c:overlay val="0"/>
        </c:title>
        <c:numFmt formatCode="0" sourceLinked="0"/>
        <c:majorTickMark val="out"/>
        <c:minorTickMark val="none"/>
        <c:tickLblPos val="nextTo"/>
        <c:spPr>
          <a:ln w="6350">
            <a:solidFill>
              <a:schemeClr val="tx1"/>
            </a:solidFill>
          </a:ln>
        </c:spPr>
        <c:crossAx val="37642240"/>
        <c:crosses val="autoZero"/>
        <c:crossBetween val="between"/>
        <c:majorUnit val="3"/>
      </c:valAx>
      <c:valAx>
        <c:axId val="37645696"/>
        <c:scaling>
          <c:orientation val="minMax"/>
          <c:max val="240"/>
          <c:min val="-300"/>
        </c:scaling>
        <c:delete val="0"/>
        <c:axPos val="r"/>
        <c:title>
          <c:tx>
            <c:rich>
              <a:bodyPr/>
              <a:lstStyle/>
              <a:p>
                <a:pPr>
                  <a:defRPr sz="700" b="0" i="1"/>
                </a:pPr>
                <a:r>
                  <a:rPr lang="en-US" sz="700" b="0" i="1"/>
                  <a:t>Saldo státního rozpočtu (v mld. korun)</a:t>
                </a:r>
              </a:p>
            </c:rich>
          </c:tx>
          <c:overlay val="0"/>
        </c:title>
        <c:numFmt formatCode="#,##0" sourceLinked="0"/>
        <c:majorTickMark val="out"/>
        <c:minorTickMark val="none"/>
        <c:tickLblPos val="nextTo"/>
        <c:crossAx val="37660160"/>
        <c:crosses val="max"/>
        <c:crossBetween val="between"/>
        <c:majorUnit val="60"/>
      </c:valAx>
      <c:catAx>
        <c:axId val="37660160"/>
        <c:scaling>
          <c:orientation val="minMax"/>
        </c:scaling>
        <c:delete val="1"/>
        <c:axPos val="b"/>
        <c:numFmt formatCode="General" sourceLinked="1"/>
        <c:majorTickMark val="out"/>
        <c:minorTickMark val="none"/>
        <c:tickLblPos val="nextTo"/>
        <c:crossAx val="37645696"/>
        <c:crosses val="autoZero"/>
        <c:auto val="1"/>
        <c:lblAlgn val="ctr"/>
        <c:lblOffset val="100"/>
        <c:noMultiLvlLbl val="0"/>
      </c:catAx>
      <c:spPr>
        <a:ln w="6350">
          <a:solidFill>
            <a:schemeClr val="tx1"/>
          </a:solidFill>
        </a:ln>
      </c:spPr>
    </c:plotArea>
    <c:legend>
      <c:legendPos val="b"/>
      <c:layout>
        <c:manualLayout>
          <c:xMode val="edge"/>
          <c:yMode val="edge"/>
          <c:x val="2.9418474797126105E-2"/>
          <c:y val="0.87575776299038921"/>
          <c:w val="0.95851508447487288"/>
          <c:h val="0.1205988157137875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'SR-výdaje-celorok-2021'!$B$30</c:f>
              <c:strCache>
                <c:ptCount val="1"/>
                <c:pt idx="0">
                  <c:v>Běžné výdaje (pravá osa)</c:v>
                </c:pt>
              </c:strCache>
            </c:strRef>
          </c:tx>
          <c:spPr>
            <a:solidFill>
              <a:srgbClr val="D3D3D3"/>
            </a:solidFill>
            <a:ln>
              <a:noFill/>
            </a:ln>
          </c:spPr>
          <c:invertIfNegative val="0"/>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'SR-výdaje-celorok-2021'!$B$34:$B$47</c:f>
              <c:numCache>
                <c:formatCode>0.0</c:formatCode>
                <c:ptCount val="14"/>
                <c:pt idx="0">
                  <c:v>488.71899999999999</c:v>
                </c:pt>
                <c:pt idx="1">
                  <c:v>523.79999999999995</c:v>
                </c:pt>
                <c:pt idx="2">
                  <c:v>527.73400000000004</c:v>
                </c:pt>
                <c:pt idx="3">
                  <c:v>523.22</c:v>
                </c:pt>
                <c:pt idx="4">
                  <c:v>534.42999999999995</c:v>
                </c:pt>
                <c:pt idx="5">
                  <c:v>544.65</c:v>
                </c:pt>
                <c:pt idx="6">
                  <c:v>552.71100000000001</c:v>
                </c:pt>
                <c:pt idx="7">
                  <c:v>564.13</c:v>
                </c:pt>
                <c:pt idx="8">
                  <c:v>575.57000000000005</c:v>
                </c:pt>
                <c:pt idx="9">
                  <c:v>609.53</c:v>
                </c:pt>
                <c:pt idx="10">
                  <c:v>660.76</c:v>
                </c:pt>
                <c:pt idx="11">
                  <c:v>718.74153402592015</c:v>
                </c:pt>
                <c:pt idx="12">
                  <c:v>829.93717826878003</c:v>
                </c:pt>
                <c:pt idx="13">
                  <c:v>918.21552936517992</c:v>
                </c:pt>
              </c:numCache>
            </c:numRef>
          </c:val>
          <c:extLst>
            <c:ext xmlns:c16="http://schemas.microsoft.com/office/drawing/2014/chart" uri="{C3380CC4-5D6E-409C-BE32-E72D297353CC}">
              <c16:uniqueId val="{00000000-14EB-4CC8-A52E-4740C4FC00DC}"/>
            </c:ext>
          </c:extLst>
        </c:ser>
        <c:dLbls>
          <c:showLegendKey val="0"/>
          <c:showVal val="0"/>
          <c:showCatName val="0"/>
          <c:showSerName val="0"/>
          <c:showPercent val="0"/>
          <c:showBubbleSize val="0"/>
        </c:dLbls>
        <c:gapWidth val="70"/>
        <c:axId val="37422976"/>
        <c:axId val="37421056"/>
      </c:barChart>
      <c:lineChart>
        <c:grouping val="standard"/>
        <c:varyColors val="0"/>
        <c:ser>
          <c:idx val="1"/>
          <c:order val="1"/>
          <c:tx>
            <c:strRef>
              <c:f>'SR-výdaje-celorok-2021'!$C$30</c:f>
              <c:strCache>
                <c:ptCount val="1"/>
                <c:pt idx="0">
                  <c:v>Platy státních zaměstnanců*</c:v>
                </c:pt>
              </c:strCache>
            </c:strRef>
          </c:tx>
          <c:spPr>
            <a:ln w="15875">
              <a:solidFill>
                <a:srgbClr val="996633"/>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'SR-výdaje-celorok-2021'!$C$34:$C$47</c:f>
              <c:numCache>
                <c:formatCode>0.0</c:formatCode>
                <c:ptCount val="14"/>
                <c:pt idx="0">
                  <c:v>37.729999999999997</c:v>
                </c:pt>
                <c:pt idx="1">
                  <c:v>38.979999999999997</c:v>
                </c:pt>
                <c:pt idx="2">
                  <c:v>39.36</c:v>
                </c:pt>
                <c:pt idx="3">
                  <c:v>35.700000000000003</c:v>
                </c:pt>
                <c:pt idx="4">
                  <c:v>36.299999999999997</c:v>
                </c:pt>
                <c:pt idx="5">
                  <c:v>36.880000000000003</c:v>
                </c:pt>
                <c:pt idx="6">
                  <c:v>38.090000000000003</c:v>
                </c:pt>
                <c:pt idx="7">
                  <c:v>41.88</c:v>
                </c:pt>
                <c:pt idx="8">
                  <c:v>43.22</c:v>
                </c:pt>
                <c:pt idx="9">
                  <c:v>46.52</c:v>
                </c:pt>
                <c:pt idx="10">
                  <c:v>53.13</c:v>
                </c:pt>
                <c:pt idx="11">
                  <c:v>57.572759809109989</c:v>
                </c:pt>
                <c:pt idx="12">
                  <c:v>60.066088983770015</c:v>
                </c:pt>
                <c:pt idx="13">
                  <c:v>60.730175770279999</c:v>
                </c:pt>
              </c:numCache>
            </c:numRef>
          </c:val>
          <c:smooth val="0"/>
          <c:extLst>
            <c:ext xmlns:c16="http://schemas.microsoft.com/office/drawing/2014/chart" uri="{C3380CC4-5D6E-409C-BE32-E72D297353CC}">
              <c16:uniqueId val="{00000001-14EB-4CC8-A52E-4740C4FC00DC}"/>
            </c:ext>
          </c:extLst>
        </c:ser>
        <c:ser>
          <c:idx val="6"/>
          <c:order val="2"/>
          <c:tx>
            <c:strRef>
              <c:f>'SR-výdaje-celorok-2021'!$D$30</c:f>
              <c:strCache>
                <c:ptCount val="1"/>
                <c:pt idx="0">
                  <c:v>Podpora v nezaměstnanosti</c:v>
                </c:pt>
              </c:strCache>
            </c:strRef>
          </c:tx>
          <c:spPr>
            <a:ln w="15875">
              <a:solidFill>
                <a:srgbClr val="48AEE7"/>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'SR-výdaje-celorok-2021'!$D$34:$D$47</c:f>
              <c:numCache>
                <c:formatCode>0.0</c:formatCode>
                <c:ptCount val="14"/>
                <c:pt idx="0">
                  <c:v>3.56</c:v>
                </c:pt>
                <c:pt idx="1">
                  <c:v>7.3049999999999997</c:v>
                </c:pt>
                <c:pt idx="2">
                  <c:v>7.77</c:v>
                </c:pt>
                <c:pt idx="3">
                  <c:v>6.2279999999999998</c:v>
                </c:pt>
                <c:pt idx="4">
                  <c:v>4.8410000000000002</c:v>
                </c:pt>
                <c:pt idx="5">
                  <c:v>5.3579999999999997</c:v>
                </c:pt>
                <c:pt idx="6">
                  <c:v>5.2690000000000001</c:v>
                </c:pt>
                <c:pt idx="7">
                  <c:v>4.6150000000000002</c:v>
                </c:pt>
                <c:pt idx="8">
                  <c:v>4.4829999999999997</c:v>
                </c:pt>
                <c:pt idx="9">
                  <c:v>4.3310000000000004</c:v>
                </c:pt>
                <c:pt idx="10">
                  <c:v>3.98</c:v>
                </c:pt>
                <c:pt idx="11">
                  <c:v>4.2361097359899995</c:v>
                </c:pt>
                <c:pt idx="12">
                  <c:v>5.1359402661699995</c:v>
                </c:pt>
                <c:pt idx="13">
                  <c:v>5.4808145954800001</c:v>
                </c:pt>
              </c:numCache>
            </c:numRef>
          </c:val>
          <c:smooth val="0"/>
          <c:extLst>
            <c:ext xmlns:c16="http://schemas.microsoft.com/office/drawing/2014/chart" uri="{C3380CC4-5D6E-409C-BE32-E72D297353CC}">
              <c16:uniqueId val="{00000002-14EB-4CC8-A52E-4740C4FC00DC}"/>
            </c:ext>
          </c:extLst>
        </c:ser>
        <c:ser>
          <c:idx val="7"/>
          <c:order val="3"/>
          <c:tx>
            <c:strRef>
              <c:f>'SR-výdaje-celorok-2021'!$E$30</c:f>
              <c:strCache>
                <c:ptCount val="1"/>
                <c:pt idx="0">
                  <c:v>Státní sociální podpora**</c:v>
                </c:pt>
              </c:strCache>
            </c:strRef>
          </c:tx>
          <c:spPr>
            <a:ln w="15875">
              <a:solidFill>
                <a:srgbClr val="00B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'SR-výdaje-celorok-2021'!$E$34:$E$47</c:f>
              <c:numCache>
                <c:formatCode>0.0</c:formatCode>
                <c:ptCount val="14"/>
                <c:pt idx="0">
                  <c:v>21.52</c:v>
                </c:pt>
                <c:pt idx="1">
                  <c:v>20.594999999999999</c:v>
                </c:pt>
                <c:pt idx="2">
                  <c:v>20.64</c:v>
                </c:pt>
                <c:pt idx="3">
                  <c:v>18.405999999999999</c:v>
                </c:pt>
                <c:pt idx="4">
                  <c:v>17.881</c:v>
                </c:pt>
                <c:pt idx="5">
                  <c:v>18.681999999999999</c:v>
                </c:pt>
                <c:pt idx="6">
                  <c:v>18.91</c:v>
                </c:pt>
                <c:pt idx="7">
                  <c:v>18.873999999999999</c:v>
                </c:pt>
                <c:pt idx="8">
                  <c:v>18.963999999999999</c:v>
                </c:pt>
                <c:pt idx="9">
                  <c:v>18.742000000000001</c:v>
                </c:pt>
                <c:pt idx="10">
                  <c:v>19.53</c:v>
                </c:pt>
                <c:pt idx="11">
                  <c:v>19.01942501061</c:v>
                </c:pt>
                <c:pt idx="12">
                  <c:v>25.639216971080003</c:v>
                </c:pt>
                <c:pt idx="13">
                  <c:v>24.55531385466</c:v>
                </c:pt>
              </c:numCache>
            </c:numRef>
          </c:val>
          <c:smooth val="0"/>
          <c:extLst>
            <c:ext xmlns:c16="http://schemas.microsoft.com/office/drawing/2014/chart" uri="{C3380CC4-5D6E-409C-BE32-E72D297353CC}">
              <c16:uniqueId val="{00000003-14EB-4CC8-A52E-4740C4FC00DC}"/>
            </c:ext>
          </c:extLst>
        </c:ser>
        <c:ser>
          <c:idx val="2"/>
          <c:order val="4"/>
          <c:tx>
            <c:strRef>
              <c:f>'SR-výdaje-celorok-2021'!$F$30</c:f>
              <c:strCache>
                <c:ptCount val="1"/>
                <c:pt idx="0">
                  <c:v>Dávky nemocenského pojištění</c:v>
                </c:pt>
              </c:strCache>
            </c:strRef>
          </c:tx>
          <c:spPr>
            <a:ln w="15875">
              <a:solidFill>
                <a:srgbClr val="0071BC"/>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'SR-výdaje-celorok-2021'!$F$34:$F$47</c:f>
              <c:numCache>
                <c:formatCode>0.00</c:formatCode>
                <c:ptCount val="14"/>
                <c:pt idx="0">
                  <c:v>16.734000000000002</c:v>
                </c:pt>
                <c:pt idx="1">
                  <c:v>14.089</c:v>
                </c:pt>
                <c:pt idx="2">
                  <c:v>11.56</c:v>
                </c:pt>
                <c:pt idx="3">
                  <c:v>11.773</c:v>
                </c:pt>
                <c:pt idx="4">
                  <c:v>10.244</c:v>
                </c:pt>
                <c:pt idx="5">
                  <c:v>10.609</c:v>
                </c:pt>
                <c:pt idx="6">
                  <c:v>11.201000000000001</c:v>
                </c:pt>
                <c:pt idx="7">
                  <c:v>12.429</c:v>
                </c:pt>
                <c:pt idx="8">
                  <c:v>13.566000000000001</c:v>
                </c:pt>
                <c:pt idx="9">
                  <c:v>14.757999999999999</c:v>
                </c:pt>
                <c:pt idx="10">
                  <c:v>17.3</c:v>
                </c:pt>
                <c:pt idx="11">
                  <c:v>19.93</c:v>
                </c:pt>
                <c:pt idx="12">
                  <c:v>30.15</c:v>
                </c:pt>
                <c:pt idx="13">
                  <c:v>28.65</c:v>
                </c:pt>
              </c:numCache>
            </c:numRef>
          </c:val>
          <c:smooth val="0"/>
          <c:extLst>
            <c:ext xmlns:c16="http://schemas.microsoft.com/office/drawing/2014/chart" uri="{C3380CC4-5D6E-409C-BE32-E72D297353CC}">
              <c16:uniqueId val="{00000004-14EB-4CC8-A52E-4740C4FC00DC}"/>
            </c:ext>
          </c:extLst>
        </c:ser>
        <c:ser>
          <c:idx val="3"/>
          <c:order val="5"/>
          <c:tx>
            <c:strRef>
              <c:f>'SR-výdaje-celorok-2021'!$G$30</c:f>
              <c:strCache>
                <c:ptCount val="1"/>
                <c:pt idx="0">
                  <c:v>Dávky sociální péče***</c:v>
                </c:pt>
              </c:strCache>
            </c:strRef>
          </c:tx>
          <c:spPr>
            <a:ln w="15875">
              <a:solidFill>
                <a:srgbClr val="7030A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'SR-výdaje-celorok-2021'!$G$34:$G$47</c:f>
              <c:numCache>
                <c:formatCode>0.00</c:formatCode>
                <c:ptCount val="14"/>
                <c:pt idx="0">
                  <c:v>13.247</c:v>
                </c:pt>
                <c:pt idx="1">
                  <c:v>13.003</c:v>
                </c:pt>
                <c:pt idx="2">
                  <c:v>13.486000000000001</c:v>
                </c:pt>
                <c:pt idx="3">
                  <c:v>12.911000000000001</c:v>
                </c:pt>
                <c:pt idx="4">
                  <c:v>13.282</c:v>
                </c:pt>
                <c:pt idx="5">
                  <c:v>15.668000000000001</c:v>
                </c:pt>
                <c:pt idx="6">
                  <c:v>16.734999999999999</c:v>
                </c:pt>
                <c:pt idx="7">
                  <c:v>16.93</c:v>
                </c:pt>
                <c:pt idx="8">
                  <c:v>16.78</c:v>
                </c:pt>
                <c:pt idx="9">
                  <c:v>17.489999999999998</c:v>
                </c:pt>
                <c:pt idx="10">
                  <c:v>17.100000000000001</c:v>
                </c:pt>
                <c:pt idx="11">
                  <c:v>17.32</c:v>
                </c:pt>
                <c:pt idx="12">
                  <c:v>20.09</c:v>
                </c:pt>
                <c:pt idx="13">
                  <c:v>20.37</c:v>
                </c:pt>
              </c:numCache>
            </c:numRef>
          </c:val>
          <c:smooth val="0"/>
          <c:extLst>
            <c:ext xmlns:c16="http://schemas.microsoft.com/office/drawing/2014/chart" uri="{C3380CC4-5D6E-409C-BE32-E72D297353CC}">
              <c16:uniqueId val="{00000005-14EB-4CC8-A52E-4740C4FC00DC}"/>
            </c:ext>
          </c:extLst>
        </c:ser>
        <c:ser>
          <c:idx val="4"/>
          <c:order val="6"/>
          <c:tx>
            <c:strRef>
              <c:f>'SR-výdaje-celorok-2021'!$H$30</c:f>
              <c:strCache>
                <c:ptCount val="1"/>
                <c:pt idx="0">
                  <c:v>Neinv. nákupy a souvis. výdaje****</c:v>
                </c:pt>
              </c:strCache>
            </c:strRef>
          </c:tx>
          <c:spPr>
            <a:ln w="15875">
              <a:solidFill>
                <a:srgbClr val="F8A124"/>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'SR-výdaje-celorok-2021'!$H$34:$H$47</c:f>
              <c:numCache>
                <c:formatCode>0.0</c:formatCode>
                <c:ptCount val="14"/>
                <c:pt idx="0">
                  <c:v>31.934000000000005</c:v>
                </c:pt>
                <c:pt idx="1">
                  <c:v>32.001999999999995</c:v>
                </c:pt>
                <c:pt idx="2">
                  <c:v>31.84</c:v>
                </c:pt>
                <c:pt idx="3">
                  <c:v>29.076999999999998</c:v>
                </c:pt>
                <c:pt idx="4">
                  <c:v>26.950000000000003</c:v>
                </c:pt>
                <c:pt idx="5">
                  <c:v>23.5</c:v>
                </c:pt>
                <c:pt idx="6">
                  <c:v>22.14</c:v>
                </c:pt>
                <c:pt idx="7">
                  <c:v>25.509999999999998</c:v>
                </c:pt>
                <c:pt idx="8">
                  <c:v>25.499999999999996</c:v>
                </c:pt>
                <c:pt idx="9">
                  <c:v>29.889999999999997</c:v>
                </c:pt>
                <c:pt idx="10">
                  <c:v>30.75</c:v>
                </c:pt>
                <c:pt idx="11">
                  <c:v>27.947201055630007</c:v>
                </c:pt>
                <c:pt idx="12">
                  <c:v>35.631314475349981</c:v>
                </c:pt>
                <c:pt idx="13">
                  <c:v>32.288567214580006</c:v>
                </c:pt>
              </c:numCache>
            </c:numRef>
          </c:val>
          <c:smooth val="0"/>
          <c:extLst>
            <c:ext xmlns:c16="http://schemas.microsoft.com/office/drawing/2014/chart" uri="{C3380CC4-5D6E-409C-BE32-E72D297353CC}">
              <c16:uniqueId val="{00000006-14EB-4CC8-A52E-4740C4FC00DC}"/>
            </c:ext>
          </c:extLst>
        </c:ser>
        <c:ser>
          <c:idx val="5"/>
          <c:order val="7"/>
          <c:tx>
            <c:strRef>
              <c:f>'SR-výdaje-celorok-2021'!$I$30</c:f>
              <c:strCache>
                <c:ptCount val="1"/>
                <c:pt idx="0">
                  <c:v>Státní dluh (čisté výdaje)*****</c:v>
                </c:pt>
              </c:strCache>
            </c:strRef>
          </c:tx>
          <c:spPr>
            <a:ln w="15875">
              <a:solidFill>
                <a:schemeClr val="tx1">
                  <a:lumMod val="95000"/>
                  <a:lumOff val="5000"/>
                </a:schemeClr>
              </a:solidFill>
              <a:prstDash val="sysDash"/>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'SR-výdaje-celorok-2021'!$I$34:$I$47</c:f>
              <c:numCache>
                <c:formatCode>0.0</c:formatCode>
                <c:ptCount val="14"/>
                <c:pt idx="0">
                  <c:v>16.5</c:v>
                </c:pt>
                <c:pt idx="1">
                  <c:v>25.770000000000003</c:v>
                </c:pt>
                <c:pt idx="2">
                  <c:v>21.27</c:v>
                </c:pt>
                <c:pt idx="3">
                  <c:v>25.81</c:v>
                </c:pt>
                <c:pt idx="4">
                  <c:v>26.419999999999998</c:v>
                </c:pt>
                <c:pt idx="5">
                  <c:v>30.400000000000002</c:v>
                </c:pt>
                <c:pt idx="6">
                  <c:v>26.86</c:v>
                </c:pt>
                <c:pt idx="7">
                  <c:v>23.55</c:v>
                </c:pt>
                <c:pt idx="8">
                  <c:v>23.76</c:v>
                </c:pt>
                <c:pt idx="9">
                  <c:v>18.739999999999998</c:v>
                </c:pt>
                <c:pt idx="10">
                  <c:v>20.11</c:v>
                </c:pt>
                <c:pt idx="11">
                  <c:v>16.91954772339</c:v>
                </c:pt>
                <c:pt idx="12">
                  <c:v>12.518656263610001</c:v>
                </c:pt>
                <c:pt idx="13">
                  <c:v>18.616192468259996</c:v>
                </c:pt>
              </c:numCache>
            </c:numRef>
          </c:val>
          <c:smooth val="0"/>
          <c:extLst>
            <c:ext xmlns:c16="http://schemas.microsoft.com/office/drawing/2014/chart" uri="{C3380CC4-5D6E-409C-BE32-E72D297353CC}">
              <c16:uniqueId val="{00000007-14EB-4CC8-A52E-4740C4FC00DC}"/>
            </c:ext>
          </c:extLst>
        </c:ser>
        <c:ser>
          <c:idx val="8"/>
          <c:order val="8"/>
          <c:tx>
            <c:strRef>
              <c:f>'SR-výdaje-celorok-2021'!$J$30</c:f>
              <c:strCache>
                <c:ptCount val="1"/>
                <c:pt idx="0">
                  <c:v>Kapitálové výdaje</c:v>
                </c:pt>
              </c:strCache>
            </c:strRef>
          </c:tx>
          <c:spPr>
            <a:ln w="15875">
              <a:solidFill>
                <a:srgbClr val="C00000"/>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'SR-výdaje-celorok-2021'!$J$34:$J$47</c:f>
              <c:numCache>
                <c:formatCode>0.0</c:formatCode>
                <c:ptCount val="14"/>
                <c:pt idx="0">
                  <c:v>53.505000000000003</c:v>
                </c:pt>
                <c:pt idx="1">
                  <c:v>51.149000000000001</c:v>
                </c:pt>
                <c:pt idx="2">
                  <c:v>55.872999999999998</c:v>
                </c:pt>
                <c:pt idx="3">
                  <c:v>47.277000000000001</c:v>
                </c:pt>
                <c:pt idx="4">
                  <c:v>41.93</c:v>
                </c:pt>
                <c:pt idx="5">
                  <c:v>36.779000000000003</c:v>
                </c:pt>
                <c:pt idx="6">
                  <c:v>34.893999999999998</c:v>
                </c:pt>
                <c:pt idx="7">
                  <c:v>54.02</c:v>
                </c:pt>
                <c:pt idx="8">
                  <c:v>39.090000000000003</c:v>
                </c:pt>
                <c:pt idx="9">
                  <c:v>20.309999999999999</c:v>
                </c:pt>
                <c:pt idx="10">
                  <c:v>33.25</c:v>
                </c:pt>
                <c:pt idx="11">
                  <c:v>45.820505926130004</c:v>
                </c:pt>
                <c:pt idx="12">
                  <c:v>64.976999301739994</c:v>
                </c:pt>
                <c:pt idx="13">
                  <c:v>59.615568521599997</c:v>
                </c:pt>
              </c:numCache>
            </c:numRef>
          </c:val>
          <c:smooth val="0"/>
          <c:extLst>
            <c:ext xmlns:c16="http://schemas.microsoft.com/office/drawing/2014/chart" uri="{C3380CC4-5D6E-409C-BE32-E72D297353CC}">
              <c16:uniqueId val="{00000008-14EB-4CC8-A52E-4740C4FC00DC}"/>
            </c:ext>
          </c:extLst>
        </c:ser>
        <c:dLbls>
          <c:showLegendKey val="0"/>
          <c:showVal val="0"/>
          <c:showCatName val="0"/>
          <c:showSerName val="0"/>
          <c:showPercent val="0"/>
          <c:showBubbleSize val="0"/>
        </c:dLbls>
        <c:marker val="1"/>
        <c:smooth val="0"/>
        <c:axId val="37417344"/>
        <c:axId val="37418880"/>
      </c:lineChart>
      <c:catAx>
        <c:axId val="37417344"/>
        <c:scaling>
          <c:orientation val="minMax"/>
        </c:scaling>
        <c:delete val="0"/>
        <c:axPos val="b"/>
        <c:numFmt formatCode="General" sourceLinked="1"/>
        <c:majorTickMark val="out"/>
        <c:minorTickMark val="none"/>
        <c:tickLblPos val="low"/>
        <c:spPr>
          <a:ln w="6350">
            <a:solidFill>
              <a:schemeClr val="bg1">
                <a:lumMod val="50000"/>
              </a:schemeClr>
            </a:solidFill>
          </a:ln>
        </c:spPr>
        <c:crossAx val="37418880"/>
        <c:crosses val="autoZero"/>
        <c:auto val="1"/>
        <c:lblAlgn val="ctr"/>
        <c:lblOffset val="20"/>
        <c:noMultiLvlLbl val="0"/>
      </c:catAx>
      <c:valAx>
        <c:axId val="37418880"/>
        <c:scaling>
          <c:orientation val="minMax"/>
          <c:max val="100"/>
          <c:min val="0"/>
        </c:scaling>
        <c:delete val="0"/>
        <c:axPos val="l"/>
        <c:majorGridlines>
          <c:spPr>
            <a:ln w="6350">
              <a:solidFill>
                <a:schemeClr val="bg1">
                  <a:lumMod val="75000"/>
                </a:schemeClr>
              </a:solidFill>
            </a:ln>
          </c:spPr>
        </c:majorGridlines>
        <c:title>
          <c:tx>
            <c:rich>
              <a:bodyPr/>
              <a:lstStyle/>
              <a:p>
                <a:pPr>
                  <a:defRPr/>
                </a:pPr>
                <a:r>
                  <a:rPr lang="en-US" sz="700" b="0" i="1"/>
                  <a:t>Ostatní výdaje (v mld. korun)</a:t>
                </a:r>
                <a:endParaRPr lang="en-US"/>
              </a:p>
            </c:rich>
          </c:tx>
          <c:overlay val="0"/>
        </c:title>
        <c:numFmt formatCode="0" sourceLinked="0"/>
        <c:majorTickMark val="out"/>
        <c:minorTickMark val="none"/>
        <c:tickLblPos val="nextTo"/>
        <c:spPr>
          <a:ln w="6350">
            <a:solidFill>
              <a:schemeClr val="tx1"/>
            </a:solidFill>
          </a:ln>
        </c:spPr>
        <c:crossAx val="37417344"/>
        <c:crosses val="autoZero"/>
        <c:crossBetween val="between"/>
        <c:majorUnit val="10"/>
      </c:valAx>
      <c:valAx>
        <c:axId val="37421056"/>
        <c:scaling>
          <c:orientation val="minMax"/>
          <c:max val="1000"/>
          <c:min val="0"/>
        </c:scaling>
        <c:delete val="0"/>
        <c:axPos val="r"/>
        <c:title>
          <c:tx>
            <c:rich>
              <a:bodyPr/>
              <a:lstStyle/>
              <a:p>
                <a:pPr>
                  <a:defRPr sz="700" b="0" i="1"/>
                </a:pPr>
                <a:r>
                  <a:rPr lang="en-US" sz="700" b="0" i="1"/>
                  <a:t>Běžné výdaje celkem (v mld. korun)</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37422976"/>
        <c:crosses val="max"/>
        <c:crossBetween val="between"/>
        <c:majorUnit val="100"/>
        <c:minorUnit val="10"/>
      </c:valAx>
      <c:catAx>
        <c:axId val="37422976"/>
        <c:scaling>
          <c:orientation val="minMax"/>
        </c:scaling>
        <c:delete val="1"/>
        <c:axPos val="b"/>
        <c:numFmt formatCode="General" sourceLinked="1"/>
        <c:majorTickMark val="out"/>
        <c:minorTickMark val="none"/>
        <c:tickLblPos val="none"/>
        <c:crossAx val="37421056"/>
        <c:crosses val="autoZero"/>
        <c:auto val="1"/>
        <c:lblAlgn val="ctr"/>
        <c:lblOffset val="100"/>
        <c:noMultiLvlLbl val="0"/>
      </c:catAx>
      <c:spPr>
        <a:ln w="6350">
          <a:solidFill>
            <a:schemeClr val="tx1"/>
          </a:solidFill>
        </a:ln>
      </c:spPr>
    </c:plotArea>
    <c:legend>
      <c:legendPos val="b"/>
      <c:layout>
        <c:manualLayout>
          <c:xMode val="edge"/>
          <c:yMode val="edge"/>
          <c:x val="7.4619170751506966E-2"/>
          <c:y val="0.83055049925775093"/>
          <c:w val="0.83751228370680708"/>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F483-A36D-46F2-B26B-EF62E930D23B}">
  <ds:schemaRefs>
    <ds:schemaRef ds:uri="http://schemas.openxmlformats.org/officeDocument/2006/bibliography"/>
  </ds:schemaRefs>
</ds:datastoreItem>
</file>

<file path=customXml/itemProps2.xml><?xml version="1.0" encoding="utf-8"?>
<ds:datastoreItem xmlns:ds="http://schemas.openxmlformats.org/officeDocument/2006/customXml" ds:itemID="{A9176270-2D4F-4C4A-85B7-894EC1F8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Pages>
  <Words>2185</Words>
  <Characters>12895</Characters>
  <Application>Microsoft Office Word</Application>
  <DocSecurity>0</DocSecurity>
  <Lines>107</Lines>
  <Paragraphs>30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15050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2019-04-08T10:52:00Z</cp:lastPrinted>
  <dcterms:created xsi:type="dcterms:W3CDTF">2021-09-14T08:33:00Z</dcterms:created>
  <dcterms:modified xsi:type="dcterms:W3CDTF">2021-09-14T08:49:00Z</dcterms:modified>
</cp:coreProperties>
</file>