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A348" w14:textId="77777777" w:rsidR="00E87CE2" w:rsidRPr="006065E2" w:rsidRDefault="00E87CE2" w:rsidP="00E87CE2">
      <w:pPr>
        <w:pStyle w:val="Nadpis11"/>
      </w:pPr>
      <w:bookmarkStart w:id="0" w:name="_Toc74643855"/>
      <w:bookmarkStart w:id="1" w:name="_Toc58605374"/>
      <w:bookmarkStart w:id="2" w:name="_Toc66719930"/>
      <w:bookmarkStart w:id="3" w:name="_Toc532558287"/>
      <w:bookmarkStart w:id="4" w:name="_Toc58605375"/>
      <w:r w:rsidRPr="006065E2">
        <w:t>3. Výkonnost odvětví</w:t>
      </w:r>
      <w:bookmarkEnd w:id="0"/>
    </w:p>
    <w:tbl>
      <w:tblPr>
        <w:tblW w:w="9664" w:type="dxa"/>
        <w:tblInd w:w="-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8"/>
        <w:gridCol w:w="206"/>
        <w:gridCol w:w="7730"/>
      </w:tblGrid>
      <w:tr w:rsidR="00E87CE2" w:rsidRPr="001F719B" w14:paraId="5DB432F2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121DC31" w14:textId="77777777" w:rsidR="00E87CE2" w:rsidRDefault="00E87CE2" w:rsidP="006F6FF2">
            <w:pPr>
              <w:pStyle w:val="Marginlie"/>
            </w:pPr>
            <w:r>
              <w:t>I přes silné vládní restrikce v době vrcholící pandemie i slabšího oživování poptávky v eurozóně HPH v Česku mezičtvrtletně mírně vzrostla.</w:t>
            </w:r>
          </w:p>
          <w:p w14:paraId="6B09383D" w14:textId="77777777" w:rsidR="00E87CE2" w:rsidRDefault="00E87CE2" w:rsidP="006F6FF2">
            <w:pPr>
              <w:pStyle w:val="Marginlie"/>
            </w:pPr>
          </w:p>
          <w:p w14:paraId="5BBF6057" w14:textId="77777777" w:rsidR="00E87CE2" w:rsidRDefault="00E87CE2" w:rsidP="006F6FF2">
            <w:pPr>
              <w:pStyle w:val="Marginlie"/>
            </w:pPr>
          </w:p>
          <w:p w14:paraId="57DFBDE6" w14:textId="77777777" w:rsidR="00E87CE2" w:rsidRDefault="00E87CE2" w:rsidP="006F6FF2">
            <w:pPr>
              <w:pStyle w:val="Marginlie"/>
            </w:pPr>
          </w:p>
          <w:p w14:paraId="3D8507A8" w14:textId="77777777" w:rsidR="00E87CE2" w:rsidRDefault="00E87CE2" w:rsidP="006F6FF2">
            <w:pPr>
              <w:pStyle w:val="Marginlie"/>
            </w:pPr>
          </w:p>
          <w:p w14:paraId="33838F79" w14:textId="77777777" w:rsidR="00E87CE2" w:rsidRDefault="00E87CE2" w:rsidP="006F6FF2">
            <w:pPr>
              <w:pStyle w:val="Marginlie"/>
            </w:pPr>
          </w:p>
          <w:p w14:paraId="5923EDD2" w14:textId="77777777" w:rsidR="00E87CE2" w:rsidRDefault="00E87CE2" w:rsidP="006F6FF2">
            <w:pPr>
              <w:pStyle w:val="Marginlie"/>
            </w:pPr>
            <w:r>
              <w:t>Některá odvětví nebyla protipandemickými opatřeními výrazně poznamenána, …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2677B76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6F84677" w14:textId="77777777" w:rsidR="00E87CE2" w:rsidRPr="001F719B" w:rsidRDefault="00E87CE2" w:rsidP="00E87CE2">
            <w:pPr>
              <w:rPr>
                <w:spacing w:val="-4"/>
              </w:rPr>
            </w:pPr>
            <w:r w:rsidRPr="001F719B">
              <w:rPr>
                <w:spacing w:val="-4"/>
              </w:rPr>
              <w:t>Podobně jako na konci loňského roku byla v 1.</w:t>
            </w:r>
            <w:r>
              <w:rPr>
                <w:spacing w:val="-4"/>
              </w:rPr>
              <w:t> čtvrtlet</w:t>
            </w:r>
            <w:r w:rsidRPr="001F719B">
              <w:rPr>
                <w:spacing w:val="-4"/>
              </w:rPr>
              <w:t>í tuzemská ekonomika limitována oslabenou investiční aktivitou i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 xml:space="preserve">soukromou spotřebou. V březnu, kdy pandemie </w:t>
            </w:r>
            <w:r>
              <w:rPr>
                <w:spacing w:val="-4"/>
              </w:rPr>
              <w:t>covidu-19</w:t>
            </w:r>
            <w:r w:rsidRPr="001F719B">
              <w:rPr>
                <w:spacing w:val="-4"/>
              </w:rPr>
              <w:t xml:space="preserve"> v Česku vrcholila, došlo k dalšímu zpřísnění vládních restrikcí v oblasti mobility obyvatelstva. Příliš příznivě nepůsobilo ani vnější prostředí, neboť ekonomika eurozóny spadla na počátku </w:t>
            </w:r>
            <w:r>
              <w:rPr>
                <w:spacing w:val="-4"/>
              </w:rPr>
              <w:t xml:space="preserve">letošního </w:t>
            </w:r>
            <w:r w:rsidRPr="001F719B">
              <w:rPr>
                <w:spacing w:val="-4"/>
              </w:rPr>
              <w:t>roku do mělké recese, a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>to především vinou poměrně výrazného mezičtvrtletního poklesu HDP v Německu (o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>1,8</w:t>
            </w:r>
            <w:r>
              <w:rPr>
                <w:spacing w:val="-4"/>
              </w:rPr>
              <w:t> %</w:t>
            </w:r>
            <w:r w:rsidRPr="001F719B">
              <w:rPr>
                <w:spacing w:val="-4"/>
              </w:rPr>
              <w:t>).</w:t>
            </w:r>
            <w:r>
              <w:rPr>
                <w:spacing w:val="-4"/>
              </w:rPr>
              <w:t xml:space="preserve"> I přes tyto faktory</w:t>
            </w:r>
            <w:r w:rsidRPr="001F719B">
              <w:rPr>
                <w:spacing w:val="-4"/>
              </w:rPr>
              <w:t xml:space="preserve"> dokázala hrubá přidaná hodnota (HPH)</w:t>
            </w:r>
            <w:r w:rsidRPr="001F719B">
              <w:rPr>
                <w:rStyle w:val="Znakapoznpodarou"/>
                <w:spacing w:val="-4"/>
              </w:rPr>
              <w:footnoteReference w:id="1"/>
            </w:r>
            <w:r w:rsidRPr="001F719B">
              <w:rPr>
                <w:spacing w:val="-4"/>
              </w:rPr>
              <w:t xml:space="preserve"> v tuzemsku udržet minimální růst (+0,1</w:t>
            </w:r>
            <w:r>
              <w:rPr>
                <w:spacing w:val="-4"/>
              </w:rPr>
              <w:t> %</w:t>
            </w:r>
            <w:r w:rsidRPr="001F719B">
              <w:rPr>
                <w:spacing w:val="-4"/>
              </w:rPr>
              <w:t xml:space="preserve"> mezičtvrtletně). Pozitivně se projevil fakt, </w:t>
            </w:r>
            <w:r>
              <w:rPr>
                <w:spacing w:val="-4"/>
              </w:rPr>
              <w:t xml:space="preserve">že </w:t>
            </w:r>
            <w:r w:rsidRPr="001F719B">
              <w:rPr>
                <w:spacing w:val="-4"/>
              </w:rPr>
              <w:t>počet odpracovaných hodin v celé ekonomice ve srovnání s nižší základnou ze 4.</w:t>
            </w:r>
            <w:r>
              <w:rPr>
                <w:spacing w:val="-4"/>
              </w:rPr>
              <w:t> čtvrtlet</w:t>
            </w:r>
            <w:r w:rsidRPr="001F719B">
              <w:rPr>
                <w:spacing w:val="-4"/>
              </w:rPr>
              <w:t>í 2020 mírně vzrostl (+2,9</w:t>
            </w:r>
            <w:r>
              <w:rPr>
                <w:spacing w:val="-4"/>
              </w:rPr>
              <w:t> %</w:t>
            </w:r>
            <w:r w:rsidRPr="001F719B">
              <w:rPr>
                <w:spacing w:val="-4"/>
              </w:rPr>
              <w:t>). Za růstem HPH stálo zejména pokračující oživení ve zpracovatelském průmyslu a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>také posílení v</w:t>
            </w:r>
            <w:r>
              <w:rPr>
                <w:spacing w:val="-4"/>
              </w:rPr>
              <w:t xml:space="preserve"> oblasti </w:t>
            </w:r>
            <w:r w:rsidRPr="001F719B">
              <w:rPr>
                <w:spacing w:val="-4"/>
              </w:rPr>
              <w:t>peněžnictví a pojišťovnictví. To bylo společně s informačními a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>komunikačními činnost</w:t>
            </w:r>
            <w:r>
              <w:rPr>
                <w:spacing w:val="-4"/>
              </w:rPr>
              <w:t>m</w:t>
            </w:r>
            <w:r w:rsidRPr="001F719B">
              <w:rPr>
                <w:spacing w:val="-4"/>
              </w:rPr>
              <w:t>i jediným hlavním odvětvím, v němž dosáhl v 1.</w:t>
            </w:r>
            <w:r>
              <w:rPr>
                <w:spacing w:val="-4"/>
              </w:rPr>
              <w:t> čtvrtlet</w:t>
            </w:r>
            <w:r w:rsidRPr="001F719B">
              <w:rPr>
                <w:spacing w:val="-4"/>
              </w:rPr>
              <w:t>í 2021 objem vytvořen</w:t>
            </w:r>
            <w:r>
              <w:rPr>
                <w:spacing w:val="-4"/>
              </w:rPr>
              <w:t>é</w:t>
            </w:r>
            <w:r w:rsidRPr="001F719B">
              <w:rPr>
                <w:spacing w:val="-4"/>
              </w:rPr>
              <w:t xml:space="preserve"> přidané hodnoty svého historického maxima. To v zásadě platilo i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>pro zemědělství, lesnictví či veřejné služby</w:t>
            </w:r>
            <w:r w:rsidRPr="001F719B">
              <w:rPr>
                <w:rStyle w:val="Znakapoznpodarou"/>
                <w:spacing w:val="-4"/>
              </w:rPr>
              <w:footnoteReference w:id="2"/>
            </w:r>
            <w:r w:rsidRPr="001F719B">
              <w:rPr>
                <w:spacing w:val="-4"/>
              </w:rPr>
              <w:t xml:space="preserve">, na jejichž výkon neměla protipandemická opatření </w:t>
            </w:r>
            <w:r>
              <w:rPr>
                <w:spacing w:val="-4"/>
              </w:rPr>
              <w:t xml:space="preserve">bezprostřední </w:t>
            </w:r>
            <w:r w:rsidRPr="001F719B">
              <w:rPr>
                <w:spacing w:val="-4"/>
              </w:rPr>
              <w:t>negativní dopad.</w:t>
            </w:r>
          </w:p>
        </w:tc>
      </w:tr>
      <w:tr w:rsidR="00E87CE2" w:rsidRPr="001F719B" w14:paraId="02C7F025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5136772" w14:textId="77777777" w:rsidR="00E87CE2" w:rsidRDefault="00E87CE2" w:rsidP="006F6FF2">
            <w:pPr>
              <w:pStyle w:val="Marginlie"/>
            </w:pPr>
            <w:r>
              <w:t>… naopak v oblastech navázaných na cestovní ruch i volnočasové aktivity obyvatel došlo k propadu HPH i odpracované doby.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4747215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2495828" w14:textId="77777777" w:rsidR="00E87CE2" w:rsidRPr="001F719B" w:rsidRDefault="00E87CE2" w:rsidP="00E87CE2">
            <w:pPr>
              <w:rPr>
                <w:spacing w:val="-4"/>
              </w:rPr>
            </w:pPr>
            <w:r w:rsidRPr="001F719B">
              <w:rPr>
                <w:spacing w:val="-4"/>
              </w:rPr>
              <w:t>HPH v celé ekonomice naopak za předpandemickým vrcholem ze 4.</w:t>
            </w:r>
            <w:r>
              <w:rPr>
                <w:spacing w:val="-4"/>
              </w:rPr>
              <w:t> čtvrtlet</w:t>
            </w:r>
            <w:r w:rsidRPr="001F719B">
              <w:rPr>
                <w:spacing w:val="-4"/>
              </w:rPr>
              <w:t xml:space="preserve">í 2019 letos </w:t>
            </w:r>
            <w:r>
              <w:rPr>
                <w:spacing w:val="-4"/>
              </w:rPr>
              <w:t>o</w:t>
            </w:r>
            <w:r w:rsidRPr="001F719B">
              <w:rPr>
                <w:spacing w:val="-4"/>
              </w:rPr>
              <w:t> </w:t>
            </w:r>
            <w:r>
              <w:rPr>
                <w:spacing w:val="-4"/>
              </w:rPr>
              <w:t>4,3</w:t>
            </w:r>
            <w:r w:rsidRPr="001F719B">
              <w:rPr>
                <w:spacing w:val="-4"/>
              </w:rPr>
              <w:t xml:space="preserve"> % zaostávala. </w:t>
            </w:r>
            <w:r>
              <w:rPr>
                <w:spacing w:val="-4"/>
              </w:rPr>
              <w:t>Hluboký propad v tomto období postih</w:t>
            </w:r>
            <w:r w:rsidRPr="001F719B">
              <w:rPr>
                <w:spacing w:val="-4"/>
              </w:rPr>
              <w:t>l uskupení obchod, do</w:t>
            </w:r>
            <w:r>
              <w:rPr>
                <w:spacing w:val="-4"/>
              </w:rPr>
              <w:t xml:space="preserve">prava, ubytování </w:t>
            </w:r>
            <w:r w:rsidRPr="001F719B">
              <w:rPr>
                <w:spacing w:val="-4"/>
              </w:rPr>
              <w:t>a</w:t>
            </w:r>
            <w:r>
              <w:rPr>
                <w:spacing w:val="-4"/>
              </w:rPr>
              <w:t> </w:t>
            </w:r>
            <w:r w:rsidRPr="001F719B">
              <w:rPr>
                <w:spacing w:val="-4"/>
              </w:rPr>
              <w:t>pohostinství (</w:t>
            </w:r>
            <w:r>
              <w:rPr>
                <w:spacing w:val="-4"/>
              </w:rPr>
              <w:t>o </w:t>
            </w:r>
            <w:r w:rsidRPr="001F719B">
              <w:rPr>
                <w:spacing w:val="-4"/>
              </w:rPr>
              <w:t>14</w:t>
            </w:r>
            <w:r>
              <w:rPr>
                <w:spacing w:val="-4"/>
              </w:rPr>
              <w:t> %</w:t>
            </w:r>
            <w:r w:rsidRPr="001F719B">
              <w:rPr>
                <w:spacing w:val="-4"/>
              </w:rPr>
              <w:t>)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 a rovněž tzv. o</w:t>
            </w:r>
            <w:r w:rsidRPr="001F719B">
              <w:rPr>
                <w:spacing w:val="-4"/>
              </w:rPr>
              <w:t>statní činnosti</w:t>
            </w:r>
            <w:r>
              <w:rPr>
                <w:spacing w:val="-4"/>
              </w:rPr>
              <w:t xml:space="preserve"> služeb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 ( o 2</w:t>
            </w:r>
            <w:r w:rsidRPr="001F719B">
              <w:rPr>
                <w:spacing w:val="-4"/>
              </w:rPr>
              <w:t>4</w:t>
            </w:r>
            <w:r>
              <w:rPr>
                <w:spacing w:val="-4"/>
              </w:rPr>
              <w:t> %</w:t>
            </w:r>
            <w:r w:rsidRPr="001F719B">
              <w:rPr>
                <w:spacing w:val="-4"/>
              </w:rPr>
              <w:t>)</w:t>
            </w:r>
            <w:r>
              <w:rPr>
                <w:spacing w:val="-4"/>
              </w:rPr>
              <w:t>. Nucené uzavření či výrazné omezení chodu provozoven se zde odráželo i ve výrazném poklesu počtu odpracovaných hodin (o 16 %, resp. 21 %). Ten byl oproti konci roku 2019 naopak relativně mírný v odvětví p</w:t>
            </w:r>
            <w:r w:rsidRPr="00210D17">
              <w:rPr>
                <w:spacing w:val="-4"/>
              </w:rPr>
              <w:t>rofesní, vědecké, technické a</w:t>
            </w:r>
            <w:r>
              <w:rPr>
                <w:spacing w:val="-4"/>
              </w:rPr>
              <w:t> </w:t>
            </w:r>
            <w:r w:rsidRPr="00210D17">
              <w:rPr>
                <w:spacing w:val="-4"/>
              </w:rPr>
              <w:t>administrativní činnosti</w:t>
            </w:r>
            <w:r>
              <w:rPr>
                <w:spacing w:val="-4"/>
              </w:rPr>
              <w:t>. Citelnější pokles HPH (o 13 %) zde souvisel se slabší poptávkou větších podniků po specializovaných službách (poradenství, projekční práce, pronájmy, reklama, úklid, ostraha aj.) jak vlivem zhoršení hospodářské situace podniků, tak patrně i častějšího využívání práce z domova.</w:t>
            </w:r>
          </w:p>
        </w:tc>
      </w:tr>
      <w:tr w:rsidR="00E87CE2" w:rsidRPr="00ED3F7E" w14:paraId="6ECF2236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B54676D" w14:textId="77777777" w:rsidR="00E87CE2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Pokračování růstu v průmyslu naráželo na významné růstové bariéry.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0108BFB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5D6DC53" w14:textId="77777777" w:rsidR="00E87CE2" w:rsidRPr="00ED3F7E" w:rsidRDefault="00E87CE2" w:rsidP="00E87CE2">
            <w:pPr>
              <w:rPr>
                <w:rFonts w:cs="Arial"/>
                <w:bCs/>
                <w:color w:val="0D0D0D" w:themeColor="text1" w:themeTint="F2"/>
                <w:spacing w:val="-3"/>
                <w:szCs w:val="20"/>
              </w:rPr>
            </w:pPr>
            <w:r w:rsidRPr="00ED3F7E">
              <w:rPr>
                <w:spacing w:val="-3"/>
              </w:rPr>
              <w:t xml:space="preserve">Podrobnější data </w:t>
            </w:r>
            <w:r w:rsidRPr="00ED3F7E">
              <w:rPr>
                <w:color w:val="0D0D0D" w:themeColor="text1" w:themeTint="F2"/>
                <w:spacing w:val="-3"/>
              </w:rPr>
              <w:t>podnikových statistik naznačují, že výkony tuzemského průmyslu se postupně přibližují předpa</w:t>
            </w:r>
            <w:r>
              <w:rPr>
                <w:color w:val="0D0D0D" w:themeColor="text1" w:themeTint="F2"/>
                <w:spacing w:val="-3"/>
              </w:rPr>
              <w:t>n</w:t>
            </w:r>
            <w:r w:rsidRPr="00ED3F7E">
              <w:rPr>
                <w:color w:val="0D0D0D" w:themeColor="text1" w:themeTint="F2"/>
                <w:spacing w:val="-3"/>
              </w:rPr>
              <w:t>demickému normálu. Další rozvoj průmyslu je však stále omezován významnějšími bariérami. Vedle dosud ne zcela stabilního růstu zahraniční poptávky (zejména v eurozóně) a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ED3F7E">
              <w:rPr>
                <w:color w:val="0D0D0D" w:themeColor="text1" w:themeTint="F2"/>
                <w:spacing w:val="-3"/>
              </w:rPr>
              <w:t xml:space="preserve">dlouhodobějších problémů s náborem kvalifikované pracovní síly se v posledních měsících stále více projevovalo také napětí v globálních dodavatelských řetězcích. Ty jen s obtížemi saturovaly vzedmutou poptávku </w:t>
            </w:r>
            <w:r>
              <w:rPr>
                <w:color w:val="0D0D0D" w:themeColor="text1" w:themeTint="F2"/>
                <w:spacing w:val="-3"/>
              </w:rPr>
              <w:t>vyvolanou rychlým oživením</w:t>
            </w:r>
            <w:r w:rsidRPr="00ED3F7E">
              <w:rPr>
                <w:color w:val="0D0D0D" w:themeColor="text1" w:themeTint="F2"/>
                <w:spacing w:val="-3"/>
              </w:rPr>
              <w:t xml:space="preserve"> průmyslové výroby ve vyspělých ekonomikách. Nedostatek některých vstupních surovin důležitých pro výrobu (mj.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ED3F7E">
              <w:rPr>
                <w:color w:val="0D0D0D" w:themeColor="text1" w:themeTint="F2"/>
                <w:spacing w:val="-3"/>
              </w:rPr>
              <w:t>i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ED3F7E">
              <w:rPr>
                <w:color w:val="0D0D0D" w:themeColor="text1" w:themeTint="F2"/>
                <w:spacing w:val="-3"/>
              </w:rPr>
              <w:t xml:space="preserve">dopravních prostředků) </w:t>
            </w:r>
            <w:r>
              <w:rPr>
                <w:color w:val="0D0D0D" w:themeColor="text1" w:themeTint="F2"/>
                <w:spacing w:val="-3"/>
              </w:rPr>
              <w:t>prodlužoval výrobní proces a vytvářel</w:t>
            </w:r>
            <w:r w:rsidRPr="00ED3F7E">
              <w:rPr>
                <w:color w:val="0D0D0D" w:themeColor="text1" w:themeTint="F2"/>
                <w:spacing w:val="-3"/>
              </w:rPr>
              <w:t xml:space="preserve"> tlaky na cenový růst.</w:t>
            </w:r>
          </w:p>
        </w:tc>
      </w:tr>
      <w:tr w:rsidR="00E87CE2" w:rsidRPr="002034A0" w14:paraId="7AE36405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B6052BF" w14:textId="77777777" w:rsidR="00E87CE2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Meziměsíční růst produkce se v období na přelomu let 2020 a 2021 zastavil. S nástupem jara ale průmysl získal další růstový impulz.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95324A7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5B20E81" w14:textId="77777777" w:rsidR="00E87CE2" w:rsidRPr="002034A0" w:rsidRDefault="00E87CE2" w:rsidP="00E87CE2">
            <w:pPr>
              <w:rPr>
                <w:rFonts w:cs="Arial"/>
                <w:bCs/>
                <w:color w:val="000000"/>
                <w:spacing w:val="-3"/>
                <w:szCs w:val="20"/>
              </w:rPr>
            </w:pPr>
            <w:r w:rsidRPr="002034A0">
              <w:rPr>
                <w:color w:val="0D0D0D" w:themeColor="text1" w:themeTint="F2"/>
                <w:spacing w:val="-3"/>
              </w:rPr>
              <w:t>Průmyslová produkce</w:t>
            </w:r>
            <w:r w:rsidRPr="002034A0">
              <w:rPr>
                <w:color w:val="0D0D0D" w:themeColor="text1" w:themeTint="F2"/>
                <w:spacing w:val="-3"/>
                <w:vertAlign w:val="superscript"/>
              </w:rPr>
              <w:footnoteReference w:id="5"/>
            </w:r>
            <w:r>
              <w:rPr>
                <w:color w:val="0D0D0D" w:themeColor="text1" w:themeTint="F2"/>
                <w:spacing w:val="-3"/>
              </w:rPr>
              <w:t xml:space="preserve"> během loňského léta i podzimu zdatně doháněla citeln</w:t>
            </w:r>
            <w:r w:rsidRPr="002034A0">
              <w:rPr>
                <w:color w:val="0D0D0D" w:themeColor="text1" w:themeTint="F2"/>
                <w:spacing w:val="-3"/>
              </w:rPr>
              <w:t>é jarní ztráty</w:t>
            </w:r>
            <w:r w:rsidRPr="002034A0">
              <w:rPr>
                <w:rStyle w:val="Znakapoznpodarou"/>
                <w:spacing w:val="-3"/>
              </w:rPr>
              <w:footnoteReference w:id="6"/>
            </w:r>
            <w:r>
              <w:rPr>
                <w:color w:val="0D0D0D" w:themeColor="text1" w:themeTint="F2"/>
                <w:spacing w:val="-3"/>
              </w:rPr>
              <w:t xml:space="preserve">, </w:t>
            </w:r>
            <w:r w:rsidRPr="002034A0">
              <w:rPr>
                <w:color w:val="0D0D0D" w:themeColor="text1" w:themeTint="F2"/>
                <w:spacing w:val="-3"/>
              </w:rPr>
              <w:t xml:space="preserve">způsobené </w:t>
            </w:r>
            <w:r>
              <w:rPr>
                <w:color w:val="0D0D0D" w:themeColor="text1" w:themeTint="F2"/>
                <w:spacing w:val="-3"/>
              </w:rPr>
              <w:t>také</w:t>
            </w:r>
            <w:r w:rsidRPr="002034A0">
              <w:rPr>
                <w:color w:val="0D0D0D" w:themeColor="text1" w:themeTint="F2"/>
                <w:spacing w:val="-3"/>
              </w:rPr>
              <w:t xml:space="preserve"> několikatýdenní uzavírkou provozoven některých klíčových exportních podniků. Na samém konci roku se meziměsíční růst produkce zastavil</w:t>
            </w:r>
            <w:r>
              <w:rPr>
                <w:color w:val="0D0D0D" w:themeColor="text1" w:themeTint="F2"/>
                <w:spacing w:val="-3"/>
              </w:rPr>
              <w:t>,</w:t>
            </w:r>
            <w:r w:rsidRPr="002034A0">
              <w:rPr>
                <w:color w:val="0D0D0D" w:themeColor="text1" w:themeTint="F2"/>
                <w:spacing w:val="-3"/>
              </w:rPr>
              <w:t xml:space="preserve"> a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2034A0">
              <w:rPr>
                <w:color w:val="0D0D0D" w:themeColor="text1" w:themeTint="F2"/>
                <w:spacing w:val="-3"/>
              </w:rPr>
              <w:t>v lednu i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2034A0">
              <w:rPr>
                <w:color w:val="0D0D0D" w:themeColor="text1" w:themeTint="F2"/>
                <w:spacing w:val="-3"/>
              </w:rPr>
              <w:t>únoru 2021 dokonce došlo k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2034A0">
              <w:rPr>
                <w:color w:val="0D0D0D" w:themeColor="text1" w:themeTint="F2"/>
                <w:spacing w:val="-3"/>
              </w:rPr>
              <w:t xml:space="preserve">mírnému poklesu. V březnu získal průmysl </w:t>
            </w:r>
            <w:r>
              <w:rPr>
                <w:color w:val="0D0D0D" w:themeColor="text1" w:themeTint="F2"/>
                <w:spacing w:val="-3"/>
              </w:rPr>
              <w:t>díky navýšené tuzemské i zahraniční poptávce nový impulz.</w:t>
            </w:r>
            <w:r w:rsidRPr="002034A0">
              <w:rPr>
                <w:color w:val="0D0D0D" w:themeColor="text1" w:themeTint="F2"/>
                <w:spacing w:val="-3"/>
              </w:rPr>
              <w:t xml:space="preserve"> </w:t>
            </w:r>
            <w:r>
              <w:rPr>
                <w:color w:val="0D0D0D" w:themeColor="text1" w:themeTint="F2"/>
                <w:spacing w:val="-3"/>
              </w:rPr>
              <w:t>J</w:t>
            </w:r>
            <w:r w:rsidRPr="002034A0">
              <w:rPr>
                <w:color w:val="0D0D0D" w:themeColor="text1" w:themeTint="F2"/>
                <w:spacing w:val="-3"/>
              </w:rPr>
              <w:t>eho výkon se navýšil o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2034A0">
              <w:rPr>
                <w:color w:val="0D0D0D" w:themeColor="text1" w:themeTint="F2"/>
                <w:spacing w:val="-3"/>
              </w:rPr>
              <w:t>2,6</w:t>
            </w:r>
            <w:r>
              <w:rPr>
                <w:color w:val="0D0D0D" w:themeColor="text1" w:themeTint="F2"/>
                <w:spacing w:val="-3"/>
              </w:rPr>
              <w:t> %</w:t>
            </w:r>
            <w:r w:rsidRPr="002034A0">
              <w:rPr>
                <w:color w:val="0D0D0D" w:themeColor="text1" w:themeTint="F2"/>
                <w:spacing w:val="-3"/>
              </w:rPr>
              <w:t xml:space="preserve"> a</w:t>
            </w:r>
            <w:r>
              <w:rPr>
                <w:color w:val="0D0D0D" w:themeColor="text1" w:themeTint="F2"/>
                <w:spacing w:val="-3"/>
              </w:rPr>
              <w:t> </w:t>
            </w:r>
            <w:r w:rsidRPr="002034A0">
              <w:rPr>
                <w:color w:val="0D0D0D" w:themeColor="text1" w:themeTint="F2"/>
                <w:spacing w:val="-3"/>
              </w:rPr>
              <w:t>objem produkce se dorovnal úrovni z loňského listopadu.</w:t>
            </w:r>
            <w:r w:rsidRPr="002034A0">
              <w:rPr>
                <w:color w:val="000000" w:themeColor="text1"/>
                <w:spacing w:val="-3"/>
              </w:rPr>
              <w:t xml:space="preserve"> I</w:t>
            </w:r>
            <w:r>
              <w:rPr>
                <w:color w:val="000000" w:themeColor="text1"/>
                <w:spacing w:val="-3"/>
              </w:rPr>
              <w:t> </w:t>
            </w:r>
            <w:r w:rsidRPr="002034A0">
              <w:rPr>
                <w:color w:val="000000" w:themeColor="text1"/>
                <w:spacing w:val="-3"/>
              </w:rPr>
              <w:t xml:space="preserve">přesto však za svým předpandemickým maximem </w:t>
            </w:r>
            <w:r>
              <w:rPr>
                <w:color w:val="000000" w:themeColor="text1"/>
                <w:spacing w:val="-3"/>
              </w:rPr>
              <w:t>stále lehce zaostával</w:t>
            </w:r>
            <w:r w:rsidRPr="002034A0">
              <w:rPr>
                <w:rStyle w:val="Znakapoznpodarou"/>
                <w:color w:val="000000" w:themeColor="text1"/>
                <w:spacing w:val="-3"/>
              </w:rPr>
              <w:footnoteReference w:id="7"/>
            </w:r>
            <w:r w:rsidRPr="002034A0">
              <w:rPr>
                <w:color w:val="000000" w:themeColor="text1"/>
                <w:spacing w:val="-3"/>
              </w:rPr>
              <w:t xml:space="preserve">. </w:t>
            </w:r>
            <w:r>
              <w:rPr>
                <w:color w:val="000000" w:themeColor="text1"/>
                <w:spacing w:val="-3"/>
              </w:rPr>
              <w:t>To platilo pro výraznou většinu průmyslových oborů.</w:t>
            </w:r>
          </w:p>
        </w:tc>
      </w:tr>
      <w:tr w:rsidR="00E87CE2" w:rsidRPr="00E87B43" w14:paraId="07A3856F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0810902" w14:textId="77777777" w:rsidR="00E87CE2" w:rsidRPr="008A4CB5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>Polovinu z meziročního růstu průmyslové produkce zařídila v 1. čtvrtletí samotná výroba motorových vozidel.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143487F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D4127E0" w14:textId="77777777" w:rsidR="00E87CE2" w:rsidRPr="00E87B43" w:rsidRDefault="00E87CE2" w:rsidP="00E87CE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3"/>
              </w:rPr>
              <w:t xml:space="preserve">V úhrnu za 1. čtvrtletí 2021 výkon celého průmyslu meziročně vzrostl o 3,9 %. Stála však za tím především slabší produkce z loňského března, ovlivněná počínající pandemií (ve srovnání s 1. čtvrtletím 2019 byla letošní produkce stále o 0,7 % nižší). K meziročnímu růstu produkce letos téměř z poloviny přispěla výroba motorových vozidel, jejíž výkon se zvýšil o 9,9 % (roli klíčového tahouna celého průmyslu sehrála i ve 4. čtvrtletí 2020). Automobilový průmysl profitoval z rychlého oživení zahraniční poptávky. </w:t>
            </w:r>
            <w:r>
              <w:rPr>
                <w:spacing w:val="-4"/>
              </w:rPr>
              <w:t>Již na konci loňského roku</w:t>
            </w:r>
            <w:r w:rsidRPr="004173F3">
              <w:rPr>
                <w:spacing w:val="-4"/>
              </w:rPr>
              <w:t xml:space="preserve"> přesáhlo využití výrobních kapacit v tomto odvětví 90</w:t>
            </w:r>
            <w:r>
              <w:rPr>
                <w:spacing w:val="-4"/>
              </w:rPr>
              <w:t> %,</w:t>
            </w:r>
            <w:r w:rsidRPr="004173F3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4173F3">
              <w:rPr>
                <w:spacing w:val="-4"/>
              </w:rPr>
              <w:t>vrátilo se tak na úroveň obvyklou v</w:t>
            </w:r>
            <w:r>
              <w:rPr>
                <w:spacing w:val="-4"/>
              </w:rPr>
              <w:t> předchozím konjunkturním období. Na začátku 2. čtvrtletí se využití kapacit zintenzivnilo a těsně se přiblížilo ke 100 %. To se promítlo do fyzického množství vyrobených vozů</w:t>
            </w:r>
            <w:r>
              <w:rPr>
                <w:rStyle w:val="Znakapoznpodarou"/>
                <w:spacing w:val="-4"/>
              </w:rPr>
              <w:footnoteReference w:id="8"/>
            </w:r>
            <w:r>
              <w:rPr>
                <w:spacing w:val="-4"/>
              </w:rPr>
              <w:t>.</w:t>
            </w:r>
          </w:p>
        </w:tc>
      </w:tr>
      <w:tr w:rsidR="00E87CE2" w:rsidRPr="00E87B43" w14:paraId="300D6616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742AAA0" w14:textId="77777777" w:rsidR="00E87CE2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Nadprůměrného růstu produkce docílily letos i další větší exportní obory.</w:t>
            </w:r>
          </w:p>
          <w:p w14:paraId="4398718D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4A48F541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6BF59FF1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4905DEE1" w14:textId="77777777" w:rsidR="00E87CE2" w:rsidRPr="008A4CB5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Specifická skladba „koronavirové poptávky“ podpořila výkony výrobců léků či lékařských přístrojů.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144412C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284E9E3" w14:textId="77777777" w:rsidR="00E87CE2" w:rsidRPr="00E87B43" w:rsidRDefault="00E87CE2" w:rsidP="00E87CE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Dobré výsledky si v 1. čtvrtletí připsala i velká část větších, výrazněji exportně zaměřených průmyslových oborů. Šlo zejména o ty silně navázané na automobilový průmysl – výrobu elektrických zařízení spolu s gumárenstvím a plastikářstvím. Produkce v nich rostla okolo 6</w:t>
            </w:r>
            <w:r>
              <w:rPr>
                <w:color w:val="000000" w:themeColor="text1"/>
                <w:spacing w:val="-3"/>
              </w:rPr>
              <w:t> </w:t>
            </w:r>
            <w:r>
              <w:rPr>
                <w:color w:val="000000" w:themeColor="text1"/>
                <w:spacing w:val="-4"/>
              </w:rPr>
              <w:t>% (a na vyšším výkonu celého průmyslu participovala 0,9 p. b.). Jen o málo slabší tempa růstu měla kovovýroba, hutnictví, chemický průmysl či v</w:t>
            </w:r>
            <w:r w:rsidRPr="00840FD9">
              <w:rPr>
                <w:color w:val="000000" w:themeColor="text1"/>
                <w:spacing w:val="-4"/>
              </w:rPr>
              <w:t>ýroba počítačů, elektronických a</w:t>
            </w:r>
            <w:r>
              <w:rPr>
                <w:color w:val="000000" w:themeColor="text1"/>
                <w:spacing w:val="-4"/>
              </w:rPr>
              <w:t> </w:t>
            </w:r>
            <w:r w:rsidRPr="00840FD9">
              <w:rPr>
                <w:color w:val="000000" w:themeColor="text1"/>
                <w:spacing w:val="-4"/>
              </w:rPr>
              <w:t>optických přístrojů a</w:t>
            </w:r>
            <w:r>
              <w:rPr>
                <w:color w:val="000000" w:themeColor="text1"/>
                <w:spacing w:val="-4"/>
              </w:rPr>
              <w:t> </w:t>
            </w:r>
            <w:r w:rsidRPr="00840FD9">
              <w:rPr>
                <w:color w:val="000000" w:themeColor="text1"/>
                <w:spacing w:val="-4"/>
              </w:rPr>
              <w:t>zařízení</w:t>
            </w:r>
            <w:r>
              <w:rPr>
                <w:color w:val="000000" w:themeColor="text1"/>
                <w:spacing w:val="-4"/>
              </w:rPr>
              <w:t>. Dále se dařilo i oborům, jimž pomáhala specifická skladba poptávky za</w:t>
            </w:r>
            <w:r w:rsidRPr="004173F3">
              <w:rPr>
                <w:color w:val="000000" w:themeColor="text1"/>
                <w:spacing w:val="-4"/>
              </w:rPr>
              <w:t xml:space="preserve"> koronavirové krize</w:t>
            </w:r>
            <w:r>
              <w:rPr>
                <w:color w:val="000000" w:themeColor="text1"/>
                <w:spacing w:val="-4"/>
              </w:rPr>
              <w:t>.</w:t>
            </w:r>
            <w:r w:rsidRPr="004173F3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Produkce farmaceutického průmyslu vzrostla letos o 4,8 % (za dva roky o 13,3 %). Tzv. ostatní zpracovatelský průmysl (zahrnující </w:t>
            </w:r>
            <w:r w:rsidRPr="004173F3">
              <w:rPr>
                <w:color w:val="000000" w:themeColor="text1"/>
                <w:spacing w:val="-4"/>
              </w:rPr>
              <w:t>i</w:t>
            </w:r>
            <w:r>
              <w:rPr>
                <w:color w:val="000000" w:themeColor="text1"/>
                <w:spacing w:val="-4"/>
              </w:rPr>
              <w:t> </w:t>
            </w:r>
            <w:r w:rsidRPr="004173F3">
              <w:rPr>
                <w:color w:val="000000" w:themeColor="text1"/>
                <w:spacing w:val="-4"/>
              </w:rPr>
              <w:t>výrobu lékařskýc</w:t>
            </w:r>
            <w:r>
              <w:rPr>
                <w:color w:val="000000" w:themeColor="text1"/>
                <w:spacing w:val="-4"/>
              </w:rPr>
              <w:t>h potřeb či výrobu her a hraček) meziročně posílil o 11 %. Do samostatné kategorie patří růstové obory, jejichž výkony nebyly pandemickou recesí zasaženy. Jde o </w:t>
            </w:r>
            <w:r>
              <w:rPr>
                <w:spacing w:val="-4"/>
              </w:rPr>
              <w:t>dřevozpracující a papírenský průmysl, vyznačující se úzkou vazbou na primární sektor i větší orientací na tuzemský trh. Jejich produkce byla letos ve srovnání s 1. kvartálem 2019 vyšší o 21 %, resp. 8,5 %.</w:t>
            </w:r>
          </w:p>
        </w:tc>
      </w:tr>
      <w:tr w:rsidR="00E87CE2" w:rsidRPr="005C6368" w14:paraId="276BB231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D1216F3" w14:textId="77777777" w:rsidR="00E87CE2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Hlubší pokles produkce v důsledku ochromení tradičních prodejních kanálů postihl výrobce nápojů i oděvů.</w:t>
            </w:r>
          </w:p>
          <w:p w14:paraId="0A0725E9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4F460B43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4D2AE098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00F701E3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1F100CB3" w14:textId="77777777" w:rsidR="00E87CE2" w:rsidRPr="008A4CB5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Rychlejšímu oživení strojírenství stála dosud v cestě oslabená investiční aktivita v tuzemsku i eurozóně.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5C40173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0B7876A1" w14:textId="77777777" w:rsidR="00E87CE2" w:rsidRPr="006065E2" w:rsidRDefault="00E87CE2" w:rsidP="00E87CE2">
            <w:pPr>
              <w:rPr>
                <w:color w:val="000000" w:themeColor="text1"/>
                <w:spacing w:val="-6"/>
              </w:rPr>
            </w:pPr>
            <w:r w:rsidRPr="006065E2">
              <w:rPr>
                <w:color w:val="000000" w:themeColor="text1"/>
                <w:spacing w:val="-6"/>
              </w:rPr>
              <w:t>Naopak ve většině menších zpracovatelských oborů, jimž se v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éře předpandemické konjunktury vesměs dařilo, produkce letos klesala. To se týkalo zejména oděvnického a nápojového průmyslu, které strádaly v důsledku nucené uzávěry svých tradičních tuzemských odbytišť i</w:t>
            </w:r>
            <w:r>
              <w:rPr>
                <w:color w:val="000000" w:themeColor="text1"/>
                <w:spacing w:val="-6"/>
              </w:rPr>
              <w:t xml:space="preserve"> kvůli </w:t>
            </w:r>
            <w:r w:rsidRPr="006065E2">
              <w:rPr>
                <w:spacing w:val="-6"/>
              </w:rPr>
              <w:t>propadu příjezdového cestovního ruchu</w:t>
            </w:r>
            <w:r w:rsidRPr="006065E2">
              <w:rPr>
                <w:color w:val="000000" w:themeColor="text1"/>
                <w:spacing w:val="-6"/>
              </w:rPr>
              <w:t>. Nedařilo se ani kožedělnému i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obuvnickému průmyslu, jehož útlum má ale dlouhodobější povahu. Produkce ve všech těchto oborech se letos nacházela o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více než šestinu pod úrovní 1.</w:t>
            </w:r>
            <w:r>
              <w:rPr>
                <w:color w:val="000000" w:themeColor="text1"/>
                <w:spacing w:val="-6"/>
              </w:rPr>
              <w:t> čtvrtlet</w:t>
            </w:r>
            <w:r w:rsidRPr="006065E2">
              <w:rPr>
                <w:color w:val="000000" w:themeColor="text1"/>
                <w:spacing w:val="-6"/>
              </w:rPr>
              <w:t>í 2019. Mírně nad touto hladinou se naopak nacházelo potravinářství, a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to přesto, že jeho produkce se letos meziročně lehce snížila (o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2,5</w:t>
            </w:r>
            <w:r>
              <w:rPr>
                <w:color w:val="000000" w:themeColor="text1"/>
                <w:spacing w:val="-6"/>
              </w:rPr>
              <w:t> %</w:t>
            </w:r>
            <w:r w:rsidRPr="006065E2">
              <w:rPr>
                <w:color w:val="000000" w:themeColor="text1"/>
                <w:spacing w:val="-6"/>
              </w:rPr>
              <w:t>). Z váhově významnějších oborů zaostávalo strojírenství, jehož pomalé oživení má na svědomí dosud utlumená investiční aktivita v tuzemsku i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v eurozóně</w:t>
            </w:r>
            <w:r w:rsidRPr="006065E2">
              <w:rPr>
                <w:rStyle w:val="Znakapoznpodarou"/>
                <w:color w:val="000000" w:themeColor="text1"/>
                <w:spacing w:val="-6"/>
              </w:rPr>
              <w:footnoteReference w:id="9"/>
            </w:r>
            <w:r w:rsidRPr="006065E2">
              <w:rPr>
                <w:color w:val="000000" w:themeColor="text1"/>
                <w:spacing w:val="-6"/>
              </w:rPr>
              <w:t>. Navzdory nízké loňské základně se výkon tuzemského strojírenství meziročně zvýšil jen o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0,8</w:t>
            </w:r>
            <w:r>
              <w:rPr>
                <w:color w:val="000000" w:themeColor="text1"/>
                <w:spacing w:val="-6"/>
              </w:rPr>
              <w:t> %</w:t>
            </w:r>
            <w:r w:rsidRPr="006065E2">
              <w:rPr>
                <w:color w:val="000000" w:themeColor="text1"/>
                <w:spacing w:val="-6"/>
              </w:rPr>
              <w:t>. V příbuzném oboru opravy a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instalace strojů a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zařízení se útlum poptávky objevil s určitým zpožděním. Letos zde ovšem produkce propadla meziročně o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desetinu a</w:t>
            </w:r>
            <w:r>
              <w:rPr>
                <w:color w:val="000000" w:themeColor="text1"/>
                <w:spacing w:val="-6"/>
              </w:rPr>
              <w:t> </w:t>
            </w:r>
            <w:r w:rsidRPr="006065E2">
              <w:rPr>
                <w:color w:val="000000" w:themeColor="text1"/>
                <w:spacing w:val="-6"/>
              </w:rPr>
              <w:t>růst průmyslu tlumila ze všech jeho oborů nejvíce (příspěvek –0,24</w:t>
            </w:r>
            <w:r>
              <w:rPr>
                <w:color w:val="000000" w:themeColor="text1"/>
                <w:spacing w:val="-6"/>
              </w:rPr>
              <w:t> p. b.</w:t>
            </w:r>
            <w:r w:rsidRPr="006065E2">
              <w:rPr>
                <w:color w:val="000000" w:themeColor="text1"/>
                <w:spacing w:val="-6"/>
              </w:rPr>
              <w:t>).</w:t>
            </w:r>
          </w:p>
        </w:tc>
      </w:tr>
      <w:tr w:rsidR="00E87CE2" w:rsidRPr="00E87B43" w14:paraId="408159D5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99FC203" w14:textId="77777777" w:rsidR="00E87CE2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Hlubší pokles těžby uhlí i stavebních surovin pokračoval.</w:t>
            </w:r>
          </w:p>
          <w:p w14:paraId="30E2E07B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  <w:p w14:paraId="0ACA9E09" w14:textId="77777777" w:rsidR="00E87CE2" w:rsidRPr="008A4CB5" w:rsidRDefault="00E87CE2" w:rsidP="006F6FF2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K oživení v energetice přispěla vyšší spotřeba </w:t>
            </w:r>
            <w:r>
              <w:rPr>
                <w:spacing w:val="-4"/>
              </w:rPr>
              <w:lastRenderedPageBreak/>
              <w:t>elektřiny i plynu v domácnostech.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A1D8076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8D5E364" w14:textId="77777777" w:rsidR="00E87CE2" w:rsidRPr="00E87B43" w:rsidRDefault="00E87CE2" w:rsidP="00E87CE2">
            <w:pPr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Mimo zpracovatelský průmysl pokračoval dlouhodobý útlum těžby a dobývání, jenž se v posledních letech prohluboval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0"/>
            </w:r>
            <w:r>
              <w:rPr>
                <w:color w:val="000000" w:themeColor="text1"/>
                <w:spacing w:val="-4"/>
              </w:rPr>
              <w:t>. Na letošním poklesu produkce (o 5,7 % meziročně) se vedle dosud dominantní těžby uhlí významněji podílela i těžba ostatních (hlavně stavebních) surovin. To v energetice produkce meziročně vzrostla o 4,8 %</w:t>
            </w:r>
            <w:r>
              <w:rPr>
                <w:rStyle w:val="Znakapoznpodarou"/>
                <w:color w:val="000000" w:themeColor="text1"/>
                <w:spacing w:val="-4"/>
              </w:rPr>
              <w:footnoteReference w:id="11"/>
            </w:r>
            <w:r>
              <w:rPr>
                <w:color w:val="000000" w:themeColor="text1"/>
                <w:spacing w:val="-4"/>
              </w:rPr>
              <w:t xml:space="preserve">, propad z první poloviny loňského roku však zatím nebyl plně kompenzován. Pozitivně se projevila vyšší spotřeba </w:t>
            </w:r>
            <w:r>
              <w:rPr>
                <w:color w:val="000000" w:themeColor="text1"/>
                <w:spacing w:val="-4"/>
              </w:rPr>
              <w:lastRenderedPageBreak/>
              <w:t xml:space="preserve">zemního plynu i elektřiny v domácnostech, zčásti vlivem chladnější zimy. Dopad mělo patrně i výrazné omezení mobility obyvatelstva, uzavření škol i častější využívání práce z domova. </w:t>
            </w:r>
          </w:p>
        </w:tc>
      </w:tr>
      <w:tr w:rsidR="00E87CE2" w:rsidRPr="00965AD0" w14:paraId="72FEC929" w14:textId="77777777" w:rsidTr="006F6FF2">
        <w:trPr>
          <w:trHeight w:val="15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3D600670" w14:textId="77777777" w:rsidR="00E87CE2" w:rsidRPr="00BE54BF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7E3CA29" w14:textId="77777777" w:rsidR="00E87CE2" w:rsidRPr="003B1401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8CF47B5" w14:textId="77777777" w:rsidR="00E87CE2" w:rsidRPr="00965AD0" w:rsidRDefault="00E87CE2" w:rsidP="006F6FF2">
            <w:pPr>
              <w:spacing w:after="0"/>
              <w:rPr>
                <w:spacing w:val="-4"/>
              </w:rPr>
            </w:pPr>
            <w:r w:rsidRPr="00883202">
              <w:rPr>
                <w:rFonts w:cs="Arial"/>
                <w:b/>
                <w:bCs/>
                <w:color w:val="000000"/>
                <w:szCs w:val="20"/>
              </w:rPr>
              <w:t>Graf č. 4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83202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883202">
              <w:rPr>
                <w:b/>
              </w:rPr>
              <w:t>Příspěvky dílčích odvětví k meziroční změně průmyslové produkce</w:t>
            </w:r>
            <w:r w:rsidRPr="00883202">
              <w:rPr>
                <w:b/>
              </w:rPr>
              <w:br/>
            </w:r>
            <w:r>
              <w:t>(v p. b., očištěno o kalendářní</w:t>
            </w:r>
            <w:r w:rsidRPr="00883202">
              <w:t xml:space="preserve"> vlivy)</w:t>
            </w:r>
            <w:r w:rsidRPr="00883202">
              <w:rPr>
                <w:b/>
                <w:bCs/>
              </w:rPr>
              <w:t xml:space="preserve">, </w:t>
            </w:r>
            <w:r w:rsidRPr="00883202">
              <w:rPr>
                <w:b/>
              </w:rPr>
              <w:t xml:space="preserve">saldo důvěry v průmyslu* </w:t>
            </w:r>
            <w:r w:rsidRPr="00883202">
              <w:t>(v p. b., pr. osa)</w:t>
            </w:r>
          </w:p>
        </w:tc>
      </w:tr>
      <w:tr w:rsidR="00E87CE2" w:rsidRPr="00241E62" w14:paraId="2505B231" w14:textId="77777777" w:rsidTr="006F6FF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33782501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shd w:val="clear" w:color="auto" w:fill="auto"/>
          </w:tcPr>
          <w:p w14:paraId="23305BA0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1137CED0" w14:textId="77777777" w:rsidR="00E87CE2" w:rsidRPr="00241E62" w:rsidRDefault="00E87CE2" w:rsidP="006F6FF2">
            <w:pPr>
              <w:spacing w:after="40"/>
              <w:rPr>
                <w:rFonts w:cs="Arial"/>
                <w:bCs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8A203C" wp14:editId="0AC28AE6">
                  <wp:extent cx="4817994" cy="3626053"/>
                  <wp:effectExtent l="0" t="0" r="1905" b="0"/>
                  <wp:docPr id="33" name="Graf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87CE2" w:rsidRPr="00241E62" w14:paraId="2C35F8D2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691D738" w14:textId="77777777" w:rsidR="00E87CE2" w:rsidRDefault="00E87CE2" w:rsidP="006F6FF2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3FA5BE2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6A3AD17" w14:textId="77777777" w:rsidR="00E87CE2" w:rsidRPr="00883202" w:rsidRDefault="00E87CE2" w:rsidP="006F6FF2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*Saldo důvěry je sezónně očištěno a vyjadřuje stav ve druhém měsíci daného čtvrtletí.</w:t>
            </w:r>
          </w:p>
          <w:p w14:paraId="403429D7" w14:textId="77777777" w:rsidR="00E87CE2" w:rsidRPr="00241E62" w:rsidRDefault="00E87CE2" w:rsidP="006F6FF2">
            <w:pPr>
              <w:spacing w:after="220"/>
              <w:rPr>
                <w:rFonts w:cs="Arial"/>
                <w:bCs/>
                <w:color w:val="000000"/>
                <w:szCs w:val="20"/>
              </w:rPr>
            </w:pP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E87CE2" w:rsidRPr="003B6DBE" w14:paraId="1BB3507F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D97505B" w14:textId="77777777" w:rsidR="00E87CE2" w:rsidRPr="00D15820" w:rsidRDefault="00E87CE2" w:rsidP="006F6FF2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Tržby z přímého vývozu rostly meziročně dynamičtěji než tržby z tuzemska.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0F27227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011F366" w14:textId="77777777" w:rsidR="00E87CE2" w:rsidRPr="003B6DBE" w:rsidRDefault="00E87CE2" w:rsidP="00E87CE2">
            <w:pPr>
              <w:rPr>
                <w:rFonts w:cs="Arial"/>
                <w:bCs/>
                <w:color w:val="000000"/>
                <w:spacing w:val="-4"/>
                <w:szCs w:val="20"/>
              </w:rPr>
            </w:pP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Nominální tržby průmyslových podniků</w:t>
            </w:r>
            <w:r w:rsidRPr="003B6DBE">
              <w:rPr>
                <w:rStyle w:val="Znakapoznpodarou"/>
                <w:bCs/>
                <w:color w:val="0D0D0D" w:themeColor="text1" w:themeTint="F2"/>
                <w:spacing w:val="-4"/>
                <w:szCs w:val="20"/>
              </w:rPr>
              <w:footnoteReference w:id="12"/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v 1.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čtvrtlet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í 2021 mezikvartálně fakticky stagnovaly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.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Během letošního roku se situace zlepšovala, tržby meziměsíčně vzrostly v březnu (+5,7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%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) 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dubnu (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+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2,4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%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)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dokumentovaly tak sílící domácí 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B6DB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zahraniční poptávku.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V meziročním pohledu je za celé 1. letošní čtvrtletí patrná vyšší dynamika tržeb z přímého vývozu (+8,6 %) než tržeb z tuzemska (+1,5 %). Tržbám z přímého vývozu pomáhal svižný růst objemu produkce automobilového průmyslu a jeho návazných oborů, jenž byl umocněn i cenovým růstem. Meziroční růst domácích tržeb byl naopak tlumen slabším objemem produkce odvětví zaměřených na krátkodobou spotřebu (potravinářství, nápoje) a cenovým poklesem v energetice.</w:t>
            </w:r>
          </w:p>
        </w:tc>
      </w:tr>
      <w:tr w:rsidR="00E87CE2" w:rsidRPr="004670E0" w14:paraId="0A731F5A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923D3B4" w14:textId="77777777" w:rsidR="00E87CE2" w:rsidRDefault="00E87CE2" w:rsidP="006F6FF2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Hodnota zakázek v průmyslu meziměsíčně i meziročně rostla. Dotýkala se všech významných oborů.</w:t>
            </w:r>
          </w:p>
          <w:p w14:paraId="7E7D89BC" w14:textId="77777777" w:rsidR="00E87CE2" w:rsidRDefault="00E87CE2" w:rsidP="006F6FF2">
            <w:pPr>
              <w:pStyle w:val="Marginlie"/>
              <w:rPr>
                <w:spacing w:val="0"/>
              </w:rPr>
            </w:pPr>
          </w:p>
          <w:p w14:paraId="311A0056" w14:textId="77777777" w:rsidR="00E87CE2" w:rsidRDefault="00E87CE2" w:rsidP="006F6FF2">
            <w:pPr>
              <w:pStyle w:val="Marginlie"/>
              <w:rPr>
                <w:spacing w:val="0"/>
              </w:rPr>
            </w:pPr>
          </w:p>
          <w:p w14:paraId="4D8BB3A4" w14:textId="77777777" w:rsidR="00E87CE2" w:rsidRDefault="00E87CE2" w:rsidP="006F6FF2">
            <w:pPr>
              <w:pStyle w:val="Marginlie"/>
              <w:rPr>
                <w:spacing w:val="0"/>
              </w:rPr>
            </w:pPr>
          </w:p>
          <w:p w14:paraId="0377709A" w14:textId="77777777" w:rsidR="00E87CE2" w:rsidRPr="00D15820" w:rsidRDefault="00E87CE2" w:rsidP="006F6FF2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Důvěra podnikatelů v průmyslu byla nejvyšší od konce roku 2017.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8276524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A5FDB76" w14:textId="4D394B84" w:rsidR="00E87CE2" w:rsidRPr="004670E0" w:rsidRDefault="00E87CE2" w:rsidP="006F6FF2">
            <w:pPr>
              <w:rPr>
                <w:spacing w:val="-5"/>
              </w:rPr>
            </w:pPr>
            <w:r w:rsidRPr="00D90659">
              <w:rPr>
                <w:color w:val="0D0D0D" w:themeColor="text1" w:themeTint="F2"/>
                <w:spacing w:val="-6"/>
              </w:rPr>
              <w:t>Krátkodobé vyhlídky průmyslu od počátku letošního roku zlepšovaly</w:t>
            </w:r>
            <w:r w:rsidRPr="00D639E1">
              <w:rPr>
                <w:color w:val="000000" w:themeColor="text1"/>
                <w:spacing w:val="-6"/>
              </w:rPr>
              <w:t xml:space="preserve">. </w:t>
            </w:r>
            <w:r w:rsidRPr="00D639E1">
              <w:rPr>
                <w:color w:val="0D0D0D" w:themeColor="text1" w:themeTint="F2"/>
                <w:spacing w:val="-6"/>
              </w:rPr>
              <w:t>Hodnota průmyslových zakázek</w:t>
            </w:r>
            <w:r w:rsidRPr="00B12B9E">
              <w:rPr>
                <w:rStyle w:val="Znakapoznpodarou"/>
                <w:spacing w:val="-4"/>
              </w:rPr>
              <w:footnoteReference w:id="13"/>
            </w:r>
            <w:r w:rsidR="006F6FF2">
              <w:rPr>
                <w:color w:val="0D0D0D" w:themeColor="text1" w:themeTint="F2"/>
                <w:spacing w:val="-6"/>
              </w:rPr>
              <w:t xml:space="preserve"> v únoru i březnu meziměsíčně </w:t>
            </w:r>
            <w:r>
              <w:rPr>
                <w:color w:val="0D0D0D" w:themeColor="text1" w:themeTint="F2"/>
                <w:spacing w:val="-6"/>
              </w:rPr>
              <w:t>vzrostla, především zásluhou hutnictví a slévárenství. Celkové zakázky za celé čtvrtletí se meziročně navýšily o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="006F6FF2">
              <w:rPr>
                <w:color w:val="0D0D0D" w:themeColor="text1" w:themeTint="F2"/>
                <w:spacing w:val="-6"/>
              </w:rPr>
              <w:t>8,1</w:t>
            </w:r>
            <w:r>
              <w:rPr>
                <w:color w:val="0D0D0D" w:themeColor="text1" w:themeTint="F2"/>
                <w:spacing w:val="-6"/>
              </w:rPr>
              <w:t> %, z toho v</w:t>
            </w:r>
            <w:r w:rsidR="006F6FF2">
              <w:rPr>
                <w:color w:val="0D0D0D" w:themeColor="text1" w:themeTint="F2"/>
                <w:spacing w:val="-6"/>
              </w:rPr>
              <w:t>e výrobě motorových vozidel o 17,7</w:t>
            </w:r>
            <w:r>
              <w:rPr>
                <w:color w:val="0D0D0D" w:themeColor="text1" w:themeTint="F2"/>
                <w:spacing w:val="-6"/>
              </w:rPr>
              <w:t> %.</w:t>
            </w:r>
            <w:r>
              <w:rPr>
                <w:color w:val="0D0D0D" w:themeColor="text1" w:themeTint="F2"/>
                <w:spacing w:val="-4"/>
              </w:rPr>
              <w:t xml:space="preserve"> Vyšší poptávka prostupovala drtivou většinou sledovaných oborů. </w:t>
            </w:r>
            <w:r w:rsidRPr="00B12B9E">
              <w:rPr>
                <w:color w:val="0D0D0D" w:themeColor="text1" w:themeTint="F2"/>
                <w:spacing w:val="-4"/>
              </w:rPr>
              <w:t>V</w:t>
            </w:r>
            <w:r>
              <w:rPr>
                <w:color w:val="0D0D0D" w:themeColor="text1" w:themeTint="F2"/>
                <w:spacing w:val="-4"/>
              </w:rPr>
              <w:t>yužití výrobních kapacit, které se letos v lednu přiblížilo úrovni těsně před pandemií, dále rostlo. V dubnu činilo 87,5 %, vyšší vytížení bylo naposledy zaznamenáno v konjunkturním roce 2008.</w:t>
            </w:r>
            <w:r w:rsidRPr="0014283B">
              <w:rPr>
                <w:color w:val="0D0D0D" w:themeColor="text1" w:themeTint="F2"/>
                <w:spacing w:val="-4"/>
              </w:rPr>
              <w:t xml:space="preserve"> Důvěra podnikatelů v průmyslu byla v květnu nejvyšší od konce roku 2017. Zlepšovalo se hodnocení současné poptávky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14283B">
              <w:rPr>
                <w:color w:val="0D0D0D" w:themeColor="text1" w:themeTint="F2"/>
                <w:spacing w:val="-4"/>
              </w:rPr>
              <w:t>šestina podniků očekávala v příštích</w:t>
            </w:r>
            <w:r w:rsidRPr="009C1206">
              <w:rPr>
                <w:rFonts w:cstheme="minorHAnsi"/>
              </w:rPr>
              <w:t xml:space="preserve"> měsíc</w:t>
            </w:r>
            <w:r>
              <w:rPr>
                <w:rFonts w:cstheme="minorHAnsi"/>
              </w:rPr>
              <w:t>ích růst výroby. Pozitivní výhledy v oblasti zaměstnanosti dávají naději, že dosud registrovaný pokles počtu pracovníků by se mohl zastavit.</w:t>
            </w:r>
            <w:r w:rsidRPr="009C1206">
              <w:rPr>
                <w:rFonts w:cstheme="minorHAnsi"/>
              </w:rPr>
              <w:t xml:space="preserve"> Více než třetina podniků považovala svou ekonomickou situaci za dobrou.</w:t>
            </w:r>
            <w:r w:rsidRPr="00B12B9E">
              <w:rPr>
                <w:color w:val="0D0D0D" w:themeColor="text1" w:themeTint="F2"/>
                <w:spacing w:val="-4"/>
              </w:rPr>
              <w:t xml:space="preserve"> </w:t>
            </w:r>
            <w:r w:rsidRPr="00B12B9E">
              <w:rPr>
                <w:color w:val="0D0D0D" w:themeColor="text1" w:themeTint="F2"/>
                <w:spacing w:val="-4"/>
              </w:rPr>
              <w:lastRenderedPageBreak/>
              <w:t>Hlavní růstovou bariérou</w:t>
            </w:r>
            <w:r w:rsidRPr="00B12B9E">
              <w:rPr>
                <w:rStyle w:val="Znakapoznpodarou"/>
                <w:color w:val="0D0D0D" w:themeColor="text1" w:themeTint="F2"/>
                <w:spacing w:val="-4"/>
              </w:rPr>
              <w:footnoteReference w:id="14"/>
            </w:r>
            <w:r w:rsidRPr="00B12B9E">
              <w:rPr>
                <w:color w:val="0D0D0D" w:themeColor="text1" w:themeTint="F2"/>
                <w:spacing w:val="-4"/>
              </w:rPr>
              <w:t xml:space="preserve"> zůstáv</w:t>
            </w:r>
            <w:r>
              <w:rPr>
                <w:color w:val="0D0D0D" w:themeColor="text1" w:themeTint="F2"/>
                <w:spacing w:val="-4"/>
              </w:rPr>
              <w:t xml:space="preserve">á nedostatečná poptávka (na počátku 2. čtvrtletí ji uvedlo 38 % </w:t>
            </w:r>
            <w:r w:rsidRPr="00B12B9E">
              <w:rPr>
                <w:color w:val="0D0D0D" w:themeColor="text1" w:themeTint="F2"/>
                <w:spacing w:val="-4"/>
              </w:rPr>
              <w:t>průmyslových podniků</w:t>
            </w:r>
            <w:r>
              <w:rPr>
                <w:color w:val="0D0D0D" w:themeColor="text1" w:themeTint="F2"/>
                <w:spacing w:val="-4"/>
              </w:rPr>
              <w:t>). Zatímco její role v posledních třech čtvrtletích slábla, význam nedostatku materiálu a zařízení prudce rostl a limitoval již skoro každý třetí podnik.</w:t>
            </w:r>
          </w:p>
        </w:tc>
      </w:tr>
      <w:tr w:rsidR="00E87CE2" w:rsidRPr="00760356" w14:paraId="640D2BF9" w14:textId="77777777" w:rsidTr="006F6FF2">
        <w:trPr>
          <w:trHeight w:val="155"/>
        </w:trPr>
        <w:tc>
          <w:tcPr>
            <w:tcW w:w="1728" w:type="dxa"/>
            <w:vMerge w:val="restart"/>
            <w:shd w:val="clear" w:color="auto" w:fill="auto"/>
            <w:tcMar>
              <w:left w:w="0" w:type="dxa"/>
            </w:tcMar>
          </w:tcPr>
          <w:p w14:paraId="7D867F3B" w14:textId="77777777" w:rsidR="00E87CE2" w:rsidRPr="00B43216" w:rsidRDefault="00E87CE2" w:rsidP="006F6FF2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2BCBFBD6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B890EE4" w14:textId="77777777" w:rsidR="00E87CE2" w:rsidRPr="00760356" w:rsidRDefault="00E87CE2" w:rsidP="006F6FF2">
            <w:pPr>
              <w:pStyle w:val="Textpoznpodarou"/>
              <w:spacing w:line="276" w:lineRule="auto"/>
              <w:jc w:val="both"/>
              <w:rPr>
                <w:b/>
                <w:spacing w:val="-2"/>
              </w:rPr>
            </w:pPr>
            <w:r w:rsidRPr="00760356">
              <w:rPr>
                <w:b/>
                <w:spacing w:val="-2"/>
              </w:rPr>
              <w:t>Graf č. 5</w:t>
            </w:r>
            <w:r>
              <w:rPr>
                <w:b/>
                <w:spacing w:val="-2"/>
              </w:rPr>
              <w:t xml:space="preserve"> </w:t>
            </w:r>
            <w:r w:rsidRPr="00760356">
              <w:rPr>
                <w:b/>
                <w:spacing w:val="-2"/>
              </w:rPr>
              <w:t xml:space="preserve"> Nové zakázky v automobilovém průmyslu a</w:t>
            </w:r>
            <w:r>
              <w:rPr>
                <w:b/>
                <w:spacing w:val="-2"/>
              </w:rPr>
              <w:t> </w:t>
            </w:r>
            <w:r w:rsidRPr="00760356">
              <w:rPr>
                <w:b/>
                <w:spacing w:val="-2"/>
              </w:rPr>
              <w:t xml:space="preserve">v průmyslu celkem </w:t>
            </w:r>
            <w:r w:rsidRPr="00760356">
              <w:rPr>
                <w:bCs/>
                <w:spacing w:val="-2"/>
              </w:rPr>
              <w:t xml:space="preserve">(v běžných cenách, </w:t>
            </w:r>
            <w:r w:rsidRPr="00760356">
              <w:rPr>
                <w:spacing w:val="-2"/>
              </w:rPr>
              <w:t>meziročně</w:t>
            </w:r>
            <w:r w:rsidRPr="00760356">
              <w:rPr>
                <w:bCs/>
                <w:spacing w:val="-2"/>
              </w:rPr>
              <w:t xml:space="preserve"> v %)</w:t>
            </w:r>
            <w:r w:rsidRPr="00760356">
              <w:rPr>
                <w:b/>
                <w:spacing w:val="-2"/>
              </w:rPr>
              <w:t xml:space="preserve"> a využití výrobních kapacit v průmyslu*</w:t>
            </w:r>
            <w:r w:rsidRPr="00760356">
              <w:rPr>
                <w:spacing w:val="-2"/>
              </w:rPr>
              <w:t xml:space="preserve"> </w:t>
            </w:r>
            <w:r w:rsidRPr="00760356">
              <w:rPr>
                <w:b/>
                <w:spacing w:val="-2"/>
              </w:rPr>
              <w:t>a vybrané bariéry růstu</w:t>
            </w:r>
            <w:r w:rsidRPr="00760356">
              <w:rPr>
                <w:spacing w:val="-2"/>
              </w:rPr>
              <w:t>* (v %, pravá osa)</w:t>
            </w:r>
          </w:p>
        </w:tc>
      </w:tr>
      <w:tr w:rsidR="00E87CE2" w:rsidRPr="00B43216" w14:paraId="42C4378B" w14:textId="77777777" w:rsidTr="006F6FF2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28" w:type="dxa"/>
            <w:vMerge/>
            <w:shd w:val="clear" w:color="auto" w:fill="auto"/>
          </w:tcPr>
          <w:p w14:paraId="685CE5EB" w14:textId="77777777" w:rsidR="00E87CE2" w:rsidRPr="00B43216" w:rsidRDefault="00E87CE2" w:rsidP="006F6FF2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</w:tcPr>
          <w:p w14:paraId="4EED48E1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0011B7C9" w14:textId="77777777" w:rsidR="00E87CE2" w:rsidRPr="00B43216" w:rsidRDefault="00E87CE2" w:rsidP="006F6FF2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852BD5D" wp14:editId="293767D6">
                  <wp:extent cx="4772660" cy="3425588"/>
                  <wp:effectExtent l="0" t="0" r="8890" b="3810"/>
                  <wp:docPr id="34" name="Graf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87CE2" w:rsidRPr="008C5037" w14:paraId="4524351C" w14:textId="77777777" w:rsidTr="006F6FF2">
        <w:trPr>
          <w:trHeight w:val="152"/>
        </w:trPr>
        <w:tc>
          <w:tcPr>
            <w:tcW w:w="1728" w:type="dxa"/>
            <w:vMerge/>
            <w:shd w:val="clear" w:color="auto" w:fill="auto"/>
            <w:tcMar>
              <w:left w:w="0" w:type="dxa"/>
            </w:tcMar>
          </w:tcPr>
          <w:p w14:paraId="7C9398B3" w14:textId="77777777" w:rsidR="00E87CE2" w:rsidRPr="00B43216" w:rsidRDefault="00E87CE2" w:rsidP="006F6FF2">
            <w:pPr>
              <w:pStyle w:val="Marginlie"/>
              <w:rPr>
                <w:spacing w:val="-4"/>
              </w:rPr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45560443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5F177D3" w14:textId="1C0F4595" w:rsidR="006F6FF2" w:rsidRDefault="00C224BD" w:rsidP="006F6FF2">
            <w:pPr>
              <w:spacing w:after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*Využití průmyslových kapacit a</w:t>
            </w:r>
            <w:r w:rsidR="00E87CE2">
              <w:rPr>
                <w:rFonts w:cs="Arial"/>
                <w:sz w:val="14"/>
                <w:szCs w:val="14"/>
              </w:rPr>
              <w:t> </w:t>
            </w:r>
            <w:r w:rsidR="00E87CE2" w:rsidRPr="00883202">
              <w:rPr>
                <w:rFonts w:cs="Arial"/>
                <w:sz w:val="14"/>
                <w:szCs w:val="14"/>
              </w:rPr>
              <w:t xml:space="preserve">bariéry růstu </w:t>
            </w:r>
            <w:r w:rsidR="00E87CE2">
              <w:rPr>
                <w:rFonts w:cs="Arial"/>
                <w:sz w:val="14"/>
                <w:szCs w:val="14"/>
              </w:rPr>
              <w:t xml:space="preserve">vyjadřují stav v prvním </w:t>
            </w:r>
            <w:r w:rsidR="00E87CE2" w:rsidRPr="00883202">
              <w:rPr>
                <w:rFonts w:cs="Arial"/>
                <w:sz w:val="14"/>
                <w:szCs w:val="14"/>
              </w:rPr>
              <w:t>měsíci daného čtvrtletí.</w:t>
            </w:r>
            <w:r w:rsidR="00E87CE2">
              <w:rPr>
                <w:rFonts w:cs="Arial"/>
                <w:sz w:val="14"/>
                <w:szCs w:val="14"/>
              </w:rPr>
              <w:t xml:space="preserve"> Podniky mohly uvést více hlavníc</w:t>
            </w:r>
            <w:r w:rsidR="006F6FF2">
              <w:rPr>
                <w:rFonts w:cs="Arial"/>
                <w:sz w:val="14"/>
                <w:szCs w:val="14"/>
              </w:rPr>
              <w:t>h bariér současně.</w:t>
            </w:r>
          </w:p>
          <w:p w14:paraId="0FEE5449" w14:textId="27D87446" w:rsidR="00E87CE2" w:rsidRPr="008C5037" w:rsidRDefault="00E87CE2" w:rsidP="006F6FF2">
            <w:pPr>
              <w:spacing w:after="20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E87CE2" w:rsidRPr="00982C9E" w14:paraId="0E43C876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9163CAE" w14:textId="77777777" w:rsidR="00E87CE2" w:rsidRDefault="00E87CE2" w:rsidP="006F6FF2">
            <w:pPr>
              <w:pStyle w:val="Marginlie"/>
            </w:pPr>
            <w:r>
              <w:t>Stavebnictví se přes vysokou zásobu práce stále potýkalo s řadou faktorů, které jeho růst limitovaly.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52299F5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B790F11" w14:textId="77777777" w:rsidR="00E87CE2" w:rsidRPr="00982C9E" w:rsidRDefault="00E87CE2" w:rsidP="00E87CE2">
            <w:pPr>
              <w:rPr>
                <w:spacing w:val="-4"/>
              </w:rPr>
            </w:pPr>
            <w:r>
              <w:rPr>
                <w:spacing w:val="-4"/>
              </w:rPr>
              <w:t xml:space="preserve">Stavebnictví se navzdory velké zásobě zakázek z negativních dopadů </w:t>
            </w:r>
            <w:r w:rsidRPr="00982C9E">
              <w:rPr>
                <w:spacing w:val="-4"/>
              </w:rPr>
              <w:t>protipandemických opatření</w:t>
            </w:r>
            <w:r>
              <w:rPr>
                <w:spacing w:val="-4"/>
              </w:rPr>
              <w:t xml:space="preserve"> vzpamatovává pomaleji. I na počátku letošního roku nadále přetrvával problém s dostupností pracovníků, zejména těch zahraničních. Epidemická situace byla totiž nejen v Česku, ale v řadě evropských států dále napjatá a s nejistým výhledem. </w:t>
            </w:r>
            <w:r w:rsidRPr="00982C9E">
              <w:rPr>
                <w:spacing w:val="-4"/>
              </w:rPr>
              <w:t xml:space="preserve">Restriktivní opatření </w:t>
            </w:r>
            <w:r>
              <w:rPr>
                <w:spacing w:val="-4"/>
              </w:rPr>
              <w:t>limitovala potřebnou součinnost všech aktérů stavebního řízení, a dále tak ztížila náročný administrativní proces přípravy staveb. Některá výběrová řízení byla pozastavena, což narušilo plynulost výstavby. Kromě toho byl výkon stavebnictví tlumen chladnějším počasím, což se projevilo letos v únoru (v menší míře patrně i v dubnu).</w:t>
            </w:r>
          </w:p>
        </w:tc>
      </w:tr>
      <w:tr w:rsidR="00E87CE2" w:rsidRPr="00982C9E" w14:paraId="776576BC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596DFCB4" w14:textId="77777777" w:rsidR="00E87CE2" w:rsidRDefault="00E87CE2" w:rsidP="006F6FF2">
            <w:pPr>
              <w:pStyle w:val="Marginlie"/>
            </w:pPr>
            <w:r>
              <w:t>Inženýrské stavitelství mezičtvrtletně ožilo již na konci loňského roku, pozemní stavitelství až po počátku letošního.</w:t>
            </w:r>
          </w:p>
          <w:p w14:paraId="6B847B2D" w14:textId="77777777" w:rsidR="00E87CE2" w:rsidRDefault="00E87CE2" w:rsidP="006F6FF2">
            <w:pPr>
              <w:pStyle w:val="Marginlie"/>
            </w:pPr>
          </w:p>
          <w:p w14:paraId="54765BDE" w14:textId="77777777" w:rsidR="00E87CE2" w:rsidRDefault="00E87CE2" w:rsidP="006F6FF2">
            <w:pPr>
              <w:pStyle w:val="Marginlie"/>
            </w:pPr>
          </w:p>
          <w:p w14:paraId="5BAF2A7D" w14:textId="77777777" w:rsidR="00E87CE2" w:rsidRDefault="00E87CE2" w:rsidP="006F6FF2">
            <w:pPr>
              <w:pStyle w:val="Marginlie"/>
            </w:pPr>
          </w:p>
          <w:p w14:paraId="69FDEB41" w14:textId="77777777" w:rsidR="00E87CE2" w:rsidRDefault="00E87CE2" w:rsidP="006F6FF2">
            <w:pPr>
              <w:pStyle w:val="Marginlie"/>
            </w:pPr>
          </w:p>
          <w:p w14:paraId="4D370164" w14:textId="77777777" w:rsidR="00E87CE2" w:rsidRDefault="00E87CE2" w:rsidP="006F6FF2">
            <w:pPr>
              <w:pStyle w:val="Marginlie"/>
            </w:pPr>
          </w:p>
          <w:p w14:paraId="523D3EEE" w14:textId="77777777" w:rsidR="00E87CE2" w:rsidRDefault="00E87CE2" w:rsidP="006F6FF2">
            <w:pPr>
              <w:pStyle w:val="Marginlie"/>
            </w:pPr>
          </w:p>
          <w:p w14:paraId="12A415FE" w14:textId="77777777" w:rsidR="00E87CE2" w:rsidRDefault="00E87CE2" w:rsidP="006F6FF2">
            <w:pPr>
              <w:pStyle w:val="Marginlie"/>
            </w:pPr>
            <w:r>
              <w:lastRenderedPageBreak/>
              <w:t>Orientační hodnota stavebních povolení se zvyšovala hlavně zásluhou projektů na modernizace či rekonstrukce.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BEC6978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7970345" w14:textId="77777777" w:rsidR="00E87CE2" w:rsidRPr="00982C9E" w:rsidRDefault="00E87CE2" w:rsidP="00E87CE2">
            <w:pPr>
              <w:rPr>
                <w:spacing w:val="-4"/>
              </w:rPr>
            </w:pPr>
            <w:r>
              <w:rPr>
                <w:color w:val="0D0D0D" w:themeColor="text1" w:themeTint="F2"/>
                <w:spacing w:val="-2"/>
              </w:rPr>
              <w:t>S</w:t>
            </w:r>
            <w:r w:rsidRPr="00982C9E">
              <w:rPr>
                <w:spacing w:val="-2"/>
              </w:rPr>
              <w:t>tavební produkce</w:t>
            </w:r>
            <w:r w:rsidRPr="00982C9E">
              <w:rPr>
                <w:rStyle w:val="Znakapoznpodarou"/>
                <w:spacing w:val="-2"/>
              </w:rPr>
              <w:footnoteReference w:id="15"/>
            </w:r>
            <w:r>
              <w:rPr>
                <w:spacing w:val="-2"/>
              </w:rPr>
              <w:t xml:space="preserve"> přesto v 1. čtvrtletí ve srovnání s předchozím obdobím mírně vzrostla (+2,2 %) a zaznamenala tak první mezičtvrtletní oživení od počátku pandemie. Zatímco v inženýrském stavitelství nastal podobný posun již na konci loňského roku, ve váhově významnějším pozemním stavitelství znamenal i velmi mírný letošní růst (+1,1 %) nejlepší výsledek od poloviny roku 2019. Meziročně se letos produkce v celém stavebnictví snížila o</w:t>
            </w:r>
            <w:r>
              <w:rPr>
                <w:spacing w:val="-4"/>
              </w:rPr>
              <w:t> </w:t>
            </w:r>
            <w:r>
              <w:rPr>
                <w:spacing w:val="-2"/>
              </w:rPr>
              <w:t>5,5 %</w:t>
            </w:r>
            <w:r>
              <w:rPr>
                <w:rStyle w:val="Znakapoznpodarou"/>
                <w:spacing w:val="-2"/>
              </w:rPr>
              <w:footnoteReference w:id="16"/>
            </w:r>
            <w:r>
              <w:rPr>
                <w:spacing w:val="-2"/>
              </w:rPr>
              <w:t>, takřka výhradně vlivem obtížnější situace v pozemním stavitelství. Inženýrské stavitelství mohlo profitovat z pokračujícího růstu veřejných dopravních investic</w:t>
            </w:r>
            <w:r>
              <w:rPr>
                <w:rStyle w:val="Znakapoznpodarou"/>
                <w:spacing w:val="-2"/>
              </w:rPr>
              <w:footnoteReference w:id="17"/>
            </w:r>
            <w:r>
              <w:rPr>
                <w:spacing w:val="-2"/>
              </w:rPr>
              <w:t xml:space="preserve">. Vývoji pozemního stavitelství výrazněji nepomáhá ani bytová výstavba. Počet zahájených bytů meziročně klesl (o 7,6 %), v absolutním vyjádření dosáhl v rámci 1. čtvrtletí tříletého </w:t>
            </w:r>
            <w:r>
              <w:rPr>
                <w:spacing w:val="-2"/>
              </w:rPr>
              <w:lastRenderedPageBreak/>
              <w:t xml:space="preserve">minima. Dokončených bytů oproti loňsku o osminu přibylo. Byť jejich počet nebyl letos díky větší rozestavěnosti z předchozích let nízký (9,0 tis.), v kategorii samostatných bytových domů fakticky stagnoval na loňské úrovni (2,9 tis.). Orientační hodnota všech vydaných stavebních povolení byla v 1. čtvrtletí především zásluhou projektů na modernizace či rekonstrukce stávajících objektů skoro o sedminu vyšší. Ovlivnila ji ale </w:t>
            </w:r>
            <w:r>
              <w:t>zčásti i nízká základna z března 2020 vlivem omezené činnosti některých stavebních úřadů.</w:t>
            </w:r>
          </w:p>
        </w:tc>
      </w:tr>
      <w:tr w:rsidR="00E87CE2" w:rsidRPr="00FE5237" w14:paraId="27E6929E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A88F021" w14:textId="77777777" w:rsidR="00E87CE2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270CFC5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7CDF91BA" w14:textId="77777777" w:rsidR="00E87CE2" w:rsidRPr="00FE5237" w:rsidRDefault="00E87CE2" w:rsidP="006F6FF2">
            <w:pPr>
              <w:spacing w:after="0"/>
              <w:rPr>
                <w:spacing w:val="-4"/>
              </w:rPr>
            </w:pPr>
            <w:r w:rsidRPr="00883202">
              <w:rPr>
                <w:b/>
              </w:rPr>
              <w:t>Graf č. 6</w:t>
            </w:r>
            <w:r>
              <w:rPr>
                <w:b/>
              </w:rPr>
              <w:t xml:space="preserve"> </w:t>
            </w:r>
            <w:r w:rsidRPr="00883202">
              <w:rPr>
                <w:b/>
              </w:rPr>
              <w:t xml:space="preserve"> Příspěvky odvětví k meziroční změně stavební produkce </w:t>
            </w:r>
            <w:r w:rsidRPr="00883202">
              <w:t>(v p. b.)</w:t>
            </w:r>
            <w:r w:rsidRPr="00883202">
              <w:rPr>
                <w:b/>
                <w:bCs/>
              </w:rPr>
              <w:t>,</w:t>
            </w:r>
            <w:r w:rsidRPr="00883202">
              <w:rPr>
                <w:b/>
                <w:bCs/>
              </w:rPr>
              <w:br/>
            </w:r>
            <w:r w:rsidRPr="00883202">
              <w:rPr>
                <w:b/>
              </w:rPr>
              <w:t xml:space="preserve">nové stavební zakázky </w:t>
            </w:r>
            <w:r w:rsidRPr="00883202">
              <w:rPr>
                <w:bCs/>
              </w:rPr>
              <w:t>(</w:t>
            </w:r>
            <w:r w:rsidRPr="00883202">
              <w:t>meziročně</w:t>
            </w:r>
            <w:r w:rsidRPr="00883202">
              <w:rPr>
                <w:bCs/>
              </w:rPr>
              <w:t xml:space="preserve"> v %</w:t>
            </w:r>
            <w:r w:rsidRPr="00883202">
              <w:t>, pravá osa</w:t>
            </w:r>
            <w:r w:rsidRPr="00883202">
              <w:rPr>
                <w:bCs/>
              </w:rPr>
              <w:t>)</w:t>
            </w:r>
            <w:r w:rsidRPr="00883202">
              <w:rPr>
                <w:b/>
              </w:rPr>
              <w:t>, saldo indikátoru důvěry ve stavebnictví*</w:t>
            </w:r>
            <w:r w:rsidRPr="00883202">
              <w:t xml:space="preserve"> (v p. b., pravá osa) </w:t>
            </w:r>
            <w:r w:rsidRPr="00883202">
              <w:rPr>
                <w:b/>
              </w:rPr>
              <w:t>a vybrané bariéry růstu</w:t>
            </w:r>
            <w:r w:rsidRPr="00883202">
              <w:t>* (v %, pravá osa)</w:t>
            </w:r>
          </w:p>
        </w:tc>
      </w:tr>
      <w:tr w:rsidR="00E87CE2" w:rsidRPr="003E01D3" w14:paraId="0A3ED556" w14:textId="77777777" w:rsidTr="006F6FF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53938F97" w14:textId="77777777" w:rsidR="00E87CE2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</w:tcPr>
          <w:p w14:paraId="5EF865AD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7A61852C" w14:textId="77777777" w:rsidR="00E87CE2" w:rsidRPr="003E01D3" w:rsidRDefault="00E87CE2" w:rsidP="006F6FF2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D97486B" wp14:editId="4EBF0C47">
                  <wp:extent cx="4740910" cy="3562350"/>
                  <wp:effectExtent l="0" t="0" r="2540" b="0"/>
                  <wp:docPr id="36" name="Graf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87CE2" w14:paraId="57B06AD0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78AEA88" w14:textId="77777777" w:rsidR="00E87CE2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7543648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4B31797" w14:textId="77777777" w:rsidR="00E87CE2" w:rsidRPr="00883202" w:rsidRDefault="00E87CE2" w:rsidP="006F6FF2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Údaje o stavební produkci jsou očištěny o kalendářní vlivy.</w:t>
            </w:r>
          </w:p>
          <w:p w14:paraId="359CAE82" w14:textId="5C06A00C" w:rsidR="00E87CE2" w:rsidRPr="00883202" w:rsidRDefault="00E87CE2" w:rsidP="006F6FF2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="002803A5">
              <w:rPr>
                <w:rFonts w:cs="Arial"/>
                <w:spacing w:val="-2"/>
                <w:sz w:val="14"/>
                <w:szCs w:val="14"/>
              </w:rPr>
              <w:t>Saldo důvěry (sezónně očištěné) i bariéry růstu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 vyjadřují stav ve druhém měsíci daného čtvrtletí</w:t>
            </w:r>
            <w:r w:rsidRPr="00883202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 xml:space="preserve"> Podniky mohly uvést více hlavních bariér současně.</w:t>
            </w:r>
          </w:p>
          <w:p w14:paraId="56DF82F9" w14:textId="77777777" w:rsidR="00E87CE2" w:rsidRDefault="00E87CE2" w:rsidP="006F6FF2">
            <w:pPr>
              <w:spacing w:after="220"/>
              <w:rPr>
                <w:noProof/>
              </w:rPr>
            </w:pP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E87CE2" w:rsidRPr="00730874" w14:paraId="5EC2EB25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5FE9E08" w14:textId="77777777" w:rsidR="00E87CE2" w:rsidRDefault="00E87CE2" w:rsidP="006F6FF2">
            <w:pPr>
              <w:pStyle w:val="Marginlie"/>
            </w:pPr>
            <w:r>
              <w:t>K meziročnímu růstu stavebních zakázek přispěly podobným dílem veřejný i soukromý sektor.</w:t>
            </w:r>
          </w:p>
          <w:p w14:paraId="34016509" w14:textId="77777777" w:rsidR="00E87CE2" w:rsidRDefault="00E87CE2" w:rsidP="006F6FF2">
            <w:pPr>
              <w:pStyle w:val="Marginlie"/>
            </w:pPr>
          </w:p>
          <w:p w14:paraId="348DD2BA" w14:textId="77777777" w:rsidR="00E87CE2" w:rsidRDefault="00E87CE2" w:rsidP="006F6FF2">
            <w:pPr>
              <w:pStyle w:val="Marginlie"/>
            </w:pPr>
          </w:p>
          <w:p w14:paraId="3FD9F5D9" w14:textId="77777777" w:rsidR="00E87CE2" w:rsidRDefault="00E87CE2" w:rsidP="006F6FF2">
            <w:pPr>
              <w:pStyle w:val="Marginlie"/>
            </w:pPr>
          </w:p>
          <w:p w14:paraId="27B95C3A" w14:textId="77777777" w:rsidR="00E87CE2" w:rsidRDefault="00E87CE2" w:rsidP="006F6FF2">
            <w:pPr>
              <w:pStyle w:val="Marginlie"/>
            </w:pPr>
          </w:p>
          <w:p w14:paraId="0D13E11C" w14:textId="77777777" w:rsidR="00E87CE2" w:rsidRDefault="00E87CE2" w:rsidP="006F6FF2">
            <w:pPr>
              <w:pStyle w:val="Marginlie"/>
            </w:pPr>
            <w:r>
              <w:t>Důvěra podnikatelů ve stavebnictví se mírně zlepšovala, zůstávala však v negativním pásmu.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EAF9FF3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29810A2" w14:textId="77777777" w:rsidR="00E87CE2" w:rsidRPr="00730874" w:rsidRDefault="00E87CE2" w:rsidP="00E87CE2">
            <w:pPr>
              <w:rPr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 xml:space="preserve">Nominální hodnota nově uzavřených tuzemských </w:t>
            </w:r>
            <w:r w:rsidRPr="006F50D2">
              <w:rPr>
                <w:color w:val="0D0D0D" w:themeColor="text1" w:themeTint="F2"/>
                <w:spacing w:val="-4"/>
                <w:szCs w:val="20"/>
              </w:rPr>
              <w:t xml:space="preserve">stavebních zakázek </w:t>
            </w:r>
            <w:r>
              <w:rPr>
                <w:spacing w:val="-4"/>
                <w:szCs w:val="20"/>
              </w:rPr>
              <w:t>(v podnicích s více než 50 zaměstnanci) v 1. čtvrtletí oproti slabší loňské základně vzrostla o 28 %. Ve srovnání s počátkem roku 2019 byla vyšší zhruba o osminu – jak v pozemním, tak inženýrském stavitelství. V růstu se patrně projevilo i zvyšování cen stavebních prací</w:t>
            </w:r>
            <w:r>
              <w:rPr>
                <w:rStyle w:val="Znakapoznpodarou"/>
                <w:spacing w:val="-4"/>
                <w:szCs w:val="20"/>
              </w:rPr>
              <w:footnoteReference w:id="18"/>
            </w:r>
            <w:r>
              <w:rPr>
                <w:spacing w:val="-4"/>
                <w:szCs w:val="20"/>
              </w:rPr>
              <w:t>. Všechny dosud nerealizované zakázky poskytovaly na počátku 2. čtvrtletí stavebním podnikům práci v průměru na dalších devět měsíců. Hodnota zakázek byla na konci letošního března meziročně vyšší o šestinu, o což se podobným dílem zasloužily veřejné i soukromé tuzemské zakázky. Celková důvěra podnikatelů ve stavebnictví se letos mírně zlepšovala, stále se ovšem nacházela v negativním pásmu a pod úrovní z období těsně před počátkem pandemie. Čtvrtina podniků hodnotila svou současnou poptávku po stavebních pracích negativně, na druhé straně 40 % podniků považovalo svou současnou ekonomickou situaci za dobrou. Očekávání v oblasti zaměstnanosti byla mírně optimistická. Nedostatek zaměstnanců sužoval, podobně jako nedostatečná poptávka, třetinu firem.</w:t>
            </w:r>
          </w:p>
        </w:tc>
      </w:tr>
      <w:tr w:rsidR="00E87CE2" w:rsidRPr="004D53D9" w14:paraId="0876A4C5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76C3D18A" w14:textId="77777777" w:rsidR="00E87CE2" w:rsidRDefault="00E87CE2" w:rsidP="006F6FF2">
            <w:pPr>
              <w:pStyle w:val="Marginlie"/>
            </w:pPr>
            <w:r>
              <w:t xml:space="preserve">Tržby ve službách mezikvartálně mírně </w:t>
            </w:r>
            <w:r>
              <w:lastRenderedPageBreak/>
              <w:t>vzrostly. Jejich dosažená reálná výše byla srovnatelná s počátkem roku 2013.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14A98F0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5DA0821" w14:textId="77777777" w:rsidR="00E87CE2" w:rsidRPr="004D53D9" w:rsidRDefault="00E87CE2" w:rsidP="00E87CE2">
            <w:pPr>
              <w:rPr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 xml:space="preserve">Přestože zásah protipandemických opatření do širokého spektra služeb přetrvával po celé 1. čtvrtletí 2021, </w:t>
            </w:r>
            <w:r>
              <w:rPr>
                <w:color w:val="0D0D0D" w:themeColor="text1" w:themeTint="F2"/>
                <w:spacing w:val="-4"/>
              </w:rPr>
              <w:t>t</w:t>
            </w:r>
            <w:r w:rsidRPr="000D332A">
              <w:rPr>
                <w:color w:val="0D0D0D" w:themeColor="text1" w:themeTint="F2"/>
                <w:spacing w:val="-4"/>
              </w:rPr>
              <w:t>ržby ve vybraných službách</w:t>
            </w:r>
            <w:r w:rsidRPr="000D332A">
              <w:rPr>
                <w:color w:val="0D0D0D" w:themeColor="text1" w:themeTint="F2"/>
                <w:spacing w:val="-4"/>
                <w:vertAlign w:val="superscript"/>
              </w:rPr>
              <w:footnoteReference w:id="19"/>
            </w:r>
            <w:r>
              <w:rPr>
                <w:color w:val="0D0D0D" w:themeColor="text1" w:themeTint="F2"/>
                <w:spacing w:val="-4"/>
              </w:rPr>
              <w:t xml:space="preserve"> ve srovnání s úrovní 4. čtvrtletí 2020 mírně </w:t>
            </w:r>
            <w:r>
              <w:rPr>
                <w:color w:val="0D0D0D" w:themeColor="text1" w:themeTint="F2"/>
                <w:spacing w:val="-4"/>
              </w:rPr>
              <w:lastRenderedPageBreak/>
              <w:t>vzrostly (+1,1 %). Zasloužilo se o to hlavně odvětví dopravy a skladování a také informační a komunikační činnosti. To ovšem situaci ve službách s ohledem na hluboký loňský propad příliš nevylepšilo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20"/>
            </w:r>
            <w:r>
              <w:rPr>
                <w:color w:val="0D0D0D" w:themeColor="text1" w:themeTint="F2"/>
                <w:spacing w:val="-4"/>
              </w:rPr>
              <w:t xml:space="preserve">. Letošní úroveň tržeb ve službách reálně odpovídala hladině počátku roku 2013, kdy v české ekonomice končila mělká recese. Ve většině dílčích odvětví navázaných na cestovní ruch či v některých specializovaných </w:t>
            </w:r>
            <w:r w:rsidRPr="009E534F">
              <w:rPr>
                <w:color w:val="0D0D0D" w:themeColor="text1" w:themeTint="F2"/>
                <w:spacing w:val="-4"/>
              </w:rPr>
              <w:t xml:space="preserve">službách pro podniky </w:t>
            </w:r>
            <w:r>
              <w:rPr>
                <w:color w:val="0D0D0D" w:themeColor="text1" w:themeTint="F2"/>
                <w:spacing w:val="-4"/>
              </w:rPr>
              <w:t xml:space="preserve">dokonce </w:t>
            </w:r>
            <w:r w:rsidRPr="009E534F">
              <w:rPr>
                <w:color w:val="0D0D0D" w:themeColor="text1" w:themeTint="F2"/>
                <w:spacing w:val="-4"/>
              </w:rPr>
              <w:t xml:space="preserve">představovala letošní výše </w:t>
            </w:r>
            <w:r>
              <w:rPr>
                <w:color w:val="0D0D0D" w:themeColor="text1" w:themeTint="F2"/>
                <w:spacing w:val="-4"/>
              </w:rPr>
              <w:t>trže</w:t>
            </w:r>
            <w:r w:rsidRPr="009E534F">
              <w:rPr>
                <w:color w:val="0D0D0D" w:themeColor="text1" w:themeTint="F2"/>
                <w:spacing w:val="-4"/>
              </w:rPr>
              <w:t>b absolutní minimum ve srovnatelné řadě od roku 2000</w:t>
            </w:r>
            <w:r w:rsidRPr="0038716D">
              <w:rPr>
                <w:color w:val="0D0D0D" w:themeColor="text1" w:themeTint="F2"/>
                <w:spacing w:val="-5"/>
              </w:rPr>
              <w:t>.</w:t>
            </w:r>
          </w:p>
        </w:tc>
      </w:tr>
      <w:tr w:rsidR="00E87CE2" w:rsidRPr="00585B7B" w14:paraId="5BCE519B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4A9BD7AF" w14:textId="77777777" w:rsidR="00E87CE2" w:rsidRPr="0038716D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Více než polovina meziročního poklesu tržeb šla letos na vrub ubytování, stravování a</w:t>
            </w:r>
            <w:r>
              <w:t> </w:t>
            </w:r>
            <w:r>
              <w:rPr>
                <w:color w:val="0D0D0D" w:themeColor="text1" w:themeTint="F2"/>
              </w:rPr>
              <w:t>pohostinství.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57AE1E4D" w14:textId="77777777" w:rsidR="00E87CE2" w:rsidRPr="00585B7B" w:rsidRDefault="00E87CE2" w:rsidP="006F6FF2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DCD65FC" w14:textId="15BBDE0D" w:rsidR="00E87CE2" w:rsidRPr="00585B7B" w:rsidRDefault="00E87CE2" w:rsidP="00593389">
            <w:pPr>
              <w:rPr>
                <w:color w:val="0D0D0D" w:themeColor="text1" w:themeTint="F2"/>
                <w:spacing w:val="-4"/>
              </w:rPr>
            </w:pPr>
            <w:r w:rsidRPr="00585B7B">
              <w:rPr>
                <w:color w:val="0D0D0D" w:themeColor="text1" w:themeTint="F2"/>
                <w:spacing w:val="-4"/>
              </w:rPr>
              <w:t>Tržby ve službách v 1.</w:t>
            </w:r>
            <w:r>
              <w:rPr>
                <w:color w:val="0D0D0D" w:themeColor="text1" w:themeTint="F2"/>
                <w:spacing w:val="-4"/>
              </w:rPr>
              <w:t> čtvrtlet</w:t>
            </w:r>
            <w:r w:rsidRPr="00585B7B">
              <w:rPr>
                <w:color w:val="0D0D0D" w:themeColor="text1" w:themeTint="F2"/>
                <w:spacing w:val="-4"/>
              </w:rPr>
              <w:t>í 2021 meziročně klesly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6,8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="00593389">
              <w:rPr>
                <w:color w:val="0D0D0D" w:themeColor="text1" w:themeTint="F2"/>
                <w:spacing w:val="-4"/>
              </w:rPr>
              <w:t xml:space="preserve"> (oproti 1. čtvrtletí 2019 </w:t>
            </w:r>
            <w:r w:rsidRPr="00585B7B">
              <w:rPr>
                <w:color w:val="0D0D0D" w:themeColor="text1" w:themeTint="F2"/>
                <w:spacing w:val="-4"/>
              </w:rPr>
              <w:t>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10,3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585B7B">
              <w:rPr>
                <w:color w:val="0D0D0D" w:themeColor="text1" w:themeTint="F2"/>
                <w:spacing w:val="-4"/>
              </w:rPr>
              <w:t>). Pokles byl tažen primárně odvětvím ubytování, stravování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="00593389">
              <w:rPr>
                <w:color w:val="0D0D0D" w:themeColor="text1" w:themeTint="F2"/>
                <w:spacing w:val="-4"/>
              </w:rPr>
              <w:t>pohostinství (příspěvek –3,7</w:t>
            </w:r>
            <w:r>
              <w:rPr>
                <w:color w:val="0D0D0D" w:themeColor="text1" w:themeTint="F2"/>
                <w:spacing w:val="-4"/>
              </w:rPr>
              <w:t> p. b.</w:t>
            </w:r>
            <w:r w:rsidRPr="00585B7B">
              <w:rPr>
                <w:color w:val="0D0D0D" w:themeColor="text1" w:themeTint="F2"/>
                <w:spacing w:val="-4"/>
              </w:rPr>
              <w:t xml:space="preserve">). Většina 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>dílčích odvětví úzce vázaných na cestovní ruch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 xml:space="preserve">jiné volnočasové aktivity byla silně zasažena již loni v březnu. </w:t>
            </w:r>
            <w:r w:rsidRPr="00585B7B">
              <w:rPr>
                <w:color w:val="0D0D0D" w:themeColor="text1" w:themeTint="F2"/>
                <w:spacing w:val="-4"/>
              </w:rPr>
              <w:t>Stravování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pohostinství tak letos přišlo ve srovnání s 1. čtvrtletím 2019 reálně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="00593389">
              <w:rPr>
                <w:color w:val="0D0D0D" w:themeColor="text1" w:themeTint="F2"/>
                <w:spacing w:val="-4"/>
              </w:rPr>
              <w:t>60,7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585B7B">
              <w:rPr>
                <w:color w:val="0D0D0D" w:themeColor="text1" w:themeTint="F2"/>
                <w:spacing w:val="-4"/>
              </w:rPr>
              <w:t xml:space="preserve"> tržeb, letecká doprava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69</w:t>
            </w:r>
            <w:r w:rsidR="00593389">
              <w:rPr>
                <w:color w:val="0D0D0D" w:themeColor="text1" w:themeTint="F2"/>
                <w:spacing w:val="-4"/>
              </w:rPr>
              <w:t>,4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585B7B">
              <w:rPr>
                <w:color w:val="0D0D0D" w:themeColor="text1" w:themeTint="F2"/>
                <w:spacing w:val="-4"/>
              </w:rPr>
              <w:t>, cestovní kanceláře a agentury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="00593389">
              <w:rPr>
                <w:color w:val="0D0D0D" w:themeColor="text1" w:themeTint="F2"/>
                <w:spacing w:val="-4"/>
              </w:rPr>
              <w:t>77,9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585B7B">
              <w:rPr>
                <w:color w:val="0D0D0D" w:themeColor="text1" w:themeTint="F2"/>
                <w:spacing w:val="-4"/>
              </w:rPr>
              <w:t xml:space="preserve"> a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ubytování dokonce o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81</w:t>
            </w:r>
            <w:r w:rsidR="00593389">
              <w:rPr>
                <w:color w:val="0D0D0D" w:themeColor="text1" w:themeTint="F2"/>
                <w:spacing w:val="-4"/>
              </w:rPr>
              <w:t>,1</w:t>
            </w:r>
            <w:r>
              <w:rPr>
                <w:color w:val="0D0D0D" w:themeColor="text1" w:themeTint="F2"/>
                <w:spacing w:val="-4"/>
              </w:rPr>
              <w:t> %</w:t>
            </w:r>
            <w:r w:rsidRPr="00585B7B">
              <w:rPr>
                <w:color w:val="0D0D0D" w:themeColor="text1" w:themeTint="F2"/>
                <w:spacing w:val="-4"/>
              </w:rPr>
              <w:t>. Propad cestovního ruchu, jenž neměl na území ČR v moderní historii obdob</w:t>
            </w:r>
            <w:r>
              <w:rPr>
                <w:color w:val="0D0D0D" w:themeColor="text1" w:themeTint="F2"/>
                <w:spacing w:val="-4"/>
              </w:rPr>
              <w:t>y</w:t>
            </w:r>
            <w:r w:rsidRPr="00585B7B">
              <w:rPr>
                <w:color w:val="0D0D0D" w:themeColor="text1" w:themeTint="F2"/>
                <w:spacing w:val="-4"/>
              </w:rPr>
              <w:t>, dokreslují 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585B7B">
              <w:rPr>
                <w:color w:val="0D0D0D" w:themeColor="text1" w:themeTint="F2"/>
                <w:spacing w:val="-4"/>
              </w:rPr>
              <w:t>naturální ukazatele</w:t>
            </w:r>
            <w:r w:rsidRPr="00585B7B">
              <w:rPr>
                <w:rStyle w:val="Znakapoznpodarou"/>
                <w:color w:val="0D0D0D" w:themeColor="text1" w:themeTint="F2"/>
                <w:spacing w:val="-4"/>
              </w:rPr>
              <w:footnoteReference w:id="21"/>
            </w:r>
            <w:r w:rsidRPr="00585B7B">
              <w:rPr>
                <w:color w:val="0D0D0D" w:themeColor="text1" w:themeTint="F2"/>
                <w:spacing w:val="-4"/>
              </w:rPr>
              <w:t>. Rovněž v t</w:t>
            </w:r>
            <w:r>
              <w:rPr>
                <w:color w:val="0D0D0D" w:themeColor="text1" w:themeTint="F2"/>
                <w:spacing w:val="-4"/>
              </w:rPr>
              <w:t>ak</w:t>
            </w:r>
            <w:r w:rsidRPr="00585B7B">
              <w:rPr>
                <w:color w:val="0D0D0D" w:themeColor="text1" w:themeTint="F2"/>
                <w:spacing w:val="-4"/>
              </w:rPr>
              <w:t>zv</w:t>
            </w:r>
            <w:r>
              <w:rPr>
                <w:color w:val="0D0D0D" w:themeColor="text1" w:themeTint="F2"/>
                <w:spacing w:val="-4"/>
              </w:rPr>
              <w:t>aném</w:t>
            </w:r>
            <w:r w:rsidRPr="00585B7B">
              <w:rPr>
                <w:color w:val="0D0D0D" w:themeColor="text1" w:themeTint="F2"/>
                <w:spacing w:val="-4"/>
              </w:rPr>
              <w:t xml:space="preserve"> 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>filmovém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>hudebním průmyslu</w:t>
            </w:r>
            <w:r w:rsidRPr="00585B7B"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2"/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 xml:space="preserve"> propadly tržby za dva roky o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>50</w:t>
            </w:r>
            <w:r w:rsidR="00593389">
              <w:rPr>
                <w:color w:val="0D0D0D" w:themeColor="text1" w:themeTint="F2"/>
                <w:spacing w:val="-4"/>
                <w:szCs w:val="20"/>
              </w:rPr>
              <w:t>,6</w:t>
            </w:r>
            <w:r>
              <w:rPr>
                <w:color w:val="0D0D0D" w:themeColor="text1" w:themeTint="F2"/>
                <w:spacing w:val="-4"/>
                <w:szCs w:val="20"/>
              </w:rPr>
              <w:t> %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>.</w:t>
            </w:r>
          </w:p>
        </w:tc>
      </w:tr>
      <w:tr w:rsidR="00E87CE2" w:rsidRPr="00307BAB" w14:paraId="78304F63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151D9814" w14:textId="77777777" w:rsidR="00E87CE2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B5FF8E8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BDC9441" w14:textId="77777777" w:rsidR="00E87CE2" w:rsidRPr="00307BAB" w:rsidRDefault="00E87CE2" w:rsidP="006F6FF2">
            <w:pPr>
              <w:spacing w:after="0"/>
              <w:rPr>
                <w:spacing w:val="2"/>
                <w:szCs w:val="20"/>
              </w:rPr>
            </w:pPr>
            <w:r w:rsidRPr="00307BAB">
              <w:rPr>
                <w:b/>
                <w:spacing w:val="2"/>
              </w:rPr>
              <w:t>Graf č. 7</w:t>
            </w:r>
            <w:r>
              <w:rPr>
                <w:b/>
                <w:spacing w:val="2"/>
              </w:rPr>
              <w:t xml:space="preserve"> </w:t>
            </w:r>
            <w:r w:rsidRPr="00307BAB">
              <w:rPr>
                <w:b/>
                <w:spacing w:val="2"/>
              </w:rPr>
              <w:t xml:space="preserve"> Příspěvky odvětví k meziroční změně tržeb ve službách*</w:t>
            </w:r>
            <w:r w:rsidRPr="00307BAB">
              <w:rPr>
                <w:b/>
                <w:spacing w:val="2"/>
              </w:rPr>
              <w:br/>
            </w:r>
            <w:r w:rsidRPr="00307BAB">
              <w:rPr>
                <w:spacing w:val="2"/>
              </w:rPr>
              <w:t>(v p. b., očištěno o kalendářní vlivy)</w:t>
            </w:r>
            <w:r w:rsidRPr="00307BAB">
              <w:rPr>
                <w:b/>
                <w:bCs/>
                <w:spacing w:val="2"/>
              </w:rPr>
              <w:t xml:space="preserve">, </w:t>
            </w:r>
            <w:r w:rsidRPr="00307BAB">
              <w:rPr>
                <w:b/>
                <w:spacing w:val="2"/>
              </w:rPr>
              <w:t>saldo indikátoru důvěry ve službách**</w:t>
            </w:r>
            <w:r w:rsidRPr="00307BAB">
              <w:rPr>
                <w:b/>
                <w:spacing w:val="2"/>
              </w:rPr>
              <w:br/>
            </w:r>
            <w:r w:rsidRPr="00307BAB">
              <w:rPr>
                <w:spacing w:val="2"/>
              </w:rPr>
              <w:t>(v p. b., pravá osa)</w:t>
            </w:r>
            <w:r w:rsidRPr="00307BAB">
              <w:rPr>
                <w:b/>
                <w:spacing w:val="2"/>
              </w:rPr>
              <w:t xml:space="preserve"> a vybrané bariéry růstu*</w:t>
            </w:r>
            <w:r w:rsidRPr="00307BAB">
              <w:rPr>
                <w:spacing w:val="2"/>
              </w:rPr>
              <w:t>* (v %, pravá osa)</w:t>
            </w:r>
          </w:p>
        </w:tc>
      </w:tr>
      <w:tr w:rsidR="00E87CE2" w:rsidRPr="004D53D9" w14:paraId="003C7BC2" w14:textId="77777777" w:rsidTr="006F6FF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28" w:type="dxa"/>
            <w:shd w:val="clear" w:color="auto" w:fill="auto"/>
          </w:tcPr>
          <w:p w14:paraId="706277A2" w14:textId="77777777" w:rsidR="00E87CE2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</w:tcPr>
          <w:p w14:paraId="0C9466A2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</w:tcPr>
          <w:p w14:paraId="3432142B" w14:textId="77777777" w:rsidR="00E87CE2" w:rsidRPr="004D53D9" w:rsidRDefault="00E87CE2" w:rsidP="006F6FF2">
            <w:pPr>
              <w:spacing w:after="0"/>
              <w:rPr>
                <w:spacing w:val="-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C25B88" wp14:editId="76CF9506">
                  <wp:extent cx="4775835" cy="3534770"/>
                  <wp:effectExtent l="0" t="0" r="5715" b="8890"/>
                  <wp:docPr id="37" name="Graf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87CE2" w:rsidRPr="00417064" w14:paraId="5ABC1BDC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B64758E" w14:textId="77777777" w:rsidR="00E87CE2" w:rsidRDefault="00E87CE2" w:rsidP="006F6FF2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7FE8547" w14:textId="77777777" w:rsidR="00E87CE2" w:rsidRPr="00B43216" w:rsidRDefault="00E87CE2" w:rsidP="006F6FF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0A4BE1F8" w14:textId="77777777" w:rsidR="00E87CE2" w:rsidRPr="00883202" w:rsidRDefault="00E87CE2" w:rsidP="006F6FF2">
            <w:pPr>
              <w:spacing w:after="0"/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</w:t>
            </w:r>
            <w:r w:rsidRPr="00883202">
              <w:rPr>
                <w:color w:val="0D0D0D" w:themeColor="text1" w:themeTint="F2"/>
                <w:sz w:val="14"/>
                <w:szCs w:val="14"/>
              </w:rPr>
              <w:t xml:space="preserve"> Bez odvětví obchodu, peněžnictví, pojišťovnictví, vědy, výzkumu a veřejných služeb.</w:t>
            </w:r>
          </w:p>
          <w:p w14:paraId="24F95466" w14:textId="2320E411" w:rsidR="006F6FF2" w:rsidRPr="000A775A" w:rsidRDefault="00E87CE2" w:rsidP="006F6FF2">
            <w:pPr>
              <w:spacing w:after="0"/>
              <w:rPr>
                <w:rFonts w:cs="Arial"/>
                <w:spacing w:val="-2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**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Zahrnuje i finanční sektor. Saldo důvěry</w:t>
            </w:r>
            <w:r w:rsidR="002803A5">
              <w:rPr>
                <w:rFonts w:cs="Arial"/>
                <w:spacing w:val="-2"/>
                <w:sz w:val="14"/>
                <w:szCs w:val="14"/>
              </w:rPr>
              <w:t xml:space="preserve"> (sezónně očištěné)</w:t>
            </w:r>
            <w:r w:rsidR="000A775A" w:rsidRPr="00883202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 w:rsidR="000A775A">
              <w:rPr>
                <w:rFonts w:cs="Arial"/>
                <w:spacing w:val="-2"/>
                <w:sz w:val="14"/>
                <w:szCs w:val="14"/>
              </w:rPr>
              <w:t xml:space="preserve">vyjadřuje stav </w:t>
            </w:r>
            <w:r w:rsidR="000A775A" w:rsidRPr="00883202">
              <w:rPr>
                <w:rFonts w:cs="Arial"/>
                <w:spacing w:val="-2"/>
                <w:sz w:val="14"/>
                <w:szCs w:val="14"/>
              </w:rPr>
              <w:t>ve druhém měsíci daného čtvrtletí</w:t>
            </w:r>
            <w:r w:rsidR="000A775A">
              <w:rPr>
                <w:rFonts w:cs="Arial"/>
                <w:spacing w:val="-2"/>
                <w:sz w:val="14"/>
                <w:szCs w:val="14"/>
              </w:rPr>
              <w:t>. B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ar</w:t>
            </w:r>
            <w:r w:rsidR="002803A5">
              <w:rPr>
                <w:rFonts w:cs="Arial"/>
                <w:spacing w:val="-2"/>
                <w:sz w:val="14"/>
                <w:szCs w:val="14"/>
              </w:rPr>
              <w:t>iéry růstu</w:t>
            </w:r>
            <w:r w:rsidR="00811FF8">
              <w:rPr>
                <w:rFonts w:cs="Arial"/>
                <w:spacing w:val="-2"/>
                <w:sz w:val="14"/>
                <w:szCs w:val="14"/>
              </w:rPr>
              <w:t> jsou naopak vztaženy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 w:rsidR="00811FF8">
              <w:rPr>
                <w:rFonts w:cs="Arial"/>
                <w:spacing w:val="-2"/>
                <w:sz w:val="14"/>
                <w:szCs w:val="14"/>
              </w:rPr>
              <w:t>k</w:t>
            </w:r>
            <w:r w:rsidR="000A775A">
              <w:rPr>
                <w:rFonts w:cs="Arial"/>
                <w:spacing w:val="-2"/>
                <w:sz w:val="14"/>
                <w:szCs w:val="14"/>
              </w:rPr>
              <w:t> prvním</w:t>
            </w:r>
            <w:r w:rsidR="00811FF8">
              <w:rPr>
                <w:rFonts w:cs="Arial"/>
                <w:spacing w:val="-2"/>
                <w:sz w:val="14"/>
                <w:szCs w:val="14"/>
              </w:rPr>
              <w:t>u</w:t>
            </w:r>
            <w:r w:rsidR="000A775A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 w:rsidR="000A775A" w:rsidRPr="00883202">
              <w:rPr>
                <w:rFonts w:cs="Arial"/>
                <w:spacing w:val="-2"/>
                <w:sz w:val="14"/>
                <w:szCs w:val="14"/>
              </w:rPr>
              <w:t>měsíci daného čtvrtletí</w:t>
            </w:r>
            <w:r w:rsidRPr="00883202">
              <w:rPr>
                <w:rFonts w:cs="Arial"/>
                <w:spacing w:val="-2"/>
                <w:sz w:val="14"/>
                <w:szCs w:val="14"/>
              </w:rPr>
              <w:t>.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Podniky mohly uvést více hlavních bariér sou</w:t>
            </w:r>
            <w:r w:rsidR="006F6FF2">
              <w:rPr>
                <w:rFonts w:cs="Arial"/>
                <w:sz w:val="14"/>
                <w:szCs w:val="14"/>
              </w:rPr>
              <w:t>časně.</w:t>
            </w:r>
          </w:p>
          <w:p w14:paraId="1C288D29" w14:textId="3B577391" w:rsidR="00E87CE2" w:rsidRPr="00417064" w:rsidRDefault="00E87CE2" w:rsidP="006F6FF2">
            <w:pPr>
              <w:rPr>
                <w:rFonts w:cs="Arial"/>
                <w:sz w:val="14"/>
                <w:szCs w:val="14"/>
              </w:rPr>
            </w:pPr>
            <w:r w:rsidRPr="00883202">
              <w:rPr>
                <w:rFonts w:cs="Arial"/>
                <w:sz w:val="14"/>
                <w:szCs w:val="14"/>
              </w:rPr>
              <w:t>Zdroj: ČSÚ</w:t>
            </w:r>
          </w:p>
        </w:tc>
      </w:tr>
      <w:tr w:rsidR="00E87CE2" w:rsidRPr="008932CD" w14:paraId="42345DC9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7D85A913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Poptávka v některých specializovaných službách pro podniky reagovala na cyklický pokles ekonomiky.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BB43C29" w14:textId="77777777" w:rsidR="00E87CE2" w:rsidRPr="008932CD" w:rsidRDefault="00E87CE2" w:rsidP="006F6FF2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1C74A6EC" w14:textId="77777777" w:rsidR="00E87CE2" w:rsidRDefault="00E87CE2" w:rsidP="00E87CE2">
            <w:pPr>
              <w:rPr>
                <w:color w:val="0D0D0D" w:themeColor="text1" w:themeTint="F2"/>
                <w:spacing w:val="-4"/>
                <w:szCs w:val="20"/>
              </w:rPr>
            </w:pPr>
            <w:r w:rsidRPr="003E519E">
              <w:rPr>
                <w:color w:val="0D0D0D" w:themeColor="text1" w:themeTint="F2"/>
                <w:spacing w:val="-4"/>
                <w:szCs w:val="20"/>
              </w:rPr>
              <w:t>S většími problémy se v 1.</w:t>
            </w:r>
            <w:r>
              <w:rPr>
                <w:color w:val="0D0D0D" w:themeColor="text1" w:themeTint="F2"/>
                <w:spacing w:val="-4"/>
                <w:szCs w:val="20"/>
              </w:rPr>
              <w:t> čtvrtlet</w:t>
            </w:r>
            <w:r w:rsidRPr="003E519E">
              <w:rPr>
                <w:color w:val="0D0D0D" w:themeColor="text1" w:themeTint="F2"/>
                <w:spacing w:val="-4"/>
                <w:szCs w:val="20"/>
              </w:rPr>
              <w:t>í potýkaly i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color w:val="0D0D0D" w:themeColor="text1" w:themeTint="F2"/>
                <w:spacing w:val="-4"/>
                <w:szCs w:val="20"/>
              </w:rPr>
              <w:t xml:space="preserve">některé specializované </w:t>
            </w:r>
            <w:r>
              <w:rPr>
                <w:color w:val="0D0D0D" w:themeColor="text1" w:themeTint="F2"/>
                <w:spacing w:val="-4"/>
                <w:szCs w:val="20"/>
              </w:rPr>
              <w:t>služ</w:t>
            </w:r>
            <w:r w:rsidRPr="003E519E">
              <w:rPr>
                <w:color w:val="0D0D0D" w:themeColor="text1" w:themeTint="F2"/>
                <w:spacing w:val="-4"/>
                <w:szCs w:val="20"/>
              </w:rPr>
              <w:t>b</w:t>
            </w:r>
            <w:r>
              <w:rPr>
                <w:color w:val="0D0D0D" w:themeColor="text1" w:themeTint="F2"/>
                <w:spacing w:val="-4"/>
                <w:szCs w:val="20"/>
              </w:rPr>
              <w:t>y</w:t>
            </w:r>
            <w:r w:rsidRPr="003E519E">
              <w:rPr>
                <w:color w:val="0D0D0D" w:themeColor="text1" w:themeTint="F2"/>
                <w:spacing w:val="-4"/>
                <w:szCs w:val="20"/>
              </w:rPr>
              <w:t xml:space="preserve"> pro podniky,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 u</w:t>
            </w:r>
            <w:r w:rsidRPr="003E519E">
              <w:rPr>
                <w:color w:val="0D0D0D" w:themeColor="text1" w:themeTint="F2"/>
                <w:spacing w:val="-4"/>
                <w:szCs w:val="20"/>
              </w:rPr>
              <w:t> nichž je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poptávka citlivá na výkyvy hospodářského cyklu. O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více než čtvrtinu se meziročně propadly tržby ostatních profesních, vědeckých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technických činností, zahrnující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ch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např. zprostředkovatelské činnosti, překladatelské 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fotografické služby nebo činnosti stavebního dozoru. Skoro o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desetinu 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méně stržily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administrativní, kancelářské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jiné podpůrné činnosti pro podnikání, do nichž patří 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mimo jiné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i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pořádání konferencí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výstav. S pomalým oživením stavebnictví souvisely nižší tržby architektonických a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inženýrských činností (o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5,2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 %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).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 </w:t>
            </w:r>
            <w:r w:rsidRPr="003E519E"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 xml:space="preserve">Podobným tempem </w:t>
            </w:r>
            <w:r>
              <w:rPr>
                <w:rFonts w:cs="Arial"/>
                <w:bCs/>
                <w:color w:val="0D0D0D" w:themeColor="text1" w:themeTint="F2"/>
                <w:spacing w:val="-4"/>
                <w:szCs w:val="20"/>
              </w:rPr>
              <w:t>klesly i tržby za reklamu a také v pozemní dopravě. Slabší přepravní výkony v osobní dopravě (vlivem restrikcí v oblasti mobility) byly patrně zčásti kompenzovány vyššími výkony v nákladní dopravě (ve vazbě na rozvoj průmyslu).</w:t>
            </w:r>
          </w:p>
        </w:tc>
      </w:tr>
      <w:tr w:rsidR="00E87CE2" w:rsidRPr="008932CD" w14:paraId="533A8783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6DFECEBE" w14:textId="77777777" w:rsidR="00E87CE2" w:rsidRPr="008932CD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Skladování těžilo z rozvoje zahraničního obchodu, poštovní a kurýrní činnosti z uzavření části maloobchodních prodejen.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34E5059" w14:textId="77777777" w:rsidR="00E87CE2" w:rsidRPr="008932CD" w:rsidRDefault="00E87CE2" w:rsidP="006F6FF2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4E6D53F4" w14:textId="77777777" w:rsidR="00E87CE2" w:rsidRPr="008932CD" w:rsidRDefault="00E87CE2" w:rsidP="00E87CE2">
            <w:pPr>
              <w:rPr>
                <w:color w:val="0D0D0D" w:themeColor="text1" w:themeTint="F2"/>
                <w:spacing w:val="-4"/>
                <w:szCs w:val="20"/>
              </w:rPr>
            </w:pPr>
            <w:r>
              <w:rPr>
                <w:color w:val="0D0D0D" w:themeColor="text1" w:themeTint="F2"/>
                <w:spacing w:val="-4"/>
                <w:szCs w:val="20"/>
              </w:rPr>
              <w:t xml:space="preserve">Menší </w:t>
            </w:r>
            <w:r w:rsidRPr="008932CD">
              <w:rPr>
                <w:color w:val="0D0D0D" w:themeColor="text1" w:themeTint="F2"/>
                <w:spacing w:val="-4"/>
                <w:szCs w:val="20"/>
              </w:rPr>
              <w:t xml:space="preserve">část </w:t>
            </w:r>
            <w:r>
              <w:rPr>
                <w:color w:val="0D0D0D" w:themeColor="text1" w:themeTint="F2"/>
                <w:spacing w:val="-4"/>
                <w:szCs w:val="20"/>
              </w:rPr>
              <w:t>dále navázaná na rychle oživující segmenty ekonomiky rostla. Dobrým příkladem je skladování, kde letos tržby meziročně vzrostly o téměř 5 %. Mírně rostla poptávka i</w:t>
            </w:r>
            <w:r w:rsidRPr="00585B7B">
              <w:rPr>
                <w:color w:val="0D0D0D" w:themeColor="text1" w:themeTint="F2"/>
                <w:spacing w:val="-4"/>
                <w:szCs w:val="20"/>
              </w:rPr>
              <w:t> 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pracovním agenturám. Mnohem více se dařilo službám </w:t>
            </w:r>
            <w:r w:rsidRPr="008932CD">
              <w:rPr>
                <w:color w:val="0D0D0D" w:themeColor="text1" w:themeTint="F2"/>
                <w:spacing w:val="-4"/>
                <w:szCs w:val="20"/>
              </w:rPr>
              <w:t>nabízející</w:t>
            </w:r>
            <w:r>
              <w:rPr>
                <w:color w:val="0D0D0D" w:themeColor="text1" w:themeTint="F2"/>
                <w:spacing w:val="-4"/>
                <w:szCs w:val="20"/>
              </w:rPr>
              <w:t>m</w:t>
            </w:r>
            <w:r w:rsidRPr="008932CD">
              <w:rPr>
                <w:color w:val="0D0D0D" w:themeColor="text1" w:themeTint="F2"/>
                <w:spacing w:val="-4"/>
                <w:szCs w:val="20"/>
              </w:rPr>
              <w:t xml:space="preserve"> řešení v prostředí omezeného sociálního kontaktu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. Poštovní a kurýrní činnosti stržily meziročně o 24 % více (za dva roky o 34 %). Dlouhodobější růst poptávky zažívají </w:t>
            </w:r>
            <w:r w:rsidRPr="00234773">
              <w:rPr>
                <w:color w:val="0D0D0D" w:themeColor="text1" w:themeTint="F2"/>
                <w:spacing w:val="-4"/>
                <w:szCs w:val="20"/>
              </w:rPr>
              <w:t>informační činnosti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234773">
              <w:rPr>
                <w:color w:val="0D0D0D" w:themeColor="text1" w:themeTint="F2"/>
                <w:spacing w:val="-4"/>
                <w:szCs w:val="20"/>
              </w:rPr>
              <w:t>činnosti v oblasti informačních technologií.</w:t>
            </w:r>
          </w:p>
        </w:tc>
      </w:tr>
      <w:tr w:rsidR="00E87CE2" w:rsidRPr="008932CD" w14:paraId="011FA7AC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076D9E8F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Důvěra podnikatelů ve službách se začala zvyšovat až v dubnu a květnu.</w:t>
            </w:r>
          </w:p>
          <w:p w14:paraId="136891FE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2DB58009" w14:textId="387C8F5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1D93C7C3" w14:textId="77777777" w:rsidR="00B86628" w:rsidRDefault="00B86628" w:rsidP="006F6FF2">
            <w:pPr>
              <w:pStyle w:val="Marginlie"/>
              <w:rPr>
                <w:color w:val="0D0D0D" w:themeColor="text1" w:themeTint="F2"/>
              </w:rPr>
            </w:pPr>
          </w:p>
          <w:p w14:paraId="26FDAD0B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6CE43551" w14:textId="77777777" w:rsidR="00E87CE2" w:rsidRPr="008932CD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Situace v dílčích odvětvích služeb byla velmi různorodá.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9DE58B8" w14:textId="77777777" w:rsidR="00E87CE2" w:rsidRPr="008932CD" w:rsidRDefault="00E87CE2" w:rsidP="006F6FF2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1FE3AB9" w14:textId="5E1C3C09" w:rsidR="00E87CE2" w:rsidRPr="008932CD" w:rsidRDefault="00E87CE2" w:rsidP="00E87CE2">
            <w:pPr>
              <w:rPr>
                <w:color w:val="0D0D0D" w:themeColor="text1" w:themeTint="F2"/>
                <w:spacing w:val="-4"/>
                <w:szCs w:val="20"/>
              </w:rPr>
            </w:pPr>
            <w:r>
              <w:rPr>
                <w:color w:val="0D0D0D" w:themeColor="text1" w:themeTint="F2"/>
                <w:spacing w:val="-4"/>
                <w:szCs w:val="20"/>
              </w:rPr>
              <w:t xml:space="preserve">Důvěra podnikatelů ve službách (vč. finančnictví) zůstávala po celé 1. čtvrtletí </w:t>
            </w:r>
            <w:r w:rsidR="00593389">
              <w:rPr>
                <w:color w:val="0D0D0D" w:themeColor="text1" w:themeTint="F2"/>
                <w:spacing w:val="-4"/>
                <w:szCs w:val="20"/>
              </w:rPr>
              <w:t xml:space="preserve">2021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výrazně pod 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>dlouhodobým průměrem. Ve vazbě na avizované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>postupně i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>realizované uvolňování proti</w:t>
            </w:r>
            <w:r w:rsidR="00593389">
              <w:rPr>
                <w:color w:val="0D0D0D" w:themeColor="text1" w:themeTint="F2"/>
                <w:spacing w:val="-4"/>
                <w:szCs w:val="20"/>
              </w:rPr>
              <w:t>pandemických restrikcí v dubnu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 xml:space="preserve">květnu výrazně </w:t>
            </w:r>
            <w:r>
              <w:rPr>
                <w:color w:val="0D0D0D" w:themeColor="text1" w:themeTint="F2"/>
                <w:spacing w:val="-4"/>
                <w:szCs w:val="20"/>
              </w:rPr>
              <w:t>vzrostla, i tak ale vysoké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 xml:space="preserve"> úrovně z přelomu let 2019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 xml:space="preserve">2020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stále 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 xml:space="preserve">nedosáhla. </w:t>
            </w:r>
            <w:r w:rsidRPr="008830F9">
              <w:rPr>
                <w:color w:val="000000"/>
                <w:szCs w:val="20"/>
              </w:rPr>
              <w:t>Poprvé za posledních osm měsíců nahlížely podniky na svou současnou poptávku pozitivně a</w:t>
            </w:r>
            <w:r>
              <w:rPr>
                <w:color w:val="000000"/>
                <w:szCs w:val="20"/>
              </w:rPr>
              <w:t> </w:t>
            </w:r>
            <w:r w:rsidRPr="008830F9">
              <w:rPr>
                <w:color w:val="000000"/>
                <w:szCs w:val="20"/>
              </w:rPr>
              <w:t>vlastní hospodářskou situaci hodnotily nejlépe od loňského března. Pozitivní výhled proti dubnu posílil – zlepšení poptávky i</w:t>
            </w:r>
            <w:r w:rsidRPr="008830F9"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8830F9">
              <w:rPr>
                <w:color w:val="000000"/>
                <w:szCs w:val="20"/>
              </w:rPr>
              <w:t>své hospodářské situace v nejbližších šesti měsících předpokládala čtvrtina firem. I</w:t>
            </w:r>
            <w:r>
              <w:rPr>
                <w:color w:val="000000"/>
                <w:szCs w:val="20"/>
              </w:rPr>
              <w:t> </w:t>
            </w:r>
            <w:r w:rsidRPr="008830F9">
              <w:rPr>
                <w:color w:val="000000"/>
                <w:szCs w:val="20"/>
              </w:rPr>
              <w:t>přesto zvažoval redukci počtu zaměstnanců během léta stále každý třetí podnik.</w:t>
            </w:r>
            <w:r>
              <w:rPr>
                <w:color w:val="000000"/>
                <w:szCs w:val="20"/>
              </w:rPr>
              <w:t xml:space="preserve"> Situace v dí</w:t>
            </w:r>
            <w:r w:rsidR="00B86628">
              <w:rPr>
                <w:color w:val="000000"/>
                <w:szCs w:val="20"/>
              </w:rPr>
              <w:t xml:space="preserve">lčích odvětvích služeb byla </w:t>
            </w:r>
            <w:r>
              <w:rPr>
                <w:color w:val="000000"/>
                <w:szCs w:val="20"/>
              </w:rPr>
              <w:t>velmi rozdílná.</w:t>
            </w:r>
            <w:r w:rsidR="00B86628">
              <w:rPr>
                <w:color w:val="0D0D0D" w:themeColor="text1" w:themeTint="F2"/>
                <w:spacing w:val="-4"/>
                <w:szCs w:val="20"/>
              </w:rPr>
              <w:t xml:space="preserve"> Celková důvěra se dále nacházela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 </w:t>
            </w:r>
            <w:r w:rsidR="00B86628">
              <w:rPr>
                <w:color w:val="0D0D0D" w:themeColor="text1" w:themeTint="F2"/>
                <w:spacing w:val="-4"/>
                <w:szCs w:val="20"/>
              </w:rPr>
              <w:t xml:space="preserve">ve výrazně negativním pásmu </w:t>
            </w:r>
            <w:r>
              <w:rPr>
                <w:color w:val="0D0D0D" w:themeColor="text1" w:themeTint="F2"/>
                <w:spacing w:val="-4"/>
                <w:szCs w:val="20"/>
              </w:rPr>
              <w:t>v letecké dopravě, ubytování a v </w:t>
            </w:r>
            <w:r w:rsidRPr="008830F9">
              <w:rPr>
                <w:color w:val="000000"/>
                <w:szCs w:val="20"/>
              </w:rPr>
              <w:t>oblasti poskytování ostatních osobních služeb (např. kadeřnické a</w:t>
            </w:r>
            <w:r>
              <w:rPr>
                <w:color w:val="000000"/>
                <w:szCs w:val="20"/>
              </w:rPr>
              <w:t> </w:t>
            </w:r>
            <w:r w:rsidRPr="008830F9">
              <w:rPr>
                <w:color w:val="000000"/>
                <w:szCs w:val="20"/>
              </w:rPr>
              <w:t>kosmetické služby).</w:t>
            </w:r>
          </w:p>
        </w:tc>
      </w:tr>
      <w:tr w:rsidR="00E87CE2" w:rsidRPr="00A2045D" w14:paraId="64F18D11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36702A81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Meziroční pokles maloobchodních tržeb byl v 1. čtvrtletí výrazně ovlivněn propadem tržeb za pohonné hmoty.</w:t>
            </w:r>
          </w:p>
          <w:p w14:paraId="081B7979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210FD766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77C71F9F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2D15001D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19B21B00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60C286E5" w14:textId="77777777" w:rsidR="00E87CE2" w:rsidRDefault="00E87CE2" w:rsidP="006F6FF2">
            <w:pPr>
              <w:pStyle w:val="Marginlie"/>
              <w:rPr>
                <w:color w:val="0D0D0D" w:themeColor="text1" w:themeTint="F2"/>
              </w:rPr>
            </w:pPr>
          </w:p>
          <w:p w14:paraId="21BDEC5D" w14:textId="77777777" w:rsidR="00E87CE2" w:rsidRPr="008932CD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Růst poptávky po internetovém a zásilkovém prodeji akceleroval.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E217837" w14:textId="77777777" w:rsidR="00E87CE2" w:rsidRPr="008932CD" w:rsidRDefault="00E87CE2" w:rsidP="006F6FF2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350D93F2" w14:textId="40FF7C11" w:rsidR="00E87CE2" w:rsidRPr="00A2045D" w:rsidRDefault="00E87CE2" w:rsidP="00E87CE2">
            <w:pPr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 w:rsidRPr="00C64029">
              <w:rPr>
                <w:rFonts w:cs="Arial"/>
                <w:color w:val="0D0D0D" w:themeColor="text1" w:themeTint="F2"/>
                <w:spacing w:val="-4"/>
                <w:szCs w:val="20"/>
              </w:rPr>
              <w:t>Maloobchodní tržby</w:t>
            </w:r>
            <w:r w:rsidRPr="00C64029">
              <w:rPr>
                <w:rStyle w:val="Znakapoznpodarou"/>
                <w:color w:val="0D0D0D" w:themeColor="text1" w:themeTint="F2"/>
                <w:spacing w:val="-4"/>
              </w:rPr>
              <w:footnoteReference w:id="23"/>
            </w:r>
            <w:r w:rsidRPr="00C6402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byly po celé 1. čtvrtletí ovlivněny uzavřením části provozoven, což poznamenalo specializované prodejny s nepotravinářským zbožím. V březnu došlo navíc k výraznému omezení mobility obyvatel, což se odrazilo mimo jiné v tržbách za pohonné hmoty. </w:t>
            </w:r>
            <w:r w:rsidRPr="00E221A3">
              <w:rPr>
                <w:rFonts w:cs="Arial"/>
                <w:color w:val="0D0D0D" w:themeColor="text1" w:themeTint="F2"/>
                <w:spacing w:val="-4"/>
                <w:szCs w:val="20"/>
              </w:rPr>
              <w:t>Proti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hlubšímu poklesu </w:t>
            </w:r>
            <w:r w:rsidRPr="00E221A3">
              <w:rPr>
                <w:rFonts w:cs="Arial"/>
                <w:color w:val="0D0D0D" w:themeColor="text1" w:themeTint="F2"/>
                <w:spacing w:val="-4"/>
                <w:szCs w:val="20"/>
              </w:rPr>
              <w:t>celého maloobchodu působila dobrá kondice pracovního trhu, vyznačující se dosud utlumenou nezaměstnaností i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E221A3">
              <w:rPr>
                <w:rFonts w:cs="Arial"/>
                <w:color w:val="0D0D0D" w:themeColor="text1" w:themeTint="F2"/>
                <w:spacing w:val="-4"/>
                <w:szCs w:val="20"/>
              </w:rPr>
              <w:t>pokračujícím reálným růstem průměrných mezd (od letošního roku podpořeným i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E221A3">
              <w:rPr>
                <w:rFonts w:cs="Arial"/>
                <w:color w:val="0D0D0D" w:themeColor="text1" w:themeTint="F2"/>
                <w:spacing w:val="-4"/>
                <w:szCs w:val="20"/>
              </w:rPr>
              <w:t>nižším zdaněním výdělků).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V 1. čtvrtletí 2021 se tak tržby v maloobchodu meziročně snížily o 0,5 % a ve srovnání se 4. čtvrtletím 2020 klesly o </w:t>
            </w:r>
            <w:r w:rsidRPr="00076DCB">
              <w:rPr>
                <w:rFonts w:cs="Arial"/>
                <w:color w:val="0D0D0D" w:themeColor="text1" w:themeTint="F2"/>
                <w:spacing w:val="-4"/>
                <w:szCs w:val="20"/>
              </w:rPr>
              <w:t>2,4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%</w:t>
            </w:r>
            <w:r w:rsidRPr="00076DCB"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4"/>
            </w:r>
            <w:r w:rsidRPr="00076DCB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. 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>Za meziročním poklesem stál především propad tržeb za pohonné hmoty (</w:t>
            </w:r>
            <w:r w:rsidRPr="00A2045D">
              <w:rPr>
                <w:color w:val="0D0D0D" w:themeColor="text1" w:themeTint="F2"/>
                <w:spacing w:val="-5"/>
              </w:rPr>
              <w:t>–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>7,7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%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>). Projevil se i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>mírný pokles tržeb za prodej potravin (</w:t>
            </w:r>
            <w:r w:rsidRPr="00A2045D">
              <w:rPr>
                <w:color w:val="0D0D0D" w:themeColor="text1" w:themeTint="F2"/>
                <w:spacing w:val="-5"/>
              </w:rPr>
              <w:t>–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>0,7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%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>), a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to především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vlivem nižší poptávky</w:t>
            </w:r>
            <w:r w:rsidRPr="00A2045D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 w:rsidRPr="00A2045D">
              <w:rPr>
                <w:color w:val="0D0D0D" w:themeColor="text1" w:themeTint="F2"/>
                <w:spacing w:val="-4"/>
                <w:szCs w:val="20"/>
              </w:rPr>
              <w:t>ve specializovaných prodejnách (</w:t>
            </w:r>
            <w:r w:rsidRPr="00A2045D">
              <w:rPr>
                <w:color w:val="0D0D0D" w:themeColor="text1" w:themeTint="F2"/>
                <w:spacing w:val="-5"/>
              </w:rPr>
              <w:t>–</w:t>
            </w:r>
            <w:r w:rsidRPr="00A2045D">
              <w:rPr>
                <w:color w:val="0D0D0D" w:themeColor="text1" w:themeTint="F2"/>
                <w:spacing w:val="-4"/>
                <w:szCs w:val="20"/>
              </w:rPr>
              <w:t>7,1</w:t>
            </w:r>
            <w:r>
              <w:rPr>
                <w:color w:val="0D0D0D" w:themeColor="text1" w:themeTint="F2"/>
                <w:spacing w:val="-4"/>
                <w:szCs w:val="20"/>
              </w:rPr>
              <w:t> %</w:t>
            </w:r>
            <w:r w:rsidRPr="00A2045D">
              <w:rPr>
                <w:color w:val="0D0D0D" w:themeColor="text1" w:themeTint="F2"/>
                <w:spacing w:val="-4"/>
                <w:szCs w:val="20"/>
              </w:rPr>
              <w:t>)</w:t>
            </w:r>
            <w:r>
              <w:rPr>
                <w:color w:val="0D0D0D" w:themeColor="text1" w:themeTint="F2"/>
                <w:spacing w:val="-4"/>
                <w:szCs w:val="20"/>
              </w:rPr>
              <w:t>. Z ostatních specializovaných prodejen přetrvával hluboký útlum tržeb u oděvů, obuvi a koženého zboží (</w:t>
            </w:r>
            <w:r w:rsidRPr="00A2045D">
              <w:rPr>
                <w:color w:val="0D0D0D" w:themeColor="text1" w:themeTint="F2"/>
                <w:spacing w:val="-5"/>
              </w:rPr>
              <w:t>–</w:t>
            </w:r>
            <w:r>
              <w:rPr>
                <w:color w:val="0D0D0D" w:themeColor="text1" w:themeTint="F2"/>
                <w:spacing w:val="-4"/>
                <w:szCs w:val="20"/>
              </w:rPr>
              <w:t>62,8 %), v menší míře i u výrobků</w:t>
            </w:r>
            <w:r w:rsidRPr="002267A4">
              <w:rPr>
                <w:color w:val="0D0D0D" w:themeColor="text1" w:themeTint="F2"/>
                <w:spacing w:val="-4"/>
                <w:szCs w:val="20"/>
              </w:rPr>
              <w:t xml:space="preserve"> pro kulturu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2267A4">
              <w:rPr>
                <w:color w:val="0D0D0D" w:themeColor="text1" w:themeTint="F2"/>
                <w:spacing w:val="-4"/>
                <w:szCs w:val="20"/>
              </w:rPr>
              <w:t>rekreaci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 (</w:t>
            </w:r>
            <w:r w:rsidRPr="00A2045D">
              <w:rPr>
                <w:color w:val="0D0D0D" w:themeColor="text1" w:themeTint="F2"/>
                <w:spacing w:val="-5"/>
              </w:rPr>
              <w:t>–</w:t>
            </w:r>
            <w:r>
              <w:rPr>
                <w:color w:val="0D0D0D" w:themeColor="text1" w:themeTint="F2"/>
                <w:spacing w:val="-4"/>
                <w:szCs w:val="20"/>
              </w:rPr>
              <w:t>17,1 %). Naopak alespoň minimální růst pokračoval v prodejnách s počítačovým</w:t>
            </w:r>
            <w:r w:rsidRPr="002267A4">
              <w:rPr>
                <w:color w:val="0D0D0D" w:themeColor="text1" w:themeTint="F2"/>
                <w:spacing w:val="-4"/>
                <w:szCs w:val="20"/>
              </w:rPr>
              <w:t xml:space="preserve">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2267A4">
              <w:rPr>
                <w:color w:val="0D0D0D" w:themeColor="text1" w:themeTint="F2"/>
                <w:spacing w:val="-4"/>
                <w:szCs w:val="20"/>
              </w:rPr>
              <w:t>komunikačním zařízením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. Z citelného omezení tradičních prodejních kanálů profitoval internetový a zásilkový prodej, kde tržby vzrostly o 41,9 % (a ve </w:t>
            </w:r>
            <w:r w:rsidR="00B86628">
              <w:rPr>
                <w:color w:val="0D0D0D" w:themeColor="text1" w:themeTint="F2"/>
                <w:spacing w:val="-4"/>
                <w:szCs w:val="20"/>
              </w:rPr>
              <w:t xml:space="preserve">srovnání s počátkem roku 2019 </w:t>
            </w:r>
            <w:r>
              <w:rPr>
                <w:color w:val="0D0D0D" w:themeColor="text1" w:themeTint="F2"/>
                <w:spacing w:val="-4"/>
                <w:szCs w:val="20"/>
              </w:rPr>
              <w:t xml:space="preserve">bezmála </w:t>
            </w:r>
            <w:r w:rsidR="00B86628">
              <w:rPr>
                <w:color w:val="0D0D0D" w:themeColor="text1" w:themeTint="F2"/>
                <w:spacing w:val="-4"/>
                <w:szCs w:val="20"/>
              </w:rPr>
              <w:t xml:space="preserve">o </w:t>
            </w:r>
            <w:r>
              <w:rPr>
                <w:color w:val="0D0D0D" w:themeColor="text1" w:themeTint="F2"/>
                <w:spacing w:val="-4"/>
                <w:szCs w:val="20"/>
              </w:rPr>
              <w:t>70 %).</w:t>
            </w:r>
          </w:p>
        </w:tc>
      </w:tr>
      <w:tr w:rsidR="00E87CE2" w:rsidRPr="00234773" w14:paraId="2648B93A" w14:textId="77777777" w:rsidTr="006F6FF2">
        <w:trPr>
          <w:trHeight w:val="145"/>
        </w:trPr>
        <w:tc>
          <w:tcPr>
            <w:tcW w:w="1728" w:type="dxa"/>
            <w:shd w:val="clear" w:color="auto" w:fill="auto"/>
            <w:tcMar>
              <w:left w:w="0" w:type="dxa"/>
            </w:tcMar>
          </w:tcPr>
          <w:p w14:paraId="21BDC36F" w14:textId="77777777" w:rsidR="00E87CE2" w:rsidRPr="00234773" w:rsidRDefault="00E87CE2" w:rsidP="006F6FF2">
            <w:pPr>
              <w:pStyle w:val="Marginlie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Tržby v motoristickém segmentu obchodu mezikvartálně rostly potřetí v řadě.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7FF2F47" w14:textId="77777777" w:rsidR="00E87CE2" w:rsidRPr="00234773" w:rsidRDefault="00E87CE2" w:rsidP="006F6FF2">
            <w:pPr>
              <w:pStyle w:val="Textpoznpodarou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30" w:type="dxa"/>
            <w:shd w:val="clear" w:color="auto" w:fill="auto"/>
            <w:tcMar>
              <w:left w:w="0" w:type="dxa"/>
            </w:tcMar>
          </w:tcPr>
          <w:p w14:paraId="63C561E0" w14:textId="77777777" w:rsidR="00E87CE2" w:rsidRPr="00234773" w:rsidRDefault="00E87CE2" w:rsidP="00E87CE2">
            <w:pPr>
              <w:rPr>
                <w:color w:val="0D0D0D" w:themeColor="text1" w:themeTint="F2"/>
                <w:spacing w:val="-4"/>
                <w:szCs w:val="20"/>
              </w:rPr>
            </w:pPr>
            <w:r w:rsidRPr="00132299">
              <w:rPr>
                <w:rFonts w:cs="Arial"/>
                <w:color w:val="0D0D0D" w:themeColor="text1" w:themeTint="F2"/>
                <w:spacing w:val="-4"/>
                <w:szCs w:val="20"/>
              </w:rPr>
              <w:t>V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</w:t>
            </w:r>
            <w:r w:rsidRPr="00132299">
              <w:rPr>
                <w:rFonts w:cs="Arial"/>
                <w:color w:val="0D0D0D" w:themeColor="text1" w:themeTint="F2"/>
                <w:spacing w:val="-4"/>
                <w:szCs w:val="20"/>
              </w:rPr>
              <w:t>motoristickém segmentu obchodu se v 1.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čtvrtlet</w:t>
            </w:r>
            <w:r w:rsidRPr="0013229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í tržby zvýšily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meziročně </w:t>
            </w:r>
            <w:r w:rsidRPr="00132299">
              <w:rPr>
                <w:rFonts w:cs="Arial"/>
                <w:color w:val="0D0D0D" w:themeColor="text1" w:themeTint="F2"/>
                <w:spacing w:val="-4"/>
                <w:szCs w:val="20"/>
              </w:rPr>
              <w:t>o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 8,7 % a</w:t>
            </w:r>
            <w:r>
              <w:rPr>
                <w:color w:val="0D0D0D" w:themeColor="text1" w:themeTint="F2"/>
                <w:spacing w:val="-4"/>
                <w:szCs w:val="20"/>
              </w:rPr>
              <w:t> </w:t>
            </w:r>
            <w:r w:rsidRPr="0013229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mezikvartálně narůstaly potřetí v řadě.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Za úrovní poptávky z období těsně před vypuknutím pandemie ale stále mírně zaostávaly.</w:t>
            </w:r>
          </w:p>
        </w:tc>
      </w:tr>
    </w:tbl>
    <w:p w14:paraId="4CAD749A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  <w:bookmarkStart w:id="5" w:name="_GoBack"/>
      <w:bookmarkEnd w:id="1"/>
      <w:bookmarkEnd w:id="2"/>
      <w:bookmarkEnd w:id="3"/>
      <w:bookmarkEnd w:id="4"/>
      <w:bookmarkEnd w:id="5"/>
    </w:p>
    <w:p w14:paraId="3E974863" w14:textId="23A1735E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F2690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F09B" w16cid:durableId="246F1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0181" w14:textId="77777777" w:rsidR="00671D85" w:rsidRDefault="00671D85" w:rsidP="00E71A58">
      <w:r>
        <w:separator/>
      </w:r>
    </w:p>
  </w:endnote>
  <w:endnote w:type="continuationSeparator" w:id="0">
    <w:p w14:paraId="64BAABBF" w14:textId="77777777" w:rsidR="00671D85" w:rsidRDefault="00671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115A50CC" w:rsidR="006F6FF2" w:rsidRPr="00932443" w:rsidRDefault="006F6FF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2690E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4596B2F6" w:rsidR="006F6FF2" w:rsidRPr="00932443" w:rsidRDefault="006F6FF2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2690E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5C" w14:textId="77777777" w:rsidR="00671D85" w:rsidRDefault="00671D85" w:rsidP="00A21B4D">
      <w:pPr>
        <w:spacing w:after="0"/>
      </w:pPr>
      <w:r>
        <w:separator/>
      </w:r>
    </w:p>
  </w:footnote>
  <w:footnote w:type="continuationSeparator" w:id="0">
    <w:p w14:paraId="572718C3" w14:textId="77777777" w:rsidR="00671D85" w:rsidRDefault="00671D85" w:rsidP="00E71A58">
      <w:r>
        <w:continuationSeparator/>
      </w:r>
    </w:p>
  </w:footnote>
  <w:footnote w:id="1">
    <w:p w14:paraId="10D323C8" w14:textId="77777777" w:rsidR="006F6FF2" w:rsidRPr="00FB58F4" w:rsidRDefault="006F6FF2" w:rsidP="00E87CE2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0F106F59" w14:textId="77777777" w:rsidR="006F6FF2" w:rsidRPr="00B1683A" w:rsidRDefault="006F6FF2" w:rsidP="00E87CE2">
      <w:pPr>
        <w:pStyle w:val="Textpoznpodarou"/>
        <w:rPr>
          <w:sz w:val="16"/>
          <w:szCs w:val="16"/>
        </w:rPr>
      </w:pPr>
      <w:r w:rsidRPr="00B1683A">
        <w:rPr>
          <w:rStyle w:val="Znakapoznpodarou"/>
          <w:sz w:val="16"/>
          <w:szCs w:val="16"/>
        </w:rPr>
        <w:footnoteRef/>
      </w:r>
      <w:r w:rsidRPr="00B1683A">
        <w:rPr>
          <w:sz w:val="16"/>
          <w:szCs w:val="16"/>
        </w:rPr>
        <w:t xml:space="preserve"> V této kapitole </w:t>
      </w:r>
      <w:r>
        <w:rPr>
          <w:sz w:val="16"/>
          <w:szCs w:val="16"/>
        </w:rPr>
        <w:t>jsou pojímány</w:t>
      </w:r>
      <w:r w:rsidRPr="00B1683A">
        <w:rPr>
          <w:sz w:val="16"/>
          <w:szCs w:val="16"/>
        </w:rPr>
        <w:t xml:space="preserve"> jako shluk odvětví Veřejná správa a</w:t>
      </w:r>
      <w:r>
        <w:rPr>
          <w:sz w:val="16"/>
          <w:szCs w:val="16"/>
        </w:rPr>
        <w:t> </w:t>
      </w:r>
      <w:r w:rsidRPr="00B1683A">
        <w:rPr>
          <w:sz w:val="16"/>
          <w:szCs w:val="16"/>
        </w:rPr>
        <w:t>obrana; Vzdělávání</w:t>
      </w:r>
      <w:r>
        <w:rPr>
          <w:sz w:val="16"/>
          <w:szCs w:val="16"/>
        </w:rPr>
        <w:t>;</w:t>
      </w:r>
      <w:r w:rsidRPr="00B1683A">
        <w:rPr>
          <w:sz w:val="16"/>
          <w:szCs w:val="16"/>
        </w:rPr>
        <w:t xml:space="preserve"> Zdravotní a</w:t>
      </w:r>
      <w:r>
        <w:rPr>
          <w:sz w:val="16"/>
          <w:szCs w:val="16"/>
        </w:rPr>
        <w:t> </w:t>
      </w:r>
      <w:r w:rsidRPr="00B1683A">
        <w:rPr>
          <w:sz w:val="16"/>
          <w:szCs w:val="16"/>
        </w:rPr>
        <w:t>sociální péče.</w:t>
      </w:r>
    </w:p>
  </w:footnote>
  <w:footnote w:id="3">
    <w:p w14:paraId="048C6BF2" w14:textId="77777777" w:rsidR="006F6FF2" w:rsidRPr="001117E9" w:rsidRDefault="006F6FF2" w:rsidP="00E87CE2">
      <w:pPr>
        <w:pStyle w:val="Textpoznpodarou"/>
        <w:rPr>
          <w:sz w:val="16"/>
          <w:szCs w:val="16"/>
        </w:rPr>
      </w:pPr>
      <w:r w:rsidRPr="001117E9">
        <w:rPr>
          <w:rStyle w:val="Znakapoznpodarou"/>
          <w:sz w:val="16"/>
          <w:szCs w:val="16"/>
        </w:rPr>
        <w:footnoteRef/>
      </w:r>
      <w:r w:rsidRPr="001117E9">
        <w:rPr>
          <w:sz w:val="16"/>
          <w:szCs w:val="16"/>
        </w:rPr>
        <w:t xml:space="preserve"> Jako v jediném z jedenácti hlavních odvětvových uskupení zde letos klesl počet odpracovaných hodin</w:t>
      </w:r>
      <w:r>
        <w:rPr>
          <w:sz w:val="16"/>
          <w:szCs w:val="16"/>
        </w:rPr>
        <w:t xml:space="preserve"> i mezičtvrtletně</w:t>
      </w:r>
      <w:r w:rsidRPr="001117E9">
        <w:rPr>
          <w:sz w:val="16"/>
          <w:szCs w:val="16"/>
        </w:rPr>
        <w:t xml:space="preserve"> (–0,2</w:t>
      </w:r>
      <w:r>
        <w:rPr>
          <w:sz w:val="16"/>
          <w:szCs w:val="16"/>
        </w:rPr>
        <w:t> %</w:t>
      </w:r>
      <w:r w:rsidRPr="001117E9">
        <w:rPr>
          <w:sz w:val="16"/>
          <w:szCs w:val="16"/>
        </w:rPr>
        <w:t>).</w:t>
      </w:r>
    </w:p>
  </w:footnote>
  <w:footnote w:id="4">
    <w:p w14:paraId="1A15E8C0" w14:textId="77777777" w:rsidR="006F6FF2" w:rsidRPr="00C079B7" w:rsidRDefault="006F6FF2" w:rsidP="00E87CE2">
      <w:pPr>
        <w:pStyle w:val="Textpoznpodarou"/>
        <w:rPr>
          <w:sz w:val="16"/>
          <w:szCs w:val="16"/>
        </w:rPr>
      </w:pPr>
      <w:r w:rsidRPr="001F719B">
        <w:rPr>
          <w:rStyle w:val="Znakapoznpodarou"/>
          <w:sz w:val="16"/>
          <w:szCs w:val="16"/>
        </w:rPr>
        <w:footnoteRef/>
      </w:r>
      <w:r w:rsidRPr="001F719B">
        <w:rPr>
          <w:sz w:val="16"/>
          <w:szCs w:val="16"/>
        </w:rPr>
        <w:t xml:space="preserve"> Zahrnuj</w:t>
      </w:r>
      <w:r>
        <w:rPr>
          <w:sz w:val="16"/>
          <w:szCs w:val="16"/>
        </w:rPr>
        <w:t>í</w:t>
      </w:r>
      <w:r w:rsidRPr="003B5B59">
        <w:rPr>
          <w:sz w:val="16"/>
          <w:szCs w:val="16"/>
        </w:rPr>
        <w:t xml:space="preserve"> kulturní, zábavní a</w:t>
      </w:r>
      <w:r>
        <w:rPr>
          <w:sz w:val="16"/>
          <w:szCs w:val="16"/>
        </w:rPr>
        <w:t> </w:t>
      </w:r>
      <w:r w:rsidRPr="003B5B59">
        <w:rPr>
          <w:sz w:val="16"/>
          <w:szCs w:val="16"/>
        </w:rPr>
        <w:t>rekreační činnosti a</w:t>
      </w:r>
      <w:r>
        <w:rPr>
          <w:sz w:val="16"/>
          <w:szCs w:val="16"/>
        </w:rPr>
        <w:t> </w:t>
      </w:r>
      <w:r w:rsidRPr="003B5B59">
        <w:rPr>
          <w:sz w:val="16"/>
          <w:szCs w:val="16"/>
        </w:rPr>
        <w:t xml:space="preserve">dále zejména poskytování osobních služeb (např. kadeřnictví, kosmetické služby,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čisticí služby či </w:t>
      </w:r>
      <w:r w:rsidRPr="003B5B59">
        <w:rPr>
          <w:sz w:val="16"/>
          <w:szCs w:val="16"/>
        </w:rPr>
        <w:t>opravy výrobků pro osobní potřebu a převážně pro</w:t>
      </w:r>
      <w:r>
        <w:rPr>
          <w:sz w:val="16"/>
          <w:szCs w:val="16"/>
        </w:rPr>
        <w:t xml:space="preserve"> </w:t>
      </w:r>
      <w:r w:rsidRPr="003B5B59">
        <w:rPr>
          <w:sz w:val="16"/>
          <w:szCs w:val="16"/>
        </w:rPr>
        <w:t>domácnost).</w:t>
      </w:r>
    </w:p>
  </w:footnote>
  <w:footnote w:id="5">
    <w:p w14:paraId="558ECC50" w14:textId="77777777" w:rsidR="006F6FF2" w:rsidRPr="00CE71E4" w:rsidRDefault="006F6FF2" w:rsidP="00E87CE2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CE71E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 těžby a dobývání, zpracovatelského průmyslu a také energetiky (zde pojímané jako odvětví výroby a rozvodu elektřiny, plynu, tepla a klimatizovaného vzduchu). Všechna meziroční tempa produkce (na úrovni odvětvových sekcí i oddílů) jsou očištěna o kalendářní vlivy, mezičtvrtletní i meziměsíční tempa pak také o vliv sezónnosti.</w:t>
      </w:r>
    </w:p>
  </w:footnote>
  <w:footnote w:id="6">
    <w:p w14:paraId="62410C9A" w14:textId="77777777" w:rsidR="006F6FF2" w:rsidRPr="00CE71E4" w:rsidRDefault="006F6FF2" w:rsidP="00E87CE2">
      <w:pPr>
        <w:pStyle w:val="Textpoznpodarou"/>
        <w:rPr>
          <w:spacing w:val="-2"/>
          <w:sz w:val="16"/>
          <w:szCs w:val="16"/>
        </w:rPr>
      </w:pPr>
      <w:r w:rsidRPr="00CE71E4">
        <w:rPr>
          <w:rStyle w:val="Znakapoznpodarou"/>
          <w:spacing w:val="-2"/>
          <w:sz w:val="16"/>
          <w:szCs w:val="16"/>
        </w:rPr>
        <w:footnoteRef/>
      </w:r>
      <w:r w:rsidRPr="00CE71E4">
        <w:rPr>
          <w:spacing w:val="-2"/>
          <w:sz w:val="16"/>
          <w:szCs w:val="16"/>
        </w:rPr>
        <w:t xml:space="preserve"> Průmyslová produkce v březnu </w:t>
      </w:r>
      <w:r>
        <w:rPr>
          <w:spacing w:val="-2"/>
          <w:sz w:val="16"/>
          <w:szCs w:val="16"/>
        </w:rPr>
        <w:t>2020 meziměsíčně klesla o osminu</w:t>
      </w:r>
      <w:r w:rsidRPr="00CE71E4">
        <w:rPr>
          <w:spacing w:val="-2"/>
          <w:sz w:val="16"/>
          <w:szCs w:val="16"/>
        </w:rPr>
        <w:t>, v </w:t>
      </w:r>
      <w:r>
        <w:rPr>
          <w:spacing w:val="-2"/>
          <w:sz w:val="16"/>
          <w:szCs w:val="16"/>
        </w:rPr>
        <w:t>dubnu došlo k dalšímu meziměsíčnímu propadu (o čtvrtinu).</w:t>
      </w:r>
    </w:p>
  </w:footnote>
  <w:footnote w:id="7">
    <w:p w14:paraId="748D4D3A" w14:textId="77777777" w:rsidR="006F6FF2" w:rsidRPr="005D3416" w:rsidRDefault="006F6FF2" w:rsidP="00E87CE2">
      <w:pPr>
        <w:pStyle w:val="Textpoznpodarou"/>
        <w:rPr>
          <w:sz w:val="16"/>
          <w:szCs w:val="16"/>
        </w:rPr>
      </w:pPr>
      <w:r w:rsidRPr="00CE71E4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To</w:t>
      </w:r>
      <w:r w:rsidRPr="00CE71E4">
        <w:rPr>
          <w:spacing w:val="-2"/>
          <w:sz w:val="16"/>
          <w:szCs w:val="16"/>
        </w:rPr>
        <w:t xml:space="preserve"> se vlivem cyklického útlumu, kterým tuzemský </w:t>
      </w:r>
      <w:r>
        <w:rPr>
          <w:spacing w:val="-2"/>
          <w:sz w:val="16"/>
          <w:szCs w:val="16"/>
        </w:rPr>
        <w:t xml:space="preserve">průmysl </w:t>
      </w:r>
      <w:r w:rsidRPr="00CE71E4">
        <w:rPr>
          <w:spacing w:val="-2"/>
          <w:sz w:val="16"/>
          <w:szCs w:val="16"/>
        </w:rPr>
        <w:t xml:space="preserve">procházel již během </w:t>
      </w:r>
      <w:r>
        <w:rPr>
          <w:spacing w:val="-2"/>
          <w:sz w:val="16"/>
          <w:szCs w:val="16"/>
        </w:rPr>
        <w:t>předloňského roku, nacházelo</w:t>
      </w:r>
      <w:r w:rsidRPr="00CE71E4">
        <w:rPr>
          <w:spacing w:val="-2"/>
          <w:sz w:val="16"/>
          <w:szCs w:val="16"/>
        </w:rPr>
        <w:t xml:space="preserve"> v květnu 2019. Ve srovnání s</w:t>
      </w:r>
      <w:r>
        <w:rPr>
          <w:spacing w:val="-2"/>
          <w:sz w:val="16"/>
          <w:szCs w:val="16"/>
        </w:rPr>
        <w:t> </w:t>
      </w:r>
      <w:r w:rsidRPr="00CE71E4">
        <w:rPr>
          <w:spacing w:val="-2"/>
          <w:sz w:val="16"/>
          <w:szCs w:val="16"/>
        </w:rPr>
        <w:t>touto úrovn</w:t>
      </w:r>
      <w:r>
        <w:rPr>
          <w:spacing w:val="-2"/>
          <w:sz w:val="16"/>
          <w:szCs w:val="16"/>
        </w:rPr>
        <w:t>í</w:t>
      </w:r>
      <w:r w:rsidRPr="00CE71E4">
        <w:rPr>
          <w:spacing w:val="-2"/>
          <w:sz w:val="16"/>
          <w:szCs w:val="16"/>
        </w:rPr>
        <w:t xml:space="preserve"> byl</w:t>
      </w:r>
      <w:r>
        <w:rPr>
          <w:spacing w:val="-2"/>
          <w:sz w:val="16"/>
          <w:szCs w:val="16"/>
        </w:rPr>
        <w:t>a produkce v březnu 2021 o 3,0 %</w:t>
      </w:r>
      <w:r w:rsidRPr="00CE71E4">
        <w:rPr>
          <w:spacing w:val="-2"/>
          <w:sz w:val="16"/>
          <w:szCs w:val="16"/>
        </w:rPr>
        <w:t xml:space="preserve"> nižší.</w:t>
      </w:r>
      <w:r>
        <w:rPr>
          <w:spacing w:val="-2"/>
          <w:sz w:val="16"/>
          <w:szCs w:val="16"/>
        </w:rPr>
        <w:t xml:space="preserve"> Celé odvětví ale pokračovalo v solidní dynamice v letošním dubnu, kdy reálná výše produkce ve váhově dominantním zpracovatelském průmyslu poprvé po bezmála dvou letech převýšila své předkrizové maximum.</w:t>
      </w:r>
    </w:p>
  </w:footnote>
  <w:footnote w:id="8">
    <w:p w14:paraId="6BD8AFBD" w14:textId="77777777" w:rsidR="006F6FF2" w:rsidRPr="00665377" w:rsidRDefault="006F6FF2" w:rsidP="00E87CE2">
      <w:pPr>
        <w:pStyle w:val="Textpoznpodarou"/>
        <w:rPr>
          <w:sz w:val="16"/>
          <w:szCs w:val="16"/>
        </w:rPr>
      </w:pPr>
      <w:r w:rsidRPr="00665377">
        <w:rPr>
          <w:rStyle w:val="Znakapoznpodarou"/>
          <w:sz w:val="16"/>
          <w:szCs w:val="16"/>
        </w:rPr>
        <w:footnoteRef/>
      </w:r>
      <w:r w:rsidRPr="00665377">
        <w:rPr>
          <w:sz w:val="16"/>
          <w:szCs w:val="16"/>
        </w:rPr>
        <w:t xml:space="preserve"> Dle údaje Sdružení automobilového průmyslu</w:t>
      </w:r>
      <w:r>
        <w:rPr>
          <w:sz w:val="16"/>
          <w:szCs w:val="16"/>
        </w:rPr>
        <w:t> </w:t>
      </w:r>
      <w:r w:rsidRPr="00665377">
        <w:rPr>
          <w:sz w:val="16"/>
          <w:szCs w:val="16"/>
        </w:rPr>
        <w:t xml:space="preserve">ČR bylo od ledna do dubna 2021 v tuzemsku vyrobeno </w:t>
      </w:r>
      <w:r>
        <w:rPr>
          <w:sz w:val="16"/>
          <w:szCs w:val="16"/>
        </w:rPr>
        <w:t>453 tis. osobních vozů, což</w:t>
      </w:r>
      <w:r w:rsidRPr="00665377">
        <w:rPr>
          <w:sz w:val="16"/>
          <w:szCs w:val="16"/>
        </w:rPr>
        <w:t xml:space="preserve"> představovalo meziroční nárůst o</w:t>
      </w:r>
      <w:r>
        <w:rPr>
          <w:sz w:val="16"/>
          <w:szCs w:val="16"/>
        </w:rPr>
        <w:t> </w:t>
      </w:r>
      <w:r w:rsidRPr="00665377">
        <w:rPr>
          <w:sz w:val="16"/>
          <w:szCs w:val="16"/>
        </w:rPr>
        <w:t>více než třetinu. Ve srovnání se stejným obdobím roku 2019 ovšem výroba stále lehce zaostávala, a</w:t>
      </w:r>
      <w:r>
        <w:rPr>
          <w:sz w:val="16"/>
          <w:szCs w:val="16"/>
        </w:rPr>
        <w:t> </w:t>
      </w:r>
      <w:r w:rsidRPr="00665377">
        <w:rPr>
          <w:sz w:val="16"/>
          <w:szCs w:val="16"/>
        </w:rPr>
        <w:t>to jak v úhrnu (o</w:t>
      </w:r>
      <w:r>
        <w:rPr>
          <w:sz w:val="16"/>
          <w:szCs w:val="16"/>
        </w:rPr>
        <w:t> </w:t>
      </w:r>
      <w:r w:rsidRPr="00665377">
        <w:rPr>
          <w:sz w:val="16"/>
          <w:szCs w:val="16"/>
        </w:rPr>
        <w:t>4</w:t>
      </w:r>
      <w:r>
        <w:rPr>
          <w:sz w:val="16"/>
          <w:szCs w:val="16"/>
        </w:rPr>
        <w:t> %</w:t>
      </w:r>
      <w:r w:rsidRPr="00665377">
        <w:rPr>
          <w:sz w:val="16"/>
          <w:szCs w:val="16"/>
        </w:rPr>
        <w:t xml:space="preserve">), tak v každém ze čtyř </w:t>
      </w:r>
      <w:r>
        <w:rPr>
          <w:sz w:val="16"/>
          <w:szCs w:val="16"/>
        </w:rPr>
        <w:t xml:space="preserve">dosavadních </w:t>
      </w:r>
      <w:r w:rsidRPr="00665377">
        <w:rPr>
          <w:sz w:val="16"/>
          <w:szCs w:val="16"/>
        </w:rPr>
        <w:t>měsíců.</w:t>
      </w:r>
    </w:p>
  </w:footnote>
  <w:footnote w:id="9">
    <w:p w14:paraId="72DAE7A8" w14:textId="77777777" w:rsidR="006F6FF2" w:rsidRPr="009F2A79" w:rsidRDefault="006F6FF2" w:rsidP="00E87CE2">
      <w:pPr>
        <w:pStyle w:val="Textpoznpodarou"/>
        <w:rPr>
          <w:sz w:val="16"/>
          <w:szCs w:val="16"/>
        </w:rPr>
      </w:pPr>
      <w:r w:rsidRPr="009F2A79">
        <w:rPr>
          <w:rStyle w:val="Znakapoznpodarou"/>
          <w:sz w:val="16"/>
          <w:szCs w:val="16"/>
        </w:rPr>
        <w:footnoteRef/>
      </w:r>
      <w:r w:rsidRPr="009F2A79">
        <w:rPr>
          <w:sz w:val="16"/>
          <w:szCs w:val="16"/>
        </w:rPr>
        <w:t xml:space="preserve"> Objem výdajů na tvorbu hrubého fixního kapitálu z</w:t>
      </w:r>
      <w:r>
        <w:rPr>
          <w:sz w:val="16"/>
          <w:szCs w:val="16"/>
        </w:rPr>
        <w:t> </w:t>
      </w:r>
      <w:r w:rsidRPr="009F2A79">
        <w:rPr>
          <w:sz w:val="16"/>
          <w:szCs w:val="16"/>
        </w:rPr>
        <w:t>1.</w:t>
      </w:r>
      <w:r>
        <w:rPr>
          <w:sz w:val="16"/>
          <w:szCs w:val="16"/>
        </w:rPr>
        <w:t> čtvrtlet</w:t>
      </w:r>
      <w:r w:rsidRPr="009F2A79">
        <w:rPr>
          <w:sz w:val="16"/>
          <w:szCs w:val="16"/>
        </w:rPr>
        <w:t>í 2021 byl ve srovnání s předpandemickou úrovní (4.</w:t>
      </w:r>
      <w:r>
        <w:rPr>
          <w:sz w:val="16"/>
          <w:szCs w:val="16"/>
        </w:rPr>
        <w:t> čtvrtlet</w:t>
      </w:r>
      <w:r w:rsidRPr="009F2A79">
        <w:rPr>
          <w:sz w:val="16"/>
          <w:szCs w:val="16"/>
        </w:rPr>
        <w:t>í 2019) v Česku nižší o</w:t>
      </w:r>
      <w:r>
        <w:rPr>
          <w:sz w:val="16"/>
          <w:szCs w:val="16"/>
        </w:rPr>
        <w:t> </w:t>
      </w:r>
      <w:r w:rsidRPr="009F2A79">
        <w:rPr>
          <w:sz w:val="16"/>
          <w:szCs w:val="16"/>
        </w:rPr>
        <w:t>11,3</w:t>
      </w:r>
      <w:r>
        <w:rPr>
          <w:sz w:val="16"/>
          <w:szCs w:val="16"/>
        </w:rPr>
        <w:t> %</w:t>
      </w:r>
      <w:r w:rsidRPr="009F2A79">
        <w:rPr>
          <w:sz w:val="16"/>
          <w:szCs w:val="16"/>
        </w:rPr>
        <w:t>, v eurozóně o</w:t>
      </w:r>
      <w:r>
        <w:rPr>
          <w:sz w:val="16"/>
          <w:szCs w:val="16"/>
        </w:rPr>
        <w:t> 7,7 %. Pokles reálného</w:t>
      </w:r>
      <w:r w:rsidRPr="009F2A79">
        <w:rPr>
          <w:sz w:val="16"/>
          <w:szCs w:val="16"/>
        </w:rPr>
        <w:t xml:space="preserve"> výkon</w:t>
      </w:r>
      <w:r>
        <w:rPr>
          <w:sz w:val="16"/>
          <w:szCs w:val="16"/>
        </w:rPr>
        <w:t>u</w:t>
      </w:r>
      <w:r w:rsidRPr="009F2A79">
        <w:rPr>
          <w:sz w:val="16"/>
          <w:szCs w:val="16"/>
        </w:rPr>
        <w:t xml:space="preserve"> celé ekonomiky </w:t>
      </w:r>
      <w:r>
        <w:rPr>
          <w:sz w:val="16"/>
          <w:szCs w:val="16"/>
        </w:rPr>
        <w:t xml:space="preserve">(HDP) ve stejném období činil </w:t>
      </w:r>
      <w:r w:rsidRPr="009F2A79">
        <w:rPr>
          <w:sz w:val="16"/>
          <w:szCs w:val="16"/>
        </w:rPr>
        <w:t xml:space="preserve">v obou těchto uskupeních shodně </w:t>
      </w:r>
      <w:r>
        <w:rPr>
          <w:sz w:val="16"/>
          <w:szCs w:val="16"/>
        </w:rPr>
        <w:t xml:space="preserve">„jen“ </w:t>
      </w:r>
      <w:r w:rsidRPr="009F2A79">
        <w:rPr>
          <w:sz w:val="16"/>
          <w:szCs w:val="16"/>
        </w:rPr>
        <w:t>5,1</w:t>
      </w:r>
      <w:r>
        <w:rPr>
          <w:sz w:val="16"/>
          <w:szCs w:val="16"/>
        </w:rPr>
        <w:t> %</w:t>
      </w:r>
      <w:r w:rsidRPr="009F2A79">
        <w:rPr>
          <w:sz w:val="16"/>
          <w:szCs w:val="16"/>
        </w:rPr>
        <w:t>.</w:t>
      </w:r>
    </w:p>
  </w:footnote>
  <w:footnote w:id="10">
    <w:p w14:paraId="52F61DED" w14:textId="77777777" w:rsidR="006F6FF2" w:rsidRPr="00E02F22" w:rsidRDefault="006F6FF2" w:rsidP="00E87CE2">
      <w:pPr>
        <w:pStyle w:val="Textpoznpodarou"/>
        <w:rPr>
          <w:sz w:val="16"/>
          <w:szCs w:val="16"/>
        </w:rPr>
      </w:pPr>
      <w:r w:rsidRPr="00E02F22">
        <w:rPr>
          <w:rStyle w:val="Znakapoznpodarou"/>
          <w:sz w:val="16"/>
          <w:szCs w:val="16"/>
        </w:rPr>
        <w:footnoteRef/>
      </w:r>
      <w:r w:rsidRPr="00E02F22">
        <w:rPr>
          <w:sz w:val="16"/>
          <w:szCs w:val="16"/>
        </w:rPr>
        <w:t xml:space="preserve"> Poslední celoroční růst produkce si toto odvětví připsalo v roce 2011. V úhrnu za posledních deset let zde výkon propadl o</w:t>
      </w:r>
      <w:r>
        <w:rPr>
          <w:sz w:val="16"/>
          <w:szCs w:val="16"/>
        </w:rPr>
        <w:t> </w:t>
      </w:r>
      <w:r w:rsidRPr="00E02F22">
        <w:rPr>
          <w:sz w:val="16"/>
          <w:szCs w:val="16"/>
        </w:rPr>
        <w:t>37</w:t>
      </w:r>
      <w:r>
        <w:rPr>
          <w:sz w:val="16"/>
          <w:szCs w:val="16"/>
        </w:rPr>
        <w:t> %</w:t>
      </w:r>
      <w:r w:rsidRPr="00E02F22">
        <w:rPr>
          <w:sz w:val="16"/>
          <w:szCs w:val="16"/>
        </w:rPr>
        <w:t>.</w:t>
      </w:r>
    </w:p>
  </w:footnote>
  <w:footnote w:id="11">
    <w:p w14:paraId="46E6FDB7" w14:textId="77777777" w:rsidR="006F6FF2" w:rsidRPr="00B36B45" w:rsidRDefault="006F6FF2" w:rsidP="00E87CE2">
      <w:pPr>
        <w:pStyle w:val="Textpoznpodarou"/>
        <w:rPr>
          <w:sz w:val="16"/>
          <w:szCs w:val="16"/>
        </w:rPr>
      </w:pPr>
      <w:r w:rsidRPr="00B36B45">
        <w:rPr>
          <w:rStyle w:val="Znakapoznpodarou"/>
          <w:sz w:val="16"/>
          <w:szCs w:val="16"/>
        </w:rPr>
        <w:footnoteRef/>
      </w:r>
      <w:r w:rsidRPr="00B36B45">
        <w:rPr>
          <w:sz w:val="16"/>
          <w:szCs w:val="16"/>
        </w:rPr>
        <w:t xml:space="preserve"> Dle údaje Energetického regulačního úřadu činila v 1.</w:t>
      </w:r>
      <w:r>
        <w:rPr>
          <w:sz w:val="16"/>
          <w:szCs w:val="16"/>
        </w:rPr>
        <w:t> čtvrtlet</w:t>
      </w:r>
      <w:r w:rsidRPr="00B36B45">
        <w:rPr>
          <w:sz w:val="16"/>
          <w:szCs w:val="16"/>
        </w:rPr>
        <w:t>í 2021 v Česku hrubá výroba elektřiny 23</w:t>
      </w:r>
      <w:r>
        <w:rPr>
          <w:sz w:val="16"/>
          <w:szCs w:val="16"/>
        </w:rPr>
        <w:t>,0 </w:t>
      </w:r>
      <w:r w:rsidRPr="00B36B45">
        <w:rPr>
          <w:sz w:val="16"/>
          <w:szCs w:val="16"/>
        </w:rPr>
        <w:t>TWh (meziročně o</w:t>
      </w:r>
      <w:r>
        <w:rPr>
          <w:sz w:val="16"/>
          <w:szCs w:val="16"/>
        </w:rPr>
        <w:t> </w:t>
      </w:r>
      <w:r w:rsidRPr="00B36B45">
        <w:rPr>
          <w:sz w:val="16"/>
          <w:szCs w:val="16"/>
        </w:rPr>
        <w:t>3,6</w:t>
      </w:r>
      <w:r>
        <w:rPr>
          <w:sz w:val="16"/>
          <w:szCs w:val="16"/>
        </w:rPr>
        <w:t> %</w:t>
      </w:r>
      <w:r w:rsidRPr="00B36B45">
        <w:rPr>
          <w:sz w:val="16"/>
          <w:szCs w:val="16"/>
        </w:rPr>
        <w:t xml:space="preserve"> více). </w:t>
      </w:r>
      <w:r>
        <w:rPr>
          <w:sz w:val="16"/>
          <w:szCs w:val="16"/>
        </w:rPr>
        <w:t>Tento nárůst byl převážně pokryt vyšší produkcí jaderných elektráren, zčásti i vodních elektráren. Hrubá tuzemská spotřeba (20,3</w:t>
      </w:r>
      <w:r w:rsidRPr="00665377">
        <w:rPr>
          <w:sz w:val="16"/>
          <w:szCs w:val="16"/>
        </w:rPr>
        <w:t> </w:t>
      </w:r>
      <w:r>
        <w:rPr>
          <w:sz w:val="16"/>
          <w:szCs w:val="16"/>
        </w:rPr>
        <w:t>TWh) se navýšila jen mírně (+0,7 %), výhradně zásluhou domácností (+14,8 %), jejichž spotřeba vzrostla ve všech krajích ČR. Pokles spotřeby velkoodběratelů i podnikatelů se pohyboval v rozmezí 2 až 3 %. Celková spotřeba zemního plynu se oproti 1.</w:t>
      </w:r>
      <w:r w:rsidRPr="009F2A79">
        <w:rPr>
          <w:sz w:val="16"/>
          <w:szCs w:val="16"/>
        </w:rPr>
        <w:t> </w:t>
      </w:r>
      <w:r>
        <w:rPr>
          <w:sz w:val="16"/>
          <w:szCs w:val="16"/>
        </w:rPr>
        <w:t>čtvrtletí 2020 navýšila o 13,4 %, po přepočtu pomocí dlouhodobého teplotního gradientu o 5,7 %. Letošní 1. čtvrtletí bylo teplotně mírně podprůměrné, loňské naopak výrazněji nadprůměrné.</w:t>
      </w:r>
    </w:p>
  </w:footnote>
  <w:footnote w:id="12">
    <w:p w14:paraId="26A02F8C" w14:textId="77777777" w:rsidR="006F6FF2" w:rsidRPr="004670E0" w:rsidRDefault="006F6FF2" w:rsidP="00E87CE2">
      <w:pPr>
        <w:pStyle w:val="Textpoznpodarou"/>
        <w:rPr>
          <w:sz w:val="16"/>
          <w:szCs w:val="16"/>
        </w:rPr>
      </w:pPr>
      <w:r w:rsidRPr="004670E0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M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>eziroční tempa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tržeb</w:t>
      </w:r>
      <w:r w:rsidRPr="00CE71E4">
        <w:rPr>
          <w:rFonts w:cs="Arial"/>
          <w:color w:val="0D0D0D" w:themeColor="text1" w:themeTint="F2"/>
          <w:spacing w:val="-2"/>
          <w:sz w:val="16"/>
          <w:szCs w:val="16"/>
        </w:rPr>
        <w:t xml:space="preserve"> jsou očištěna o kalendářní vlivy, mezičtvrtletní i meziměsíční tempa pak také o vliv sezónnosti.</w:t>
      </w:r>
    </w:p>
  </w:footnote>
  <w:footnote w:id="13">
    <w:p w14:paraId="6A4CCE12" w14:textId="0B6E084B" w:rsidR="006F6FF2" w:rsidRPr="00FB58F4" w:rsidRDefault="006F6FF2" w:rsidP="00E87CE2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</w:t>
      </w:r>
      <w:r>
        <w:rPr>
          <w:rFonts w:cs="Arial"/>
          <w:color w:val="0D0D0D" w:themeColor="text1" w:themeTint="F2"/>
          <w:sz w:val="16"/>
          <w:szCs w:val="16"/>
        </w:rPr>
        <w:t>zek probíhá pouze ve dvanácti zpracovatelských odvětvích</w:t>
      </w:r>
      <w:r w:rsidRPr="007A20EB">
        <w:rPr>
          <w:rFonts w:cs="Arial"/>
          <w:color w:val="0D0D0D" w:themeColor="text1" w:themeTint="F2"/>
          <w:sz w:val="16"/>
          <w:szCs w:val="16"/>
        </w:rPr>
        <w:t>, kter</w:t>
      </w:r>
      <w:r>
        <w:rPr>
          <w:rFonts w:cs="Arial"/>
          <w:color w:val="0D0D0D" w:themeColor="text1" w:themeTint="F2"/>
          <w:sz w:val="16"/>
          <w:szCs w:val="16"/>
        </w:rPr>
        <w:t>á</w:t>
      </w:r>
      <w:r w:rsidRPr="007A20EB">
        <w:rPr>
          <w:rFonts w:cs="Arial"/>
          <w:color w:val="0D0D0D" w:themeColor="text1" w:themeTint="F2"/>
          <w:sz w:val="16"/>
          <w:szCs w:val="16"/>
        </w:rPr>
        <w:t xml:space="preserve"> vyrábějí převážně na zakázku, s dlouhodobějším výrobním cyklem a s většími zásobami zakázek.</w:t>
      </w:r>
      <w:r>
        <w:rPr>
          <w:rFonts w:cs="Arial"/>
          <w:color w:val="0D0D0D" w:themeColor="text1" w:themeTint="F2"/>
          <w:sz w:val="16"/>
          <w:szCs w:val="16"/>
        </w:rPr>
        <w:t xml:space="preserve"> Meziměsíční údaje o zakázkách jsou očištěny 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>o vliv sezónnosti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,, meziroční tempa 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>jsou očištěn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a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kalendá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řní vlivy.</w:t>
      </w:r>
    </w:p>
  </w:footnote>
  <w:footnote w:id="14">
    <w:p w14:paraId="1F8A7BEE" w14:textId="77777777" w:rsidR="006F6FF2" w:rsidRPr="000A1518" w:rsidRDefault="006F6FF2" w:rsidP="00E87CE2">
      <w:pPr>
        <w:pStyle w:val="Textpoznpodarou"/>
        <w:rPr>
          <w:sz w:val="16"/>
          <w:szCs w:val="16"/>
        </w:rPr>
      </w:pPr>
      <w:r w:rsidRPr="000A1518">
        <w:rPr>
          <w:rStyle w:val="Znakapoznpodarou"/>
          <w:sz w:val="16"/>
          <w:szCs w:val="16"/>
        </w:rPr>
        <w:footnoteRef/>
      </w:r>
      <w:r w:rsidRPr="000A1518">
        <w:rPr>
          <w:sz w:val="16"/>
          <w:szCs w:val="16"/>
        </w:rPr>
        <w:t xml:space="preserve"> P</w:t>
      </w:r>
      <w:r>
        <w:rPr>
          <w:sz w:val="16"/>
          <w:szCs w:val="16"/>
        </w:rPr>
        <w:t>odniky mohly uv</w:t>
      </w:r>
      <w:r w:rsidRPr="000A1518">
        <w:rPr>
          <w:sz w:val="16"/>
          <w:szCs w:val="16"/>
        </w:rPr>
        <w:t>ést více bariér současně.</w:t>
      </w:r>
    </w:p>
  </w:footnote>
  <w:footnote w:id="15">
    <w:p w14:paraId="1EC128D0" w14:textId="77777777" w:rsidR="006F6FF2" w:rsidRPr="00C94BE8" w:rsidRDefault="006F6FF2" w:rsidP="00E87CE2">
      <w:pPr>
        <w:pStyle w:val="Textpoznpodarou"/>
        <w:jc w:val="both"/>
        <w:rPr>
          <w:spacing w:val="-2"/>
          <w:sz w:val="16"/>
          <w:szCs w:val="16"/>
        </w:rPr>
      </w:pPr>
      <w:r w:rsidRPr="00C94BE8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Ú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daje o stavební produkci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jsou ve stálých cenách, meziroční tempa 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>jsou očištěn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a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kalendá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řní vlivy, mezičtvrtletní též</w:t>
      </w:r>
      <w:r w:rsidRPr="00C94BE8">
        <w:rPr>
          <w:rFonts w:cs="Arial"/>
          <w:color w:val="0D0D0D" w:themeColor="text1" w:themeTint="F2"/>
          <w:spacing w:val="-2"/>
          <w:sz w:val="16"/>
          <w:szCs w:val="16"/>
        </w:rPr>
        <w:t xml:space="preserve"> o vliv sezónnosti.</w:t>
      </w:r>
    </w:p>
  </w:footnote>
  <w:footnote w:id="16">
    <w:p w14:paraId="734774BF" w14:textId="77777777" w:rsidR="006F6FF2" w:rsidRPr="0034138E" w:rsidRDefault="006F6FF2" w:rsidP="00E87CE2">
      <w:pPr>
        <w:pStyle w:val="Textpoznpodarou"/>
        <w:rPr>
          <w:sz w:val="16"/>
          <w:szCs w:val="16"/>
        </w:rPr>
      </w:pPr>
      <w:r w:rsidRPr="0034138E">
        <w:rPr>
          <w:rStyle w:val="Znakapoznpodarou"/>
          <w:sz w:val="16"/>
          <w:szCs w:val="16"/>
        </w:rPr>
        <w:footnoteRef/>
      </w:r>
      <w:r w:rsidRPr="0034138E">
        <w:rPr>
          <w:sz w:val="16"/>
          <w:szCs w:val="16"/>
        </w:rPr>
        <w:t xml:space="preserve"> Meziroční srovnání zde není na rozdíl od většiny ostatních odvětví ekonomiky zatíženo „nestandardní“ loňskou základnou, neboť dopad</w:t>
      </w:r>
      <w:r>
        <w:rPr>
          <w:sz w:val="16"/>
          <w:szCs w:val="16"/>
        </w:rPr>
        <w:t>y</w:t>
      </w:r>
      <w:r w:rsidRPr="0034138E">
        <w:rPr>
          <w:sz w:val="16"/>
          <w:szCs w:val="16"/>
        </w:rPr>
        <w:t xml:space="preserve"> pandemie se ve stavební produkci začaly více projevovat až </w:t>
      </w:r>
      <w:r>
        <w:rPr>
          <w:sz w:val="16"/>
          <w:szCs w:val="16"/>
        </w:rPr>
        <w:t>v </w:t>
      </w:r>
      <w:r w:rsidRPr="0034138E">
        <w:rPr>
          <w:sz w:val="16"/>
          <w:szCs w:val="16"/>
        </w:rPr>
        <w:t>pozdější části roku.</w:t>
      </w:r>
    </w:p>
  </w:footnote>
  <w:footnote w:id="17">
    <w:p w14:paraId="1756C4A4" w14:textId="77777777" w:rsidR="006F6FF2" w:rsidRPr="00655E03" w:rsidRDefault="006F6FF2" w:rsidP="00E87CE2">
      <w:pPr>
        <w:pStyle w:val="Textpoznpodarou"/>
        <w:rPr>
          <w:spacing w:val="-3"/>
          <w:sz w:val="16"/>
          <w:szCs w:val="16"/>
        </w:rPr>
      </w:pPr>
      <w:r w:rsidRPr="00655E03">
        <w:rPr>
          <w:rStyle w:val="Znakapoznpodarou"/>
          <w:spacing w:val="-3"/>
          <w:sz w:val="16"/>
          <w:szCs w:val="16"/>
        </w:rPr>
        <w:footnoteRef/>
      </w:r>
      <w:r w:rsidRPr="00655E03">
        <w:rPr>
          <w:spacing w:val="-3"/>
          <w:sz w:val="16"/>
          <w:szCs w:val="16"/>
        </w:rPr>
        <w:t xml:space="preserve"> Investiční transfery </w:t>
      </w:r>
      <w:r>
        <w:rPr>
          <w:spacing w:val="-3"/>
          <w:sz w:val="16"/>
          <w:szCs w:val="16"/>
        </w:rPr>
        <w:t>S</w:t>
      </w:r>
      <w:r w:rsidRPr="00655E03">
        <w:rPr>
          <w:spacing w:val="-3"/>
          <w:sz w:val="16"/>
          <w:szCs w:val="16"/>
        </w:rPr>
        <w:t>tátnímu fondu dopravní infrastruktury ze státního rozpočtu byly v roce 2020 meziročně o</w:t>
      </w:r>
      <w:r>
        <w:rPr>
          <w:spacing w:val="-3"/>
          <w:sz w:val="16"/>
          <w:szCs w:val="16"/>
        </w:rPr>
        <w:t> </w:t>
      </w:r>
      <w:r w:rsidRPr="00655E03">
        <w:rPr>
          <w:spacing w:val="-3"/>
          <w:sz w:val="16"/>
          <w:szCs w:val="16"/>
        </w:rPr>
        <w:t>41</w:t>
      </w:r>
      <w:r>
        <w:rPr>
          <w:spacing w:val="-3"/>
          <w:sz w:val="16"/>
          <w:szCs w:val="16"/>
        </w:rPr>
        <w:t> %</w:t>
      </w:r>
      <w:r w:rsidRPr="00655E03">
        <w:rPr>
          <w:spacing w:val="-3"/>
          <w:sz w:val="16"/>
          <w:szCs w:val="16"/>
        </w:rPr>
        <w:t xml:space="preserve"> vyšší, v 1.</w:t>
      </w:r>
      <w:r>
        <w:rPr>
          <w:spacing w:val="-3"/>
          <w:sz w:val="16"/>
          <w:szCs w:val="16"/>
        </w:rPr>
        <w:t> čtvrtlet</w:t>
      </w:r>
      <w:r w:rsidRPr="00655E03">
        <w:rPr>
          <w:spacing w:val="-3"/>
          <w:sz w:val="16"/>
          <w:szCs w:val="16"/>
        </w:rPr>
        <w:t>í 2021 o</w:t>
      </w:r>
      <w:r>
        <w:rPr>
          <w:spacing w:val="-3"/>
          <w:sz w:val="16"/>
          <w:szCs w:val="16"/>
        </w:rPr>
        <w:t> </w:t>
      </w:r>
      <w:r w:rsidRPr="00655E03">
        <w:rPr>
          <w:spacing w:val="-3"/>
          <w:sz w:val="16"/>
          <w:szCs w:val="16"/>
        </w:rPr>
        <w:t>16</w:t>
      </w:r>
      <w:r>
        <w:rPr>
          <w:spacing w:val="-3"/>
          <w:sz w:val="16"/>
          <w:szCs w:val="16"/>
        </w:rPr>
        <w:t> %</w:t>
      </w:r>
      <w:r w:rsidRPr="00655E03">
        <w:rPr>
          <w:spacing w:val="-3"/>
          <w:sz w:val="16"/>
          <w:szCs w:val="16"/>
        </w:rPr>
        <w:t>. Vyšší byl i</w:t>
      </w:r>
      <w:r>
        <w:rPr>
          <w:spacing w:val="-3"/>
          <w:sz w:val="16"/>
          <w:szCs w:val="16"/>
        </w:rPr>
        <w:t> </w:t>
      </w:r>
      <w:r w:rsidRPr="00655E03">
        <w:rPr>
          <w:spacing w:val="-3"/>
          <w:sz w:val="16"/>
          <w:szCs w:val="16"/>
        </w:rPr>
        <w:t>celkový příliv financí ze strukturálních fondů EU (loni +21</w:t>
      </w:r>
      <w:r>
        <w:rPr>
          <w:spacing w:val="-3"/>
          <w:sz w:val="16"/>
          <w:szCs w:val="16"/>
        </w:rPr>
        <w:t> %</w:t>
      </w:r>
      <w:r w:rsidRPr="00655E03">
        <w:rPr>
          <w:spacing w:val="-3"/>
          <w:sz w:val="16"/>
          <w:szCs w:val="16"/>
        </w:rPr>
        <w:t>, na 75,8</w:t>
      </w:r>
      <w:r>
        <w:rPr>
          <w:spacing w:val="-3"/>
          <w:sz w:val="16"/>
          <w:szCs w:val="16"/>
        </w:rPr>
        <w:t> mld.</w:t>
      </w:r>
      <w:r w:rsidRPr="00655E03">
        <w:rPr>
          <w:spacing w:val="-3"/>
          <w:sz w:val="16"/>
          <w:szCs w:val="16"/>
        </w:rPr>
        <w:t xml:space="preserve"> korun, v 1.</w:t>
      </w:r>
      <w:r>
        <w:rPr>
          <w:spacing w:val="-3"/>
          <w:sz w:val="16"/>
          <w:szCs w:val="16"/>
        </w:rPr>
        <w:t> čtvrtlet</w:t>
      </w:r>
      <w:r w:rsidRPr="00655E03">
        <w:rPr>
          <w:spacing w:val="-3"/>
          <w:sz w:val="16"/>
          <w:szCs w:val="16"/>
        </w:rPr>
        <w:t>í 2021 +9</w:t>
      </w:r>
      <w:r>
        <w:rPr>
          <w:spacing w:val="-3"/>
          <w:sz w:val="16"/>
          <w:szCs w:val="16"/>
        </w:rPr>
        <w:t> %,</w:t>
      </w:r>
      <w:r w:rsidRPr="00655E03">
        <w:rPr>
          <w:spacing w:val="-3"/>
          <w:sz w:val="16"/>
          <w:szCs w:val="16"/>
        </w:rPr>
        <w:t xml:space="preserve"> na 33,6</w:t>
      </w:r>
      <w:r>
        <w:rPr>
          <w:spacing w:val="-3"/>
          <w:sz w:val="16"/>
          <w:szCs w:val="16"/>
        </w:rPr>
        <w:t> mld.</w:t>
      </w:r>
      <w:r w:rsidRPr="00655E03">
        <w:rPr>
          <w:spacing w:val="-3"/>
          <w:sz w:val="16"/>
          <w:szCs w:val="16"/>
        </w:rPr>
        <w:t>).</w:t>
      </w:r>
    </w:p>
  </w:footnote>
  <w:footnote w:id="18">
    <w:p w14:paraId="76C287CA" w14:textId="77777777" w:rsidR="006F6FF2" w:rsidRPr="003156B3" w:rsidRDefault="006F6FF2" w:rsidP="00E87CE2">
      <w:pPr>
        <w:pStyle w:val="Textpoznpodarou"/>
        <w:rPr>
          <w:sz w:val="16"/>
          <w:szCs w:val="16"/>
        </w:rPr>
      </w:pPr>
      <w:r w:rsidRPr="003156B3">
        <w:rPr>
          <w:rStyle w:val="Znakapoznpodarou"/>
          <w:sz w:val="16"/>
          <w:szCs w:val="16"/>
        </w:rPr>
        <w:footnoteRef/>
      </w:r>
      <w:r w:rsidRPr="003156B3">
        <w:rPr>
          <w:sz w:val="16"/>
          <w:szCs w:val="16"/>
        </w:rPr>
        <w:t xml:space="preserve"> </w:t>
      </w:r>
      <w:r w:rsidRPr="003156B3">
        <w:rPr>
          <w:rFonts w:cs="Arial"/>
          <w:bCs/>
          <w:color w:val="0D0D0D" w:themeColor="text1" w:themeTint="F2"/>
          <w:sz w:val="16"/>
          <w:szCs w:val="16"/>
        </w:rPr>
        <w:t xml:space="preserve">Souhrnný cenový index stavebních prací vzrostl za </w:t>
      </w:r>
      <w:r>
        <w:rPr>
          <w:rFonts w:cs="Arial"/>
          <w:bCs/>
          <w:color w:val="0D0D0D" w:themeColor="text1" w:themeTint="F2"/>
          <w:sz w:val="16"/>
          <w:szCs w:val="16"/>
        </w:rPr>
        <w:t>srovnatelné</w:t>
      </w:r>
      <w:r w:rsidRPr="003156B3">
        <w:rPr>
          <w:rFonts w:cs="Arial"/>
          <w:bCs/>
          <w:color w:val="0D0D0D" w:themeColor="text1" w:themeTint="F2"/>
          <w:sz w:val="16"/>
          <w:szCs w:val="16"/>
        </w:rPr>
        <w:t xml:space="preserve"> dvouleté období o</w:t>
      </w:r>
      <w:r>
        <w:rPr>
          <w:rFonts w:cs="Arial"/>
          <w:bCs/>
          <w:color w:val="0D0D0D" w:themeColor="text1" w:themeTint="F2"/>
          <w:sz w:val="16"/>
          <w:szCs w:val="16"/>
        </w:rPr>
        <w:t> </w:t>
      </w:r>
      <w:r w:rsidRPr="003156B3">
        <w:rPr>
          <w:rFonts w:cs="Arial"/>
          <w:bCs/>
          <w:color w:val="0D0D0D" w:themeColor="text1" w:themeTint="F2"/>
          <w:sz w:val="16"/>
          <w:szCs w:val="16"/>
        </w:rPr>
        <w:t>6,5</w:t>
      </w:r>
      <w:r>
        <w:rPr>
          <w:rFonts w:cs="Arial"/>
          <w:bCs/>
          <w:color w:val="0D0D0D" w:themeColor="text1" w:themeTint="F2"/>
          <w:sz w:val="16"/>
          <w:szCs w:val="16"/>
        </w:rPr>
        <w:t> %</w:t>
      </w:r>
      <w:r w:rsidRPr="003156B3">
        <w:rPr>
          <w:rFonts w:cs="Arial"/>
          <w:bCs/>
          <w:color w:val="0D0D0D" w:themeColor="text1" w:themeTint="F2"/>
          <w:sz w:val="16"/>
          <w:szCs w:val="16"/>
        </w:rPr>
        <w:t>.</w:t>
      </w:r>
    </w:p>
  </w:footnote>
  <w:footnote w:id="19">
    <w:p w14:paraId="1FE043C6" w14:textId="77777777" w:rsidR="006F6FF2" w:rsidRPr="00365591" w:rsidRDefault="006F6FF2" w:rsidP="00E87CE2">
      <w:pPr>
        <w:spacing w:after="0" w:line="240" w:lineRule="auto"/>
        <w:rPr>
          <w:sz w:val="16"/>
          <w:szCs w:val="16"/>
        </w:rPr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i meziměsíční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0">
    <w:p w14:paraId="7994D247" w14:textId="77777777" w:rsidR="006F6FF2" w:rsidRPr="00847F9A" w:rsidRDefault="006F6FF2" w:rsidP="00E87CE2">
      <w:pPr>
        <w:pStyle w:val="Textpoznpodarou"/>
        <w:rPr>
          <w:sz w:val="16"/>
          <w:szCs w:val="16"/>
        </w:rPr>
      </w:pPr>
      <w:r w:rsidRPr="00847F9A">
        <w:rPr>
          <w:rStyle w:val="Znakapoznpodarou"/>
          <w:sz w:val="16"/>
          <w:szCs w:val="16"/>
        </w:rPr>
        <w:footnoteRef/>
      </w:r>
      <w:r w:rsidRPr="00847F9A">
        <w:rPr>
          <w:sz w:val="16"/>
          <w:szCs w:val="16"/>
        </w:rPr>
        <w:t xml:space="preserve"> Propad tržeb za celý loňský rok činil 11,8</w:t>
      </w:r>
      <w:r>
        <w:rPr>
          <w:sz w:val="16"/>
          <w:szCs w:val="16"/>
        </w:rPr>
        <w:t> %,</w:t>
      </w:r>
      <w:r w:rsidRPr="00847F9A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847F9A">
        <w:rPr>
          <w:sz w:val="16"/>
          <w:szCs w:val="16"/>
        </w:rPr>
        <w:t>mírně tak převýšil dosud rekordní útlum z roku 2009 (o</w:t>
      </w:r>
      <w:r>
        <w:rPr>
          <w:sz w:val="16"/>
          <w:szCs w:val="16"/>
        </w:rPr>
        <w:t> </w:t>
      </w:r>
      <w:r w:rsidRPr="00847F9A">
        <w:rPr>
          <w:sz w:val="16"/>
          <w:szCs w:val="16"/>
        </w:rPr>
        <w:t>10,2</w:t>
      </w:r>
      <w:r>
        <w:rPr>
          <w:sz w:val="16"/>
          <w:szCs w:val="16"/>
        </w:rPr>
        <w:t> %</w:t>
      </w:r>
      <w:r w:rsidRPr="00847F9A">
        <w:rPr>
          <w:sz w:val="16"/>
          <w:szCs w:val="16"/>
        </w:rPr>
        <w:t>).</w:t>
      </w:r>
    </w:p>
  </w:footnote>
  <w:footnote w:id="21">
    <w:p w14:paraId="5D53D558" w14:textId="77777777" w:rsidR="006F6FF2" w:rsidRPr="00365591" w:rsidRDefault="006F6FF2" w:rsidP="00E87CE2">
      <w:pPr>
        <w:spacing w:after="0" w:line="240" w:lineRule="auto"/>
        <w:jc w:val="left"/>
        <w:rPr>
          <w:rFonts w:cs="Arial"/>
          <w:bCs/>
          <w:spacing w:val="-2"/>
          <w:sz w:val="16"/>
          <w:szCs w:val="16"/>
        </w:rPr>
      </w:pPr>
      <w:r w:rsidRPr="00954045">
        <w:rPr>
          <w:rFonts w:eastAsia="Calibri"/>
          <w:sz w:val="16"/>
          <w:szCs w:val="16"/>
          <w:vertAlign w:val="superscript"/>
        </w:rPr>
        <w:footnoteRef/>
      </w:r>
      <w:r w:rsidRPr="00954045">
        <w:rPr>
          <w:rFonts w:eastAsia="Calibri"/>
          <w:sz w:val="16"/>
          <w:szCs w:val="16"/>
          <w:vertAlign w:val="superscript"/>
        </w:rPr>
        <w:t xml:space="preserve"> </w:t>
      </w:r>
      <w:r w:rsidRPr="00954045">
        <w:rPr>
          <w:rFonts w:eastAsia="Calibri"/>
          <w:sz w:val="16"/>
          <w:szCs w:val="16"/>
        </w:rPr>
        <w:t xml:space="preserve">V hromadných ubytovacích zařízeních </w:t>
      </w:r>
      <w:r>
        <w:rPr>
          <w:rFonts w:eastAsia="Calibri"/>
          <w:sz w:val="16"/>
          <w:szCs w:val="16"/>
        </w:rPr>
        <w:t>se v </w:t>
      </w:r>
      <w:r w:rsidRPr="00954045">
        <w:rPr>
          <w:rFonts w:eastAsia="Calibri"/>
          <w:sz w:val="16"/>
          <w:szCs w:val="16"/>
        </w:rPr>
        <w:t>1.</w:t>
      </w:r>
      <w:r>
        <w:rPr>
          <w:rFonts w:eastAsia="Calibri"/>
          <w:sz w:val="16"/>
          <w:szCs w:val="16"/>
        </w:rPr>
        <w:t> čtvrtlet</w:t>
      </w:r>
      <w:r w:rsidRPr="00954045">
        <w:rPr>
          <w:rFonts w:eastAsia="Calibri"/>
          <w:sz w:val="16"/>
          <w:szCs w:val="16"/>
        </w:rPr>
        <w:t xml:space="preserve">í 2021 </w:t>
      </w:r>
      <w:r>
        <w:rPr>
          <w:rFonts w:eastAsia="Calibri"/>
          <w:sz w:val="16"/>
          <w:szCs w:val="16"/>
        </w:rPr>
        <w:t>počet hostů meziročně propadl</w:t>
      </w:r>
      <w:r w:rsidRPr="00954045">
        <w:rPr>
          <w:rFonts w:eastAsia="Calibri"/>
          <w:sz w:val="16"/>
          <w:szCs w:val="16"/>
        </w:rPr>
        <w:t xml:space="preserve"> o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91</w:t>
      </w:r>
      <w:r>
        <w:rPr>
          <w:rFonts w:eastAsia="Calibri"/>
          <w:sz w:val="16"/>
          <w:szCs w:val="16"/>
        </w:rPr>
        <w:t> %</w:t>
      </w:r>
      <w:r w:rsidRPr="00954045">
        <w:rPr>
          <w:rFonts w:eastAsia="Calibri"/>
          <w:sz w:val="16"/>
          <w:szCs w:val="16"/>
        </w:rPr>
        <w:t xml:space="preserve"> a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jejich přenocování o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88</w:t>
      </w:r>
      <w:r>
        <w:rPr>
          <w:rFonts w:eastAsia="Calibri"/>
          <w:sz w:val="16"/>
          <w:szCs w:val="16"/>
        </w:rPr>
        <w:t> %</w:t>
      </w:r>
      <w:r w:rsidRPr="00954045">
        <w:rPr>
          <w:rFonts w:eastAsia="Calibri"/>
          <w:sz w:val="16"/>
          <w:szCs w:val="16"/>
        </w:rPr>
        <w:t>. Cestovních ruch se fakticky omezil jen na nutné pracovní cesty a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lázeňské pobyty hrazené z veřejného zdravotního pojištění.</w:t>
      </w:r>
      <w:r>
        <w:rPr>
          <w:rFonts w:eastAsia="Calibri"/>
          <w:sz w:val="16"/>
          <w:szCs w:val="16"/>
        </w:rPr>
        <w:t xml:space="preserve"> Po celý březen</w:t>
      </w:r>
      <w:r w:rsidRPr="00954045">
        <w:rPr>
          <w:rFonts w:eastAsia="Calibri"/>
          <w:sz w:val="16"/>
          <w:szCs w:val="16"/>
        </w:rPr>
        <w:t xml:space="preserve"> platila i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striktní omezení mobility obyvatelstva, která zásadně limitovala i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jednodenní turistické cesty nespojené s ubytováním. Ve srovnání se 4.</w:t>
      </w:r>
      <w:r>
        <w:rPr>
          <w:rFonts w:eastAsia="Calibri"/>
          <w:sz w:val="16"/>
          <w:szCs w:val="16"/>
        </w:rPr>
        <w:t> čtvrtlet</w:t>
      </w:r>
      <w:r w:rsidRPr="00954045">
        <w:rPr>
          <w:rFonts w:eastAsia="Calibri"/>
          <w:sz w:val="16"/>
          <w:szCs w:val="16"/>
        </w:rPr>
        <w:t>ím 2020, po jehož převážnou část platila také striktní protipandemická opatření, klesl počet přenocování o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polovinu. Počet ubytovaných nerezidentů dosáhl pouze 3,7</w:t>
      </w:r>
      <w:r>
        <w:rPr>
          <w:rFonts w:eastAsia="Calibri"/>
          <w:sz w:val="16"/>
          <w:szCs w:val="16"/>
        </w:rPr>
        <w:t>%</w:t>
      </w:r>
      <w:r w:rsidRPr="00954045">
        <w:rPr>
          <w:rFonts w:eastAsia="Calibri"/>
          <w:sz w:val="16"/>
          <w:szCs w:val="16"/>
        </w:rPr>
        <w:t xml:space="preserve"> úrovně z</w:t>
      </w:r>
      <w:r>
        <w:rPr>
          <w:rFonts w:eastAsia="Calibri"/>
          <w:sz w:val="16"/>
          <w:szCs w:val="16"/>
        </w:rPr>
        <w:t> </w:t>
      </w:r>
      <w:r w:rsidRPr="00954045">
        <w:rPr>
          <w:rFonts w:eastAsia="Calibri"/>
          <w:sz w:val="16"/>
          <w:szCs w:val="16"/>
        </w:rPr>
        <w:t>1.</w:t>
      </w:r>
      <w:r>
        <w:rPr>
          <w:rFonts w:eastAsia="Calibri"/>
          <w:sz w:val="16"/>
          <w:szCs w:val="16"/>
        </w:rPr>
        <w:t> čtvrtlet</w:t>
      </w:r>
      <w:r w:rsidRPr="00954045">
        <w:rPr>
          <w:rFonts w:eastAsia="Calibri"/>
          <w:sz w:val="16"/>
          <w:szCs w:val="16"/>
        </w:rPr>
        <w:t>í 2020. Příjezdový cestovní ruch byl v 1.</w:t>
      </w:r>
      <w:r>
        <w:rPr>
          <w:rFonts w:eastAsia="Calibri"/>
          <w:sz w:val="16"/>
          <w:szCs w:val="16"/>
        </w:rPr>
        <w:t> čtvrtlet</w:t>
      </w:r>
      <w:r w:rsidRPr="00954045">
        <w:rPr>
          <w:rFonts w:eastAsia="Calibri"/>
          <w:sz w:val="16"/>
          <w:szCs w:val="16"/>
        </w:rPr>
        <w:t>í 2021, obdobně jako po většinu loňského roku, fakticky omezen na vztahy se středoevropskými státy.</w:t>
      </w:r>
    </w:p>
  </w:footnote>
  <w:footnote w:id="22">
    <w:p w14:paraId="742C6C01" w14:textId="77777777" w:rsidR="006F6FF2" w:rsidRPr="00864235" w:rsidRDefault="006F6FF2" w:rsidP="00E87CE2">
      <w:pPr>
        <w:pStyle w:val="Textpoznpodarou"/>
        <w:rPr>
          <w:sz w:val="16"/>
          <w:szCs w:val="16"/>
        </w:rPr>
      </w:pPr>
      <w:r w:rsidRPr="00864235">
        <w:rPr>
          <w:rStyle w:val="Znakapoznpodarou"/>
          <w:sz w:val="16"/>
          <w:szCs w:val="16"/>
        </w:rPr>
        <w:footnoteRef/>
      </w:r>
      <w:r w:rsidRPr="00864235">
        <w:rPr>
          <w:sz w:val="16"/>
          <w:szCs w:val="16"/>
        </w:rPr>
        <w:t xml:space="preserve"> Dle údaje Unie filmových distributorů klesl </w:t>
      </w:r>
      <w:r>
        <w:rPr>
          <w:sz w:val="16"/>
          <w:szCs w:val="16"/>
        </w:rPr>
        <w:t xml:space="preserve">v roce 2020 </w:t>
      </w:r>
      <w:r w:rsidRPr="00864235">
        <w:rPr>
          <w:sz w:val="16"/>
          <w:szCs w:val="16"/>
        </w:rPr>
        <w:t>počet návštěvníků kin meziročně o</w:t>
      </w:r>
      <w:r>
        <w:rPr>
          <w:sz w:val="16"/>
          <w:szCs w:val="16"/>
        </w:rPr>
        <w:t> </w:t>
      </w:r>
      <w:r w:rsidRPr="00864235">
        <w:rPr>
          <w:sz w:val="16"/>
          <w:szCs w:val="16"/>
        </w:rPr>
        <w:t>65</w:t>
      </w:r>
      <w:r>
        <w:rPr>
          <w:sz w:val="16"/>
          <w:szCs w:val="16"/>
        </w:rPr>
        <w:t> %</w:t>
      </w:r>
      <w:r w:rsidRPr="00864235">
        <w:rPr>
          <w:sz w:val="16"/>
          <w:szCs w:val="16"/>
        </w:rPr>
        <w:t>, na 6,4</w:t>
      </w:r>
      <w:r>
        <w:rPr>
          <w:sz w:val="16"/>
          <w:szCs w:val="16"/>
        </w:rPr>
        <w:t> mil. (nejnižší počet v historii ČR). Kina vloni bez omezení fungovala jen 2,5 měsíce, téměř pět měsíců v roce byla fakticky uzavřena (povolen byl jen provoz autokin). Tento stav trval i po celé 1. čtvrtletí 2021, kdy kina navštívilo jen 2,2 tis. diváků. Méně byla zasažena oblast výroby filmů, na niž se vztahovaly významné restrikce jen během loňské jarní pandemické vlny.</w:t>
      </w:r>
    </w:p>
  </w:footnote>
  <w:footnote w:id="23">
    <w:p w14:paraId="673856CD" w14:textId="77777777" w:rsidR="006F6FF2" w:rsidRPr="00365591" w:rsidRDefault="006F6FF2" w:rsidP="00E87CE2">
      <w:pPr>
        <w:spacing w:after="0" w:line="240" w:lineRule="auto"/>
        <w:rPr>
          <w:sz w:val="16"/>
          <w:szCs w:val="16"/>
        </w:rPr>
      </w:pPr>
      <w:r w:rsidRPr="000F615E">
        <w:rPr>
          <w:rStyle w:val="Znakapoznpodarou"/>
          <w:color w:val="0D0D0D" w:themeColor="text1" w:themeTint="F2"/>
          <w:sz w:val="16"/>
          <w:szCs w:val="16"/>
        </w:rPr>
        <w:footnoteRef/>
      </w:r>
      <w:r w:rsidRPr="000F615E">
        <w:rPr>
          <w:color w:val="0D0D0D" w:themeColor="text1" w:themeTint="F2"/>
          <w:sz w:val="16"/>
          <w:szCs w:val="16"/>
        </w:rPr>
        <w:t xml:space="preserve"> Všechna meziroční tempa tržeb za maloobchod jsou uvedena ve stálých cenách a očištěna o kalendářní vlivy, mezičtvrtletní </w:t>
      </w:r>
      <w:r>
        <w:rPr>
          <w:color w:val="0D0D0D" w:themeColor="text1" w:themeTint="F2"/>
          <w:sz w:val="16"/>
          <w:szCs w:val="16"/>
        </w:rPr>
        <w:t>i</w:t>
      </w:r>
      <w:r w:rsidRPr="00864235">
        <w:rPr>
          <w:sz w:val="16"/>
          <w:szCs w:val="16"/>
        </w:rPr>
        <w:t> </w:t>
      </w:r>
      <w:r>
        <w:rPr>
          <w:color w:val="0D0D0D" w:themeColor="text1" w:themeTint="F2"/>
          <w:sz w:val="16"/>
          <w:szCs w:val="16"/>
        </w:rPr>
        <w:t xml:space="preserve">meziměsíční </w:t>
      </w:r>
      <w:r w:rsidRPr="000F615E">
        <w:rPr>
          <w:color w:val="0D0D0D" w:themeColor="text1" w:themeTint="F2"/>
          <w:sz w:val="16"/>
          <w:szCs w:val="16"/>
        </w:rPr>
        <w:t>tempa jsou očištěna o sezónní vlivy (včetně vlivu počtu pracovních dnů).</w:t>
      </w:r>
      <w:r>
        <w:rPr>
          <w:color w:val="0D0D0D" w:themeColor="text1" w:themeTint="F2"/>
          <w:sz w:val="16"/>
          <w:szCs w:val="16"/>
        </w:rPr>
        <w:t xml:space="preserve"> Maloobchod zahrnuje odvětví CZ-NACE 47.</w:t>
      </w:r>
    </w:p>
  </w:footnote>
  <w:footnote w:id="24">
    <w:p w14:paraId="7766DACC" w14:textId="77777777" w:rsidR="006F6FF2" w:rsidRDefault="006F6FF2" w:rsidP="00E87CE2">
      <w:pPr>
        <w:pStyle w:val="Textpoznpodarou"/>
      </w:pPr>
      <w:r w:rsidRPr="001B03D8">
        <w:rPr>
          <w:rFonts w:eastAsia="Times New Roman"/>
          <w:color w:val="0D0D0D" w:themeColor="text1" w:themeTint="F2"/>
          <w:sz w:val="16"/>
          <w:szCs w:val="16"/>
          <w:vertAlign w:val="superscript"/>
        </w:rPr>
        <w:footnoteRef/>
      </w:r>
      <w:r w:rsidRPr="001B03D8">
        <w:rPr>
          <w:rFonts w:eastAsia="Times New Roman"/>
          <w:color w:val="0D0D0D" w:themeColor="text1" w:themeTint="F2"/>
          <w:sz w:val="16"/>
          <w:szCs w:val="16"/>
          <w:vertAlign w:val="superscript"/>
        </w:rPr>
        <w:t xml:space="preserve"> </w:t>
      </w:r>
      <w:r w:rsidRPr="00076DCB">
        <w:rPr>
          <w:rFonts w:eastAsia="Times New Roman"/>
          <w:color w:val="0D0D0D" w:themeColor="text1" w:themeTint="F2"/>
          <w:sz w:val="16"/>
          <w:szCs w:val="16"/>
        </w:rPr>
        <w:t>Relativně mírný meziroční pokles souvisí s tím, že v</w:t>
      </w:r>
      <w:r>
        <w:rPr>
          <w:rFonts w:eastAsia="Times New Roman"/>
          <w:color w:val="0D0D0D" w:themeColor="text1" w:themeTint="F2"/>
          <w:sz w:val="16"/>
          <w:szCs w:val="16"/>
        </w:rPr>
        <w:t> </w:t>
      </w:r>
      <w:r w:rsidRPr="00076DCB">
        <w:rPr>
          <w:rFonts w:eastAsia="Times New Roman"/>
          <w:color w:val="0D0D0D" w:themeColor="text1" w:themeTint="F2"/>
          <w:sz w:val="16"/>
          <w:szCs w:val="16"/>
        </w:rPr>
        <w:t>březnu 2020 už platila opatření, kvůli kterým se maloobchod tehdy propadal. Propad ve srovnání se závěrem roku 2020 zase ovlivnilo prosincové otevření prodejen.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6F6FF2" w:rsidRDefault="006F6FF2" w:rsidP="00937AE2">
    <w:pPr>
      <w:pStyle w:val="Zhlav"/>
    </w:pPr>
    <w:r>
      <w:t>Vývoj ekonomiky České republiky</w:t>
    </w:r>
  </w:p>
  <w:p w14:paraId="675E4C41" w14:textId="77777777" w:rsidR="006F6FF2" w:rsidRPr="006F5416" w:rsidRDefault="006F6FF2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6F6FF2" w:rsidRDefault="006F6FF2" w:rsidP="00937AE2">
    <w:pPr>
      <w:pStyle w:val="Zhlav"/>
    </w:pPr>
    <w:r>
      <w:t>Vývoj ekonomiky České republiky</w:t>
    </w:r>
  </w:p>
  <w:p w14:paraId="0CDCFD48" w14:textId="77777777" w:rsidR="006F6FF2" w:rsidRPr="006F5416" w:rsidRDefault="006F6FF2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75A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5A0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1F68"/>
    <w:rsid w:val="001A21FA"/>
    <w:rsid w:val="001A4D7C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4992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03A5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0CAC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677A"/>
    <w:rsid w:val="00716F48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161C5"/>
    <w:rsid w:val="00C2010D"/>
    <w:rsid w:val="00C20CB5"/>
    <w:rsid w:val="00C21430"/>
    <w:rsid w:val="00C216DF"/>
    <w:rsid w:val="00C21E61"/>
    <w:rsid w:val="00C21F94"/>
    <w:rsid w:val="00C224BD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34A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A00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690E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1\Qmakro\Odv&#283;tv&#237;\Odv&#283;tv&#237;%20grafy-1q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1\Qmakro\Odv&#283;tv&#237;\Odv&#283;tv&#237;%20grafy-1q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1\Qmakro\Odv&#283;tv&#237;\Odv&#283;tv&#237;%20grafy-1q-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1\Qmakro\Odv&#283;tv&#237;\Odv&#283;tv&#237;%20grafy-1q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688042665536843E-2"/>
          <c:y val="1.6203544707895996E-2"/>
          <c:w val="0.84974974879787502"/>
          <c:h val="0.719114253315114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(29, 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IPP'!$R$27:$AQ$27</c:f>
              <c:numCache>
                <c:formatCode>0.0</c:formatCode>
                <c:ptCount val="26"/>
                <c:pt idx="0">
                  <c:v>1.5428898176392496</c:v>
                </c:pt>
                <c:pt idx="1">
                  <c:v>2.1743718256924107</c:v>
                </c:pt>
                <c:pt idx="2">
                  <c:v>2.3590492908960439</c:v>
                </c:pt>
                <c:pt idx="3">
                  <c:v>2.8772486090638396</c:v>
                </c:pt>
                <c:pt idx="4">
                  <c:v>3.3183568360577667</c:v>
                </c:pt>
                <c:pt idx="5">
                  <c:v>2.726135980015763</c:v>
                </c:pt>
                <c:pt idx="6">
                  <c:v>1.4737639394577176</c:v>
                </c:pt>
                <c:pt idx="7">
                  <c:v>1.0298153192049733</c:v>
                </c:pt>
                <c:pt idx="8">
                  <c:v>1.7609137024842152</c:v>
                </c:pt>
                <c:pt idx="9">
                  <c:v>2.1167862077962001</c:v>
                </c:pt>
                <c:pt idx="10">
                  <c:v>1.5869964664235507</c:v>
                </c:pt>
                <c:pt idx="11">
                  <c:v>1.681411454669806</c:v>
                </c:pt>
                <c:pt idx="12">
                  <c:v>0.74237714955218947</c:v>
                </c:pt>
                <c:pt idx="13">
                  <c:v>0.54613557309892891</c:v>
                </c:pt>
                <c:pt idx="14">
                  <c:v>0.23904640916369443</c:v>
                </c:pt>
                <c:pt idx="15">
                  <c:v>0.98490029941942658</c:v>
                </c:pt>
                <c:pt idx="16">
                  <c:v>-0.22712700654221288</c:v>
                </c:pt>
                <c:pt idx="17">
                  <c:v>0.47876328427856657</c:v>
                </c:pt>
                <c:pt idx="18">
                  <c:v>0.83775598681488828</c:v>
                </c:pt>
                <c:pt idx="19">
                  <c:v>-1.1010749377233835</c:v>
                </c:pt>
                <c:pt idx="20">
                  <c:v>-1.5400994508720254</c:v>
                </c:pt>
                <c:pt idx="21">
                  <c:v>-9.3996605775771389</c:v>
                </c:pt>
                <c:pt idx="22">
                  <c:v>-0.1984331735847174</c:v>
                </c:pt>
                <c:pt idx="23">
                  <c:v>2.0419884732728906</c:v>
                </c:pt>
                <c:pt idx="24">
                  <c:v>1.783245169103493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9-4381-A6C7-31DA1E3D0080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(22, 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IPP'!$R$28:$AQ$28</c:f>
              <c:numCache>
                <c:formatCode>0.0</c:formatCode>
                <c:ptCount val="26"/>
                <c:pt idx="0">
                  <c:v>1.034672951175343</c:v>
                </c:pt>
                <c:pt idx="1">
                  <c:v>1.2402872249055439</c:v>
                </c:pt>
                <c:pt idx="2">
                  <c:v>1.3942884794721908</c:v>
                </c:pt>
                <c:pt idx="3">
                  <c:v>0.63756976588884984</c:v>
                </c:pt>
                <c:pt idx="4">
                  <c:v>0.7944903405734538</c:v>
                </c:pt>
                <c:pt idx="5">
                  <c:v>0.20047553290148593</c:v>
                </c:pt>
                <c:pt idx="6">
                  <c:v>0.26203247933087592</c:v>
                </c:pt>
                <c:pt idx="7">
                  <c:v>0.42925022381945577</c:v>
                </c:pt>
                <c:pt idx="8">
                  <c:v>0.85509469319178899</c:v>
                </c:pt>
                <c:pt idx="9">
                  <c:v>1.4003096522077234</c:v>
                </c:pt>
                <c:pt idx="10">
                  <c:v>0.85542183955477147</c:v>
                </c:pt>
                <c:pt idx="11">
                  <c:v>1.6527257176884005</c:v>
                </c:pt>
                <c:pt idx="12">
                  <c:v>0.96912614591005941</c:v>
                </c:pt>
                <c:pt idx="13">
                  <c:v>0.34015391143850388</c:v>
                </c:pt>
                <c:pt idx="14">
                  <c:v>0.42914077951440655</c:v>
                </c:pt>
                <c:pt idx="15">
                  <c:v>-4.0280326098931243E-2</c:v>
                </c:pt>
                <c:pt idx="16">
                  <c:v>0.52468036745672719</c:v>
                </c:pt>
                <c:pt idx="17">
                  <c:v>0.40727721709233999</c:v>
                </c:pt>
                <c:pt idx="18">
                  <c:v>0.23777798772963615</c:v>
                </c:pt>
                <c:pt idx="19">
                  <c:v>0.39315489791744185</c:v>
                </c:pt>
                <c:pt idx="20">
                  <c:v>-0.5336834932447807</c:v>
                </c:pt>
                <c:pt idx="21">
                  <c:v>-4.0591767538544659</c:v>
                </c:pt>
                <c:pt idx="22">
                  <c:v>-0.43318739953820484</c:v>
                </c:pt>
                <c:pt idx="23">
                  <c:v>0.56877492176088063</c:v>
                </c:pt>
                <c:pt idx="24">
                  <c:v>0.90068361305567801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69-4381-A6C7-31DA1E3D0080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IPP'!$R$29:$AQ$29</c:f>
              <c:numCache>
                <c:formatCode>0.0</c:formatCode>
                <c:ptCount val="26"/>
                <c:pt idx="0">
                  <c:v>0.27254464463314693</c:v>
                </c:pt>
                <c:pt idx="1">
                  <c:v>0.29396963786095853</c:v>
                </c:pt>
                <c:pt idx="2">
                  <c:v>0.39152523509606818</c:v>
                </c:pt>
                <c:pt idx="3">
                  <c:v>1.6200417736821196E-2</c:v>
                </c:pt>
                <c:pt idx="4">
                  <c:v>0.36694942006841863</c:v>
                </c:pt>
                <c:pt idx="5">
                  <c:v>-7.7911792574484814E-2</c:v>
                </c:pt>
                <c:pt idx="6">
                  <c:v>0.1987099016441323</c:v>
                </c:pt>
                <c:pt idx="7">
                  <c:v>0.31990708238357735</c:v>
                </c:pt>
                <c:pt idx="8">
                  <c:v>0.34959411680822744</c:v>
                </c:pt>
                <c:pt idx="9">
                  <c:v>1.0827590636445108</c:v>
                </c:pt>
                <c:pt idx="10">
                  <c:v>0.85295353330611445</c:v>
                </c:pt>
                <c:pt idx="11">
                  <c:v>0.80087396958540291</c:v>
                </c:pt>
                <c:pt idx="12">
                  <c:v>0.479471307913379</c:v>
                </c:pt>
                <c:pt idx="13">
                  <c:v>0.1423157226032094</c:v>
                </c:pt>
                <c:pt idx="14">
                  <c:v>0.18574582107238052</c:v>
                </c:pt>
                <c:pt idx="15">
                  <c:v>-0.19599700087649827</c:v>
                </c:pt>
                <c:pt idx="16">
                  <c:v>0.14262071470057108</c:v>
                </c:pt>
                <c:pt idx="17">
                  <c:v>-1.7720632744717035E-2</c:v>
                </c:pt>
                <c:pt idx="18">
                  <c:v>-0.26820737830766378</c:v>
                </c:pt>
                <c:pt idx="19">
                  <c:v>-0.13470183553131065</c:v>
                </c:pt>
                <c:pt idx="20">
                  <c:v>-0.70067449755996181</c:v>
                </c:pt>
                <c:pt idx="21">
                  <c:v>-2.1429229667168639</c:v>
                </c:pt>
                <c:pt idx="22">
                  <c:v>-0.79850670146483804</c:v>
                </c:pt>
                <c:pt idx="23">
                  <c:v>-0.53309088102789204</c:v>
                </c:pt>
                <c:pt idx="24">
                  <c:v>6.0882399541106913E-2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69-4381-A6C7-31DA1E3D0080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IPP'!$R$30:$AQ$30</c:f>
              <c:numCache>
                <c:formatCode>0.0</c:formatCode>
                <c:ptCount val="26"/>
                <c:pt idx="0">
                  <c:v>0.69598466412593474</c:v>
                </c:pt>
                <c:pt idx="1">
                  <c:v>0.78523209830157625</c:v>
                </c:pt>
                <c:pt idx="2">
                  <c:v>0.97812808698582676</c:v>
                </c:pt>
                <c:pt idx="3">
                  <c:v>0.60585855548016065</c:v>
                </c:pt>
                <c:pt idx="4">
                  <c:v>0.7974142567928203</c:v>
                </c:pt>
                <c:pt idx="5">
                  <c:v>0.39435941300086852</c:v>
                </c:pt>
                <c:pt idx="6">
                  <c:v>0.22320292471013239</c:v>
                </c:pt>
                <c:pt idx="7">
                  <c:v>0.25093421694411544</c:v>
                </c:pt>
                <c:pt idx="8">
                  <c:v>0.420593323359785</c:v>
                </c:pt>
                <c:pt idx="9">
                  <c:v>0.91449350181259326</c:v>
                </c:pt>
                <c:pt idx="10">
                  <c:v>0.85069745323039048</c:v>
                </c:pt>
                <c:pt idx="11">
                  <c:v>0.96475784711286927</c:v>
                </c:pt>
                <c:pt idx="12">
                  <c:v>0.6496282287639249</c:v>
                </c:pt>
                <c:pt idx="13">
                  <c:v>0.47190400503104318</c:v>
                </c:pt>
                <c:pt idx="14">
                  <c:v>0.40332248383604502</c:v>
                </c:pt>
                <c:pt idx="15">
                  <c:v>0.15276873851363962</c:v>
                </c:pt>
                <c:pt idx="16">
                  <c:v>0.25794025853962294</c:v>
                </c:pt>
                <c:pt idx="17">
                  <c:v>8.1804977725853222E-3</c:v>
                </c:pt>
                <c:pt idx="18">
                  <c:v>-0.23678308583363922</c:v>
                </c:pt>
                <c:pt idx="19">
                  <c:v>-0.3569761365718796</c:v>
                </c:pt>
                <c:pt idx="20">
                  <c:v>-0.60279608093648751</c:v>
                </c:pt>
                <c:pt idx="21">
                  <c:v>-2.0867839126509864</c:v>
                </c:pt>
                <c:pt idx="22">
                  <c:v>-0.54628616828783072</c:v>
                </c:pt>
                <c:pt idx="23">
                  <c:v>0.14233966871529949</c:v>
                </c:pt>
                <c:pt idx="24">
                  <c:v>0.5024976254118193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69-4381-A6C7-31DA1E3D0080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IPP'!$R$31:$AQ$31</c:f>
              <c:numCache>
                <c:formatCode>0.0</c:formatCode>
                <c:ptCount val="26"/>
                <c:pt idx="0">
                  <c:v>0.10174478910853679</c:v>
                </c:pt>
                <c:pt idx="1">
                  <c:v>1.5828953523061507E-2</c:v>
                </c:pt>
                <c:pt idx="2">
                  <c:v>4.099582748163963E-2</c:v>
                </c:pt>
                <c:pt idx="3">
                  <c:v>-7.2764071813088554E-2</c:v>
                </c:pt>
                <c:pt idx="4">
                  <c:v>-5.3199772200864092E-3</c:v>
                </c:pt>
                <c:pt idx="5">
                  <c:v>6.0334021815885465E-2</c:v>
                </c:pt>
                <c:pt idx="6">
                  <c:v>5.0638983184188399E-2</c:v>
                </c:pt>
                <c:pt idx="7">
                  <c:v>0.16208161104378524</c:v>
                </c:pt>
                <c:pt idx="8">
                  <c:v>0.14164406764460333</c:v>
                </c:pt>
                <c:pt idx="9">
                  <c:v>0.36084600241723092</c:v>
                </c:pt>
                <c:pt idx="10">
                  <c:v>0.23025191154693395</c:v>
                </c:pt>
                <c:pt idx="11">
                  <c:v>0.23490510719047802</c:v>
                </c:pt>
                <c:pt idx="12">
                  <c:v>0.39487785017355559</c:v>
                </c:pt>
                <c:pt idx="13">
                  <c:v>0.15525543720367532</c:v>
                </c:pt>
                <c:pt idx="14">
                  <c:v>0.63668466142391178</c:v>
                </c:pt>
                <c:pt idx="15">
                  <c:v>0.31239835694712781</c:v>
                </c:pt>
                <c:pt idx="16">
                  <c:v>-0.11382932295885198</c:v>
                </c:pt>
                <c:pt idx="17">
                  <c:v>-4.341493446561568E-2</c:v>
                </c:pt>
                <c:pt idx="18">
                  <c:v>-0.61087240850785662</c:v>
                </c:pt>
                <c:pt idx="19">
                  <c:v>-0.34647971068415334</c:v>
                </c:pt>
                <c:pt idx="20">
                  <c:v>-9.3262273282259972E-2</c:v>
                </c:pt>
                <c:pt idx="21">
                  <c:v>-0.27991365476515007</c:v>
                </c:pt>
                <c:pt idx="22">
                  <c:v>3.7480674787972556E-3</c:v>
                </c:pt>
                <c:pt idx="23">
                  <c:v>-5.8376761155660142E-3</c:v>
                </c:pt>
                <c:pt idx="24">
                  <c:v>9.3943210027643706E-2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69-4381-A6C7-31DA1E3D0080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(20, 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IPP'!$R$32:$AQ$32</c:f>
              <c:numCache>
                <c:formatCode>0.0</c:formatCode>
                <c:ptCount val="26"/>
                <c:pt idx="0">
                  <c:v>7.7143378794105238E-2</c:v>
                </c:pt>
                <c:pt idx="1">
                  <c:v>0.23593739633638305</c:v>
                </c:pt>
                <c:pt idx="2">
                  <c:v>-0.1618035309720528</c:v>
                </c:pt>
                <c:pt idx="3">
                  <c:v>-0.33496224531375707</c:v>
                </c:pt>
                <c:pt idx="4">
                  <c:v>-0.41674583594172754</c:v>
                </c:pt>
                <c:pt idx="5">
                  <c:v>-0.4282443957917389</c:v>
                </c:pt>
                <c:pt idx="6">
                  <c:v>-0.10705569687500868</c:v>
                </c:pt>
                <c:pt idx="7">
                  <c:v>0.23734613396913962</c:v>
                </c:pt>
                <c:pt idx="8">
                  <c:v>0.52004631375398047</c:v>
                </c:pt>
                <c:pt idx="9">
                  <c:v>0.82674096187567125</c:v>
                </c:pt>
                <c:pt idx="10">
                  <c:v>0.6516009273870198</c:v>
                </c:pt>
                <c:pt idx="11">
                  <c:v>0.50475413241681488</c:v>
                </c:pt>
                <c:pt idx="12">
                  <c:v>0.40512406777705501</c:v>
                </c:pt>
                <c:pt idx="13">
                  <c:v>7.9522592595157926E-2</c:v>
                </c:pt>
                <c:pt idx="14">
                  <c:v>-5.31759637412869E-2</c:v>
                </c:pt>
                <c:pt idx="15">
                  <c:v>-6.9085533222069381E-2</c:v>
                </c:pt>
                <c:pt idx="16">
                  <c:v>0.10389114606048008</c:v>
                </c:pt>
                <c:pt idx="17">
                  <c:v>4.8518655211085254E-2</c:v>
                </c:pt>
                <c:pt idx="18">
                  <c:v>0.22788597854650419</c:v>
                </c:pt>
                <c:pt idx="19">
                  <c:v>3.146341110732534E-2</c:v>
                </c:pt>
                <c:pt idx="20">
                  <c:v>-3.2343833499911212E-2</c:v>
                </c:pt>
                <c:pt idx="21">
                  <c:v>-0.54875551656759858</c:v>
                </c:pt>
                <c:pt idx="22">
                  <c:v>-0.21314624785035269</c:v>
                </c:pt>
                <c:pt idx="23">
                  <c:v>0.43258748242153289</c:v>
                </c:pt>
                <c:pt idx="24">
                  <c:v>0.26430043366619738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269-4381-A6C7-31DA1E3D0080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IPP'!$R$33:$AQ$33</c:f>
              <c:numCache>
                <c:formatCode>0.0</c:formatCode>
                <c:ptCount val="26"/>
                <c:pt idx="0">
                  <c:v>0.99790191745106882</c:v>
                </c:pt>
                <c:pt idx="1">
                  <c:v>0.89869551924785085</c:v>
                </c:pt>
                <c:pt idx="2">
                  <c:v>1.0140985408551135</c:v>
                </c:pt>
                <c:pt idx="3">
                  <c:v>-0.23144536420896189</c:v>
                </c:pt>
                <c:pt idx="4">
                  <c:v>0.26284587339298521</c:v>
                </c:pt>
                <c:pt idx="5">
                  <c:v>-0.36379862472242158</c:v>
                </c:pt>
                <c:pt idx="6">
                  <c:v>6.0778320295188704E-2</c:v>
                </c:pt>
                <c:pt idx="7">
                  <c:v>0.57462664260793739</c:v>
                </c:pt>
                <c:pt idx="8">
                  <c:v>7.0021742223497829E-2</c:v>
                </c:pt>
                <c:pt idx="9">
                  <c:v>1.4968765381346332</c:v>
                </c:pt>
                <c:pt idx="10">
                  <c:v>0.75563441850938817</c:v>
                </c:pt>
                <c:pt idx="11">
                  <c:v>0.97414760712501969</c:v>
                </c:pt>
                <c:pt idx="12">
                  <c:v>1.1572391799219797</c:v>
                </c:pt>
                <c:pt idx="13">
                  <c:v>0.6725057701913375</c:v>
                </c:pt>
                <c:pt idx="14">
                  <c:v>1.1043020585420495</c:v>
                </c:pt>
                <c:pt idx="15">
                  <c:v>0.49003903449396968</c:v>
                </c:pt>
                <c:pt idx="16">
                  <c:v>-4.5073361183030347E-2</c:v>
                </c:pt>
                <c:pt idx="17">
                  <c:v>4.2642071767505327E-2</c:v>
                </c:pt>
                <c:pt idx="18">
                  <c:v>-0.66202289851528051</c:v>
                </c:pt>
                <c:pt idx="19">
                  <c:v>-0.22564017800563624</c:v>
                </c:pt>
                <c:pt idx="20">
                  <c:v>7.6841219891765677E-2</c:v>
                </c:pt>
                <c:pt idx="21">
                  <c:v>-2.8313423651484886</c:v>
                </c:pt>
                <c:pt idx="22">
                  <c:v>8.2797121426130077E-2</c:v>
                </c:pt>
                <c:pt idx="23">
                  <c:v>9.7557088121208529E-2</c:v>
                </c:pt>
                <c:pt idx="24">
                  <c:v>-0.15110672459180577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269-4381-A6C7-31DA1E3D0080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(B, D)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IPP'!$R$34:$AQ$34</c:f>
              <c:numCache>
                <c:formatCode>0.0</c:formatCode>
                <c:ptCount val="26"/>
                <c:pt idx="0">
                  <c:v>0.14536369337262112</c:v>
                </c:pt>
                <c:pt idx="1">
                  <c:v>-0.33984851886778389</c:v>
                </c:pt>
                <c:pt idx="2">
                  <c:v>-0.39719330301482159</c:v>
                </c:pt>
                <c:pt idx="3">
                  <c:v>-1.1146161627338653</c:v>
                </c:pt>
                <c:pt idx="4">
                  <c:v>-0.64581780602362893</c:v>
                </c:pt>
                <c:pt idx="5">
                  <c:v>9.8757674154636987E-2</c:v>
                </c:pt>
                <c:pt idx="6">
                  <c:v>-0.47678822664722548</c:v>
                </c:pt>
                <c:pt idx="7">
                  <c:v>0.5038061309270212</c:v>
                </c:pt>
                <c:pt idx="8">
                  <c:v>0.66217224583389844</c:v>
                </c:pt>
                <c:pt idx="9">
                  <c:v>-0.18248944438855802</c:v>
                </c:pt>
                <c:pt idx="10">
                  <c:v>0.77178193644183435</c:v>
                </c:pt>
                <c:pt idx="11">
                  <c:v>0.73275070181120505</c:v>
                </c:pt>
                <c:pt idx="12">
                  <c:v>-0.53887865891214681</c:v>
                </c:pt>
                <c:pt idx="13">
                  <c:v>4.2205690381435096E-3</c:v>
                </c:pt>
                <c:pt idx="14">
                  <c:v>0.78780707738879552</c:v>
                </c:pt>
                <c:pt idx="15">
                  <c:v>0.33124326032333173</c:v>
                </c:pt>
                <c:pt idx="16">
                  <c:v>0.21326016962669453</c:v>
                </c:pt>
                <c:pt idx="17">
                  <c:v>4.593311018825097E-2</c:v>
                </c:pt>
                <c:pt idx="18">
                  <c:v>-0.66562135602659178</c:v>
                </c:pt>
                <c:pt idx="19">
                  <c:v>-0.33090067760840614</c:v>
                </c:pt>
                <c:pt idx="20">
                  <c:v>-0.97349114199634235</c:v>
                </c:pt>
                <c:pt idx="21">
                  <c:v>-1.5874404115193026</c:v>
                </c:pt>
                <c:pt idx="22">
                  <c:v>-0.71569504087898972</c:v>
                </c:pt>
                <c:pt idx="23">
                  <c:v>-0.6949618157483497</c:v>
                </c:pt>
                <c:pt idx="24">
                  <c:v>0.45638788328587099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269-4381-A6C7-31DA1E3D0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112768128"/>
        <c:axId val="112769664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B, C, D)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bg1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IPP'!$R$35:$AQ$35</c:f>
              <c:numCache>
                <c:formatCode>0.0</c:formatCode>
                <c:ptCount val="26"/>
                <c:pt idx="0">
                  <c:v>4.8682458563000068</c:v>
                </c:pt>
                <c:pt idx="1">
                  <c:v>5.3044741369999997</c:v>
                </c:pt>
                <c:pt idx="2">
                  <c:v>5.6190886268000071</c:v>
                </c:pt>
                <c:pt idx="3">
                  <c:v>2.3830895040999991</c:v>
                </c:pt>
                <c:pt idx="4">
                  <c:v>4.4721731077000015</c:v>
                </c:pt>
                <c:pt idx="5">
                  <c:v>2.6101078087999952</c:v>
                </c:pt>
                <c:pt idx="6">
                  <c:v>1.685282625100001</c:v>
                </c:pt>
                <c:pt idx="7">
                  <c:v>3.5077673609000044</c:v>
                </c:pt>
                <c:pt idx="8">
                  <c:v>4.7800802052999956</c:v>
                </c:pt>
                <c:pt idx="9">
                  <c:v>8.0163224835000051</c:v>
                </c:pt>
                <c:pt idx="10">
                  <c:v>6.5553384864000037</c:v>
                </c:pt>
                <c:pt idx="11">
                  <c:v>7.5463265375999953</c:v>
                </c:pt>
                <c:pt idx="12">
                  <c:v>4.2589652710999957</c:v>
                </c:pt>
                <c:pt idx="13">
                  <c:v>2.4120135812000001</c:v>
                </c:pt>
                <c:pt idx="14">
                  <c:v>3.7328733271999965</c:v>
                </c:pt>
                <c:pt idx="15">
                  <c:v>1.9659868294999967</c:v>
                </c:pt>
                <c:pt idx="16">
                  <c:v>0.8563629657000007</c:v>
                </c:pt>
                <c:pt idx="17">
                  <c:v>0.97017926910000085</c:v>
                </c:pt>
                <c:pt idx="18">
                  <c:v>-1.1400871741000032</c:v>
                </c:pt>
                <c:pt idx="19">
                  <c:v>-2.0711551671000024</c:v>
                </c:pt>
                <c:pt idx="20">
                  <c:v>-4.3995095515000031</c:v>
                </c:pt>
                <c:pt idx="21">
                  <c:v>-22.935996158799995</c:v>
                </c:pt>
                <c:pt idx="22">
                  <c:v>-2.818709542700006</c:v>
                </c:pt>
                <c:pt idx="23">
                  <c:v>2.0493572614000044</c:v>
                </c:pt>
                <c:pt idx="24">
                  <c:v>3.9108336095000027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269-4381-A6C7-31DA1E3D0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768128"/>
        <c:axId val="112769664"/>
      </c:lineChart>
      <c:lineChart>
        <c:grouping val="standard"/>
        <c:varyColors val="0"/>
        <c:ser>
          <c:idx val="9"/>
          <c:order val="9"/>
          <c:tx>
            <c:strRef>
              <c:f>'GRAF příspěvky IPP'!$A$36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5875">
              <a:solidFill>
                <a:schemeClr val="bg1">
                  <a:lumMod val="65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'GRAF příspěvky IPP'!$R$25:$AQ$26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'GRAF příspěvky IPP'!$R$36:$AQ$36</c:f>
              <c:numCache>
                <c:formatCode>0.0</c:formatCode>
                <c:ptCount val="26"/>
                <c:pt idx="0">
                  <c:v>2.2999999999999998</c:v>
                </c:pt>
                <c:pt idx="1">
                  <c:v>3.3</c:v>
                </c:pt>
                <c:pt idx="2">
                  <c:v>3</c:v>
                </c:pt>
                <c:pt idx="3">
                  <c:v>1</c:v>
                </c:pt>
                <c:pt idx="4">
                  <c:v>3.7</c:v>
                </c:pt>
                <c:pt idx="5">
                  <c:v>2.7</c:v>
                </c:pt>
                <c:pt idx="6">
                  <c:v>5</c:v>
                </c:pt>
                <c:pt idx="7">
                  <c:v>6.3</c:v>
                </c:pt>
                <c:pt idx="8">
                  <c:v>3.7</c:v>
                </c:pt>
                <c:pt idx="9">
                  <c:v>0.5</c:v>
                </c:pt>
                <c:pt idx="10">
                  <c:v>4</c:v>
                </c:pt>
                <c:pt idx="11">
                  <c:v>4.7</c:v>
                </c:pt>
                <c:pt idx="12">
                  <c:v>3.7</c:v>
                </c:pt>
                <c:pt idx="13">
                  <c:v>2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0.3</c:v>
                </c:pt>
                <c:pt idx="17">
                  <c:v>-2</c:v>
                </c:pt>
                <c:pt idx="18">
                  <c:v>-3</c:v>
                </c:pt>
                <c:pt idx="19">
                  <c:v>-6.7</c:v>
                </c:pt>
                <c:pt idx="20">
                  <c:v>-5</c:v>
                </c:pt>
                <c:pt idx="21">
                  <c:v>-25</c:v>
                </c:pt>
                <c:pt idx="22">
                  <c:v>-6.3</c:v>
                </c:pt>
                <c:pt idx="23">
                  <c:v>-10</c:v>
                </c:pt>
                <c:pt idx="24">
                  <c:v>-1.3</c:v>
                </c:pt>
                <c:pt idx="25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E269-4381-A6C7-31DA1E3D0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731104"/>
        <c:axId val="1513729024"/>
      </c:lineChart>
      <c:catAx>
        <c:axId val="1127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9664"/>
        <c:crosses val="autoZero"/>
        <c:auto val="1"/>
        <c:lblAlgn val="ctr"/>
        <c:lblOffset val="0"/>
        <c:noMultiLvlLbl val="0"/>
      </c:catAx>
      <c:valAx>
        <c:axId val="112769664"/>
        <c:scaling>
          <c:orientation val="minMax"/>
          <c:max val="9"/>
          <c:min val="-24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Příspěvky ke změně průmyslové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produkce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1183821724561137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2768128"/>
        <c:crosses val="autoZero"/>
        <c:crossBetween val="between"/>
        <c:majorUnit val="3"/>
      </c:valAx>
      <c:valAx>
        <c:axId val="1513729024"/>
        <c:scaling>
          <c:orientation val="minMax"/>
          <c:max val="30"/>
          <c:min val="-25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700" b="0" i="1">
                    <a:latin typeface="Arial" panose="020B0604020202020204" pitchFamily="34" charset="0"/>
                    <a:cs typeface="Arial" panose="020B0604020202020204" pitchFamily="34" charset="0"/>
                  </a:rPr>
                  <a:t>Saldo</a:t>
                </a:r>
                <a:r>
                  <a:rPr lang="cs-CZ" sz="700" b="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indikátoru důvěry</a:t>
                </a:r>
                <a:endParaRPr lang="cs-CZ" sz="700" b="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7073916983354047"/>
              <c:y val="0.191915607754587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1513731104"/>
        <c:crosses val="max"/>
        <c:crossBetween val="between"/>
        <c:majorUnit val="5"/>
      </c:valAx>
      <c:catAx>
        <c:axId val="1513731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372902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5.3674313143127631E-3"/>
          <c:y val="0.8208401379824497"/>
          <c:w val="0.99049246182308814"/>
          <c:h val="0.1680903527628885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15582501720615E-2"/>
          <c:y val="1.643251153889452E-2"/>
          <c:w val="0.86254083709606399"/>
          <c:h val="0.76336766858043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2'!$R$31:$AQ$31</c:f>
              <c:numCache>
                <c:formatCode>#\ ##0.0__</c:formatCode>
                <c:ptCount val="26"/>
                <c:pt idx="0">
                  <c:v>8.5397251010390391</c:v>
                </c:pt>
                <c:pt idx="1">
                  <c:v>6.4894834031568251</c:v>
                </c:pt>
                <c:pt idx="2">
                  <c:v>4.1045761314248068</c:v>
                </c:pt>
                <c:pt idx="3">
                  <c:v>6.0151063810169205</c:v>
                </c:pt>
                <c:pt idx="4">
                  <c:v>1.3550678522953064</c:v>
                </c:pt>
                <c:pt idx="5">
                  <c:v>10.856046878525433</c:v>
                </c:pt>
                <c:pt idx="6">
                  <c:v>1.6431282237439291</c:v>
                </c:pt>
                <c:pt idx="7">
                  <c:v>6.7220844736941103</c:v>
                </c:pt>
                <c:pt idx="8">
                  <c:v>10.841479121555906</c:v>
                </c:pt>
                <c:pt idx="9">
                  <c:v>4.5315942367003714</c:v>
                </c:pt>
                <c:pt idx="10">
                  <c:v>6.9082617878945598</c:v>
                </c:pt>
                <c:pt idx="11">
                  <c:v>7.5112613571588724</c:v>
                </c:pt>
                <c:pt idx="12">
                  <c:v>1.6339188767607453</c:v>
                </c:pt>
                <c:pt idx="13">
                  <c:v>4.6301209797549205</c:v>
                </c:pt>
                <c:pt idx="14">
                  <c:v>3.6945404784506337</c:v>
                </c:pt>
                <c:pt idx="15">
                  <c:v>4.2467023509658759</c:v>
                </c:pt>
                <c:pt idx="16">
                  <c:v>3.2159327201169816</c:v>
                </c:pt>
                <c:pt idx="17">
                  <c:v>0.65858715061426665</c:v>
                </c:pt>
                <c:pt idx="18">
                  <c:v>2.2747163836690305</c:v>
                </c:pt>
                <c:pt idx="19">
                  <c:v>-4.7832000111320241</c:v>
                </c:pt>
                <c:pt idx="20">
                  <c:v>-1.2762466132796817</c:v>
                </c:pt>
                <c:pt idx="21">
                  <c:v>-27.685678861776282</c:v>
                </c:pt>
                <c:pt idx="22">
                  <c:v>-2.0849225069869703</c:v>
                </c:pt>
                <c:pt idx="23">
                  <c:v>6.882954384462451</c:v>
                </c:pt>
                <c:pt idx="24">
                  <c:v>7.4402517572367941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0B-49FD-A472-3F1BD2E10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28"/>
        <c:axId val="139174272"/>
        <c:axId val="139175808"/>
      </c:barChart>
      <c:lineChart>
        <c:grouping val="standard"/>
        <c:varyColors val="0"/>
        <c:ser>
          <c:idx val="2"/>
          <c:order val="1"/>
          <c:tx>
            <c:strRef>
              <c:f>'výkonnost odvětví 2'!$A$32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chemeClr val="tx1">
                  <a:lumMod val="85000"/>
                  <a:lumOff val="1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2'!$R$32:$AQ$32</c:f>
              <c:numCache>
                <c:formatCode>#\ ##0.0__</c:formatCode>
                <c:ptCount val="26"/>
                <c:pt idx="0">
                  <c:v>4.341961301010727</c:v>
                </c:pt>
                <c:pt idx="1">
                  <c:v>10.024449168168019</c:v>
                </c:pt>
                <c:pt idx="2">
                  <c:v>-4.7604240586837108</c:v>
                </c:pt>
                <c:pt idx="3">
                  <c:v>0.56107209694786775</c:v>
                </c:pt>
                <c:pt idx="4">
                  <c:v>0.20304376106223287</c:v>
                </c:pt>
                <c:pt idx="5">
                  <c:v>4.9376200007964286</c:v>
                </c:pt>
                <c:pt idx="6">
                  <c:v>-0.65834656713856532</c:v>
                </c:pt>
                <c:pt idx="7">
                  <c:v>2.873089889380708</c:v>
                </c:pt>
                <c:pt idx="8">
                  <c:v>16.722989365311648</c:v>
                </c:pt>
                <c:pt idx="9">
                  <c:v>11.567742610098009</c:v>
                </c:pt>
                <c:pt idx="10">
                  <c:v>14.702871802754672</c:v>
                </c:pt>
                <c:pt idx="11">
                  <c:v>15.641374658030259</c:v>
                </c:pt>
                <c:pt idx="12">
                  <c:v>-0.54655499165191657</c:v>
                </c:pt>
                <c:pt idx="13">
                  <c:v>3.3862320433243838</c:v>
                </c:pt>
                <c:pt idx="14">
                  <c:v>4.5707977831681177</c:v>
                </c:pt>
                <c:pt idx="15">
                  <c:v>4.8009732818449038</c:v>
                </c:pt>
                <c:pt idx="16">
                  <c:v>8.0074778782798006</c:v>
                </c:pt>
                <c:pt idx="17">
                  <c:v>4.3685672275757952</c:v>
                </c:pt>
                <c:pt idx="18">
                  <c:v>3.2795252635021939</c:v>
                </c:pt>
                <c:pt idx="19">
                  <c:v>-2.4886565019466786</c:v>
                </c:pt>
                <c:pt idx="20">
                  <c:v>6.4934467246087451</c:v>
                </c:pt>
                <c:pt idx="21">
                  <c:v>-25.916734002239323</c:v>
                </c:pt>
                <c:pt idx="22">
                  <c:v>-3.9678211678045017</c:v>
                </c:pt>
                <c:pt idx="23">
                  <c:v>6.667164135045283</c:v>
                </c:pt>
                <c:pt idx="24">
                  <c:v>-3.7246606881854945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0B-49FD-A472-3F1BD2E100C9}"/>
            </c:ext>
          </c:extLst>
        </c:ser>
        <c:ser>
          <c:idx val="5"/>
          <c:order val="2"/>
          <c:tx>
            <c:strRef>
              <c:f>'výkonnost odvětví 2'!$A$33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2'!$R$33:$AQ$33</c:f>
              <c:numCache>
                <c:formatCode>#\ ##0.0__</c:formatCode>
                <c:ptCount val="26"/>
                <c:pt idx="0">
                  <c:v>15.316352438277931</c:v>
                </c:pt>
                <c:pt idx="1">
                  <c:v>5.584343456517459</c:v>
                </c:pt>
                <c:pt idx="2">
                  <c:v>13.898535777390734</c:v>
                </c:pt>
                <c:pt idx="3">
                  <c:v>18.975191723154538</c:v>
                </c:pt>
                <c:pt idx="4">
                  <c:v>11.460497347422447</c:v>
                </c:pt>
                <c:pt idx="5">
                  <c:v>33.085131031292235</c:v>
                </c:pt>
                <c:pt idx="6">
                  <c:v>5.912380139380474</c:v>
                </c:pt>
                <c:pt idx="7">
                  <c:v>12.001000805244416</c:v>
                </c:pt>
                <c:pt idx="8">
                  <c:v>7.9804719471503205</c:v>
                </c:pt>
                <c:pt idx="9">
                  <c:v>-1.7592612473364966</c:v>
                </c:pt>
                <c:pt idx="10">
                  <c:v>3.8626497182263222</c:v>
                </c:pt>
                <c:pt idx="11">
                  <c:v>0.37376710568412364</c:v>
                </c:pt>
                <c:pt idx="12">
                  <c:v>0.60861960894675349</c:v>
                </c:pt>
                <c:pt idx="13">
                  <c:v>3.6675371997157811</c:v>
                </c:pt>
                <c:pt idx="14">
                  <c:v>0.69699979014031044</c:v>
                </c:pt>
                <c:pt idx="15">
                  <c:v>1.0371076901644045</c:v>
                </c:pt>
                <c:pt idx="16">
                  <c:v>2.3844519038519962</c:v>
                </c:pt>
                <c:pt idx="17">
                  <c:v>3.1505861553301884</c:v>
                </c:pt>
                <c:pt idx="18">
                  <c:v>7.8772894879504776</c:v>
                </c:pt>
                <c:pt idx="19">
                  <c:v>-0.27078960340936931</c:v>
                </c:pt>
                <c:pt idx="20">
                  <c:v>-6.5941090261626556</c:v>
                </c:pt>
                <c:pt idx="21">
                  <c:v>-43.297757603226039</c:v>
                </c:pt>
                <c:pt idx="22">
                  <c:v>3.6539438072891244</c:v>
                </c:pt>
                <c:pt idx="23">
                  <c:v>8.0597939162845336</c:v>
                </c:pt>
                <c:pt idx="24">
                  <c:v>16.785005657074436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40B-49FD-A472-3F1BD2E10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4272"/>
        <c:axId val="139175808"/>
      </c:lineChart>
      <c:lineChart>
        <c:grouping val="standard"/>
        <c:varyColors val="0"/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2'!$R$34:$AQ$34</c:f>
              <c:numCache>
                <c:formatCode>#\ ##0.0</c:formatCode>
                <c:ptCount val="26"/>
                <c:pt idx="0">
                  <c:v>86.2</c:v>
                </c:pt>
                <c:pt idx="1">
                  <c:v>85</c:v>
                </c:pt>
                <c:pt idx="2">
                  <c:v>85.6</c:v>
                </c:pt>
                <c:pt idx="3">
                  <c:v>83.9</c:v>
                </c:pt>
                <c:pt idx="4">
                  <c:v>84.5</c:v>
                </c:pt>
                <c:pt idx="5">
                  <c:v>84.7</c:v>
                </c:pt>
                <c:pt idx="6">
                  <c:v>84.7</c:v>
                </c:pt>
                <c:pt idx="7">
                  <c:v>84.1</c:v>
                </c:pt>
                <c:pt idx="8">
                  <c:v>84.9</c:v>
                </c:pt>
                <c:pt idx="9">
                  <c:v>83.1</c:v>
                </c:pt>
                <c:pt idx="10">
                  <c:v>84.4</c:v>
                </c:pt>
                <c:pt idx="11">
                  <c:v>84.3</c:v>
                </c:pt>
                <c:pt idx="12">
                  <c:v>85.8</c:v>
                </c:pt>
                <c:pt idx="13">
                  <c:v>85.4</c:v>
                </c:pt>
                <c:pt idx="14">
                  <c:v>86.2</c:v>
                </c:pt>
                <c:pt idx="15">
                  <c:v>85.8</c:v>
                </c:pt>
                <c:pt idx="16">
                  <c:v>85.8</c:v>
                </c:pt>
                <c:pt idx="17">
                  <c:v>85.9</c:v>
                </c:pt>
                <c:pt idx="18">
                  <c:v>84.8</c:v>
                </c:pt>
                <c:pt idx="19">
                  <c:v>84.1</c:v>
                </c:pt>
                <c:pt idx="20">
                  <c:v>84.2</c:v>
                </c:pt>
                <c:pt idx="21">
                  <c:v>71</c:v>
                </c:pt>
                <c:pt idx="22">
                  <c:v>75.5</c:v>
                </c:pt>
                <c:pt idx="23">
                  <c:v>81.099999999999994</c:v>
                </c:pt>
                <c:pt idx="24">
                  <c:v>83.4</c:v>
                </c:pt>
                <c:pt idx="25">
                  <c:v>87.5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40B-49FD-A472-3F1BD2E100C9}"/>
            </c:ext>
          </c:extLst>
        </c:ser>
        <c:ser>
          <c:idx val="1"/>
          <c:order val="4"/>
          <c:tx>
            <c:strRef>
              <c:f>'výkonnost odvětví 2'!$A$35</c:f>
              <c:strCache>
                <c:ptCount val="1"/>
                <c:pt idx="0">
                  <c:v>Využití kapac. v automobil. pr.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2'!$R$35:$AQ$35</c:f>
              <c:numCache>
                <c:formatCode>0.0</c:formatCode>
                <c:ptCount val="26"/>
                <c:pt idx="0">
                  <c:v>92.8</c:v>
                </c:pt>
                <c:pt idx="1">
                  <c:v>91.1</c:v>
                </c:pt>
                <c:pt idx="2">
                  <c:v>93.1</c:v>
                </c:pt>
                <c:pt idx="3">
                  <c:v>88.7</c:v>
                </c:pt>
                <c:pt idx="4">
                  <c:v>91.6</c:v>
                </c:pt>
                <c:pt idx="5">
                  <c:v>90.3</c:v>
                </c:pt>
                <c:pt idx="6">
                  <c:v>93.1</c:v>
                </c:pt>
                <c:pt idx="7">
                  <c:v>90.9</c:v>
                </c:pt>
                <c:pt idx="8">
                  <c:v>93.2</c:v>
                </c:pt>
                <c:pt idx="9">
                  <c:v>87.3</c:v>
                </c:pt>
                <c:pt idx="10">
                  <c:v>90.7</c:v>
                </c:pt>
                <c:pt idx="11">
                  <c:v>90.5</c:v>
                </c:pt>
                <c:pt idx="12">
                  <c:v>91.1</c:v>
                </c:pt>
                <c:pt idx="13">
                  <c:v>91.6</c:v>
                </c:pt>
                <c:pt idx="14">
                  <c:v>92.1</c:v>
                </c:pt>
                <c:pt idx="15">
                  <c:v>93</c:v>
                </c:pt>
                <c:pt idx="16">
                  <c:v>92.8</c:v>
                </c:pt>
                <c:pt idx="17">
                  <c:v>93.6</c:v>
                </c:pt>
                <c:pt idx="18">
                  <c:v>92.3</c:v>
                </c:pt>
                <c:pt idx="19">
                  <c:v>93.4</c:v>
                </c:pt>
                <c:pt idx="20">
                  <c:v>90.5</c:v>
                </c:pt>
                <c:pt idx="21">
                  <c:v>50.8</c:v>
                </c:pt>
                <c:pt idx="22" formatCode="General">
                  <c:v>75.3</c:v>
                </c:pt>
                <c:pt idx="23" formatCode="General">
                  <c:v>90.9</c:v>
                </c:pt>
                <c:pt idx="24" formatCode="General">
                  <c:v>90.3</c:v>
                </c:pt>
                <c:pt idx="25" formatCode="General">
                  <c:v>99.1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40B-49FD-A472-3F1BD2E100C9}"/>
            </c:ext>
          </c:extLst>
        </c:ser>
        <c:ser>
          <c:idx val="4"/>
          <c:order val="5"/>
          <c:tx>
            <c:strRef>
              <c:f>'výkonnost odvětví 2'!$A$36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5875">
              <a:solidFill>
                <a:srgbClr val="D2CD0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2'!$R$36:$AQ$36</c:f>
              <c:numCache>
                <c:formatCode>#\ ##0.0</c:formatCode>
                <c:ptCount val="26"/>
                <c:pt idx="0">
                  <c:v>43.6</c:v>
                </c:pt>
                <c:pt idx="1">
                  <c:v>49.6</c:v>
                </c:pt>
                <c:pt idx="2">
                  <c:v>47.8</c:v>
                </c:pt>
                <c:pt idx="3">
                  <c:v>47.8</c:v>
                </c:pt>
                <c:pt idx="4">
                  <c:v>45.7</c:v>
                </c:pt>
                <c:pt idx="5">
                  <c:v>45.5</c:v>
                </c:pt>
                <c:pt idx="6">
                  <c:v>43</c:v>
                </c:pt>
                <c:pt idx="7">
                  <c:v>43.8</c:v>
                </c:pt>
                <c:pt idx="8">
                  <c:v>42.7</c:v>
                </c:pt>
                <c:pt idx="9">
                  <c:v>41.6</c:v>
                </c:pt>
                <c:pt idx="10">
                  <c:v>40.299999999999997</c:v>
                </c:pt>
                <c:pt idx="11">
                  <c:v>37.299999999999997</c:v>
                </c:pt>
                <c:pt idx="12">
                  <c:v>35.4</c:v>
                </c:pt>
                <c:pt idx="13">
                  <c:v>36</c:v>
                </c:pt>
                <c:pt idx="14">
                  <c:v>31.6</c:v>
                </c:pt>
                <c:pt idx="15">
                  <c:v>33.4</c:v>
                </c:pt>
                <c:pt idx="16">
                  <c:v>33.700000000000003</c:v>
                </c:pt>
                <c:pt idx="17">
                  <c:v>35.299999999999997</c:v>
                </c:pt>
                <c:pt idx="18">
                  <c:v>40.1</c:v>
                </c:pt>
                <c:pt idx="19">
                  <c:v>47.3</c:v>
                </c:pt>
                <c:pt idx="20">
                  <c:v>50.4</c:v>
                </c:pt>
                <c:pt idx="21">
                  <c:v>58.4</c:v>
                </c:pt>
                <c:pt idx="22">
                  <c:v>63.2</c:v>
                </c:pt>
                <c:pt idx="23">
                  <c:v>47.9</c:v>
                </c:pt>
                <c:pt idx="24">
                  <c:v>48.7</c:v>
                </c:pt>
                <c:pt idx="25">
                  <c:v>38.5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40B-49FD-A472-3F1BD2E100C9}"/>
            </c:ext>
          </c:extLst>
        </c:ser>
        <c:ser>
          <c:idx val="6"/>
          <c:order val="6"/>
          <c:tx>
            <c:strRef>
              <c:f>'výkonnost odvětví 2'!$A$37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9050">
              <a:solidFill>
                <a:srgbClr val="D2CD0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2'!$R$29:$AQ$30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2'!$R$37:$AQ$37</c:f>
              <c:numCache>
                <c:formatCode>#\ ##0.0</c:formatCode>
                <c:ptCount val="26"/>
                <c:pt idx="0">
                  <c:v>6.7</c:v>
                </c:pt>
                <c:pt idx="1">
                  <c:v>6.9</c:v>
                </c:pt>
                <c:pt idx="2">
                  <c:v>8.1</c:v>
                </c:pt>
                <c:pt idx="3">
                  <c:v>13.9</c:v>
                </c:pt>
                <c:pt idx="4">
                  <c:v>15.4</c:v>
                </c:pt>
                <c:pt idx="5">
                  <c:v>16.899999999999999</c:v>
                </c:pt>
                <c:pt idx="6">
                  <c:v>18.8</c:v>
                </c:pt>
                <c:pt idx="7">
                  <c:v>28.8</c:v>
                </c:pt>
                <c:pt idx="8">
                  <c:v>32.799999999999997</c:v>
                </c:pt>
                <c:pt idx="9">
                  <c:v>34.700000000000003</c:v>
                </c:pt>
                <c:pt idx="10">
                  <c:v>41.3</c:v>
                </c:pt>
                <c:pt idx="11">
                  <c:v>38.299999999999997</c:v>
                </c:pt>
                <c:pt idx="12">
                  <c:v>43.4</c:v>
                </c:pt>
                <c:pt idx="13">
                  <c:v>43.7</c:v>
                </c:pt>
                <c:pt idx="14">
                  <c:v>43.7</c:v>
                </c:pt>
                <c:pt idx="15">
                  <c:v>44.8</c:v>
                </c:pt>
                <c:pt idx="16">
                  <c:v>38.799999999999997</c:v>
                </c:pt>
                <c:pt idx="17">
                  <c:v>36.4</c:v>
                </c:pt>
                <c:pt idx="18">
                  <c:v>39.5</c:v>
                </c:pt>
                <c:pt idx="19">
                  <c:v>37.200000000000003</c:v>
                </c:pt>
                <c:pt idx="20">
                  <c:v>28.2</c:v>
                </c:pt>
                <c:pt idx="21">
                  <c:v>16.600000000000001</c:v>
                </c:pt>
                <c:pt idx="22">
                  <c:v>15.1</c:v>
                </c:pt>
                <c:pt idx="23">
                  <c:v>13.7</c:v>
                </c:pt>
                <c:pt idx="24">
                  <c:v>20.3</c:v>
                </c:pt>
                <c:pt idx="25">
                  <c:v>21.5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40B-49FD-A472-3F1BD2E10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78208"/>
        <c:axId val="139177344"/>
      </c:lineChart>
      <c:catAx>
        <c:axId val="139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5808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39175808"/>
        <c:scaling>
          <c:orientation val="minMax"/>
          <c:max val="50"/>
          <c:min val="-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i="1"/>
                  <a:t>Zakázky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4272"/>
        <c:crosses val="autoZero"/>
        <c:crossBetween val="between"/>
        <c:majorUnit val="10"/>
      </c:valAx>
      <c:valAx>
        <c:axId val="139177344"/>
        <c:scaling>
          <c:orientation val="minMax"/>
          <c:max val="1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Využití výrobních kapacit, bariéry</a:t>
                </a:r>
                <a:r>
                  <a:rPr lang="cs-CZ" sz="700" b="0" i="1" baseline="0"/>
                  <a:t> růstu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0.97051506350706762"/>
              <c:y val="0.1632171000788022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46478208"/>
        <c:crosses val="max"/>
        <c:crossBetween val="between"/>
      </c:valAx>
      <c:catAx>
        <c:axId val="1464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91773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5.4286656151664786E-3"/>
          <c:y val="0.86843605763818532"/>
          <c:w val="0.98923469429561495"/>
          <c:h val="0.12452043228638973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528634797960717E-2"/>
          <c:y val="1.6563187842952781E-2"/>
          <c:w val="0.85309486997222062"/>
          <c:h val="0.75433571654769893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3'!$Y$31:$Y$56</c:f>
              <c:numCache>
                <c:formatCode>0.0</c:formatCode>
                <c:ptCount val="26"/>
                <c:pt idx="0">
                  <c:v>6.0472691415550308</c:v>
                </c:pt>
                <c:pt idx="1">
                  <c:v>5.0361785279850331</c:v>
                </c:pt>
                <c:pt idx="2">
                  <c:v>0.79284647800469443</c:v>
                </c:pt>
                <c:pt idx="3">
                  <c:v>-1.7469503076723902</c:v>
                </c:pt>
                <c:pt idx="4">
                  <c:v>-4.9966395973466113</c:v>
                </c:pt>
                <c:pt idx="5">
                  <c:v>-4.9257017459251742</c:v>
                </c:pt>
                <c:pt idx="6">
                  <c:v>0.77276571096827207</c:v>
                </c:pt>
                <c:pt idx="7">
                  <c:v>3.9335414535585005</c:v>
                </c:pt>
                <c:pt idx="8">
                  <c:v>2.3671560586056022</c:v>
                </c:pt>
                <c:pt idx="9">
                  <c:v>9.8680621909171364</c:v>
                </c:pt>
                <c:pt idx="10">
                  <c:v>3.4017933101817137</c:v>
                </c:pt>
                <c:pt idx="11">
                  <c:v>2.6470410387980881</c:v>
                </c:pt>
                <c:pt idx="12">
                  <c:v>13.566805669626437</c:v>
                </c:pt>
                <c:pt idx="13">
                  <c:v>6.3014309761028438</c:v>
                </c:pt>
                <c:pt idx="14">
                  <c:v>7.6955191405999477</c:v>
                </c:pt>
                <c:pt idx="15">
                  <c:v>2.4925933032829257</c:v>
                </c:pt>
                <c:pt idx="16">
                  <c:v>2.8991265346082757</c:v>
                </c:pt>
                <c:pt idx="17">
                  <c:v>2.4161064271216639</c:v>
                </c:pt>
                <c:pt idx="18">
                  <c:v>-0.67044140108437589</c:v>
                </c:pt>
                <c:pt idx="19">
                  <c:v>2.416093622463102</c:v>
                </c:pt>
                <c:pt idx="20">
                  <c:v>-0.33918173121542228</c:v>
                </c:pt>
                <c:pt idx="21">
                  <c:v>-7.4193975140058424</c:v>
                </c:pt>
                <c:pt idx="22">
                  <c:v>-7.1727603765696051</c:v>
                </c:pt>
                <c:pt idx="23">
                  <c:v>-8.6187108971115816</c:v>
                </c:pt>
                <c:pt idx="24">
                  <c:v>-5.4842868872233632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3-49B6-B03B-DC5F47B816E7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 (příspěvek 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3'!$Z$31:$Z$56</c:f>
              <c:numCache>
                <c:formatCode>0.0</c:formatCode>
                <c:ptCount val="26"/>
                <c:pt idx="0">
                  <c:v>3.2371734793492286</c:v>
                </c:pt>
                <c:pt idx="1">
                  <c:v>7.2133653363142445</c:v>
                </c:pt>
                <c:pt idx="2">
                  <c:v>7.3965728347939308</c:v>
                </c:pt>
                <c:pt idx="3">
                  <c:v>2.855138673774563</c:v>
                </c:pt>
                <c:pt idx="4">
                  <c:v>-1.2748612346910093</c:v>
                </c:pt>
                <c:pt idx="5">
                  <c:v>-5.414778412052824</c:v>
                </c:pt>
                <c:pt idx="6">
                  <c:v>-7.0615948905346464</c:v>
                </c:pt>
                <c:pt idx="7">
                  <c:v>-5.9113799674669414</c:v>
                </c:pt>
                <c:pt idx="8">
                  <c:v>-3.3927259981365467</c:v>
                </c:pt>
                <c:pt idx="9">
                  <c:v>-1.198952761717637</c:v>
                </c:pt>
                <c:pt idx="10">
                  <c:v>-1.5292517461591122</c:v>
                </c:pt>
                <c:pt idx="11">
                  <c:v>0.24904908942130594</c:v>
                </c:pt>
                <c:pt idx="12">
                  <c:v>1.7517060590922457</c:v>
                </c:pt>
                <c:pt idx="13">
                  <c:v>1.2046321635544115</c:v>
                </c:pt>
                <c:pt idx="14">
                  <c:v>4.7152862062363932</c:v>
                </c:pt>
                <c:pt idx="15">
                  <c:v>1.8992954479389978</c:v>
                </c:pt>
                <c:pt idx="16">
                  <c:v>0.73586870212531541</c:v>
                </c:pt>
                <c:pt idx="17">
                  <c:v>1.8713674836205678</c:v>
                </c:pt>
                <c:pt idx="18">
                  <c:v>0.75615189920903703</c:v>
                </c:pt>
                <c:pt idx="19">
                  <c:v>0.84449513778573204</c:v>
                </c:pt>
                <c:pt idx="20">
                  <c:v>3.2042596941285559</c:v>
                </c:pt>
                <c:pt idx="21">
                  <c:v>1.2156790684783816</c:v>
                </c:pt>
                <c:pt idx="22">
                  <c:v>-1.8725018139646268</c:v>
                </c:pt>
                <c:pt idx="23">
                  <c:v>0.34408386896870419</c:v>
                </c:pt>
                <c:pt idx="24">
                  <c:v>-1.6340021483392655E-2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13-49B6-B03B-DC5F47B81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100"/>
        <c:axId val="147432960"/>
        <c:axId val="14743449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3'!$X$31:$X$56</c:f>
              <c:numCache>
                <c:formatCode>0.0</c:formatCode>
                <c:ptCount val="26"/>
                <c:pt idx="0">
                  <c:v>9.2017765228224988</c:v>
                </c:pt>
                <c:pt idx="1">
                  <c:v>11.980043538808332</c:v>
                </c:pt>
                <c:pt idx="2">
                  <c:v>7.8286342656312939</c:v>
                </c:pt>
                <c:pt idx="3">
                  <c:v>0.94557774780092529</c:v>
                </c:pt>
                <c:pt idx="4">
                  <c:v>-6.2824122661548785</c:v>
                </c:pt>
                <c:pt idx="5">
                  <c:v>-10.194427090117628</c:v>
                </c:pt>
                <c:pt idx="6">
                  <c:v>-5.917849407755682</c:v>
                </c:pt>
                <c:pt idx="7">
                  <c:v>-1.6490685502181321</c:v>
                </c:pt>
                <c:pt idx="8">
                  <c:v>-0.79880269419055594</c:v>
                </c:pt>
                <c:pt idx="9">
                  <c:v>8.9534675343638526</c:v>
                </c:pt>
                <c:pt idx="10">
                  <c:v>2.0444749820850632</c:v>
                </c:pt>
                <c:pt idx="11">
                  <c:v>2.9396785672127379</c:v>
                </c:pt>
                <c:pt idx="12">
                  <c:v>15.317302207920179</c:v>
                </c:pt>
                <c:pt idx="13">
                  <c:v>7.5063094273893398</c:v>
                </c:pt>
                <c:pt idx="14">
                  <c:v>12.406544540651936</c:v>
                </c:pt>
                <c:pt idx="15">
                  <c:v>4.3180623617480762</c:v>
                </c:pt>
                <c:pt idx="16">
                  <c:v>3.6346322356212539</c:v>
                </c:pt>
                <c:pt idx="17">
                  <c:v>4.2888988271298842</c:v>
                </c:pt>
                <c:pt idx="18">
                  <c:v>8.6862748706039383E-2</c:v>
                </c:pt>
                <c:pt idx="19">
                  <c:v>3.2606251776515762</c:v>
                </c:pt>
                <c:pt idx="20">
                  <c:v>2.8649648216544392</c:v>
                </c:pt>
                <c:pt idx="21">
                  <c:v>-6.2024596600145259</c:v>
                </c:pt>
                <c:pt idx="22">
                  <c:v>-9.0466947127630135</c:v>
                </c:pt>
                <c:pt idx="23">
                  <c:v>-8.2756255759856003</c:v>
                </c:pt>
                <c:pt idx="24">
                  <c:v>-5.5002420655324329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13-49B6-B03B-DC5F47B81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32960"/>
        <c:axId val="147434496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staveb. zakázky v tuzemsku (pr.osa)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3'!$AA$31:$AA$56</c:f>
              <c:numCache>
                <c:formatCode>0.0</c:formatCode>
                <c:ptCount val="26"/>
                <c:pt idx="0">
                  <c:v>-3.1547956675580053</c:v>
                </c:pt>
                <c:pt idx="1">
                  <c:v>9.7504961091663205</c:v>
                </c:pt>
                <c:pt idx="2">
                  <c:v>-1.097606022761255</c:v>
                </c:pt>
                <c:pt idx="3">
                  <c:v>-2.3987783410040464</c:v>
                </c:pt>
                <c:pt idx="4">
                  <c:v>-6.6406358945753823</c:v>
                </c:pt>
                <c:pt idx="5">
                  <c:v>-0.49977652269311079</c:v>
                </c:pt>
                <c:pt idx="6">
                  <c:v>-7.0322087253454839</c:v>
                </c:pt>
                <c:pt idx="7">
                  <c:v>10.122126124559955</c:v>
                </c:pt>
                <c:pt idx="8">
                  <c:v>16.177217458847437</c:v>
                </c:pt>
                <c:pt idx="9">
                  <c:v>9.5350878984013008</c:v>
                </c:pt>
                <c:pt idx="10">
                  <c:v>-1.2817324431350698</c:v>
                </c:pt>
                <c:pt idx="11">
                  <c:v>15.620806693503823</c:v>
                </c:pt>
                <c:pt idx="12">
                  <c:v>30.10697387368856</c:v>
                </c:pt>
                <c:pt idx="13">
                  <c:v>32.836878110611963</c:v>
                </c:pt>
                <c:pt idx="14">
                  <c:v>5.2768249907951201</c:v>
                </c:pt>
                <c:pt idx="15">
                  <c:v>1.8944565811032277</c:v>
                </c:pt>
                <c:pt idx="16">
                  <c:v>14.157245632065781</c:v>
                </c:pt>
                <c:pt idx="17">
                  <c:v>-9.3849543241233135</c:v>
                </c:pt>
                <c:pt idx="18">
                  <c:v>17.407871000993993</c:v>
                </c:pt>
                <c:pt idx="19">
                  <c:v>5.8323004254463768</c:v>
                </c:pt>
                <c:pt idx="20">
                  <c:v>-12.441635069859245</c:v>
                </c:pt>
                <c:pt idx="21">
                  <c:v>7.497345722028669</c:v>
                </c:pt>
                <c:pt idx="22">
                  <c:v>2.0599736606932879</c:v>
                </c:pt>
                <c:pt idx="23">
                  <c:v>7.5507850088630164</c:v>
                </c:pt>
                <c:pt idx="24">
                  <c:v>28.188227371706034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D13-49B6-B03B-DC5F47B816E7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Bariéra růstu: nedost. poptávka (pr.osa)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3'!$AB$31:$AB$56</c:f>
              <c:numCache>
                <c:formatCode>#\ ##0.0</c:formatCode>
                <c:ptCount val="26"/>
                <c:pt idx="0">
                  <c:v>65.8</c:v>
                </c:pt>
                <c:pt idx="1">
                  <c:v>60.4</c:v>
                </c:pt>
                <c:pt idx="2">
                  <c:v>58.9</c:v>
                </c:pt>
                <c:pt idx="3">
                  <c:v>57.6</c:v>
                </c:pt>
                <c:pt idx="4">
                  <c:v>54.5</c:v>
                </c:pt>
                <c:pt idx="5">
                  <c:v>61.1</c:v>
                </c:pt>
                <c:pt idx="6">
                  <c:v>60.4</c:v>
                </c:pt>
                <c:pt idx="7">
                  <c:v>57</c:v>
                </c:pt>
                <c:pt idx="8">
                  <c:v>53.9</c:v>
                </c:pt>
                <c:pt idx="9">
                  <c:v>54.3</c:v>
                </c:pt>
                <c:pt idx="10">
                  <c:v>50</c:v>
                </c:pt>
                <c:pt idx="11">
                  <c:v>48.3</c:v>
                </c:pt>
                <c:pt idx="12">
                  <c:v>40.299999999999997</c:v>
                </c:pt>
                <c:pt idx="13">
                  <c:v>38.200000000000003</c:v>
                </c:pt>
                <c:pt idx="14">
                  <c:v>33.4</c:v>
                </c:pt>
                <c:pt idx="15">
                  <c:v>24.1</c:v>
                </c:pt>
                <c:pt idx="16">
                  <c:v>25.4</c:v>
                </c:pt>
                <c:pt idx="17">
                  <c:v>23.3</c:v>
                </c:pt>
                <c:pt idx="18">
                  <c:v>17.899999999999999</c:v>
                </c:pt>
                <c:pt idx="19">
                  <c:v>20.9</c:v>
                </c:pt>
                <c:pt idx="20">
                  <c:v>30.3</c:v>
                </c:pt>
                <c:pt idx="21">
                  <c:v>29.3</c:v>
                </c:pt>
                <c:pt idx="22">
                  <c:v>38.799999999999997</c:v>
                </c:pt>
                <c:pt idx="23" formatCode="General">
                  <c:v>41.2</c:v>
                </c:pt>
                <c:pt idx="24">
                  <c:v>31.3</c:v>
                </c:pt>
                <c:pt idx="25">
                  <c:v>34.200000000000003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D13-49B6-B03B-DC5F47B816E7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3'!$AC$31:$AC$56</c:f>
              <c:numCache>
                <c:formatCode>#\ ##0.0</c:formatCode>
                <c:ptCount val="26"/>
                <c:pt idx="0">
                  <c:v>6.8</c:v>
                </c:pt>
                <c:pt idx="1">
                  <c:v>7.9</c:v>
                </c:pt>
                <c:pt idx="2">
                  <c:v>7.2</c:v>
                </c:pt>
                <c:pt idx="3">
                  <c:v>7</c:v>
                </c:pt>
                <c:pt idx="4">
                  <c:v>5.8</c:v>
                </c:pt>
                <c:pt idx="5">
                  <c:v>6.7</c:v>
                </c:pt>
                <c:pt idx="6">
                  <c:v>7.8</c:v>
                </c:pt>
                <c:pt idx="7">
                  <c:v>10.7</c:v>
                </c:pt>
                <c:pt idx="8">
                  <c:v>11.5</c:v>
                </c:pt>
                <c:pt idx="9">
                  <c:v>14</c:v>
                </c:pt>
                <c:pt idx="10">
                  <c:v>22.7</c:v>
                </c:pt>
                <c:pt idx="11">
                  <c:v>23.1</c:v>
                </c:pt>
                <c:pt idx="12">
                  <c:v>23.5</c:v>
                </c:pt>
                <c:pt idx="13">
                  <c:v>29.3</c:v>
                </c:pt>
                <c:pt idx="14">
                  <c:v>30.4</c:v>
                </c:pt>
                <c:pt idx="15">
                  <c:v>40.799999999999997</c:v>
                </c:pt>
                <c:pt idx="16">
                  <c:v>34.299999999999997</c:v>
                </c:pt>
                <c:pt idx="17">
                  <c:v>43</c:v>
                </c:pt>
                <c:pt idx="18">
                  <c:v>55</c:v>
                </c:pt>
                <c:pt idx="19">
                  <c:v>49.7</c:v>
                </c:pt>
                <c:pt idx="20">
                  <c:v>50</c:v>
                </c:pt>
                <c:pt idx="21">
                  <c:v>46.3</c:v>
                </c:pt>
                <c:pt idx="22">
                  <c:v>38.200000000000003</c:v>
                </c:pt>
                <c:pt idx="23" formatCode="0.0">
                  <c:v>34</c:v>
                </c:pt>
                <c:pt idx="24">
                  <c:v>43.6</c:v>
                </c:pt>
                <c:pt idx="25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D13-49B6-B03B-DC5F47B816E7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indik.důvěry ve stavebnictví (pr.osa)</c:v>
                </c:pt>
              </c:strCache>
            </c:strRef>
          </c:tx>
          <c:spPr>
            <a:ln w="15875">
              <a:solidFill>
                <a:schemeClr val="tx1">
                  <a:lumMod val="50000"/>
                  <a:lumOff val="50000"/>
                </a:schemeClr>
              </a:solidFill>
              <a:prstDash val="sysDot"/>
            </a:ln>
          </c:spPr>
          <c:marker>
            <c:symbol val="circle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multiLvlStrRef>
              <c:f>'výkonnost odvětví 3'!$V$31:$W$56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'výkonnost odvětví 3'!$AD$31:$AD$56</c:f>
              <c:numCache>
                <c:formatCode>0.0</c:formatCode>
                <c:ptCount val="26"/>
                <c:pt idx="0">
                  <c:v>-21</c:v>
                </c:pt>
                <c:pt idx="1">
                  <c:v>-16</c:v>
                </c:pt>
                <c:pt idx="2">
                  <c:v>-20</c:v>
                </c:pt>
                <c:pt idx="3">
                  <c:v>-14.5</c:v>
                </c:pt>
                <c:pt idx="4">
                  <c:v>-14.5</c:v>
                </c:pt>
                <c:pt idx="5">
                  <c:v>-25.5</c:v>
                </c:pt>
                <c:pt idx="6">
                  <c:v>-24.5</c:v>
                </c:pt>
                <c:pt idx="7">
                  <c:v>-23</c:v>
                </c:pt>
                <c:pt idx="8">
                  <c:v>-22.5</c:v>
                </c:pt>
                <c:pt idx="9">
                  <c:v>-24.5</c:v>
                </c:pt>
                <c:pt idx="10">
                  <c:v>-18.5</c:v>
                </c:pt>
                <c:pt idx="11">
                  <c:v>-15</c:v>
                </c:pt>
                <c:pt idx="12">
                  <c:v>-9</c:v>
                </c:pt>
                <c:pt idx="13">
                  <c:v>-6</c:v>
                </c:pt>
                <c:pt idx="14">
                  <c:v>-2</c:v>
                </c:pt>
                <c:pt idx="15">
                  <c:v>1</c:v>
                </c:pt>
                <c:pt idx="16">
                  <c:v>3.5</c:v>
                </c:pt>
                <c:pt idx="17">
                  <c:v>4</c:v>
                </c:pt>
                <c:pt idx="18">
                  <c:v>-1</c:v>
                </c:pt>
                <c:pt idx="19">
                  <c:v>1</c:v>
                </c:pt>
                <c:pt idx="20">
                  <c:v>-3</c:v>
                </c:pt>
                <c:pt idx="21">
                  <c:v>-15</c:v>
                </c:pt>
                <c:pt idx="22">
                  <c:v>-13</c:v>
                </c:pt>
                <c:pt idx="23">
                  <c:v>-11.5</c:v>
                </c:pt>
                <c:pt idx="24">
                  <c:v>-6</c:v>
                </c:pt>
                <c:pt idx="25">
                  <c:v>-5.5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D13-49B6-B03B-DC5F47B81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0816"/>
        <c:axId val="147649280"/>
      </c:lineChart>
      <c:catAx>
        <c:axId val="147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4496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47434496"/>
        <c:scaling>
          <c:orientation val="minMax"/>
          <c:max val="30"/>
          <c:min val="-2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/>
                  <a:t>Příspěvky</a:t>
                </a:r>
                <a:r>
                  <a:rPr lang="cs-CZ" baseline="0"/>
                  <a:t> ke změně stavební produkce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2.6741790744013471E-3"/>
              <c:y val="0.1822216788290748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2960"/>
        <c:crosses val="autoZero"/>
        <c:crossBetween val="between"/>
        <c:majorUnit val="5"/>
      </c:valAx>
      <c:valAx>
        <c:axId val="147649280"/>
        <c:scaling>
          <c:orientation val="minMax"/>
          <c:max val="90"/>
          <c:min val="-60"/>
        </c:scaling>
        <c:delete val="0"/>
        <c:axPos val="r"/>
        <c:title>
          <c:tx>
            <c:rich>
              <a:bodyPr/>
              <a:lstStyle/>
              <a:p>
                <a:pPr>
                  <a:defRPr sz="700" i="1"/>
                </a:pPr>
                <a:r>
                  <a:rPr lang="cs-CZ" sz="700" b="0" i="1" u="none" strike="noStrike" baseline="0">
                    <a:effectLst/>
                  </a:rPr>
                  <a:t>Zakázky, s</a:t>
                </a:r>
                <a:r>
                  <a:rPr lang="cs-CZ"/>
                  <a:t>aldo indikátoru důvěry, bariéry růstu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crossAx val="147650816"/>
        <c:crosses val="max"/>
        <c:crossBetween val="between"/>
        <c:majorUnit val="15"/>
      </c:valAx>
      <c:catAx>
        <c:axId val="14765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49280"/>
        <c:crosses val="autoZero"/>
        <c:auto val="0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0707509324541281E-2"/>
          <c:y val="0.85664470868256781"/>
          <c:w val="0.97857802116403014"/>
          <c:h val="0.13635475415022985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758689318202996E-2"/>
          <c:y val="1.5803328678987455E-2"/>
          <c:w val="0.85583630925272758"/>
          <c:h val="0.7103501120970378"/>
        </c:manualLayout>
      </c:layout>
      <c:barChart>
        <c:barDir val="col"/>
        <c:grouping val="stacked"/>
        <c:varyColors val="0"/>
        <c:ser>
          <c:idx val="0"/>
          <c:order val="1"/>
          <c:tx>
            <c:strRef>
              <c:f>'Služby-příspěvkyk růstu'!$D$25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</c:spPr>
          <c:invertIfNegative val="0"/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růstu'!$D$38:$D$63</c:f>
              <c:numCache>
                <c:formatCode>0.0</c:formatCode>
                <c:ptCount val="26"/>
                <c:pt idx="0">
                  <c:v>0.17784702557599033</c:v>
                </c:pt>
                <c:pt idx="1">
                  <c:v>-4.1153954550536498E-2</c:v>
                </c:pt>
                <c:pt idx="2">
                  <c:v>0.19675507185404387</c:v>
                </c:pt>
                <c:pt idx="3">
                  <c:v>4.4524490268410655E-2</c:v>
                </c:pt>
                <c:pt idx="4">
                  <c:v>0.13946448096623712</c:v>
                </c:pt>
                <c:pt idx="5">
                  <c:v>0.20828573579317947</c:v>
                </c:pt>
                <c:pt idx="6">
                  <c:v>0.13789200530936441</c:v>
                </c:pt>
                <c:pt idx="7">
                  <c:v>0.86068515110873312</c:v>
                </c:pt>
                <c:pt idx="8">
                  <c:v>1.7974934723664766</c:v>
                </c:pt>
                <c:pt idx="9">
                  <c:v>1.0846625349009715</c:v>
                </c:pt>
                <c:pt idx="10">
                  <c:v>1.1351852375742451</c:v>
                </c:pt>
                <c:pt idx="11">
                  <c:v>0.60468210639017606</c:v>
                </c:pt>
                <c:pt idx="12">
                  <c:v>1.7465012928992198</c:v>
                </c:pt>
                <c:pt idx="13">
                  <c:v>1.9213841091805361</c:v>
                </c:pt>
                <c:pt idx="14">
                  <c:v>1.4689302905524204</c:v>
                </c:pt>
                <c:pt idx="15">
                  <c:v>0.50117729578518855</c:v>
                </c:pt>
                <c:pt idx="16">
                  <c:v>0.75263240054785618</c:v>
                </c:pt>
                <c:pt idx="17">
                  <c:v>-8.121137806355179E-2</c:v>
                </c:pt>
                <c:pt idx="18">
                  <c:v>-0.66994926294940094</c:v>
                </c:pt>
                <c:pt idx="19">
                  <c:v>-0.54040905308684861</c:v>
                </c:pt>
                <c:pt idx="20">
                  <c:v>-1.8646946552605359</c:v>
                </c:pt>
                <c:pt idx="21">
                  <c:v>-6.8769875395707061</c:v>
                </c:pt>
                <c:pt idx="22">
                  <c:v>-4.2186862803005329</c:v>
                </c:pt>
                <c:pt idx="23">
                  <c:v>-1.7603068852892723</c:v>
                </c:pt>
                <c:pt idx="24">
                  <c:v>-0.17149666859199073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27-46E6-AD55-8DA1C5FB0121}"/>
            </c:ext>
          </c:extLst>
        </c:ser>
        <c:ser>
          <c:idx val="1"/>
          <c:order val="2"/>
          <c:tx>
            <c:strRef>
              <c:f>'Služby-příspěvkyk růstu'!$E$25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růstu'!$E$38:$E$63</c:f>
              <c:numCache>
                <c:formatCode>0.0</c:formatCode>
                <c:ptCount val="26"/>
                <c:pt idx="0">
                  <c:v>0.23068727874505793</c:v>
                </c:pt>
                <c:pt idx="1">
                  <c:v>0.65500430584103086</c:v>
                </c:pt>
                <c:pt idx="2">
                  <c:v>0.65445127748121035</c:v>
                </c:pt>
                <c:pt idx="3">
                  <c:v>0.40295089080303936</c:v>
                </c:pt>
                <c:pt idx="4">
                  <c:v>0.46667218520329662</c:v>
                </c:pt>
                <c:pt idx="5">
                  <c:v>0.17104444695300572</c:v>
                </c:pt>
                <c:pt idx="6">
                  <c:v>0.56704693143903195</c:v>
                </c:pt>
                <c:pt idx="7">
                  <c:v>0.60083208257587717</c:v>
                </c:pt>
                <c:pt idx="8">
                  <c:v>0.91455838493249142</c:v>
                </c:pt>
                <c:pt idx="9">
                  <c:v>1.231607253071263</c:v>
                </c:pt>
                <c:pt idx="10">
                  <c:v>0.5534510922648459</c:v>
                </c:pt>
                <c:pt idx="11">
                  <c:v>0.45394811178918809</c:v>
                </c:pt>
                <c:pt idx="12">
                  <c:v>0.20369258900958792</c:v>
                </c:pt>
                <c:pt idx="13">
                  <c:v>4.7235698176859818E-2</c:v>
                </c:pt>
                <c:pt idx="14">
                  <c:v>5.8750890591798624E-2</c:v>
                </c:pt>
                <c:pt idx="15">
                  <c:v>-3.8366347387654286E-2</c:v>
                </c:pt>
                <c:pt idx="16">
                  <c:v>0.19921781020350779</c:v>
                </c:pt>
                <c:pt idx="17">
                  <c:v>0.19028430952840486</c:v>
                </c:pt>
                <c:pt idx="18">
                  <c:v>-1.916690216819248E-2</c:v>
                </c:pt>
                <c:pt idx="19">
                  <c:v>-1.9416332102348634E-2</c:v>
                </c:pt>
                <c:pt idx="20">
                  <c:v>-1.1592357036246839</c:v>
                </c:pt>
                <c:pt idx="21">
                  <c:v>-4.9682177104098058</c:v>
                </c:pt>
                <c:pt idx="22">
                  <c:v>-1.9519574731345033</c:v>
                </c:pt>
                <c:pt idx="23">
                  <c:v>-4.5016526436732862</c:v>
                </c:pt>
                <c:pt idx="24">
                  <c:v>-3.7517164628330475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27-46E6-AD55-8DA1C5FB0121}"/>
            </c:ext>
          </c:extLst>
        </c:ser>
        <c:ser>
          <c:idx val="2"/>
          <c:order val="3"/>
          <c:tx>
            <c:strRef>
              <c:f>'Služby-příspěvkyk růstu'!$F$25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solidFill>
              <a:srgbClr val="E6E100"/>
            </a:solidFill>
            <a:ln>
              <a:noFill/>
            </a:ln>
          </c:spPr>
          <c:invertIfNegative val="0"/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růstu'!$F$38:$F$63</c:f>
              <c:numCache>
                <c:formatCode>0.0</c:formatCode>
                <c:ptCount val="26"/>
                <c:pt idx="0">
                  <c:v>1.4078898109159903</c:v>
                </c:pt>
                <c:pt idx="1">
                  <c:v>0.82525906257812898</c:v>
                </c:pt>
                <c:pt idx="2">
                  <c:v>0.80495762868220244</c:v>
                </c:pt>
                <c:pt idx="3">
                  <c:v>1.3162338204655517</c:v>
                </c:pt>
                <c:pt idx="4">
                  <c:v>0.36033487670421366</c:v>
                </c:pt>
                <c:pt idx="5">
                  <c:v>0.15638027838317614</c:v>
                </c:pt>
                <c:pt idx="6">
                  <c:v>0.32610885513838739</c:v>
                </c:pt>
                <c:pt idx="7">
                  <c:v>0.17762627373781287</c:v>
                </c:pt>
                <c:pt idx="8">
                  <c:v>0.76282425945040022</c:v>
                </c:pt>
                <c:pt idx="9">
                  <c:v>0.98306885205975347</c:v>
                </c:pt>
                <c:pt idx="10">
                  <c:v>0.77131824944810223</c:v>
                </c:pt>
                <c:pt idx="11">
                  <c:v>0.58432043551404034</c:v>
                </c:pt>
                <c:pt idx="12">
                  <c:v>1.4410506386239601</c:v>
                </c:pt>
                <c:pt idx="13">
                  <c:v>0.76544504374458233</c:v>
                </c:pt>
                <c:pt idx="14">
                  <c:v>1.4164775798085461</c:v>
                </c:pt>
                <c:pt idx="15">
                  <c:v>0.98719747480527764</c:v>
                </c:pt>
                <c:pt idx="16">
                  <c:v>1.2347847857804872</c:v>
                </c:pt>
                <c:pt idx="17">
                  <c:v>1.1610055784403761</c:v>
                </c:pt>
                <c:pt idx="18">
                  <c:v>0.91432300980238912</c:v>
                </c:pt>
                <c:pt idx="19">
                  <c:v>1.1615543875830505</c:v>
                </c:pt>
                <c:pt idx="20">
                  <c:v>0.81894474477217827</c:v>
                </c:pt>
                <c:pt idx="21">
                  <c:v>1.2294640949034262E-2</c:v>
                </c:pt>
                <c:pt idx="22">
                  <c:v>-0.20775191175017058</c:v>
                </c:pt>
                <c:pt idx="23">
                  <c:v>-0.54240589854371102</c:v>
                </c:pt>
                <c:pt idx="24">
                  <c:v>0.48908677145642843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27-46E6-AD55-8DA1C5FB0121}"/>
            </c:ext>
          </c:extLst>
        </c:ser>
        <c:ser>
          <c:idx val="4"/>
          <c:order val="4"/>
          <c:tx>
            <c:strRef>
              <c:f>'Služby-příspěvkyk růstu'!$G$25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  <a:prstDash val="sysDash"/>
            </a:ln>
          </c:spPr>
          <c:invertIfNegative val="0"/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růstu'!$G$38:$G$63</c:f>
              <c:numCache>
                <c:formatCode>0.0</c:formatCode>
                <c:ptCount val="26"/>
                <c:pt idx="0">
                  <c:v>4.5114687215489196E-2</c:v>
                </c:pt>
                <c:pt idx="1">
                  <c:v>-4.633203545382855E-3</c:v>
                </c:pt>
                <c:pt idx="2">
                  <c:v>8.5015739753390329E-2</c:v>
                </c:pt>
                <c:pt idx="3">
                  <c:v>4.220830931986512E-2</c:v>
                </c:pt>
                <c:pt idx="4">
                  <c:v>0.22367935692513705</c:v>
                </c:pt>
                <c:pt idx="5">
                  <c:v>6.8179123861302385E-2</c:v>
                </c:pt>
                <c:pt idx="6">
                  <c:v>0.11569139719415283</c:v>
                </c:pt>
                <c:pt idx="7">
                  <c:v>-7.0466113098899399E-2</c:v>
                </c:pt>
                <c:pt idx="8">
                  <c:v>0.28170347372407545</c:v>
                </c:pt>
                <c:pt idx="9">
                  <c:v>0.36183937198533883</c:v>
                </c:pt>
                <c:pt idx="10">
                  <c:v>-3.8722623438578699E-2</c:v>
                </c:pt>
                <c:pt idx="11">
                  <c:v>0.13751786545078354</c:v>
                </c:pt>
                <c:pt idx="12">
                  <c:v>-1.6524917654980809E-2</c:v>
                </c:pt>
                <c:pt idx="13">
                  <c:v>-0.22648210744306341</c:v>
                </c:pt>
                <c:pt idx="14">
                  <c:v>-0.12424593391733178</c:v>
                </c:pt>
                <c:pt idx="15">
                  <c:v>-0.2069362641489616</c:v>
                </c:pt>
                <c:pt idx="16">
                  <c:v>0.14696794947238928</c:v>
                </c:pt>
                <c:pt idx="17">
                  <c:v>-2.7570980462265055E-2</c:v>
                </c:pt>
                <c:pt idx="18">
                  <c:v>-0.16565733818130893</c:v>
                </c:pt>
                <c:pt idx="19">
                  <c:v>-0.11837811648212067</c:v>
                </c:pt>
                <c:pt idx="20">
                  <c:v>0.43339495192195154</c:v>
                </c:pt>
                <c:pt idx="21">
                  <c:v>-0.29664667919137244</c:v>
                </c:pt>
                <c:pt idx="22">
                  <c:v>-0.27589755073842731</c:v>
                </c:pt>
                <c:pt idx="23">
                  <c:v>-0.22603611712587934</c:v>
                </c:pt>
                <c:pt idx="24">
                  <c:v>-0.20670851684630456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27-46E6-AD55-8DA1C5FB0121}"/>
            </c:ext>
          </c:extLst>
        </c:ser>
        <c:ser>
          <c:idx val="5"/>
          <c:order val="5"/>
          <c:tx>
            <c:strRef>
              <c:f>'Služby-příspěvkyk růstu'!$H$25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růstu'!$H$38:$H$63</c:f>
              <c:numCache>
                <c:formatCode>0.0</c:formatCode>
                <c:ptCount val="26"/>
                <c:pt idx="0">
                  <c:v>1.0484383463709321</c:v>
                </c:pt>
                <c:pt idx="1">
                  <c:v>0.72052999502781179</c:v>
                </c:pt>
                <c:pt idx="2">
                  <c:v>1.0868604197952834</c:v>
                </c:pt>
                <c:pt idx="3">
                  <c:v>-4.0322082082337972E-2</c:v>
                </c:pt>
                <c:pt idx="4">
                  <c:v>-0.43449187704976927</c:v>
                </c:pt>
                <c:pt idx="5">
                  <c:v>-1.3323039000266932</c:v>
                </c:pt>
                <c:pt idx="6">
                  <c:v>-3.9552220086378894E-3</c:v>
                </c:pt>
                <c:pt idx="7">
                  <c:v>-0.31462694364037369</c:v>
                </c:pt>
                <c:pt idx="8">
                  <c:v>0.96902063476099443</c:v>
                </c:pt>
                <c:pt idx="9">
                  <c:v>0.58685347143608046</c:v>
                </c:pt>
                <c:pt idx="10">
                  <c:v>0.3036767260079471</c:v>
                </c:pt>
                <c:pt idx="11">
                  <c:v>0.42723783324562753</c:v>
                </c:pt>
                <c:pt idx="12">
                  <c:v>1.0465166620234574</c:v>
                </c:pt>
                <c:pt idx="13">
                  <c:v>0.55031893076940297</c:v>
                </c:pt>
                <c:pt idx="14">
                  <c:v>0.36062690239541018</c:v>
                </c:pt>
                <c:pt idx="15">
                  <c:v>-0.26282042548043488</c:v>
                </c:pt>
                <c:pt idx="16">
                  <c:v>0.70683419275912829</c:v>
                </c:pt>
                <c:pt idx="17">
                  <c:v>0.58909336860858441</c:v>
                </c:pt>
                <c:pt idx="18">
                  <c:v>-0.76655146702786459</c:v>
                </c:pt>
                <c:pt idx="19">
                  <c:v>-0.57242584774453176</c:v>
                </c:pt>
                <c:pt idx="20">
                  <c:v>-0.86095792954266626</c:v>
                </c:pt>
                <c:pt idx="21">
                  <c:v>-3.1835055642505159</c:v>
                </c:pt>
                <c:pt idx="22">
                  <c:v>-1.4957874257817754</c:v>
                </c:pt>
                <c:pt idx="23">
                  <c:v>-1.5473623495881494</c:v>
                </c:pt>
                <c:pt idx="24">
                  <c:v>-1.5629242229188085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27-46E6-AD55-8DA1C5FB0121}"/>
            </c:ext>
          </c:extLst>
        </c:ser>
        <c:ser>
          <c:idx val="6"/>
          <c:order val="6"/>
          <c:tx>
            <c:strRef>
              <c:f>'Služby-příspěvkyk růstu'!$I$25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růstu'!$I$38:$I$63</c:f>
              <c:numCache>
                <c:formatCode>0.0</c:formatCode>
                <c:ptCount val="26"/>
                <c:pt idx="0">
                  <c:v>0.51529021776837436</c:v>
                </c:pt>
                <c:pt idx="1">
                  <c:v>0.62103855147350373</c:v>
                </c:pt>
                <c:pt idx="2">
                  <c:v>0.43595933582649415</c:v>
                </c:pt>
                <c:pt idx="3">
                  <c:v>0.5014624395084516</c:v>
                </c:pt>
                <c:pt idx="4">
                  <c:v>0.46409597389160773</c:v>
                </c:pt>
                <c:pt idx="5">
                  <c:v>0.16302807991689272</c:v>
                </c:pt>
                <c:pt idx="6">
                  <c:v>0.26998446590022002</c:v>
                </c:pt>
                <c:pt idx="7">
                  <c:v>0.51404132645830092</c:v>
                </c:pt>
                <c:pt idx="8">
                  <c:v>1.3081284665881006</c:v>
                </c:pt>
                <c:pt idx="9">
                  <c:v>1.0890272586366447</c:v>
                </c:pt>
                <c:pt idx="10">
                  <c:v>0.64167805687312862</c:v>
                </c:pt>
                <c:pt idx="11">
                  <c:v>0.3049450708114973</c:v>
                </c:pt>
                <c:pt idx="12">
                  <c:v>0.5336964228095209</c:v>
                </c:pt>
                <c:pt idx="13">
                  <c:v>0.37812124631965366</c:v>
                </c:pt>
                <c:pt idx="14">
                  <c:v>0.43585539133912715</c:v>
                </c:pt>
                <c:pt idx="15">
                  <c:v>-1.3565736472039135E-2</c:v>
                </c:pt>
                <c:pt idx="16">
                  <c:v>0.47293200908229094</c:v>
                </c:pt>
                <c:pt idx="17">
                  <c:v>0.12985986360314838</c:v>
                </c:pt>
                <c:pt idx="18">
                  <c:v>-0.12378098867957033</c:v>
                </c:pt>
                <c:pt idx="19">
                  <c:v>-0.21503501352804164</c:v>
                </c:pt>
                <c:pt idx="20">
                  <c:v>-1.0975647540029245</c:v>
                </c:pt>
                <c:pt idx="21">
                  <c:v>-4.3127603654212834</c:v>
                </c:pt>
                <c:pt idx="22">
                  <c:v>-4.4461404317321751</c:v>
                </c:pt>
                <c:pt idx="23">
                  <c:v>-2.3715294384068484</c:v>
                </c:pt>
                <c:pt idx="24">
                  <c:v>-1.6183302001217923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27-46E6-AD55-8DA1C5FB0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156100864"/>
        <c:axId val="156573696"/>
      </c:barChart>
      <c:lineChart>
        <c:grouping val="standard"/>
        <c:varyColors val="0"/>
        <c:ser>
          <c:idx val="3"/>
          <c:order val="0"/>
          <c:tx>
            <c:strRef>
              <c:f>'Služby-příspěvkyk růstu'!$C$25</c:f>
              <c:strCache>
                <c:ptCount val="1"/>
                <c:pt idx="0">
                  <c:v>Služby celkem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9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růstu'!$C$38:$C$63</c:f>
              <c:numCache>
                <c:formatCode>0.0</c:formatCode>
                <c:ptCount val="26"/>
                <c:pt idx="0">
                  <c:v>3.4252673665918341</c:v>
                </c:pt>
                <c:pt idx="1">
                  <c:v>2.7760447568245561</c:v>
                </c:pt>
                <c:pt idx="2">
                  <c:v>3.2639994733926248</c:v>
                </c:pt>
                <c:pt idx="3">
                  <c:v>2.2670578682829805</c:v>
                </c:pt>
                <c:pt idx="4">
                  <c:v>1.2197549966407228</c:v>
                </c:pt>
                <c:pt idx="5">
                  <c:v>-0.56538623511913677</c:v>
                </c:pt>
                <c:pt idx="6">
                  <c:v>1.4127684329725188</c:v>
                </c:pt>
                <c:pt idx="7">
                  <c:v>1.7680917771414508</c:v>
                </c:pt>
                <c:pt idx="8">
                  <c:v>6.0337286918225388</c:v>
                </c:pt>
                <c:pt idx="9">
                  <c:v>5.3370587420900524</c:v>
                </c:pt>
                <c:pt idx="10">
                  <c:v>3.3665867387296897</c:v>
                </c:pt>
                <c:pt idx="11">
                  <c:v>2.5126514232013126</c:v>
                </c:pt>
                <c:pt idx="12">
                  <c:v>4.9549326877107651</c:v>
                </c:pt>
                <c:pt idx="13">
                  <c:v>3.4360229207479716</c:v>
                </c:pt>
                <c:pt idx="14">
                  <c:v>3.6163951207699707</c:v>
                </c:pt>
                <c:pt idx="15">
                  <c:v>0.96668599710137615</c:v>
                </c:pt>
                <c:pt idx="16">
                  <c:v>3.5133691478456601</c:v>
                </c:pt>
                <c:pt idx="17">
                  <c:v>1.9614607616546968</c:v>
                </c:pt>
                <c:pt idx="18">
                  <c:v>-0.83078294920394813</c:v>
                </c:pt>
                <c:pt idx="19">
                  <c:v>-0.30410997536084072</c:v>
                </c:pt>
                <c:pt idx="20">
                  <c:v>-3.7301133457366804</c:v>
                </c:pt>
                <c:pt idx="21">
                  <c:v>-19.625823217894649</c:v>
                </c:pt>
                <c:pt idx="22">
                  <c:v>-12.596221073437585</c:v>
                </c:pt>
                <c:pt idx="23">
                  <c:v>-10.949293332627146</c:v>
                </c:pt>
                <c:pt idx="24">
                  <c:v>-6.8220892998555156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727-46E6-AD55-8DA1C5FB0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00864"/>
        <c:axId val="156573696"/>
      </c:lineChart>
      <c:lineChart>
        <c:grouping val="standard"/>
        <c:varyColors val="0"/>
        <c:ser>
          <c:idx val="7"/>
          <c:order val="7"/>
          <c:tx>
            <c:strRef>
              <c:f>'Služby-příspěvkyk růstu'!$J$25</c:f>
              <c:strCache>
                <c:ptCount val="1"/>
                <c:pt idx="0">
                  <c:v>Saldo indik.důvěry ve službách (pr. osa)</c:v>
                </c:pt>
              </c:strCache>
            </c:strRef>
          </c:tx>
          <c:spPr>
            <a:ln w="3175">
              <a:solidFill>
                <a:schemeClr val="bg1">
                  <a:lumMod val="50000"/>
                </a:schemeClr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růstu'!$J$38:$J$63</c:f>
              <c:numCache>
                <c:formatCode>0.0</c:formatCode>
                <c:ptCount val="26"/>
                <c:pt idx="0">
                  <c:v>29.7</c:v>
                </c:pt>
                <c:pt idx="1">
                  <c:v>28.7</c:v>
                </c:pt>
                <c:pt idx="2">
                  <c:v>31.3</c:v>
                </c:pt>
                <c:pt idx="3">
                  <c:v>32.700000000000003</c:v>
                </c:pt>
                <c:pt idx="4">
                  <c:v>32.299999999999997</c:v>
                </c:pt>
                <c:pt idx="5">
                  <c:v>33</c:v>
                </c:pt>
                <c:pt idx="6">
                  <c:v>33</c:v>
                </c:pt>
                <c:pt idx="7">
                  <c:v>37.700000000000003</c:v>
                </c:pt>
                <c:pt idx="8">
                  <c:v>35.299999999999997</c:v>
                </c:pt>
                <c:pt idx="9">
                  <c:v>37.700000000000003</c:v>
                </c:pt>
                <c:pt idx="10">
                  <c:v>37.299999999999997</c:v>
                </c:pt>
                <c:pt idx="11">
                  <c:v>35.700000000000003</c:v>
                </c:pt>
                <c:pt idx="12">
                  <c:v>38.299999999999997</c:v>
                </c:pt>
                <c:pt idx="13">
                  <c:v>37</c:v>
                </c:pt>
                <c:pt idx="14">
                  <c:v>38.299999999999997</c:v>
                </c:pt>
                <c:pt idx="15">
                  <c:v>40.700000000000003</c:v>
                </c:pt>
                <c:pt idx="16">
                  <c:v>39.299999999999997</c:v>
                </c:pt>
                <c:pt idx="17">
                  <c:v>33.700000000000003</c:v>
                </c:pt>
                <c:pt idx="18">
                  <c:v>35</c:v>
                </c:pt>
                <c:pt idx="19">
                  <c:v>32.700000000000003</c:v>
                </c:pt>
                <c:pt idx="20">
                  <c:v>29</c:v>
                </c:pt>
                <c:pt idx="21">
                  <c:v>-13.3</c:v>
                </c:pt>
                <c:pt idx="22">
                  <c:v>1</c:v>
                </c:pt>
                <c:pt idx="23">
                  <c:v>-5</c:v>
                </c:pt>
                <c:pt idx="24">
                  <c:v>8</c:v>
                </c:pt>
                <c:pt idx="25">
                  <c:v>22.3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727-46E6-AD55-8DA1C5FB0121}"/>
            </c:ext>
          </c:extLst>
        </c:ser>
        <c:ser>
          <c:idx val="8"/>
          <c:order val="8"/>
          <c:tx>
            <c:strRef>
              <c:f>'Služby-příspěvkyk růstu'!$K$25</c:f>
              <c:strCache>
                <c:ptCount val="1"/>
                <c:pt idx="0">
                  <c:v>Bariéra růstu: nedost. poptávka (pr. osa)</c:v>
                </c:pt>
              </c:strCache>
            </c:strRef>
          </c:tx>
          <c:spPr>
            <a:ln w="19050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růstu'!$K$38:$K$63</c:f>
              <c:numCache>
                <c:formatCode>#\ ##0.0</c:formatCode>
                <c:ptCount val="26"/>
                <c:pt idx="0">
                  <c:v>26.2</c:v>
                </c:pt>
                <c:pt idx="1">
                  <c:v>29</c:v>
                </c:pt>
                <c:pt idx="2">
                  <c:v>26.9</c:v>
                </c:pt>
                <c:pt idx="3">
                  <c:v>23.3</c:v>
                </c:pt>
                <c:pt idx="4">
                  <c:v>24</c:v>
                </c:pt>
                <c:pt idx="5">
                  <c:v>24.5</c:v>
                </c:pt>
                <c:pt idx="6">
                  <c:v>21</c:v>
                </c:pt>
                <c:pt idx="7">
                  <c:v>23.3</c:v>
                </c:pt>
                <c:pt idx="8">
                  <c:v>26.2</c:v>
                </c:pt>
                <c:pt idx="9">
                  <c:v>20.5</c:v>
                </c:pt>
                <c:pt idx="10">
                  <c:v>19.899999999999999</c:v>
                </c:pt>
                <c:pt idx="11">
                  <c:v>20.9</c:v>
                </c:pt>
                <c:pt idx="12">
                  <c:v>17.3</c:v>
                </c:pt>
                <c:pt idx="13">
                  <c:v>18.600000000000001</c:v>
                </c:pt>
                <c:pt idx="14">
                  <c:v>18.899999999999999</c:v>
                </c:pt>
                <c:pt idx="15">
                  <c:v>19.8</c:v>
                </c:pt>
                <c:pt idx="16">
                  <c:v>20.7</c:v>
                </c:pt>
                <c:pt idx="17">
                  <c:v>17.100000000000001</c:v>
                </c:pt>
                <c:pt idx="18">
                  <c:v>21.7</c:v>
                </c:pt>
                <c:pt idx="19">
                  <c:v>14.1</c:v>
                </c:pt>
                <c:pt idx="20">
                  <c:v>20.399999999999999</c:v>
                </c:pt>
                <c:pt idx="21">
                  <c:v>29.1</c:v>
                </c:pt>
                <c:pt idx="22">
                  <c:v>30.9</c:v>
                </c:pt>
                <c:pt idx="23">
                  <c:v>39</c:v>
                </c:pt>
                <c:pt idx="24">
                  <c:v>35.799999999999997</c:v>
                </c:pt>
                <c:pt idx="25">
                  <c:v>37.1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727-46E6-AD55-8DA1C5FB0121}"/>
            </c:ext>
          </c:extLst>
        </c:ser>
        <c:ser>
          <c:idx val="9"/>
          <c:order val="9"/>
          <c:tx>
            <c:strRef>
              <c:f>'Služby-příspěvkyk růstu'!$L$25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růstu'!$L$38:$L$63</c:f>
              <c:numCache>
                <c:formatCode>#\ ##0.0</c:formatCode>
                <c:ptCount val="26"/>
                <c:pt idx="0">
                  <c:v>2.8</c:v>
                </c:pt>
                <c:pt idx="1">
                  <c:v>5.7</c:v>
                </c:pt>
                <c:pt idx="2">
                  <c:v>5.9</c:v>
                </c:pt>
                <c:pt idx="3">
                  <c:v>5.8</c:v>
                </c:pt>
                <c:pt idx="4">
                  <c:v>8.6999999999999993</c:v>
                </c:pt>
                <c:pt idx="5">
                  <c:v>4.5999999999999996</c:v>
                </c:pt>
                <c:pt idx="6">
                  <c:v>7.1</c:v>
                </c:pt>
                <c:pt idx="7">
                  <c:v>9.1</c:v>
                </c:pt>
                <c:pt idx="8">
                  <c:v>10.1</c:v>
                </c:pt>
                <c:pt idx="9">
                  <c:v>10</c:v>
                </c:pt>
                <c:pt idx="10">
                  <c:v>9.3000000000000007</c:v>
                </c:pt>
                <c:pt idx="11">
                  <c:v>12.2</c:v>
                </c:pt>
                <c:pt idx="12">
                  <c:v>14.2</c:v>
                </c:pt>
                <c:pt idx="13">
                  <c:v>16.600000000000001</c:v>
                </c:pt>
                <c:pt idx="14">
                  <c:v>17.3</c:v>
                </c:pt>
                <c:pt idx="15">
                  <c:v>18.600000000000001</c:v>
                </c:pt>
                <c:pt idx="16">
                  <c:v>19.600000000000001</c:v>
                </c:pt>
                <c:pt idx="17">
                  <c:v>16.600000000000001</c:v>
                </c:pt>
                <c:pt idx="18">
                  <c:v>21.2</c:v>
                </c:pt>
                <c:pt idx="19">
                  <c:v>19.100000000000001</c:v>
                </c:pt>
                <c:pt idx="20">
                  <c:v>19.7</c:v>
                </c:pt>
                <c:pt idx="21">
                  <c:v>12.1</c:v>
                </c:pt>
                <c:pt idx="22">
                  <c:v>9.8000000000000007</c:v>
                </c:pt>
                <c:pt idx="23">
                  <c:v>11.1</c:v>
                </c:pt>
                <c:pt idx="24">
                  <c:v>11.2</c:v>
                </c:pt>
                <c:pt idx="25">
                  <c:v>10.8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727-46E6-AD55-8DA1C5FB0121}"/>
            </c:ext>
          </c:extLst>
        </c:ser>
        <c:ser>
          <c:idx val="10"/>
          <c:order val="10"/>
          <c:tx>
            <c:strRef>
              <c:f>'Služby-příspěvkyk růstu'!$M$25</c:f>
              <c:strCache>
                <c:ptCount val="1"/>
                <c:pt idx="0">
                  <c:v>Bariéry růstu podniků: žádné (pravá osa)</c:v>
                </c:pt>
              </c:strCache>
            </c:strRef>
          </c:tx>
          <c:spPr>
            <a:ln w="19050">
              <a:solidFill>
                <a:srgbClr val="00B050"/>
              </a:solidFill>
              <a:prstDash val="sysDot"/>
            </a:ln>
          </c:spPr>
          <c:marker>
            <c:symbol val="none"/>
          </c:marker>
          <c:cat>
            <c:multiLvlStrRef>
              <c:f>'Služby-příspěvkyk růstu'!$A$38:$B$63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'Služby-příspěvkyk růstu'!$M$38:$M$63</c:f>
              <c:numCache>
                <c:formatCode>#\ ##0.0</c:formatCode>
                <c:ptCount val="26"/>
                <c:pt idx="0">
                  <c:v>43.8</c:v>
                </c:pt>
                <c:pt idx="1">
                  <c:v>42.8</c:v>
                </c:pt>
                <c:pt idx="2">
                  <c:v>46.2</c:v>
                </c:pt>
                <c:pt idx="3">
                  <c:v>50.3</c:v>
                </c:pt>
                <c:pt idx="4">
                  <c:v>47</c:v>
                </c:pt>
                <c:pt idx="5">
                  <c:v>46.5</c:v>
                </c:pt>
                <c:pt idx="6">
                  <c:v>51.8</c:v>
                </c:pt>
                <c:pt idx="7">
                  <c:v>48.6</c:v>
                </c:pt>
                <c:pt idx="8">
                  <c:v>45.5</c:v>
                </c:pt>
                <c:pt idx="9">
                  <c:v>47.7</c:v>
                </c:pt>
                <c:pt idx="10">
                  <c:v>48.2</c:v>
                </c:pt>
                <c:pt idx="11">
                  <c:v>46.6</c:v>
                </c:pt>
                <c:pt idx="12">
                  <c:v>49.6</c:v>
                </c:pt>
                <c:pt idx="13">
                  <c:v>45.4</c:v>
                </c:pt>
                <c:pt idx="14">
                  <c:v>43.4</c:v>
                </c:pt>
                <c:pt idx="15">
                  <c:v>46.4</c:v>
                </c:pt>
                <c:pt idx="16">
                  <c:v>45</c:v>
                </c:pt>
                <c:pt idx="17">
                  <c:v>46.4</c:v>
                </c:pt>
                <c:pt idx="18">
                  <c:v>45.9</c:v>
                </c:pt>
                <c:pt idx="19">
                  <c:v>47.5</c:v>
                </c:pt>
                <c:pt idx="20">
                  <c:v>44.4</c:v>
                </c:pt>
                <c:pt idx="21">
                  <c:v>32.9</c:v>
                </c:pt>
                <c:pt idx="22">
                  <c:v>27.1</c:v>
                </c:pt>
                <c:pt idx="23">
                  <c:v>26.4</c:v>
                </c:pt>
                <c:pt idx="24">
                  <c:v>26.4</c:v>
                </c:pt>
                <c:pt idx="25">
                  <c:v>20.399999999999999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727-46E6-AD55-8DA1C5FB0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76768"/>
        <c:axId val="156575232"/>
      </c:lineChart>
      <c:catAx>
        <c:axId val="156100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cs-CZ"/>
          </a:p>
        </c:txPr>
        <c:crossAx val="156573696"/>
        <c:crosses val="autoZero"/>
        <c:auto val="1"/>
        <c:lblAlgn val="ctr"/>
        <c:lblOffset val="0"/>
        <c:noMultiLvlLbl val="0"/>
      </c:catAx>
      <c:valAx>
        <c:axId val="156573696"/>
        <c:scaling>
          <c:orientation val="minMax"/>
          <c:max val="6"/>
          <c:min val="-24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Příspěvky</a:t>
                </a:r>
                <a:r>
                  <a:rPr lang="cs-CZ" sz="700" b="0" i="1" baseline="0"/>
                  <a:t> ke změně tržeb ve službách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0"/>
              <c:y val="0.128041738225050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100864"/>
        <c:crosses val="autoZero"/>
        <c:crossBetween val="between"/>
        <c:majorUnit val="3"/>
      </c:valAx>
      <c:valAx>
        <c:axId val="156575232"/>
        <c:scaling>
          <c:orientation val="minMax"/>
          <c:max val="80"/>
          <c:min val="-15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indikátoru důvěry, bariéry růstu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56576768"/>
        <c:crosses val="max"/>
        <c:crossBetween val="between"/>
        <c:majorUnit val="10"/>
      </c:valAx>
      <c:catAx>
        <c:axId val="15657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65752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6.413166356277798E-5"/>
          <c:y val="0.81821506531821531"/>
          <c:w val="0.9924286912487944"/>
          <c:h val="0.17824752039792846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5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6940-AC1A-46FB-9111-1AD604B14E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759E0-BAE6-4FB7-83CF-9D46D40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7</TotalTime>
  <Pages>7</Pages>
  <Words>3250</Words>
  <Characters>18300</Characters>
  <Application>Microsoft Office Word</Application>
  <DocSecurity>0</DocSecurity>
  <Lines>277</Lines>
  <Paragraphs>81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21469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2021-06-15T07:59:00Z</dcterms:created>
  <dcterms:modified xsi:type="dcterms:W3CDTF">2021-06-15T08:10:00Z</dcterms:modified>
</cp:coreProperties>
</file>