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43E5C" w14:textId="77777777" w:rsidR="007B74AA" w:rsidRDefault="007B74AA" w:rsidP="007B74AA">
      <w:pPr>
        <w:pStyle w:val="Nadpis11"/>
      </w:pPr>
      <w:bookmarkStart w:id="0" w:name="_Toc66719933"/>
      <w:bookmarkStart w:id="1" w:name="_Toc50712132"/>
      <w:bookmarkStart w:id="2" w:name="_Toc74643859"/>
      <w:r>
        <w:t>7. Měnové podmínky</w:t>
      </w:r>
      <w:bookmarkEnd w:id="0"/>
      <w:bookmarkEnd w:id="2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7B74AA" w14:paraId="12BDC5A8" w14:textId="77777777" w:rsidTr="00D67D55">
        <w:trPr>
          <w:trHeight w:val="145"/>
        </w:trPr>
        <w:tc>
          <w:tcPr>
            <w:tcW w:w="1802" w:type="dxa"/>
          </w:tcPr>
          <w:p w14:paraId="05994836" w14:textId="77777777" w:rsidR="007B74AA" w:rsidRDefault="007B74AA" w:rsidP="00D67D55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V 1. čtvrtletí 2021 se nastavení měnověpolitických sazeb neměnilo.</w:t>
            </w:r>
          </w:p>
        </w:tc>
        <w:tc>
          <w:tcPr>
            <w:tcW w:w="229" w:type="dxa"/>
          </w:tcPr>
          <w:p w14:paraId="6473EB99" w14:textId="77777777" w:rsidR="007B74AA" w:rsidRDefault="007B74AA" w:rsidP="00D67D55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4E223E53" w14:textId="77777777" w:rsidR="007B74AA" w:rsidRDefault="007B74AA" w:rsidP="00D67D55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V prvních třech měsících roku 2021 nedošlo ke změnám v nastavení měnověpolitických sazeb. Ty tak od května 2020 zůstávají na úrovních 0,25 % – dvoutýdenní repo sazba, 0,05 % – diskontní sazba a 1,00 % – lombardní sazba</w:t>
            </w:r>
            <w:r>
              <w:rPr>
                <w:rStyle w:val="Znakapoznpodarou"/>
                <w:spacing w:val="-2"/>
                <w:lang w:eastAsia="en-US"/>
              </w:rPr>
              <w:footnoteReference w:id="1"/>
            </w:r>
            <w:r>
              <w:rPr>
                <w:spacing w:val="-2"/>
                <w:lang w:eastAsia="en-US"/>
              </w:rPr>
              <w:t>. Kurz koruny vůči euru se v průběhu celého čtvrtletí pohyboval okolo úrovně 26 CZK/EUR a až do poloviny března byl také meziročně slabší. V průběhu února posílil až na 25,68 CZK/EUR, ale následně opět oslabil a držel se velmi stabilně nad 26 korunami za euro. Březen kurz zakončil na 26,15 CZK/EUR. Kurz koruny vůči dolaru byl naopak v průběhu celého čtvrtletí silnější než v minulém roce. Až ve druhé polovině března také oslabil nad 22 CZK/USD.</w:t>
            </w:r>
          </w:p>
        </w:tc>
      </w:tr>
      <w:tr w:rsidR="007B74AA" w14:paraId="08063626" w14:textId="77777777" w:rsidTr="00D67D55">
        <w:trPr>
          <w:trHeight w:val="145"/>
        </w:trPr>
        <w:tc>
          <w:tcPr>
            <w:tcW w:w="1802" w:type="dxa"/>
            <w:hideMark/>
          </w:tcPr>
          <w:p w14:paraId="155466CC" w14:textId="77777777" w:rsidR="007B74AA" w:rsidRDefault="007B74AA" w:rsidP="00D67D55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Výrazně rostly výnosy vládních dluhopisů.</w:t>
            </w:r>
          </w:p>
        </w:tc>
        <w:tc>
          <w:tcPr>
            <w:tcW w:w="229" w:type="dxa"/>
          </w:tcPr>
          <w:p w14:paraId="61F84C64" w14:textId="77777777" w:rsidR="007B74AA" w:rsidRDefault="007B74AA" w:rsidP="00D67D55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0D977F95" w14:textId="77777777" w:rsidR="007B74AA" w:rsidRDefault="007B74AA" w:rsidP="00D67D55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Vzhledem k neměnné výši měnověpolitických sazeb se významněji neposouvala ani výše úrokových sazeb na mezibankovním trhu. Tříměsíční sazba PRIBOR tak během celého 1. kvartálu zůstala na 0,36 %. Výraznější byl vývoj úrokových sazeb u vládních dluhopisů, a to u všech druhů splatnosti. Zatímco v průběhu loňského roku se výnosy snižovaly, v posledních loňských měsících se tento trend zastavil a v 1. čtvrtletí 2021 akceleroval pohyb výnosů vzhůru. Průměrné úročení dluhopisů s krátkodobou splatností se zvýšilo z 0,16 % na konci prosince 2020 na 0,75 % na konci března. Podobně narostl výnos střednědobých dluhopisů z 0,8 % na 1,4 % a dlouhodobých dluhopisů z 1,26 % na 1,87 %.</w:t>
            </w:r>
          </w:p>
        </w:tc>
      </w:tr>
      <w:tr w:rsidR="007B74AA" w14:paraId="4E25E2F0" w14:textId="77777777" w:rsidTr="00D67D55">
        <w:trPr>
          <w:trHeight w:val="145"/>
        </w:trPr>
        <w:tc>
          <w:tcPr>
            <w:tcW w:w="1802" w:type="dxa"/>
            <w:hideMark/>
          </w:tcPr>
          <w:p w14:paraId="7157FA10" w14:textId="77777777" w:rsidR="007B74AA" w:rsidRDefault="007B74AA" w:rsidP="00D67D55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Úročení vkladů klesalo.</w:t>
            </w:r>
          </w:p>
        </w:tc>
        <w:tc>
          <w:tcPr>
            <w:tcW w:w="229" w:type="dxa"/>
          </w:tcPr>
          <w:p w14:paraId="572122BC" w14:textId="77777777" w:rsidR="007B74AA" w:rsidRDefault="007B74AA" w:rsidP="00D67D55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2D3E67EE" w14:textId="77777777" w:rsidR="007B74AA" w:rsidRDefault="007B74AA" w:rsidP="00D67D55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Úrokové sazby klientských vkladů klesaly, příp. stagnovaly. U běžných účtů se průměrné úročení dál prakticky rovná nule (0,02 %). Vklady s dohodnutou splatností byly ke konci března 2021 průměrně úročeny 0,45 %. Úroková sazba zde ve srovnání se závěrem roku 2020 klesla a srovnala se s hodnotou ze září 2020. Také úročení vkladů běžných účtů nefinančních podniků bylo v 1. čtvrtletí téměř nulové (0,03 %) a dál klesaly úrokové sazby i na jejich vkladech s dohodnutou splatností (0,12 %). Zejména přebytečná hotovost domácností, kterou způsobilo omezení možnosti jejich spotřeby, zatím zůstává hlavně na běžných účtech. Vklady domácností ke konci března 2021 byly meziročně vyšší o 367,5 mld. korun (13,1 %). U nefinančních podniků to bylo 99,8 mld. (8,8 %). Ke konci března 2021 byl objem netermínovaných vkladů meziročně vyšší o 18,6 %, zatímco u termínovaných vkladů došlo k poklesu o 7,8 %.</w:t>
            </w:r>
          </w:p>
        </w:tc>
      </w:tr>
      <w:tr w:rsidR="007B74AA" w14:paraId="373E944C" w14:textId="77777777" w:rsidTr="00D67D55">
        <w:trPr>
          <w:trHeight w:val="145"/>
        </w:trPr>
        <w:tc>
          <w:tcPr>
            <w:tcW w:w="1802" w:type="dxa"/>
          </w:tcPr>
          <w:p w14:paraId="1E7FE3FC" w14:textId="77777777" w:rsidR="007B74AA" w:rsidRDefault="007B74AA" w:rsidP="00D67D55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Úvěrové financování pro domácnosti zlevňovalo.</w:t>
            </w:r>
          </w:p>
          <w:p w14:paraId="2B5A095F" w14:textId="77777777" w:rsidR="007B74AA" w:rsidRDefault="007B74AA" w:rsidP="00D67D55">
            <w:pPr>
              <w:pStyle w:val="Marginlie"/>
              <w:rPr>
                <w:lang w:eastAsia="en-US"/>
              </w:rPr>
            </w:pPr>
          </w:p>
          <w:p w14:paraId="38265EA6" w14:textId="77777777" w:rsidR="007B74AA" w:rsidRDefault="007B74AA" w:rsidP="00D67D55">
            <w:pPr>
              <w:pStyle w:val="Marginlie"/>
              <w:rPr>
                <w:lang w:eastAsia="en-US"/>
              </w:rPr>
            </w:pPr>
          </w:p>
          <w:p w14:paraId="3309D7AE" w14:textId="77777777" w:rsidR="007B74AA" w:rsidRDefault="007B74AA" w:rsidP="00D67D55">
            <w:pPr>
              <w:pStyle w:val="Marginlie"/>
              <w:rPr>
                <w:lang w:eastAsia="en-US"/>
              </w:rPr>
            </w:pPr>
          </w:p>
          <w:p w14:paraId="1BA3EBBB" w14:textId="77777777" w:rsidR="007B74AA" w:rsidRDefault="007B74AA" w:rsidP="00D67D55">
            <w:pPr>
              <w:pStyle w:val="Marginlie"/>
              <w:rPr>
                <w:lang w:eastAsia="en-US"/>
              </w:rPr>
            </w:pPr>
          </w:p>
          <w:p w14:paraId="7A971D47" w14:textId="77777777" w:rsidR="007B74AA" w:rsidRDefault="007B74AA" w:rsidP="00D67D55">
            <w:pPr>
              <w:pStyle w:val="Marginlie"/>
              <w:rPr>
                <w:lang w:eastAsia="en-US"/>
              </w:rPr>
            </w:pPr>
          </w:p>
          <w:p w14:paraId="124B1D6A" w14:textId="77777777" w:rsidR="007B74AA" w:rsidRDefault="007B74AA" w:rsidP="00D67D55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Rostl objem poskytnutých úvěrů na bydlení.</w:t>
            </w:r>
          </w:p>
        </w:tc>
        <w:tc>
          <w:tcPr>
            <w:tcW w:w="229" w:type="dxa"/>
          </w:tcPr>
          <w:p w14:paraId="66B41F48" w14:textId="77777777" w:rsidR="007B74AA" w:rsidRDefault="007B74AA" w:rsidP="00D67D55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2720FAB4" w14:textId="77777777" w:rsidR="007B74AA" w:rsidRDefault="007B74AA" w:rsidP="00D67D55">
            <w:pPr>
              <w:rPr>
                <w:lang w:eastAsia="en-US"/>
              </w:rPr>
            </w:pPr>
            <w:r>
              <w:rPr>
                <w:lang w:eastAsia="en-US"/>
              </w:rPr>
              <w:t>V 1. čtvrtletí dál pokračoval trend poklesu úrokových sazeb úvěrů na spotřebu domácností a sazby se poprvé dostaly pod 7 % (6,96 % ke konci března). Meziročně se ale objem poskytnutých úvěrů na spotřebu zvýšil jen o 1,4 %, což je v souladu s realitou omezeného maloobchodu i obav spotřebitelů z budoucího ekonomického vývoje. Také úročení úvěrů na nákup bytových nemovitostí v 1. čtvrtletí kleslo (2,06 %) a ke konci března bylo dokonce nižší než předchozí „rekordně nízká“ úroveň z konce roku 2016. Zlevňovaly hypoteční úvěry s fixací více než 1 rok. Na rozdíl od úvěrů na spotřebu meziroční růst objemu poskytnutých úvěrů na bydlení zrychlil na 8,6 %, což je nejvíce od konce roku 2017. V loňském roce do vývoje na hypotečním trhu výrazně promlouvalo tzv. úvěrové moratorium</w:t>
            </w:r>
            <w:r>
              <w:rPr>
                <w:rStyle w:val="Znakapoznpodarou"/>
                <w:lang w:eastAsia="en-US"/>
              </w:rPr>
              <w:footnoteReference w:id="2"/>
            </w:r>
            <w:r>
              <w:rPr>
                <w:lang w:eastAsia="en-US"/>
              </w:rPr>
              <w:t>, které navyšovalo objem nových hypotečních úvěrů. Objem tzv. ostatních nových ujednání (ta zahrnují úvěrová moratoria) zůstal i v 1. čtvrtletí vyšší, než byl před rokem 2020, růst objemu hypoték ale letos táhnou zejména čisté nové úvěry. Celkové zadlužení domácností meziročně vzrostlo o 6,4 %. Zadlužení na bydlení vzrostlo o 8,5 %, nejvíce od 1. čtvrtletí 2018. Naopak zadlužení domácností kvůli spotřebě podruhé v řadě kleslo (–1,2 %).</w:t>
            </w:r>
          </w:p>
        </w:tc>
      </w:tr>
      <w:tr w:rsidR="007B74AA" w14:paraId="61D8AF57" w14:textId="77777777" w:rsidTr="00D67D55">
        <w:trPr>
          <w:trHeight w:val="145"/>
        </w:trPr>
        <w:tc>
          <w:tcPr>
            <w:tcW w:w="1802" w:type="dxa"/>
          </w:tcPr>
          <w:p w14:paraId="76CBF754" w14:textId="77777777" w:rsidR="007B74AA" w:rsidRDefault="007B74AA" w:rsidP="00D67D55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Naopak úrokové sazby úvěrů pro podniky mírně rostly.</w:t>
            </w:r>
          </w:p>
        </w:tc>
        <w:tc>
          <w:tcPr>
            <w:tcW w:w="229" w:type="dxa"/>
          </w:tcPr>
          <w:p w14:paraId="09DC5BE9" w14:textId="77777777" w:rsidR="007B74AA" w:rsidRDefault="007B74AA" w:rsidP="00D67D55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65BEC000" w14:textId="77777777" w:rsidR="007B74AA" w:rsidRDefault="007B74AA" w:rsidP="00D67D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Úrokové sazby úvěrů pro nefinanční podniky se vyvíjely v opačném směru než ty pro domácnosti. Jejich průměrná výše ve srovnání s koncem roku 2020 mírně vzrostla. Průměrná úroková sazba úvěrů do 7,5 mil. korun se zvýšila na 3,48 % a rostlo i úročení úvěrů nad 30 milionů korun (1,84 %). Mírný pokles průměrného úročení vykázala jen střední kategorie úvěrů mezi 7,5 a 30 miliony korun (2,47 %). Celkový objem úvěrů a pohledávek nefinančních podniků byl ke konci března 2021 meziročně nižší o 2,4 %. Zpomalování dynamiky ale probíhalo po celý loňský rok. Klesl především objem krátkodobých úvěrů (–8,9 %) a mírně také dlouhodobé úvěry (–1,3 %). Objem střednědobých úvěrů byl ke konci března meziročně vyšší o 1,6 %. Propad nastal u všech kategorií úvěrů denominovaných v cizí měně, nejvíce u krátkodobých půjček. Z pohledu jednotlivých odvětví meziročně klesl objem poskytnutých úvěrů u většiny z nich. Poprvé od 2. čtvrtletí 2016 došlo k poklesu u zpracovatelského průmyslu </w:t>
            </w:r>
            <w:r>
              <w:rPr>
                <w:lang w:eastAsia="en-US"/>
              </w:rPr>
              <w:br/>
              <w:t>(–6,1 %), úvěry se snížily také ve stavebnictví (–5,8 %). Silný byl pokles půjček ve velkoobchodě, maloobchodě a opravách a údržbě motorových vozidel (–9,9 %) a rovněž v informačních a komunikačních činnostech (–9,1 %). Objem úvěrů naopak rostl v dopravě a skladování (12,0 %). Velmi silná loňská dynamika úvěrů v ubytování, stravování a pohostinství v 1. čtvrtletí 2021 zmírnila (8,3 %).</w:t>
            </w:r>
          </w:p>
        </w:tc>
      </w:tr>
      <w:tr w:rsidR="007B74AA" w14:paraId="64C0DB20" w14:textId="77777777" w:rsidTr="00D67D55">
        <w:trPr>
          <w:trHeight w:val="304"/>
        </w:trPr>
        <w:tc>
          <w:tcPr>
            <w:tcW w:w="1802" w:type="dxa"/>
            <w:vMerge w:val="restart"/>
          </w:tcPr>
          <w:p w14:paraId="50CB99A9" w14:textId="77777777" w:rsidR="007B74AA" w:rsidRDefault="007B74AA" w:rsidP="00D67D55">
            <w:pPr>
              <w:pStyle w:val="Marginlie"/>
              <w:rPr>
                <w:lang w:eastAsia="en-US"/>
              </w:rPr>
            </w:pPr>
          </w:p>
        </w:tc>
        <w:tc>
          <w:tcPr>
            <w:tcW w:w="229" w:type="dxa"/>
            <w:vMerge w:val="restart"/>
          </w:tcPr>
          <w:p w14:paraId="2DD2C84E" w14:textId="77777777" w:rsidR="007B74AA" w:rsidRDefault="007B74AA" w:rsidP="00D67D55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0A5B1EFF" w14:textId="11843B3F" w:rsidR="007B74AA" w:rsidRPr="00D721B4" w:rsidRDefault="00197D0E" w:rsidP="00D67D55">
            <w:pPr>
              <w:spacing w:after="0"/>
              <w:rPr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Graf č. 15</w:t>
            </w:r>
            <w:r w:rsidR="007B74AA" w:rsidRPr="00D721B4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 </w:t>
            </w:r>
            <w:r w:rsidR="007B74AA" w:rsidRPr="00D721B4">
              <w:rPr>
                <w:b/>
                <w:spacing w:val="-4"/>
                <w:szCs w:val="20"/>
                <w:lang w:eastAsia="en-US"/>
              </w:rPr>
              <w:t xml:space="preserve">Tržní úrokové sazby </w:t>
            </w:r>
            <w:r w:rsidR="007B74AA" w:rsidRPr="00D721B4">
              <w:rPr>
                <w:bCs/>
                <w:spacing w:val="-4"/>
                <w:szCs w:val="20"/>
                <w:lang w:eastAsia="en-US"/>
              </w:rPr>
              <w:t>(v</w:t>
            </w:r>
            <w:r w:rsidR="007B74AA">
              <w:rPr>
                <w:bCs/>
                <w:spacing w:val="-4"/>
                <w:szCs w:val="20"/>
                <w:lang w:eastAsia="en-US"/>
              </w:rPr>
              <w:t> %</w:t>
            </w:r>
            <w:r w:rsidR="007B74AA" w:rsidRPr="00D721B4">
              <w:rPr>
                <w:bCs/>
                <w:spacing w:val="-4"/>
                <w:szCs w:val="20"/>
                <w:lang w:eastAsia="en-US"/>
              </w:rPr>
              <w:t>)</w:t>
            </w:r>
          </w:p>
        </w:tc>
      </w:tr>
      <w:tr w:rsidR="007B74AA" w14:paraId="0DF58CB2" w14:textId="77777777" w:rsidTr="00D67D5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vAlign w:val="center"/>
            <w:hideMark/>
          </w:tcPr>
          <w:p w14:paraId="55A34732" w14:textId="77777777" w:rsidR="007B74AA" w:rsidRDefault="007B74AA" w:rsidP="00D67D55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14:paraId="73EF2A91" w14:textId="77777777" w:rsidR="007B74AA" w:rsidRDefault="007B74AA" w:rsidP="00D67D55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394101F9" w14:textId="77777777" w:rsidR="007B74AA" w:rsidRDefault="007B74AA" w:rsidP="00D67D55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97A0D67" wp14:editId="7A60D4EC">
                  <wp:extent cx="4737600" cy="3553200"/>
                  <wp:effectExtent l="0" t="0" r="6350" b="0"/>
                  <wp:docPr id="25" name="Graf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7B74AA" w14:paraId="5BF3EA50" w14:textId="77777777" w:rsidTr="00D67D55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202336F9" w14:textId="77777777" w:rsidR="007B74AA" w:rsidRDefault="007B74AA" w:rsidP="00D67D55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00ABAD" w14:textId="77777777" w:rsidR="007B74AA" w:rsidRDefault="007B74AA" w:rsidP="00D67D55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6EC6CEAE" w14:textId="77777777" w:rsidR="007B74AA" w:rsidRDefault="007B74AA" w:rsidP="00D67D55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ČNB</w:t>
            </w:r>
          </w:p>
        </w:tc>
      </w:tr>
    </w:tbl>
    <w:p w14:paraId="3770EEA2" w14:textId="77777777" w:rsidR="007B74AA" w:rsidRDefault="007B74AA" w:rsidP="007B74AA">
      <w:pPr>
        <w:pStyle w:val="Nadpis11"/>
        <w:rPr>
          <w:b w:val="0"/>
          <w:sz w:val="2"/>
          <w:szCs w:val="2"/>
          <w:highlight w:val="yellow"/>
        </w:rPr>
      </w:pPr>
    </w:p>
    <w:p w14:paraId="027F8217" w14:textId="77777777" w:rsidR="007B74AA" w:rsidRDefault="007B74AA" w:rsidP="007B74AA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70AE5989" w14:textId="77777777" w:rsidR="007B74AA" w:rsidRPr="00E42054" w:rsidRDefault="007B74AA" w:rsidP="007B74AA">
      <w:pPr>
        <w:pStyle w:val="Nadpis11"/>
        <w:spacing w:after="0"/>
        <w:rPr>
          <w:b w:val="0"/>
          <w:sz w:val="2"/>
          <w:szCs w:val="2"/>
        </w:rPr>
      </w:pPr>
    </w:p>
    <w:p w14:paraId="6BADCAEA" w14:textId="77777777" w:rsidR="007B74AA" w:rsidRDefault="007B74AA" w:rsidP="007B74AA">
      <w:pPr>
        <w:pStyle w:val="Nadpis11"/>
        <w:rPr>
          <w:b w:val="0"/>
          <w:sz w:val="2"/>
          <w:szCs w:val="2"/>
          <w:highlight w:val="yellow"/>
        </w:rPr>
      </w:pPr>
    </w:p>
    <w:p w14:paraId="054E6461" w14:textId="77777777" w:rsidR="007B74AA" w:rsidRDefault="007B74AA" w:rsidP="007B74AA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2B6D89F9" w14:textId="77777777" w:rsidR="007B74AA" w:rsidRPr="00E42054" w:rsidRDefault="007B74AA" w:rsidP="007B74AA">
      <w:pPr>
        <w:spacing w:after="0" w:line="240" w:lineRule="auto"/>
        <w:jc w:val="left"/>
        <w:rPr>
          <w:b/>
          <w:sz w:val="2"/>
          <w:szCs w:val="2"/>
        </w:rPr>
      </w:pPr>
    </w:p>
    <w:p w14:paraId="2452D9CB" w14:textId="77777777" w:rsidR="007B74AA" w:rsidRPr="00E42054" w:rsidRDefault="007B74AA" w:rsidP="007B74AA">
      <w:pPr>
        <w:pStyle w:val="Nadpis11"/>
        <w:spacing w:after="0"/>
        <w:rPr>
          <w:b w:val="0"/>
          <w:sz w:val="2"/>
          <w:szCs w:val="2"/>
        </w:rPr>
      </w:pPr>
    </w:p>
    <w:p w14:paraId="3E974863" w14:textId="23A1735E" w:rsidR="000663F0" w:rsidRPr="00E42054" w:rsidRDefault="000663F0" w:rsidP="00AB3BA7">
      <w:pPr>
        <w:pStyle w:val="Nadpis11"/>
        <w:rPr>
          <w:b w:val="0"/>
          <w:sz w:val="2"/>
          <w:szCs w:val="2"/>
        </w:rPr>
      </w:pPr>
      <w:bookmarkStart w:id="3" w:name="_GoBack"/>
      <w:bookmarkEnd w:id="1"/>
      <w:bookmarkEnd w:id="3"/>
    </w:p>
    <w:sectPr w:rsidR="000663F0" w:rsidRPr="00E42054" w:rsidSect="0092684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28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18F09B" w16cid:durableId="246F10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40181" w14:textId="77777777" w:rsidR="00671D85" w:rsidRDefault="00671D85" w:rsidP="00E71A58">
      <w:r>
        <w:separator/>
      </w:r>
    </w:p>
  </w:endnote>
  <w:endnote w:type="continuationSeparator" w:id="0">
    <w:p w14:paraId="64BAABBF" w14:textId="77777777" w:rsidR="00671D85" w:rsidRDefault="00671D8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784826C4" w:rsidR="006F6FF2" w:rsidRPr="00932443" w:rsidRDefault="006F6FF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2684C">
      <w:rPr>
        <w:szCs w:val="16"/>
      </w:rPr>
      <w:t>28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22769CF4" w:rsidR="006F6FF2" w:rsidRPr="00932443" w:rsidRDefault="006F6FF2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2684C">
      <w:rPr>
        <w:rStyle w:val="ZpatChar"/>
        <w:szCs w:val="16"/>
      </w:rPr>
      <w:t>29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BB5C" w14:textId="77777777" w:rsidR="00671D85" w:rsidRDefault="00671D85" w:rsidP="00A21B4D">
      <w:pPr>
        <w:spacing w:after="0"/>
      </w:pPr>
      <w:r>
        <w:separator/>
      </w:r>
    </w:p>
  </w:footnote>
  <w:footnote w:type="continuationSeparator" w:id="0">
    <w:p w14:paraId="572718C3" w14:textId="77777777" w:rsidR="00671D85" w:rsidRDefault="00671D85" w:rsidP="00E71A58">
      <w:r>
        <w:continuationSeparator/>
      </w:r>
    </w:p>
  </w:footnote>
  <w:footnote w:id="1">
    <w:p w14:paraId="6FD55DE3" w14:textId="77777777" w:rsidR="006F6FF2" w:rsidRDefault="006F6FF2" w:rsidP="007B74AA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Není</w:t>
      </w:r>
      <w:r>
        <w:rPr>
          <w:sz w:val="16"/>
          <w:szCs w:val="16"/>
        </w:rPr>
        <w:noBreakHyphen/>
        <w:t>li uvedeno jinak, je zdrojem údajů v této kapitole databáze ARAD České národní banky. Hodnoty směnných kurzů jsou rovněž převzaty od ČNB.</w:t>
      </w:r>
    </w:p>
  </w:footnote>
  <w:footnote w:id="2">
    <w:p w14:paraId="677FCCEA" w14:textId="77777777" w:rsidR="006F6FF2" w:rsidRDefault="006F6FF2" w:rsidP="007B74AA">
      <w:pPr>
        <w:pStyle w:val="Textpoznpodarou"/>
      </w:pPr>
      <w:r w:rsidRPr="00316B66">
        <w:rPr>
          <w:rStyle w:val="Znakapoznpodarou"/>
          <w:sz w:val="16"/>
        </w:rPr>
        <w:footnoteRef/>
      </w:r>
      <w:r>
        <w:t xml:space="preserve"> </w:t>
      </w:r>
      <w:r>
        <w:rPr>
          <w:sz w:val="16"/>
          <w:szCs w:val="16"/>
        </w:rPr>
        <w:t xml:space="preserve">Možnost </w:t>
      </w:r>
      <w:r w:rsidRPr="00316B66">
        <w:rPr>
          <w:sz w:val="16"/>
          <w:szCs w:val="16"/>
        </w:rPr>
        <w:t>odklad</w:t>
      </w:r>
      <w:r>
        <w:rPr>
          <w:sz w:val="16"/>
          <w:szCs w:val="16"/>
        </w:rPr>
        <w:t>u</w:t>
      </w:r>
      <w:r w:rsidRPr="00316B66">
        <w:rPr>
          <w:sz w:val="16"/>
          <w:szCs w:val="16"/>
        </w:rPr>
        <w:t xml:space="preserve"> splátek.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6F6FF2" w:rsidRDefault="006F6FF2" w:rsidP="00937AE2">
    <w:pPr>
      <w:pStyle w:val="Zhlav"/>
    </w:pPr>
    <w:r>
      <w:t>Vývoj ekonomiky České republiky</w:t>
    </w:r>
  </w:p>
  <w:p w14:paraId="675E4C41" w14:textId="77777777" w:rsidR="006F6FF2" w:rsidRPr="006F5416" w:rsidRDefault="006F6FF2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6F6FF2" w:rsidRDefault="006F6FF2" w:rsidP="00937AE2">
    <w:pPr>
      <w:pStyle w:val="Zhlav"/>
    </w:pPr>
    <w:r>
      <w:t>Vývoj ekonomiky České republiky</w:t>
    </w:r>
  </w:p>
  <w:p w14:paraId="0CDCFD48" w14:textId="77777777" w:rsidR="006F6FF2" w:rsidRPr="006F5416" w:rsidRDefault="006F6FF2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14"/>
  </w:num>
  <w:num w:numId="17">
    <w:abstractNumId w:val="26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70A87"/>
    <w:rsid w:val="000712B3"/>
    <w:rsid w:val="00071A7C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E5F"/>
    <w:rsid w:val="000A3A2C"/>
    <w:rsid w:val="000A3D9E"/>
    <w:rsid w:val="000A4A54"/>
    <w:rsid w:val="000A4ED9"/>
    <w:rsid w:val="000A5DB7"/>
    <w:rsid w:val="000A6D94"/>
    <w:rsid w:val="000A7377"/>
    <w:rsid w:val="000A775A"/>
    <w:rsid w:val="000A7FF4"/>
    <w:rsid w:val="000B03CC"/>
    <w:rsid w:val="000B4212"/>
    <w:rsid w:val="000B67B7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3058"/>
    <w:rsid w:val="000D310A"/>
    <w:rsid w:val="000D3EF4"/>
    <w:rsid w:val="000D4DC0"/>
    <w:rsid w:val="000D5637"/>
    <w:rsid w:val="000D5A03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1F68"/>
    <w:rsid w:val="001A21FA"/>
    <w:rsid w:val="001A4D7C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3691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4992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803A5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3BB4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2058C"/>
    <w:rsid w:val="003208D0"/>
    <w:rsid w:val="003209D6"/>
    <w:rsid w:val="003217B9"/>
    <w:rsid w:val="00321924"/>
    <w:rsid w:val="00321EB6"/>
    <w:rsid w:val="003220A5"/>
    <w:rsid w:val="003238E0"/>
    <w:rsid w:val="00323A1C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978B1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5B59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6595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46FC7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0CAC"/>
    <w:rsid w:val="00561F44"/>
    <w:rsid w:val="00562B4D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19CB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677A"/>
    <w:rsid w:val="00716F48"/>
    <w:rsid w:val="00717114"/>
    <w:rsid w:val="0071779F"/>
    <w:rsid w:val="00720310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84C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050"/>
    <w:rsid w:val="00952B7B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0CAF"/>
    <w:rsid w:val="009B1324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550"/>
    <w:rsid w:val="00B00913"/>
    <w:rsid w:val="00B01593"/>
    <w:rsid w:val="00B01FF9"/>
    <w:rsid w:val="00B023F2"/>
    <w:rsid w:val="00B026FE"/>
    <w:rsid w:val="00B038CA"/>
    <w:rsid w:val="00B05F00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62C3"/>
    <w:rsid w:val="00B16DD1"/>
    <w:rsid w:val="00B16EB8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639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246C"/>
    <w:rsid w:val="00C1493E"/>
    <w:rsid w:val="00C15DBD"/>
    <w:rsid w:val="00C161C5"/>
    <w:rsid w:val="00C2010D"/>
    <w:rsid w:val="00C20CB5"/>
    <w:rsid w:val="00C21430"/>
    <w:rsid w:val="00C216DF"/>
    <w:rsid w:val="00C21E61"/>
    <w:rsid w:val="00C21F94"/>
    <w:rsid w:val="00C224BD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09B"/>
    <w:rsid w:val="00CC0834"/>
    <w:rsid w:val="00CC0AEA"/>
    <w:rsid w:val="00CC20FE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34A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A00"/>
    <w:rsid w:val="00ED1DF0"/>
    <w:rsid w:val="00ED2386"/>
    <w:rsid w:val="00ED2EA1"/>
    <w:rsid w:val="00ED3851"/>
    <w:rsid w:val="00ED3E51"/>
    <w:rsid w:val="00ED3F10"/>
    <w:rsid w:val="00ED4D04"/>
    <w:rsid w:val="00ED566D"/>
    <w:rsid w:val="00ED5907"/>
    <w:rsid w:val="00ED5F5B"/>
    <w:rsid w:val="00ED62C6"/>
    <w:rsid w:val="00ED64C1"/>
    <w:rsid w:val="00ED781F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75D3"/>
    <w:rsid w:val="00F62BFF"/>
    <w:rsid w:val="00F63AAE"/>
    <w:rsid w:val="00F63DDE"/>
    <w:rsid w:val="00F63FB7"/>
    <w:rsid w:val="00F6421B"/>
    <w:rsid w:val="00F647F1"/>
    <w:rsid w:val="00F649D2"/>
    <w:rsid w:val="00F6602B"/>
    <w:rsid w:val="00F6799D"/>
    <w:rsid w:val="00F7150B"/>
    <w:rsid w:val="00F717E4"/>
    <w:rsid w:val="00F71DE6"/>
    <w:rsid w:val="00F72D71"/>
    <w:rsid w:val="00F7381C"/>
    <w:rsid w:val="00F73A0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05E-2"/>
          <c:y val="2.1711264016309892E-2"/>
          <c:w val="0.93508633063154345"/>
          <c:h val="0.73130361364405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1'!$A$42:$B$116</c:f>
              <c:multiLvlStrCache>
                <c:ptCount val="7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  <c:pt idx="72">
                    <c:v>1</c:v>
                  </c:pt>
                  <c:pt idx="73">
                    <c:v>2</c:v>
                  </c:pt>
                  <c:pt idx="74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  <c:pt idx="72">
                    <c:v>2021</c:v>
                  </c:pt>
                </c:lvl>
              </c:multiLvlStrCache>
            </c:multiLvlStrRef>
          </c:cat>
          <c:val>
            <c:numRef>
              <c:f>'Měnové podmínky 1'!$C$42:$C$116</c:f>
              <c:numCache>
                <c:formatCode>0.00</c:formatCode>
                <c:ptCount val="75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 formatCode="General">
                  <c:v>0.05</c:v>
                </c:pt>
                <c:pt idx="13" formatCode="General">
                  <c:v>0.05</c:v>
                </c:pt>
                <c:pt idx="14" formatCode="General">
                  <c:v>0.05</c:v>
                </c:pt>
                <c:pt idx="15" formatCode="General">
                  <c:v>0.05</c:v>
                </c:pt>
                <c:pt idx="16" formatCode="General">
                  <c:v>0.05</c:v>
                </c:pt>
                <c:pt idx="17" formatCode="General">
                  <c:v>0.05</c:v>
                </c:pt>
                <c:pt idx="18" formatCode="General">
                  <c:v>0.05</c:v>
                </c:pt>
                <c:pt idx="19" formatCode="General">
                  <c:v>0.05</c:v>
                </c:pt>
                <c:pt idx="20" formatCode="General">
                  <c:v>0.05</c:v>
                </c:pt>
                <c:pt idx="21" formatCode="General">
                  <c:v>0.05</c:v>
                </c:pt>
                <c:pt idx="22" formatCode="General">
                  <c:v>0.05</c:v>
                </c:pt>
                <c:pt idx="23" formatCode="General">
                  <c:v>0.05</c:v>
                </c:pt>
                <c:pt idx="24" formatCode="General">
                  <c:v>0.05</c:v>
                </c:pt>
                <c:pt idx="25" formatCode="General">
                  <c:v>0.05</c:v>
                </c:pt>
                <c:pt idx="26" formatCode="General">
                  <c:v>0.05</c:v>
                </c:pt>
                <c:pt idx="27" formatCode="General">
                  <c:v>0.05</c:v>
                </c:pt>
                <c:pt idx="28" formatCode="General">
                  <c:v>0.05</c:v>
                </c:pt>
                <c:pt idx="29" formatCode="General">
                  <c:v>0.05</c:v>
                </c:pt>
                <c:pt idx="30" formatCode="General">
                  <c:v>0.05</c:v>
                </c:pt>
                <c:pt idx="31" formatCode="General">
                  <c:v>0.25</c:v>
                </c:pt>
                <c:pt idx="32" formatCode="General">
                  <c:v>0.25</c:v>
                </c:pt>
                <c:pt idx="33" formatCode="General">
                  <c:v>0.25</c:v>
                </c:pt>
                <c:pt idx="34" formatCode="General">
                  <c:v>0.5</c:v>
                </c:pt>
                <c:pt idx="35" formatCode="General">
                  <c:v>0.5</c:v>
                </c:pt>
                <c:pt idx="36" formatCode="General">
                  <c:v>0.5</c:v>
                </c:pt>
                <c:pt idx="37" formatCode="General">
                  <c:v>0.75</c:v>
                </c:pt>
                <c:pt idx="38" formatCode="General">
                  <c:v>0.75</c:v>
                </c:pt>
                <c:pt idx="39" formatCode="General">
                  <c:v>0.75</c:v>
                </c:pt>
                <c:pt idx="40" formatCode="General">
                  <c:v>0.75</c:v>
                </c:pt>
                <c:pt idx="41" formatCode="General">
                  <c:v>1</c:v>
                </c:pt>
                <c:pt idx="42" formatCode="General">
                  <c:v>1</c:v>
                </c:pt>
                <c:pt idx="43" formatCode="General">
                  <c:v>1.25</c:v>
                </c:pt>
                <c:pt idx="44" formatCode="General">
                  <c:v>1.5</c:v>
                </c:pt>
                <c:pt idx="45" formatCode="General">
                  <c:v>1.5</c:v>
                </c:pt>
                <c:pt idx="46" formatCode="General">
                  <c:v>1.75</c:v>
                </c:pt>
                <c:pt idx="47" formatCode="General">
                  <c:v>1.75</c:v>
                </c:pt>
                <c:pt idx="48" formatCode="General">
                  <c:v>1.75</c:v>
                </c:pt>
                <c:pt idx="49" formatCode="General">
                  <c:v>1.75</c:v>
                </c:pt>
                <c:pt idx="50" formatCode="General">
                  <c:v>1.75</c:v>
                </c:pt>
                <c:pt idx="51" formatCode="General">
                  <c:v>1.75</c:v>
                </c:pt>
                <c:pt idx="52" formatCode="General">
                  <c:v>2</c:v>
                </c:pt>
                <c:pt idx="53" formatCode="General">
                  <c:v>2</c:v>
                </c:pt>
                <c:pt idx="54" formatCode="General">
                  <c:v>2</c:v>
                </c:pt>
                <c:pt idx="55" formatCode="General">
                  <c:v>2</c:v>
                </c:pt>
                <c:pt idx="56" formatCode="General">
                  <c:v>2</c:v>
                </c:pt>
                <c:pt idx="57" formatCode="General">
                  <c:v>2</c:v>
                </c:pt>
                <c:pt idx="58" formatCode="General">
                  <c:v>2</c:v>
                </c:pt>
                <c:pt idx="59" formatCode="General">
                  <c:v>2</c:v>
                </c:pt>
                <c:pt idx="60" formatCode="General">
                  <c:v>2</c:v>
                </c:pt>
                <c:pt idx="61" formatCode="General">
                  <c:v>2.25</c:v>
                </c:pt>
                <c:pt idx="62" formatCode="General">
                  <c:v>1</c:v>
                </c:pt>
                <c:pt idx="63" formatCode="General">
                  <c:v>1</c:v>
                </c:pt>
                <c:pt idx="64" formatCode="General">
                  <c:v>0.25</c:v>
                </c:pt>
                <c:pt idx="65" formatCode="General">
                  <c:v>0.25</c:v>
                </c:pt>
                <c:pt idx="66" formatCode="General">
                  <c:v>0.25</c:v>
                </c:pt>
                <c:pt idx="67" formatCode="General">
                  <c:v>0.25</c:v>
                </c:pt>
                <c:pt idx="68" formatCode="General">
                  <c:v>0.25</c:v>
                </c:pt>
                <c:pt idx="69" formatCode="General">
                  <c:v>0.25</c:v>
                </c:pt>
                <c:pt idx="70" formatCode="General">
                  <c:v>0.25</c:v>
                </c:pt>
                <c:pt idx="71" formatCode="General">
                  <c:v>0.25</c:v>
                </c:pt>
                <c:pt idx="72" formatCode="General">
                  <c:v>0.25</c:v>
                </c:pt>
                <c:pt idx="73" formatCode="General">
                  <c:v>0.25</c:v>
                </c:pt>
                <c:pt idx="74" formatCode="General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54-4435-A3D8-9A5F95DAD4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271742464"/>
        <c:axId val="271744000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1'!$A$42:$B$116</c:f>
              <c:multiLvlStrCache>
                <c:ptCount val="7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  <c:pt idx="72">
                    <c:v>1</c:v>
                  </c:pt>
                  <c:pt idx="73">
                    <c:v>2</c:v>
                  </c:pt>
                  <c:pt idx="74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  <c:pt idx="72">
                    <c:v>2021</c:v>
                  </c:pt>
                </c:lvl>
              </c:multiLvlStrCache>
            </c:multiLvlStrRef>
          </c:cat>
          <c:val>
            <c:numRef>
              <c:f>'Měnové podmínky 1'!$F$42:$F$116</c:f>
              <c:numCache>
                <c:formatCode>General</c:formatCode>
                <c:ptCount val="75"/>
                <c:pt idx="0">
                  <c:v>0.09</c:v>
                </c:pt>
                <c:pt idx="1">
                  <c:v>0.06</c:v>
                </c:pt>
                <c:pt idx="2">
                  <c:v>0.04</c:v>
                </c:pt>
                <c:pt idx="3">
                  <c:v>-0.03</c:v>
                </c:pt>
                <c:pt idx="4">
                  <c:v>0.04</c:v>
                </c:pt>
                <c:pt idx="5">
                  <c:v>0.11</c:v>
                </c:pt>
                <c:pt idx="6">
                  <c:v>0.02</c:v>
                </c:pt>
                <c:pt idx="7">
                  <c:v>-7.0000000000000007E-2</c:v>
                </c:pt>
                <c:pt idx="8">
                  <c:v>-0.3</c:v>
                </c:pt>
                <c:pt idx="9">
                  <c:v>-0.28000000000000003</c:v>
                </c:pt>
                <c:pt idx="10">
                  <c:v>-0.33</c:v>
                </c:pt>
                <c:pt idx="11">
                  <c:v>-0.38</c:v>
                </c:pt>
                <c:pt idx="12">
                  <c:v>-0.21</c:v>
                </c:pt>
                <c:pt idx="13">
                  <c:v>-0.18</c:v>
                </c:pt>
                <c:pt idx="14">
                  <c:v>-0.17</c:v>
                </c:pt>
                <c:pt idx="15">
                  <c:v>-0.08</c:v>
                </c:pt>
                <c:pt idx="16">
                  <c:v>-0.04</c:v>
                </c:pt>
                <c:pt idx="17">
                  <c:v>-0.05</c:v>
                </c:pt>
                <c:pt idx="18">
                  <c:v>-0.13</c:v>
                </c:pt>
                <c:pt idx="19">
                  <c:v>-0.22</c:v>
                </c:pt>
                <c:pt idx="20">
                  <c:v>-0.5</c:v>
                </c:pt>
                <c:pt idx="21">
                  <c:v>-0.74</c:v>
                </c:pt>
                <c:pt idx="22">
                  <c:v>-0.73</c:v>
                </c:pt>
                <c:pt idx="23">
                  <c:v>-0.81</c:v>
                </c:pt>
                <c:pt idx="24">
                  <c:v>-0.88</c:v>
                </c:pt>
                <c:pt idx="25">
                  <c:v>-0.53</c:v>
                </c:pt>
                <c:pt idx="26">
                  <c:v>-0.44</c:v>
                </c:pt>
                <c:pt idx="27">
                  <c:v>-0.23</c:v>
                </c:pt>
                <c:pt idx="28">
                  <c:v>-0.24</c:v>
                </c:pt>
                <c:pt idx="29">
                  <c:v>-0.25</c:v>
                </c:pt>
                <c:pt idx="30">
                  <c:v>-0.28999999999999998</c:v>
                </c:pt>
                <c:pt idx="31">
                  <c:v>-0.33</c:v>
                </c:pt>
                <c:pt idx="32">
                  <c:v>-0.28999999999999998</c:v>
                </c:pt>
                <c:pt idx="33">
                  <c:v>0.12</c:v>
                </c:pt>
                <c:pt idx="34">
                  <c:v>0.31</c:v>
                </c:pt>
                <c:pt idx="35">
                  <c:v>0.19</c:v>
                </c:pt>
                <c:pt idx="36">
                  <c:v>0.46</c:v>
                </c:pt>
                <c:pt idx="37">
                  <c:v>0.55000000000000004</c:v>
                </c:pt>
                <c:pt idx="38">
                  <c:v>0.62</c:v>
                </c:pt>
                <c:pt idx="39">
                  <c:v>0.6</c:v>
                </c:pt>
                <c:pt idx="40">
                  <c:v>0.7</c:v>
                </c:pt>
                <c:pt idx="41">
                  <c:v>0.89</c:v>
                </c:pt>
                <c:pt idx="42">
                  <c:v>1.0900000000000001</c:v>
                </c:pt>
                <c:pt idx="43">
                  <c:v>1.26</c:v>
                </c:pt>
                <c:pt idx="44">
                  <c:v>1.34</c:v>
                </c:pt>
                <c:pt idx="45">
                  <c:v>1.44</c:v>
                </c:pt>
                <c:pt idx="46">
                  <c:v>1.49</c:v>
                </c:pt>
                <c:pt idx="47">
                  <c:v>1.52</c:v>
                </c:pt>
                <c:pt idx="48">
                  <c:v>1.66</c:v>
                </c:pt>
                <c:pt idx="49">
                  <c:v>1.74</c:v>
                </c:pt>
                <c:pt idx="50">
                  <c:v>1.71</c:v>
                </c:pt>
                <c:pt idx="51">
                  <c:v>1.63</c:v>
                </c:pt>
                <c:pt idx="52">
                  <c:v>1.62</c:v>
                </c:pt>
                <c:pt idx="53">
                  <c:v>1.52</c:v>
                </c:pt>
                <c:pt idx="54">
                  <c:v>1.35</c:v>
                </c:pt>
                <c:pt idx="55">
                  <c:v>0.85</c:v>
                </c:pt>
                <c:pt idx="56">
                  <c:v>1.07</c:v>
                </c:pt>
                <c:pt idx="57">
                  <c:v>1.17</c:v>
                </c:pt>
                <c:pt idx="58">
                  <c:v>1.33</c:v>
                </c:pt>
                <c:pt idx="59">
                  <c:v>1.36</c:v>
                </c:pt>
                <c:pt idx="60">
                  <c:v>1.55</c:v>
                </c:pt>
                <c:pt idx="61">
                  <c:v>1.57</c:v>
                </c:pt>
                <c:pt idx="62">
                  <c:v>1.27</c:v>
                </c:pt>
                <c:pt idx="63">
                  <c:v>0.71</c:v>
                </c:pt>
                <c:pt idx="64">
                  <c:v>0.13</c:v>
                </c:pt>
                <c:pt idx="65">
                  <c:v>0.08</c:v>
                </c:pt>
                <c:pt idx="66">
                  <c:v>0.02</c:v>
                </c:pt>
                <c:pt idx="67">
                  <c:v>0.04</c:v>
                </c:pt>
                <c:pt idx="68">
                  <c:v>0.05</c:v>
                </c:pt>
                <c:pt idx="69">
                  <c:v>0</c:v>
                </c:pt>
                <c:pt idx="70">
                  <c:v>0.06</c:v>
                </c:pt>
                <c:pt idx="71">
                  <c:v>0.16</c:v>
                </c:pt>
                <c:pt idx="72">
                  <c:v>0.26</c:v>
                </c:pt>
                <c:pt idx="73">
                  <c:v>0.45</c:v>
                </c:pt>
                <c:pt idx="74">
                  <c:v>0.75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54-4435-A3D8-9A5F95DAD468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1'!$A$42:$B$116</c:f>
              <c:multiLvlStrCache>
                <c:ptCount val="7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  <c:pt idx="72">
                    <c:v>1</c:v>
                  </c:pt>
                  <c:pt idx="73">
                    <c:v>2</c:v>
                  </c:pt>
                  <c:pt idx="74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  <c:pt idx="72">
                    <c:v>2021</c:v>
                  </c:pt>
                </c:lvl>
              </c:multiLvlStrCache>
            </c:multiLvlStrRef>
          </c:cat>
          <c:val>
            <c:numRef>
              <c:f>'Měnové podmínky 1'!$D$42:$D$116</c:f>
              <c:numCache>
                <c:formatCode>General</c:formatCode>
                <c:ptCount val="75"/>
                <c:pt idx="0">
                  <c:v>0.33</c:v>
                </c:pt>
                <c:pt idx="1">
                  <c:v>0.33</c:v>
                </c:pt>
                <c:pt idx="2">
                  <c:v>0.32</c:v>
                </c:pt>
                <c:pt idx="3">
                  <c:v>0.31</c:v>
                </c:pt>
                <c:pt idx="4">
                  <c:v>0.31</c:v>
                </c:pt>
                <c:pt idx="5">
                  <c:v>0.31</c:v>
                </c:pt>
                <c:pt idx="6">
                  <c:v>0.31</c:v>
                </c:pt>
                <c:pt idx="7">
                  <c:v>0.31</c:v>
                </c:pt>
                <c:pt idx="8">
                  <c:v>0.3</c:v>
                </c:pt>
                <c:pt idx="9">
                  <c:v>0.28999999999999998</c:v>
                </c:pt>
                <c:pt idx="10">
                  <c:v>0.28999999999999998</c:v>
                </c:pt>
                <c:pt idx="11">
                  <c:v>0.28999999999999998</c:v>
                </c:pt>
                <c:pt idx="12">
                  <c:v>0.28999999999999998</c:v>
                </c:pt>
                <c:pt idx="13">
                  <c:v>0.28000000000000003</c:v>
                </c:pt>
                <c:pt idx="14">
                  <c:v>0.28999999999999998</c:v>
                </c:pt>
                <c:pt idx="15">
                  <c:v>0.28999999999999998</c:v>
                </c:pt>
                <c:pt idx="16">
                  <c:v>0.28999999999999998</c:v>
                </c:pt>
                <c:pt idx="17">
                  <c:v>0.28999999999999998</c:v>
                </c:pt>
                <c:pt idx="18">
                  <c:v>0.28999999999999998</c:v>
                </c:pt>
                <c:pt idx="19">
                  <c:v>0.28999999999999998</c:v>
                </c:pt>
                <c:pt idx="20">
                  <c:v>0.28999999999999998</c:v>
                </c:pt>
                <c:pt idx="21">
                  <c:v>0.28999999999999998</c:v>
                </c:pt>
                <c:pt idx="22">
                  <c:v>0.28999999999999998</c:v>
                </c:pt>
                <c:pt idx="23">
                  <c:v>0.28999999999999998</c:v>
                </c:pt>
                <c:pt idx="24">
                  <c:v>0.28000000000000003</c:v>
                </c:pt>
                <c:pt idx="25">
                  <c:v>0.28000000000000003</c:v>
                </c:pt>
                <c:pt idx="26">
                  <c:v>0.28000000000000003</c:v>
                </c:pt>
                <c:pt idx="27">
                  <c:v>0.28999999999999998</c:v>
                </c:pt>
                <c:pt idx="28">
                  <c:v>0.3</c:v>
                </c:pt>
                <c:pt idx="29">
                  <c:v>0.3</c:v>
                </c:pt>
                <c:pt idx="30">
                  <c:v>0.3</c:v>
                </c:pt>
                <c:pt idx="31">
                  <c:v>0.43</c:v>
                </c:pt>
                <c:pt idx="32">
                  <c:v>0.46</c:v>
                </c:pt>
                <c:pt idx="33">
                  <c:v>0.51</c:v>
                </c:pt>
                <c:pt idx="34">
                  <c:v>0.71</c:v>
                </c:pt>
                <c:pt idx="35">
                  <c:v>0.75</c:v>
                </c:pt>
                <c:pt idx="36">
                  <c:v>0.77</c:v>
                </c:pt>
                <c:pt idx="37">
                  <c:v>0.9</c:v>
                </c:pt>
                <c:pt idx="38">
                  <c:v>0.9</c:v>
                </c:pt>
                <c:pt idx="39">
                  <c:v>0.9</c:v>
                </c:pt>
                <c:pt idx="40">
                  <c:v>0.9</c:v>
                </c:pt>
                <c:pt idx="41">
                  <c:v>0.93</c:v>
                </c:pt>
                <c:pt idx="42">
                  <c:v>1.18</c:v>
                </c:pt>
                <c:pt idx="43">
                  <c:v>1.45</c:v>
                </c:pt>
                <c:pt idx="44">
                  <c:v>1.54</c:v>
                </c:pt>
                <c:pt idx="45">
                  <c:v>1.76</c:v>
                </c:pt>
                <c:pt idx="46">
                  <c:v>1.99</c:v>
                </c:pt>
                <c:pt idx="47">
                  <c:v>2.0099999999999998</c:v>
                </c:pt>
                <c:pt idx="48">
                  <c:v>2.0099999999999998</c:v>
                </c:pt>
                <c:pt idx="49">
                  <c:v>2.0099999999999998</c:v>
                </c:pt>
                <c:pt idx="50">
                  <c:v>2.0299999999999998</c:v>
                </c:pt>
                <c:pt idx="51">
                  <c:v>2.02</c:v>
                </c:pt>
                <c:pt idx="52">
                  <c:v>2.19</c:v>
                </c:pt>
                <c:pt idx="53">
                  <c:v>2.17</c:v>
                </c:pt>
                <c:pt idx="54">
                  <c:v>2.16</c:v>
                </c:pt>
                <c:pt idx="55">
                  <c:v>2.14</c:v>
                </c:pt>
                <c:pt idx="56">
                  <c:v>2.14</c:v>
                </c:pt>
                <c:pt idx="57">
                  <c:v>2.17</c:v>
                </c:pt>
                <c:pt idx="58">
                  <c:v>2.1800000000000002</c:v>
                </c:pt>
                <c:pt idx="59">
                  <c:v>2.1800000000000002</c:v>
                </c:pt>
                <c:pt idx="60">
                  <c:v>2.17</c:v>
                </c:pt>
                <c:pt idx="61">
                  <c:v>2.34</c:v>
                </c:pt>
                <c:pt idx="62">
                  <c:v>2</c:v>
                </c:pt>
                <c:pt idx="63">
                  <c:v>0.97</c:v>
                </c:pt>
                <c:pt idx="64">
                  <c:v>0.46</c:v>
                </c:pt>
                <c:pt idx="65">
                  <c:v>0.34</c:v>
                </c:pt>
                <c:pt idx="66">
                  <c:v>0.34</c:v>
                </c:pt>
                <c:pt idx="67">
                  <c:v>0.34</c:v>
                </c:pt>
                <c:pt idx="68">
                  <c:v>0.34</c:v>
                </c:pt>
                <c:pt idx="69">
                  <c:v>0.35</c:v>
                </c:pt>
                <c:pt idx="70">
                  <c:v>0.35</c:v>
                </c:pt>
                <c:pt idx="71">
                  <c:v>0.35</c:v>
                </c:pt>
                <c:pt idx="72">
                  <c:v>0.36</c:v>
                </c:pt>
                <c:pt idx="73">
                  <c:v>0.36</c:v>
                </c:pt>
                <c:pt idx="74">
                  <c:v>0.36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454-4435-A3D8-9A5F95DAD468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1'!$A$42:$B$116</c:f>
              <c:multiLvlStrCache>
                <c:ptCount val="7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  <c:pt idx="72">
                    <c:v>1</c:v>
                  </c:pt>
                  <c:pt idx="73">
                    <c:v>2</c:v>
                  </c:pt>
                  <c:pt idx="74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  <c:pt idx="72">
                    <c:v>2021</c:v>
                  </c:pt>
                </c:lvl>
              </c:multiLvlStrCache>
            </c:multiLvlStrRef>
          </c:cat>
          <c:val>
            <c:numRef>
              <c:f>'Měnové podmínky 1'!$G$42:$G$116</c:f>
              <c:numCache>
                <c:formatCode>General</c:formatCode>
                <c:ptCount val="75"/>
                <c:pt idx="0">
                  <c:v>0.13</c:v>
                </c:pt>
                <c:pt idx="1">
                  <c:v>0.17</c:v>
                </c:pt>
                <c:pt idx="2">
                  <c:v>0.14000000000000001</c:v>
                </c:pt>
                <c:pt idx="3">
                  <c:v>0.05</c:v>
                </c:pt>
                <c:pt idx="4">
                  <c:v>0.22</c:v>
                </c:pt>
                <c:pt idx="5">
                  <c:v>0.43</c:v>
                </c:pt>
                <c:pt idx="6">
                  <c:v>0.35</c:v>
                </c:pt>
                <c:pt idx="7">
                  <c:v>0.2</c:v>
                </c:pt>
                <c:pt idx="8">
                  <c:v>0.06</c:v>
                </c:pt>
                <c:pt idx="9">
                  <c:v>-0.05</c:v>
                </c:pt>
                <c:pt idx="10">
                  <c:v>-0.05</c:v>
                </c:pt>
                <c:pt idx="11">
                  <c:v>-0.11</c:v>
                </c:pt>
                <c:pt idx="12">
                  <c:v>0.04</c:v>
                </c:pt>
                <c:pt idx="13">
                  <c:v>-0.08</c:v>
                </c:pt>
                <c:pt idx="14">
                  <c:v>-0.1</c:v>
                </c:pt>
                <c:pt idx="15">
                  <c:v>0.04</c:v>
                </c:pt>
                <c:pt idx="16">
                  <c:v>7.0000000000000007E-2</c:v>
                </c:pt>
                <c:pt idx="17">
                  <c:v>0.05</c:v>
                </c:pt>
                <c:pt idx="18">
                  <c:v>-0.02</c:v>
                </c:pt>
                <c:pt idx="19">
                  <c:v>-0.09</c:v>
                </c:pt>
                <c:pt idx="20">
                  <c:v>-0.19</c:v>
                </c:pt>
                <c:pt idx="21">
                  <c:v>-0.17</c:v>
                </c:pt>
                <c:pt idx="22">
                  <c:v>-0.17</c:v>
                </c:pt>
                <c:pt idx="23">
                  <c:v>-0.21</c:v>
                </c:pt>
                <c:pt idx="24">
                  <c:v>-0.22</c:v>
                </c:pt>
                <c:pt idx="25">
                  <c:v>0.09</c:v>
                </c:pt>
                <c:pt idx="26">
                  <c:v>0.1</c:v>
                </c:pt>
                <c:pt idx="27">
                  <c:v>0.16</c:v>
                </c:pt>
                <c:pt idx="28">
                  <c:v>0.04</c:v>
                </c:pt>
                <c:pt idx="29">
                  <c:v>-0.03</c:v>
                </c:pt>
                <c:pt idx="30">
                  <c:v>0.14000000000000001</c:v>
                </c:pt>
                <c:pt idx="31">
                  <c:v>0.09</c:v>
                </c:pt>
                <c:pt idx="32">
                  <c:v>0.1</c:v>
                </c:pt>
                <c:pt idx="33">
                  <c:v>0.63</c:v>
                </c:pt>
                <c:pt idx="34">
                  <c:v>0.87</c:v>
                </c:pt>
                <c:pt idx="35">
                  <c:v>0.68</c:v>
                </c:pt>
                <c:pt idx="36">
                  <c:v>0.99</c:v>
                </c:pt>
                <c:pt idx="37">
                  <c:v>1.07</c:v>
                </c:pt>
                <c:pt idx="38">
                  <c:v>1.0900000000000001</c:v>
                </c:pt>
                <c:pt idx="39">
                  <c:v>1.05</c:v>
                </c:pt>
                <c:pt idx="40">
                  <c:v>1.21</c:v>
                </c:pt>
                <c:pt idx="41">
                  <c:v>1.41</c:v>
                </c:pt>
                <c:pt idx="42">
                  <c:v>1.44</c:v>
                </c:pt>
                <c:pt idx="43">
                  <c:v>1.55</c:v>
                </c:pt>
                <c:pt idx="44">
                  <c:v>1.7</c:v>
                </c:pt>
                <c:pt idx="45">
                  <c:v>1.81</c:v>
                </c:pt>
                <c:pt idx="46">
                  <c:v>1.79</c:v>
                </c:pt>
                <c:pt idx="47">
                  <c:v>1.71</c:v>
                </c:pt>
                <c:pt idx="48">
                  <c:v>1.6</c:v>
                </c:pt>
                <c:pt idx="49">
                  <c:v>1.61</c:v>
                </c:pt>
                <c:pt idx="50">
                  <c:v>1.7</c:v>
                </c:pt>
                <c:pt idx="51">
                  <c:v>1.63</c:v>
                </c:pt>
                <c:pt idx="52">
                  <c:v>1.57</c:v>
                </c:pt>
                <c:pt idx="53">
                  <c:v>1.43</c:v>
                </c:pt>
                <c:pt idx="54">
                  <c:v>1.31</c:v>
                </c:pt>
                <c:pt idx="55">
                  <c:v>0.89</c:v>
                </c:pt>
                <c:pt idx="56">
                  <c:v>1.1299999999999999</c:v>
                </c:pt>
                <c:pt idx="57">
                  <c:v>1.23</c:v>
                </c:pt>
                <c:pt idx="58">
                  <c:v>1.32</c:v>
                </c:pt>
                <c:pt idx="59">
                  <c:v>1.31</c:v>
                </c:pt>
                <c:pt idx="60">
                  <c:v>1.51</c:v>
                </c:pt>
                <c:pt idx="61">
                  <c:v>1.52</c:v>
                </c:pt>
                <c:pt idx="62">
                  <c:v>1.23</c:v>
                </c:pt>
                <c:pt idx="63">
                  <c:v>1.06</c:v>
                </c:pt>
                <c:pt idx="64">
                  <c:v>0.56999999999999995</c:v>
                </c:pt>
                <c:pt idx="65">
                  <c:v>0.52</c:v>
                </c:pt>
                <c:pt idx="66">
                  <c:v>0.52</c:v>
                </c:pt>
                <c:pt idx="67">
                  <c:v>0.57999999999999996</c:v>
                </c:pt>
                <c:pt idx="68">
                  <c:v>0.57999999999999996</c:v>
                </c:pt>
                <c:pt idx="69">
                  <c:v>0.54</c:v>
                </c:pt>
                <c:pt idx="70">
                  <c:v>0.66</c:v>
                </c:pt>
                <c:pt idx="71">
                  <c:v>0.8</c:v>
                </c:pt>
                <c:pt idx="72">
                  <c:v>0.82</c:v>
                </c:pt>
                <c:pt idx="73">
                  <c:v>1.06</c:v>
                </c:pt>
                <c:pt idx="74">
                  <c:v>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454-4435-A3D8-9A5F95DAD468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1'!$A$42:$B$116</c:f>
              <c:multiLvlStrCache>
                <c:ptCount val="7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  <c:pt idx="72">
                    <c:v>1</c:v>
                  </c:pt>
                  <c:pt idx="73">
                    <c:v>2</c:v>
                  </c:pt>
                  <c:pt idx="74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  <c:pt idx="72">
                    <c:v>2021</c:v>
                  </c:pt>
                </c:lvl>
              </c:multiLvlStrCache>
            </c:multiLvlStrRef>
          </c:cat>
          <c:val>
            <c:numRef>
              <c:f>'Měnové podmínky 1'!$E$42:$E$116</c:f>
              <c:numCache>
                <c:formatCode>General</c:formatCode>
                <c:ptCount val="75"/>
                <c:pt idx="0">
                  <c:v>0.51</c:v>
                </c:pt>
                <c:pt idx="1">
                  <c:v>0.51</c:v>
                </c:pt>
                <c:pt idx="2">
                  <c:v>0.49</c:v>
                </c:pt>
                <c:pt idx="3">
                  <c:v>0.48</c:v>
                </c:pt>
                <c:pt idx="4">
                  <c:v>0.48</c:v>
                </c:pt>
                <c:pt idx="5">
                  <c:v>0.48</c:v>
                </c:pt>
                <c:pt idx="6">
                  <c:v>0.48</c:v>
                </c:pt>
                <c:pt idx="7">
                  <c:v>0.48</c:v>
                </c:pt>
                <c:pt idx="8">
                  <c:v>0.47</c:v>
                </c:pt>
                <c:pt idx="9">
                  <c:v>0.46</c:v>
                </c:pt>
                <c:pt idx="10">
                  <c:v>0.46</c:v>
                </c:pt>
                <c:pt idx="11">
                  <c:v>0.46</c:v>
                </c:pt>
                <c:pt idx="12">
                  <c:v>0.45</c:v>
                </c:pt>
                <c:pt idx="13">
                  <c:v>0.45</c:v>
                </c:pt>
                <c:pt idx="14">
                  <c:v>0.45</c:v>
                </c:pt>
                <c:pt idx="15">
                  <c:v>0.45</c:v>
                </c:pt>
                <c:pt idx="16">
                  <c:v>0.45</c:v>
                </c:pt>
                <c:pt idx="17">
                  <c:v>0.45</c:v>
                </c:pt>
                <c:pt idx="18">
                  <c:v>0.45</c:v>
                </c:pt>
                <c:pt idx="19">
                  <c:v>0.45</c:v>
                </c:pt>
                <c:pt idx="20">
                  <c:v>0.45</c:v>
                </c:pt>
                <c:pt idx="21">
                  <c:v>0.45</c:v>
                </c:pt>
                <c:pt idx="22">
                  <c:v>0.45</c:v>
                </c:pt>
                <c:pt idx="23">
                  <c:v>0.45</c:v>
                </c:pt>
                <c:pt idx="24">
                  <c:v>0.44</c:v>
                </c:pt>
                <c:pt idx="25">
                  <c:v>0.44</c:v>
                </c:pt>
                <c:pt idx="26">
                  <c:v>0.44</c:v>
                </c:pt>
                <c:pt idx="27">
                  <c:v>0.45</c:v>
                </c:pt>
                <c:pt idx="28">
                  <c:v>0.46</c:v>
                </c:pt>
                <c:pt idx="29">
                  <c:v>0.46</c:v>
                </c:pt>
                <c:pt idx="30">
                  <c:v>0.47</c:v>
                </c:pt>
                <c:pt idx="31">
                  <c:v>0.6</c:v>
                </c:pt>
                <c:pt idx="32">
                  <c:v>0.64</c:v>
                </c:pt>
                <c:pt idx="33">
                  <c:v>0.69</c:v>
                </c:pt>
                <c:pt idx="34">
                  <c:v>0.91</c:v>
                </c:pt>
                <c:pt idx="35">
                  <c:v>0.96</c:v>
                </c:pt>
                <c:pt idx="36">
                  <c:v>0.98</c:v>
                </c:pt>
                <c:pt idx="37">
                  <c:v>1.1100000000000001</c:v>
                </c:pt>
                <c:pt idx="38">
                  <c:v>1.1200000000000001</c:v>
                </c:pt>
                <c:pt idx="39">
                  <c:v>1.1200000000000001</c:v>
                </c:pt>
                <c:pt idx="40">
                  <c:v>1.1200000000000001</c:v>
                </c:pt>
                <c:pt idx="41">
                  <c:v>1.1499999999999999</c:v>
                </c:pt>
                <c:pt idx="42">
                  <c:v>1.39</c:v>
                </c:pt>
                <c:pt idx="43">
                  <c:v>1.67</c:v>
                </c:pt>
                <c:pt idx="44">
                  <c:v>1.79</c:v>
                </c:pt>
                <c:pt idx="45">
                  <c:v>1.95</c:v>
                </c:pt>
                <c:pt idx="46">
                  <c:v>2.1800000000000002</c:v>
                </c:pt>
                <c:pt idx="47">
                  <c:v>2.21</c:v>
                </c:pt>
                <c:pt idx="48">
                  <c:v>2.21</c:v>
                </c:pt>
                <c:pt idx="49">
                  <c:v>2.2000000000000002</c:v>
                </c:pt>
                <c:pt idx="50">
                  <c:v>2.2000000000000002</c:v>
                </c:pt>
                <c:pt idx="51">
                  <c:v>2.21</c:v>
                </c:pt>
                <c:pt idx="52">
                  <c:v>2.3199999999999998</c:v>
                </c:pt>
                <c:pt idx="53">
                  <c:v>2.29</c:v>
                </c:pt>
                <c:pt idx="54">
                  <c:v>2.2799999999999998</c:v>
                </c:pt>
                <c:pt idx="55">
                  <c:v>2.2200000000000002</c:v>
                </c:pt>
                <c:pt idx="56">
                  <c:v>2.2000000000000002</c:v>
                </c:pt>
                <c:pt idx="57">
                  <c:v>2.2799999999999998</c:v>
                </c:pt>
                <c:pt idx="58">
                  <c:v>2.2799999999999998</c:v>
                </c:pt>
                <c:pt idx="59">
                  <c:v>2.27</c:v>
                </c:pt>
                <c:pt idx="60">
                  <c:v>2.27</c:v>
                </c:pt>
                <c:pt idx="61">
                  <c:v>2.42</c:v>
                </c:pt>
                <c:pt idx="62">
                  <c:v>2.0099999999999998</c:v>
                </c:pt>
                <c:pt idx="63">
                  <c:v>0.92</c:v>
                </c:pt>
                <c:pt idx="64">
                  <c:v>0.51</c:v>
                </c:pt>
                <c:pt idx="65">
                  <c:v>0.43</c:v>
                </c:pt>
                <c:pt idx="66">
                  <c:v>0.43</c:v>
                </c:pt>
                <c:pt idx="67">
                  <c:v>0.43</c:v>
                </c:pt>
                <c:pt idx="68">
                  <c:v>0.44</c:v>
                </c:pt>
                <c:pt idx="69">
                  <c:v>0.43</c:v>
                </c:pt>
                <c:pt idx="70">
                  <c:v>0.44</c:v>
                </c:pt>
                <c:pt idx="71">
                  <c:v>0.49</c:v>
                </c:pt>
                <c:pt idx="72">
                  <c:v>0.49</c:v>
                </c:pt>
                <c:pt idx="73">
                  <c:v>0.54</c:v>
                </c:pt>
                <c:pt idx="74">
                  <c:v>0.56000000000000005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454-4435-A3D8-9A5F95DAD468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1'!$A$42:$B$116</c:f>
              <c:multiLvlStrCache>
                <c:ptCount val="7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  <c:pt idx="72">
                    <c:v>1</c:v>
                  </c:pt>
                  <c:pt idx="73">
                    <c:v>2</c:v>
                  </c:pt>
                  <c:pt idx="74">
                    <c:v>3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  <c:pt idx="72">
                    <c:v>2021</c:v>
                  </c:pt>
                </c:lvl>
              </c:multiLvlStrCache>
            </c:multiLvlStrRef>
          </c:cat>
          <c:val>
            <c:numRef>
              <c:f>'Měnové podmínky 1'!$H$42:$H$116</c:f>
              <c:numCache>
                <c:formatCode>General</c:formatCode>
                <c:ptCount val="75"/>
                <c:pt idx="0">
                  <c:v>0.35</c:v>
                </c:pt>
                <c:pt idx="1">
                  <c:v>0.4</c:v>
                </c:pt>
                <c:pt idx="2">
                  <c:v>0.35</c:v>
                </c:pt>
                <c:pt idx="3">
                  <c:v>0.26</c:v>
                </c:pt>
                <c:pt idx="4">
                  <c:v>0.6</c:v>
                </c:pt>
                <c:pt idx="5">
                  <c:v>1.01</c:v>
                </c:pt>
                <c:pt idx="6">
                  <c:v>0.97</c:v>
                </c:pt>
                <c:pt idx="7">
                  <c:v>0.74</c:v>
                </c:pt>
                <c:pt idx="8">
                  <c:v>0.68</c:v>
                </c:pt>
                <c:pt idx="9">
                  <c:v>0.56000000000000005</c:v>
                </c:pt>
                <c:pt idx="10">
                  <c:v>0.49</c:v>
                </c:pt>
                <c:pt idx="11">
                  <c:v>0.49</c:v>
                </c:pt>
                <c:pt idx="12">
                  <c:v>0.62</c:v>
                </c:pt>
                <c:pt idx="13">
                  <c:v>0.46</c:v>
                </c:pt>
                <c:pt idx="14">
                  <c:v>0.35</c:v>
                </c:pt>
                <c:pt idx="15">
                  <c:v>0.43</c:v>
                </c:pt>
                <c:pt idx="16">
                  <c:v>0.46</c:v>
                </c:pt>
                <c:pt idx="17">
                  <c:v>0.45</c:v>
                </c:pt>
                <c:pt idx="18">
                  <c:v>0.37</c:v>
                </c:pt>
                <c:pt idx="19">
                  <c:v>0.28999999999999998</c:v>
                </c:pt>
                <c:pt idx="20">
                  <c:v>0.25</c:v>
                </c:pt>
                <c:pt idx="21">
                  <c:v>0.37</c:v>
                </c:pt>
                <c:pt idx="22">
                  <c:v>0.55000000000000004</c:v>
                </c:pt>
                <c:pt idx="23">
                  <c:v>0.53</c:v>
                </c:pt>
                <c:pt idx="24">
                  <c:v>0.47</c:v>
                </c:pt>
                <c:pt idx="25">
                  <c:v>0.63</c:v>
                </c:pt>
                <c:pt idx="26">
                  <c:v>0.87</c:v>
                </c:pt>
                <c:pt idx="27">
                  <c:v>0.96</c:v>
                </c:pt>
                <c:pt idx="28">
                  <c:v>0.74</c:v>
                </c:pt>
                <c:pt idx="29">
                  <c:v>0.77</c:v>
                </c:pt>
                <c:pt idx="30">
                  <c:v>0.9</c:v>
                </c:pt>
                <c:pt idx="31">
                  <c:v>0.83</c:v>
                </c:pt>
                <c:pt idx="32">
                  <c:v>0.97</c:v>
                </c:pt>
                <c:pt idx="33">
                  <c:v>1.45</c:v>
                </c:pt>
                <c:pt idx="34">
                  <c:v>1.68</c:v>
                </c:pt>
                <c:pt idx="35">
                  <c:v>1.5</c:v>
                </c:pt>
                <c:pt idx="36">
                  <c:v>1.77</c:v>
                </c:pt>
                <c:pt idx="37">
                  <c:v>1.82</c:v>
                </c:pt>
                <c:pt idx="38">
                  <c:v>1.81</c:v>
                </c:pt>
                <c:pt idx="39">
                  <c:v>1.74</c:v>
                </c:pt>
                <c:pt idx="40">
                  <c:v>1.89</c:v>
                </c:pt>
                <c:pt idx="41">
                  <c:v>2.14</c:v>
                </c:pt>
                <c:pt idx="42">
                  <c:v>2.11</c:v>
                </c:pt>
                <c:pt idx="43">
                  <c:v>2.14</c:v>
                </c:pt>
                <c:pt idx="44">
                  <c:v>2.14</c:v>
                </c:pt>
                <c:pt idx="45">
                  <c:v>2.14</c:v>
                </c:pt>
                <c:pt idx="46">
                  <c:v>2.0699999999999998</c:v>
                </c:pt>
                <c:pt idx="47">
                  <c:v>2.0099999999999998</c:v>
                </c:pt>
                <c:pt idx="48">
                  <c:v>1.85</c:v>
                </c:pt>
                <c:pt idx="49">
                  <c:v>1.76</c:v>
                </c:pt>
                <c:pt idx="50">
                  <c:v>1.82</c:v>
                </c:pt>
                <c:pt idx="51">
                  <c:v>1.82</c:v>
                </c:pt>
                <c:pt idx="52">
                  <c:v>1.86</c:v>
                </c:pt>
                <c:pt idx="53">
                  <c:v>1.58</c:v>
                </c:pt>
                <c:pt idx="54">
                  <c:v>1.36</c:v>
                </c:pt>
                <c:pt idx="55">
                  <c:v>0.99</c:v>
                </c:pt>
                <c:pt idx="56">
                  <c:v>1.24</c:v>
                </c:pt>
                <c:pt idx="57">
                  <c:v>1.32</c:v>
                </c:pt>
                <c:pt idx="58">
                  <c:v>1.47</c:v>
                </c:pt>
                <c:pt idx="59">
                  <c:v>1.51</c:v>
                </c:pt>
                <c:pt idx="60">
                  <c:v>1.62</c:v>
                </c:pt>
                <c:pt idx="61">
                  <c:v>1.47</c:v>
                </c:pt>
                <c:pt idx="62">
                  <c:v>1.28</c:v>
                </c:pt>
                <c:pt idx="63">
                  <c:v>1.28</c:v>
                </c:pt>
                <c:pt idx="64">
                  <c:v>0.92</c:v>
                </c:pt>
                <c:pt idx="65">
                  <c:v>0.86</c:v>
                </c:pt>
                <c:pt idx="66">
                  <c:v>0.86</c:v>
                </c:pt>
                <c:pt idx="67">
                  <c:v>0.95</c:v>
                </c:pt>
                <c:pt idx="68">
                  <c:v>0.98</c:v>
                </c:pt>
                <c:pt idx="69">
                  <c:v>0.94</c:v>
                </c:pt>
                <c:pt idx="70">
                  <c:v>1.1200000000000001</c:v>
                </c:pt>
                <c:pt idx="71">
                  <c:v>1.26</c:v>
                </c:pt>
                <c:pt idx="72">
                  <c:v>1.28</c:v>
                </c:pt>
                <c:pt idx="73">
                  <c:v>1.49</c:v>
                </c:pt>
                <c:pt idx="74">
                  <c:v>1.87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454-4435-A3D8-9A5F95DAD4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742464"/>
        <c:axId val="271744000"/>
      </c:lineChart>
      <c:catAx>
        <c:axId val="27174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744000"/>
        <c:crosses val="autoZero"/>
        <c:auto val="1"/>
        <c:lblAlgn val="ctr"/>
        <c:lblOffset val="100"/>
        <c:noMultiLvlLbl val="0"/>
      </c:catAx>
      <c:valAx>
        <c:axId val="271744000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7424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0A1-7188-475F-BC64-B738055B9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63737-D74A-43F0-B452-829863AC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7</TotalTime>
  <Pages>2</Pages>
  <Words>783</Words>
  <Characters>4412</Characters>
  <Application>Microsoft Office Word</Application>
  <DocSecurity>0</DocSecurity>
  <Lines>66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5176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4</cp:revision>
  <cp:lastPrinted>2019-04-08T10:52:00Z</cp:lastPrinted>
  <dcterms:created xsi:type="dcterms:W3CDTF">2021-06-15T07:59:00Z</dcterms:created>
  <dcterms:modified xsi:type="dcterms:W3CDTF">2021-06-15T08:16:00Z</dcterms:modified>
</cp:coreProperties>
</file>