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0DC73" w14:textId="77777777" w:rsidR="00AB3BA7" w:rsidRDefault="00AB3BA7" w:rsidP="00AB3BA7">
      <w:pPr>
        <w:pStyle w:val="Nadpis11"/>
      </w:pPr>
      <w:bookmarkStart w:id="0" w:name="_Toc74643860"/>
      <w:bookmarkStart w:id="1" w:name="_GoBack"/>
      <w:bookmarkEnd w:id="1"/>
      <w:r w:rsidRPr="00787441">
        <w:rPr>
          <w:szCs w:val="32"/>
        </w:rPr>
        <w:t>8</w:t>
      </w:r>
      <w:r>
        <w:t>. </w:t>
      </w:r>
      <w:r w:rsidRPr="009110F7">
        <w:t>Státní rozpočet</w:t>
      </w:r>
      <w:bookmarkEnd w:id="0"/>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AB3BA7" w:rsidRPr="003C07E6" w14:paraId="6AA45516" w14:textId="77777777" w:rsidTr="00D67D55">
        <w:trPr>
          <w:trHeight w:val="145"/>
        </w:trPr>
        <w:tc>
          <w:tcPr>
            <w:tcW w:w="1732" w:type="dxa"/>
            <w:shd w:val="clear" w:color="auto" w:fill="auto"/>
            <w:tcMar>
              <w:left w:w="0" w:type="dxa"/>
            </w:tcMar>
          </w:tcPr>
          <w:p w14:paraId="640617A5" w14:textId="77777777" w:rsidR="00AB3BA7" w:rsidRDefault="00AB3BA7" w:rsidP="00D67D55">
            <w:pPr>
              <w:pStyle w:val="Marginlie"/>
            </w:pPr>
            <w:r>
              <w:t>Deficit SR se v 1. čtvrtletí prohloubil na rekordních 125 mld. korun.</w:t>
            </w:r>
          </w:p>
          <w:p w14:paraId="58C5F60C" w14:textId="77777777" w:rsidR="00AB3BA7" w:rsidRDefault="00AB3BA7" w:rsidP="00D67D55">
            <w:pPr>
              <w:pStyle w:val="Marginlie"/>
            </w:pPr>
          </w:p>
          <w:p w14:paraId="3D7D13C9" w14:textId="77777777" w:rsidR="00AB3BA7" w:rsidRDefault="00AB3BA7" w:rsidP="00D67D55">
            <w:pPr>
              <w:pStyle w:val="Marginlie"/>
            </w:pPr>
          </w:p>
          <w:p w14:paraId="026CCF4E" w14:textId="77777777" w:rsidR="00AB3BA7" w:rsidRDefault="00AB3BA7" w:rsidP="00D67D55">
            <w:pPr>
              <w:pStyle w:val="Marginlie"/>
            </w:pPr>
            <w:r>
              <w:t>Byl ovlivněn pokračujícími protipandemickými opatřeními, ale i významnou změnou daňové legislativy.</w:t>
            </w:r>
          </w:p>
        </w:tc>
        <w:tc>
          <w:tcPr>
            <w:tcW w:w="217" w:type="dxa"/>
            <w:shd w:val="clear" w:color="auto" w:fill="auto"/>
            <w:tcMar>
              <w:left w:w="0" w:type="dxa"/>
            </w:tcMar>
          </w:tcPr>
          <w:p w14:paraId="2359892D" w14:textId="77777777" w:rsidR="00AB3BA7" w:rsidRDefault="00AB3BA7" w:rsidP="00D67D55">
            <w:pPr>
              <w:pStyle w:val="Textpoznpodarou"/>
              <w:jc w:val="both"/>
              <w:rPr>
                <w:spacing w:val="-4"/>
              </w:rPr>
            </w:pPr>
          </w:p>
        </w:tc>
        <w:tc>
          <w:tcPr>
            <w:tcW w:w="7720" w:type="dxa"/>
            <w:shd w:val="clear" w:color="auto" w:fill="auto"/>
            <w:tcMar>
              <w:left w:w="0" w:type="dxa"/>
            </w:tcMar>
          </w:tcPr>
          <w:p w14:paraId="3CF052C6" w14:textId="77777777" w:rsidR="00AB3BA7" w:rsidRDefault="00AB3BA7" w:rsidP="00D67D55">
            <w:pPr>
              <w:spacing w:after="200"/>
              <w:rPr>
                <w:spacing w:val="-4"/>
              </w:rPr>
            </w:pPr>
            <w:r>
              <w:rPr>
                <w:spacing w:val="-4"/>
              </w:rPr>
              <w:t xml:space="preserve">V 1. čtvrtletí 2021 skončilo hospodaření státního rozpočtu </w:t>
            </w:r>
            <w:r w:rsidRPr="00347DD9">
              <w:rPr>
                <w:spacing w:val="-4"/>
              </w:rPr>
              <w:t>(SR)</w:t>
            </w:r>
            <w:r w:rsidRPr="00347DD9">
              <w:rPr>
                <w:rStyle w:val="Znakapoznpodarou"/>
                <w:spacing w:val="-4"/>
              </w:rPr>
              <w:footnoteReference w:id="1"/>
            </w:r>
            <w:r>
              <w:rPr>
                <w:spacing w:val="-4"/>
              </w:rPr>
              <w:t xml:space="preserve"> s rekordním </w:t>
            </w:r>
            <w:r w:rsidRPr="002457FE">
              <w:rPr>
                <w:color w:val="0D0D0D" w:themeColor="text1" w:themeTint="F2"/>
                <w:spacing w:val="-4"/>
              </w:rPr>
              <w:t xml:space="preserve">schodkem ve výši </w:t>
            </w:r>
            <w:r>
              <w:rPr>
                <w:spacing w:val="-4"/>
              </w:rPr>
              <w:t>125,2 mld. korun</w:t>
            </w:r>
            <w:r>
              <w:rPr>
                <w:rStyle w:val="Znakapoznpodarou"/>
                <w:spacing w:val="-4"/>
              </w:rPr>
              <w:footnoteReference w:id="2"/>
            </w:r>
            <w:r>
              <w:rPr>
                <w:spacing w:val="-4"/>
              </w:rPr>
              <w:t xml:space="preserve">, jenž byl meziročně o více než 80 mld. hlubší. Šlo rovněž o skoro třikrát vyšší deficit než z počátku roku 2010, kdy byly veřejné rozpočty tvrdě zasaženy dopady globální finanční a hospodářské krize. Letošní výsledek odráží primárně dopad protipandemických opatření, která s menšími přestávkami již více než rok zásadně omezují ekonomickou aktivitu zejména v oblasti obchodu i ostatních služeb. To spolu s úlevami </w:t>
            </w:r>
            <w:r w:rsidRPr="00EA32C7">
              <w:rPr>
                <w:spacing w:val="-4"/>
              </w:rPr>
              <w:t>podnikatelským subjektům</w:t>
            </w:r>
            <w:r>
              <w:rPr>
                <w:spacing w:val="-4"/>
              </w:rPr>
              <w:t xml:space="preserve"> a letošním snížením daňového zatížení (především zrušení superhrubé mzdy)</w:t>
            </w:r>
            <w:r>
              <w:rPr>
                <w:rStyle w:val="Znakapoznpodarou"/>
                <w:spacing w:val="-4"/>
              </w:rPr>
              <w:footnoteReference w:id="3"/>
            </w:r>
            <w:r>
              <w:rPr>
                <w:spacing w:val="-4"/>
              </w:rPr>
              <w:t xml:space="preserve"> vyústilo ve významný pokles daňového inkasa. Zároveň vyvstala akutní potřeba posílení výdajových transferů na podporu zasažených odvětví i samotných pracovníků, ale také na kompenzaci zvýšených nároků zejména v oblasti zdravotní péče.</w:t>
            </w:r>
          </w:p>
        </w:tc>
      </w:tr>
      <w:tr w:rsidR="00AB3BA7" w:rsidRPr="003C07E6" w14:paraId="764D6CBA" w14:textId="77777777" w:rsidTr="00D67D55">
        <w:trPr>
          <w:trHeight w:val="145"/>
        </w:trPr>
        <w:tc>
          <w:tcPr>
            <w:tcW w:w="1732" w:type="dxa"/>
            <w:shd w:val="clear" w:color="auto" w:fill="auto"/>
            <w:tcMar>
              <w:left w:w="0" w:type="dxa"/>
            </w:tcMar>
          </w:tcPr>
          <w:p w14:paraId="3D61210E" w14:textId="77777777" w:rsidR="00AB3BA7" w:rsidRDefault="00AB3BA7" w:rsidP="00D67D55">
            <w:pPr>
              <w:pStyle w:val="Marginlie"/>
            </w:pPr>
            <w:r>
              <w:t>Daňové inkaso na úrovni veřejných rozpočtů propadlo o 15 %, tedy více než v krizovém roce 2009.</w:t>
            </w:r>
          </w:p>
        </w:tc>
        <w:tc>
          <w:tcPr>
            <w:tcW w:w="217" w:type="dxa"/>
            <w:shd w:val="clear" w:color="auto" w:fill="auto"/>
            <w:tcMar>
              <w:left w:w="0" w:type="dxa"/>
            </w:tcMar>
          </w:tcPr>
          <w:p w14:paraId="523DFDC9" w14:textId="77777777" w:rsidR="00AB3BA7" w:rsidRDefault="00AB3BA7" w:rsidP="00D67D55">
            <w:pPr>
              <w:pStyle w:val="Textpoznpodarou"/>
              <w:jc w:val="both"/>
              <w:rPr>
                <w:spacing w:val="-4"/>
              </w:rPr>
            </w:pPr>
          </w:p>
        </w:tc>
        <w:tc>
          <w:tcPr>
            <w:tcW w:w="7720" w:type="dxa"/>
            <w:shd w:val="clear" w:color="auto" w:fill="auto"/>
            <w:tcMar>
              <w:left w:w="0" w:type="dxa"/>
            </w:tcMar>
          </w:tcPr>
          <w:p w14:paraId="2F3DF0D8" w14:textId="77777777" w:rsidR="00AB3BA7" w:rsidRPr="00B25FF5" w:rsidRDefault="00AB3BA7" w:rsidP="00D67D55">
            <w:pPr>
              <w:spacing w:after="200"/>
              <w:rPr>
                <w:spacing w:val="-5"/>
              </w:rPr>
            </w:pPr>
            <w:r w:rsidRPr="00B25FF5">
              <w:rPr>
                <w:spacing w:val="-5"/>
              </w:rPr>
              <w:t>Celkové příjmy SR se v 1. čtvrtletí meziročně snížily o desetinu a poprvé za poslední čtyři roky klesly</w:t>
            </w:r>
            <w:r w:rsidRPr="00B25FF5">
              <w:rPr>
                <w:rStyle w:val="Znakapoznpodarou"/>
                <w:spacing w:val="-5"/>
              </w:rPr>
              <w:footnoteReference w:id="4"/>
            </w:r>
            <w:r w:rsidRPr="00B25FF5">
              <w:rPr>
                <w:spacing w:val="-5"/>
              </w:rPr>
              <w:t>. Kromě výše uvedených vlivů byly negativně ovlivněny i změnou rozpočtového určení daní ve prospěch územních rozpočtů</w:t>
            </w:r>
            <w:r w:rsidRPr="00B25FF5">
              <w:rPr>
                <w:rStyle w:val="Znakapoznpodarou"/>
                <w:spacing w:val="-5"/>
              </w:rPr>
              <w:footnoteReference w:id="5"/>
            </w:r>
            <w:r w:rsidRPr="00B25FF5">
              <w:rPr>
                <w:spacing w:val="-5"/>
              </w:rPr>
              <w:t>. Projevil se citelný výpadek celkových daňových příjmů (meziročně –32 mld</w:t>
            </w:r>
            <w:r>
              <w:rPr>
                <w:spacing w:val="-5"/>
              </w:rPr>
              <w:t>. korun), částečně</w:t>
            </w:r>
            <w:r w:rsidRPr="00B25FF5">
              <w:rPr>
                <w:spacing w:val="-5"/>
              </w:rPr>
              <w:t xml:space="preserve"> ale </w:t>
            </w:r>
            <w:r>
              <w:rPr>
                <w:spacing w:val="-5"/>
              </w:rPr>
              <w:t>také</w:t>
            </w:r>
            <w:r w:rsidRPr="00B25FF5">
              <w:rPr>
                <w:spacing w:val="-5"/>
              </w:rPr>
              <w:t> nedaňových a kapitálových příjmů a transferů (–6 mld.), a to přesto, že klíčová položka příjmů z rozpočtu EU nadále mírně rostla (+2,8 mld.)</w:t>
            </w:r>
            <w:r w:rsidRPr="00B25FF5">
              <w:rPr>
                <w:rStyle w:val="Znakapoznpodarou"/>
                <w:spacing w:val="-5"/>
              </w:rPr>
              <w:footnoteReference w:id="6"/>
            </w:r>
            <w:r w:rsidRPr="00B25FF5">
              <w:rPr>
                <w:spacing w:val="-5"/>
              </w:rPr>
              <w:t>. Souhrnné celostátní inkaso daní (bez pojistného) na úrovni všech veřejných rozpočtů meziročně propadlo o 15,0 %, tedy více než např. v 1. čtvrtletí krizového roku 2009 (–11,1 %). Letošní výše tohoto inkasa dosahovala nominálně úrovně z počátku roku 2017.</w:t>
            </w:r>
          </w:p>
        </w:tc>
      </w:tr>
      <w:tr w:rsidR="00AB3BA7" w:rsidRPr="003C07E6" w14:paraId="69364CDA" w14:textId="77777777" w:rsidTr="00D67D55">
        <w:trPr>
          <w:trHeight w:val="145"/>
        </w:trPr>
        <w:tc>
          <w:tcPr>
            <w:tcW w:w="1732" w:type="dxa"/>
            <w:shd w:val="clear" w:color="auto" w:fill="auto"/>
            <w:tcMar>
              <w:left w:w="0" w:type="dxa"/>
            </w:tcMar>
          </w:tcPr>
          <w:p w14:paraId="135108BE" w14:textId="77777777" w:rsidR="00AB3BA7" w:rsidRDefault="00AB3BA7" w:rsidP="00D67D55">
            <w:pPr>
              <w:pStyle w:val="Marginlie"/>
            </w:pPr>
            <w:r>
              <w:t>Za propadem DPFO ze závislé činnosti stálo snížení daňového zatížení práce i pokračující výplata kompenzačních bonusů.</w:t>
            </w:r>
          </w:p>
        </w:tc>
        <w:tc>
          <w:tcPr>
            <w:tcW w:w="217" w:type="dxa"/>
            <w:shd w:val="clear" w:color="auto" w:fill="auto"/>
            <w:tcMar>
              <w:left w:w="0" w:type="dxa"/>
            </w:tcMar>
          </w:tcPr>
          <w:p w14:paraId="26C92D87" w14:textId="77777777" w:rsidR="00AB3BA7" w:rsidRDefault="00AB3BA7" w:rsidP="00D67D55">
            <w:pPr>
              <w:pStyle w:val="Textpoznpodarou"/>
              <w:jc w:val="both"/>
              <w:rPr>
                <w:spacing w:val="-4"/>
              </w:rPr>
            </w:pPr>
          </w:p>
        </w:tc>
        <w:tc>
          <w:tcPr>
            <w:tcW w:w="7720" w:type="dxa"/>
            <w:shd w:val="clear" w:color="auto" w:fill="auto"/>
            <w:tcMar>
              <w:left w:w="0" w:type="dxa"/>
            </w:tcMar>
          </w:tcPr>
          <w:p w14:paraId="0EE458FB" w14:textId="0D3D2B7C" w:rsidR="00AB3BA7" w:rsidRPr="0095443E" w:rsidRDefault="00AB3BA7" w:rsidP="006F6FF2">
            <w:pPr>
              <w:spacing w:after="200"/>
              <w:rPr>
                <w:spacing w:val="-4"/>
              </w:rPr>
            </w:pPr>
            <w:r w:rsidRPr="0095443E">
              <w:rPr>
                <w:spacing w:val="-4"/>
              </w:rPr>
              <w:t>Za nepříznivým vývojem</w:t>
            </w:r>
            <w:r>
              <w:rPr>
                <w:spacing w:val="-4"/>
              </w:rPr>
              <w:t xml:space="preserve"> celkového daňového inkasa</w:t>
            </w:r>
            <w:r w:rsidRPr="0095443E">
              <w:rPr>
                <w:spacing w:val="-4"/>
              </w:rPr>
              <w:t xml:space="preserve"> SR</w:t>
            </w:r>
            <w:r>
              <w:rPr>
                <w:spacing w:val="-4"/>
              </w:rPr>
              <w:t xml:space="preserve"> stál</w:t>
            </w:r>
            <w:r w:rsidRPr="0095443E">
              <w:rPr>
                <w:spacing w:val="-4"/>
              </w:rPr>
              <w:t xml:space="preserve"> v 1.</w:t>
            </w:r>
            <w:r>
              <w:rPr>
                <w:spacing w:val="-4"/>
              </w:rPr>
              <w:t> čtvrtlet</w:t>
            </w:r>
            <w:r w:rsidRPr="0095443E">
              <w:rPr>
                <w:spacing w:val="-4"/>
              </w:rPr>
              <w:t>í zejména</w:t>
            </w:r>
            <w:r>
              <w:rPr>
                <w:spacing w:val="-4"/>
              </w:rPr>
              <w:t xml:space="preserve"> slabší výběr </w:t>
            </w:r>
            <w:r w:rsidRPr="0095443E">
              <w:rPr>
                <w:spacing w:val="-4"/>
              </w:rPr>
              <w:t>daně</w:t>
            </w:r>
            <w:r>
              <w:rPr>
                <w:spacing w:val="-4"/>
              </w:rPr>
              <w:t xml:space="preserve"> z příjmu </w:t>
            </w:r>
            <w:r w:rsidRPr="0095443E">
              <w:rPr>
                <w:spacing w:val="-4"/>
              </w:rPr>
              <w:t xml:space="preserve">ze závislé činnosti </w:t>
            </w:r>
            <w:r>
              <w:rPr>
                <w:spacing w:val="-4"/>
              </w:rPr>
              <w:t>fyzických osob (FO)</w:t>
            </w:r>
            <w:r w:rsidRPr="0095443E">
              <w:rPr>
                <w:spacing w:val="-4"/>
              </w:rPr>
              <w:t xml:space="preserve">. </w:t>
            </w:r>
            <w:r>
              <w:rPr>
                <w:spacing w:val="-4"/>
              </w:rPr>
              <w:t>Ten meziročně propadl</w:t>
            </w:r>
            <w:r w:rsidRPr="0095443E">
              <w:rPr>
                <w:spacing w:val="-4"/>
              </w:rPr>
              <w:t xml:space="preserve"> o</w:t>
            </w:r>
            <w:r>
              <w:rPr>
                <w:spacing w:val="-4"/>
              </w:rPr>
              <w:t> </w:t>
            </w:r>
            <w:r w:rsidRPr="0095443E">
              <w:rPr>
                <w:spacing w:val="-4"/>
              </w:rPr>
              <w:t>40</w:t>
            </w:r>
            <w:r>
              <w:rPr>
                <w:spacing w:val="-4"/>
              </w:rPr>
              <w:t> %</w:t>
            </w:r>
            <w:r w:rsidRPr="0095443E">
              <w:rPr>
                <w:spacing w:val="-4"/>
              </w:rPr>
              <w:t xml:space="preserve"> (resp. o</w:t>
            </w:r>
            <w:r>
              <w:rPr>
                <w:spacing w:val="-4"/>
              </w:rPr>
              <w:t> </w:t>
            </w:r>
            <w:r w:rsidRPr="0095443E">
              <w:rPr>
                <w:spacing w:val="-4"/>
              </w:rPr>
              <w:t>14,4</w:t>
            </w:r>
            <w:r>
              <w:rPr>
                <w:spacing w:val="-4"/>
              </w:rPr>
              <w:t> mld.</w:t>
            </w:r>
            <w:r w:rsidRPr="0095443E">
              <w:rPr>
                <w:spacing w:val="-4"/>
              </w:rPr>
              <w:t xml:space="preserve"> korun). Klíčovou roli zde sehrálo snížení daňového zatížení práce</w:t>
            </w:r>
            <w:r w:rsidRPr="00285F04">
              <w:rPr>
                <w:vertAlign w:val="superscript"/>
              </w:rPr>
              <w:footnoteReference w:id="7"/>
            </w:r>
            <w:r w:rsidRPr="0095443E">
              <w:rPr>
                <w:spacing w:val="-4"/>
              </w:rPr>
              <w:t xml:space="preserve">. </w:t>
            </w:r>
            <w:r>
              <w:rPr>
                <w:spacing w:val="-4"/>
              </w:rPr>
              <w:t>Inkaso redukovala rovněž pokračující</w:t>
            </w:r>
            <w:r w:rsidRPr="00782CBF">
              <w:rPr>
                <w:spacing w:val="-4"/>
              </w:rPr>
              <w:t xml:space="preserve"> přímá podpora formou vyplácení kompenzačních bonusů</w:t>
            </w:r>
            <w:r>
              <w:rPr>
                <w:spacing w:val="-4"/>
              </w:rPr>
              <w:t>, zejména OSVČ (za 1. čtvrtletí ze SR 4,8</w:t>
            </w:r>
            <w:r w:rsidRPr="00782CBF">
              <w:rPr>
                <w:spacing w:val="-4"/>
              </w:rPr>
              <w:t> mld. korun</w:t>
            </w:r>
            <w:r>
              <w:rPr>
                <w:spacing w:val="-4"/>
              </w:rPr>
              <w:t>). P</w:t>
            </w:r>
            <w:r w:rsidRPr="00782CBF">
              <w:rPr>
                <w:spacing w:val="-4"/>
              </w:rPr>
              <w:t>rojevil se také vyšší počet osob pečujících o dítě v období uzavře</w:t>
            </w:r>
            <w:r>
              <w:rPr>
                <w:spacing w:val="-4"/>
              </w:rPr>
              <w:t xml:space="preserve">ní škol, pokles zaměstnanosti a patrně i meziročně </w:t>
            </w:r>
            <w:r w:rsidRPr="00782CBF">
              <w:rPr>
                <w:spacing w:val="-4"/>
              </w:rPr>
              <w:t xml:space="preserve">nižší dynamika růstu průměrných mezd v ekonomice. </w:t>
            </w:r>
            <w:r>
              <w:rPr>
                <w:spacing w:val="-4"/>
              </w:rPr>
              <w:t xml:space="preserve">Příjem SR z ostatních váhově méně významných daní FO se </w:t>
            </w:r>
            <w:r w:rsidRPr="0095443E">
              <w:rPr>
                <w:spacing w:val="-4"/>
              </w:rPr>
              <w:t>snížil jen mírně (o</w:t>
            </w:r>
            <w:r>
              <w:rPr>
                <w:spacing w:val="-4"/>
              </w:rPr>
              <w:t> </w:t>
            </w:r>
            <w:r w:rsidRPr="0095443E">
              <w:rPr>
                <w:spacing w:val="-4"/>
              </w:rPr>
              <w:t>0,8</w:t>
            </w:r>
            <w:r>
              <w:rPr>
                <w:spacing w:val="-4"/>
              </w:rPr>
              <w:t> mld.</w:t>
            </w:r>
            <w:r w:rsidRPr="0095443E">
              <w:rPr>
                <w:spacing w:val="-4"/>
              </w:rPr>
              <w:t xml:space="preserve"> korun). Negativně působil posun lhůty pro podání přiznání a</w:t>
            </w:r>
            <w:r>
              <w:rPr>
                <w:spacing w:val="-4"/>
              </w:rPr>
              <w:t> </w:t>
            </w:r>
            <w:r w:rsidRPr="0095443E">
              <w:rPr>
                <w:spacing w:val="-4"/>
              </w:rPr>
              <w:t>zaplacení daně</w:t>
            </w:r>
            <w:r>
              <w:rPr>
                <w:spacing w:val="-4"/>
              </w:rPr>
              <w:t xml:space="preserve"> či změna rozpočtového určení daně. Naopak inkaso DPFO vybírané srážkou v 1. čtvrtletí 2021 (podobně jako po celý loňský rok) rostlo.</w:t>
            </w:r>
          </w:p>
        </w:tc>
      </w:tr>
      <w:tr w:rsidR="00AB3BA7" w:rsidRPr="003C07E6" w14:paraId="11B0BC56" w14:textId="77777777" w:rsidTr="00D67D55">
        <w:trPr>
          <w:trHeight w:val="145"/>
        </w:trPr>
        <w:tc>
          <w:tcPr>
            <w:tcW w:w="1732" w:type="dxa"/>
            <w:shd w:val="clear" w:color="auto" w:fill="auto"/>
            <w:tcMar>
              <w:left w:w="0" w:type="dxa"/>
            </w:tcMar>
          </w:tcPr>
          <w:p w14:paraId="632F45D3" w14:textId="77777777" w:rsidR="00AB3BA7" w:rsidRDefault="00AB3BA7" w:rsidP="00D67D55">
            <w:pPr>
              <w:pStyle w:val="Marginlie"/>
            </w:pPr>
            <w:r>
              <w:t>Celostátní inkaso daně z příjmů právnických osob rostlo nejslabším tepem za posledních osm let.</w:t>
            </w:r>
          </w:p>
        </w:tc>
        <w:tc>
          <w:tcPr>
            <w:tcW w:w="217" w:type="dxa"/>
            <w:shd w:val="clear" w:color="auto" w:fill="auto"/>
            <w:tcMar>
              <w:left w:w="0" w:type="dxa"/>
            </w:tcMar>
          </w:tcPr>
          <w:p w14:paraId="27968872" w14:textId="77777777" w:rsidR="00AB3BA7" w:rsidRDefault="00AB3BA7" w:rsidP="00D67D55">
            <w:pPr>
              <w:pStyle w:val="Textpoznpodarou"/>
              <w:jc w:val="both"/>
              <w:rPr>
                <w:spacing w:val="-4"/>
              </w:rPr>
            </w:pPr>
          </w:p>
        </w:tc>
        <w:tc>
          <w:tcPr>
            <w:tcW w:w="7720" w:type="dxa"/>
            <w:shd w:val="clear" w:color="auto" w:fill="auto"/>
            <w:tcMar>
              <w:left w:w="0" w:type="dxa"/>
            </w:tcMar>
          </w:tcPr>
          <w:p w14:paraId="54FD3A41" w14:textId="77777777" w:rsidR="00AB3BA7" w:rsidRPr="00347DD9" w:rsidRDefault="00AB3BA7" w:rsidP="00D67D55">
            <w:pPr>
              <w:spacing w:after="200"/>
              <w:rPr>
                <w:spacing w:val="-4"/>
              </w:rPr>
            </w:pPr>
            <w:r>
              <w:rPr>
                <w:spacing w:val="-4"/>
              </w:rPr>
              <w:t>Na korporátní dani získal SR meziročně o 1,2 mld. korun méně. Celostátní inkaso této daně však v rámci 1. čtvrtletí nadále rostlo, byť nejslabším tempem od roku 2013 (+0,7 %). Část firem využila i letos možnosti individuálního nastavení záloh daně (snížení, prominutí)</w:t>
            </w:r>
            <w:r>
              <w:rPr>
                <w:rStyle w:val="Znakapoznpodarou"/>
                <w:spacing w:val="-4"/>
              </w:rPr>
              <w:footnoteReference w:id="8"/>
            </w:r>
            <w:r>
              <w:rPr>
                <w:spacing w:val="-4"/>
              </w:rPr>
              <w:t>.</w:t>
            </w:r>
            <w:r w:rsidRPr="00782CBF">
              <w:rPr>
                <w:spacing w:val="-4"/>
              </w:rPr>
              <w:t xml:space="preserve"> Nepříznivé výsledky hospodaření podniků v odvětvích služeb nejvíce zasažených protipandemickými restrikcemi se v</w:t>
            </w:r>
            <w:r>
              <w:rPr>
                <w:spacing w:val="-4"/>
              </w:rPr>
              <w:t> </w:t>
            </w:r>
            <w:r w:rsidRPr="00782CBF">
              <w:rPr>
                <w:spacing w:val="-4"/>
              </w:rPr>
              <w:t>inkasu korporátní daně zatím zdaleka plně neprojevily</w:t>
            </w:r>
            <w:r w:rsidRPr="00782CBF">
              <w:rPr>
                <w:rStyle w:val="Znakapoznpodarou"/>
                <w:spacing w:val="-4"/>
              </w:rPr>
              <w:footnoteReference w:id="9"/>
            </w:r>
            <w:r w:rsidRPr="00782CBF">
              <w:rPr>
                <w:spacing w:val="-4"/>
              </w:rPr>
              <w:t>.</w:t>
            </w:r>
          </w:p>
        </w:tc>
      </w:tr>
      <w:tr w:rsidR="00AB3BA7" w:rsidRPr="003C07E6" w14:paraId="74905363" w14:textId="77777777" w:rsidTr="00D67D55">
        <w:trPr>
          <w:trHeight w:val="145"/>
        </w:trPr>
        <w:tc>
          <w:tcPr>
            <w:tcW w:w="1732" w:type="dxa"/>
            <w:shd w:val="clear" w:color="auto" w:fill="auto"/>
            <w:tcMar>
              <w:left w:w="0" w:type="dxa"/>
            </w:tcMar>
          </w:tcPr>
          <w:p w14:paraId="4435F839" w14:textId="77777777" w:rsidR="00AB3BA7" w:rsidRDefault="00AB3BA7" w:rsidP="00D67D55">
            <w:pPr>
              <w:pStyle w:val="Marginlie"/>
            </w:pPr>
            <w:r>
              <w:t>Celostátní inkaso DPH v 1. čtvrtletí meziročně kleslo o 6,9 %, v březnu a dubnu však již vykazovalo růst.</w:t>
            </w:r>
          </w:p>
        </w:tc>
        <w:tc>
          <w:tcPr>
            <w:tcW w:w="217" w:type="dxa"/>
            <w:shd w:val="clear" w:color="auto" w:fill="auto"/>
            <w:tcMar>
              <w:left w:w="0" w:type="dxa"/>
            </w:tcMar>
          </w:tcPr>
          <w:p w14:paraId="65807966" w14:textId="77777777" w:rsidR="00AB3BA7" w:rsidRDefault="00AB3BA7" w:rsidP="00D67D55">
            <w:pPr>
              <w:pStyle w:val="Textpoznpodarou"/>
              <w:jc w:val="both"/>
              <w:rPr>
                <w:spacing w:val="-4"/>
              </w:rPr>
            </w:pPr>
          </w:p>
        </w:tc>
        <w:tc>
          <w:tcPr>
            <w:tcW w:w="7720" w:type="dxa"/>
            <w:shd w:val="clear" w:color="auto" w:fill="auto"/>
            <w:tcMar>
              <w:left w:w="0" w:type="dxa"/>
            </w:tcMar>
          </w:tcPr>
          <w:p w14:paraId="0CBE1DF7" w14:textId="77777777" w:rsidR="00AB3BA7" w:rsidRPr="00782CBF" w:rsidRDefault="00AB3BA7" w:rsidP="00D67D55">
            <w:pPr>
              <w:spacing w:after="200"/>
              <w:rPr>
                <w:spacing w:val="-4"/>
              </w:rPr>
            </w:pPr>
            <w:r>
              <w:rPr>
                <w:spacing w:val="-4"/>
              </w:rPr>
              <w:t xml:space="preserve">Z váhově dominantní daně – DPH – plynulo do SR v 1. čtvrtletí o 7,6 mld. korun méně, výběr tak meziročně oslabil o osminu. Na úrovni všech veřejných rozpočtů se však inkaso snížilo „jen“ o 6,9 %. Projevil se vliv vyšší loňské základny způsobené únorovým předzásobením před propuknutím pandemie i skutečnost, že restriktivní opatření začala vloni citelně </w:t>
            </w:r>
            <w:r>
              <w:rPr>
                <w:spacing w:val="-4"/>
              </w:rPr>
              <w:lastRenderedPageBreak/>
              <w:t>ovlivňovat soukromou spotřebu v ekonomice až od půlky března, zatímco letos působila negativně po celé 1. čtvrtletí</w:t>
            </w:r>
            <w:r>
              <w:rPr>
                <w:rStyle w:val="Znakapoznpodarou"/>
                <w:spacing w:val="-4"/>
              </w:rPr>
              <w:footnoteReference w:id="10"/>
            </w:r>
            <w:r>
              <w:rPr>
                <w:spacing w:val="-4"/>
              </w:rPr>
              <w:t xml:space="preserve">. </w:t>
            </w:r>
            <w:r>
              <w:rPr>
                <w:spacing w:val="-5"/>
              </w:rPr>
              <w:t>Inkaso bylo</w:t>
            </w:r>
            <w:r w:rsidRPr="00F033DA">
              <w:rPr>
                <w:spacing w:val="-5"/>
              </w:rPr>
              <w:t xml:space="preserve"> </w:t>
            </w:r>
            <w:r>
              <w:rPr>
                <w:spacing w:val="-5"/>
              </w:rPr>
              <w:t xml:space="preserve">letos </w:t>
            </w:r>
            <w:r w:rsidRPr="00F033DA">
              <w:rPr>
                <w:spacing w:val="-5"/>
              </w:rPr>
              <w:t xml:space="preserve">kromě omezení provozoven </w:t>
            </w:r>
            <w:r>
              <w:rPr>
                <w:spacing w:val="-5"/>
              </w:rPr>
              <w:t xml:space="preserve">negativně </w:t>
            </w:r>
            <w:r w:rsidRPr="00F033DA">
              <w:rPr>
                <w:spacing w:val="-5"/>
              </w:rPr>
              <w:t>ovlivněno i</w:t>
            </w:r>
            <w:r>
              <w:rPr>
                <w:spacing w:val="-5"/>
              </w:rPr>
              <w:t> </w:t>
            </w:r>
            <w:r w:rsidRPr="00F033DA">
              <w:rPr>
                <w:spacing w:val="-5"/>
              </w:rPr>
              <w:t>snížením saz</w:t>
            </w:r>
            <w:r>
              <w:rPr>
                <w:spacing w:val="-5"/>
              </w:rPr>
              <w:t>eb daně u některých služeb (zejména</w:t>
            </w:r>
            <w:r w:rsidRPr="00F033DA">
              <w:rPr>
                <w:spacing w:val="-5"/>
              </w:rPr>
              <w:t xml:space="preserve"> ve stravování).</w:t>
            </w:r>
          </w:p>
        </w:tc>
      </w:tr>
      <w:tr w:rsidR="00AB3BA7" w:rsidRPr="003C07E6" w14:paraId="6A723F36" w14:textId="77777777" w:rsidTr="00D67D55">
        <w:trPr>
          <w:trHeight w:val="145"/>
        </w:trPr>
        <w:tc>
          <w:tcPr>
            <w:tcW w:w="1732" w:type="dxa"/>
            <w:shd w:val="clear" w:color="auto" w:fill="auto"/>
            <w:tcMar>
              <w:left w:w="0" w:type="dxa"/>
            </w:tcMar>
          </w:tcPr>
          <w:p w14:paraId="5FDBE1D1" w14:textId="77777777" w:rsidR="00AB3BA7" w:rsidRDefault="00AB3BA7" w:rsidP="00D67D55">
            <w:pPr>
              <w:pStyle w:val="Marginlie"/>
            </w:pPr>
            <w:r>
              <w:lastRenderedPageBreak/>
              <w:t>Výběr spotřebních daní meziročně propadl skoro o pětinu. Citelně se projevilo uzavření pohostinských zařízení i další zpřísnění restrikcí v oblasti mobility obyvatelstva.</w:t>
            </w:r>
          </w:p>
        </w:tc>
        <w:tc>
          <w:tcPr>
            <w:tcW w:w="217" w:type="dxa"/>
            <w:shd w:val="clear" w:color="auto" w:fill="auto"/>
            <w:tcMar>
              <w:left w:w="0" w:type="dxa"/>
            </w:tcMar>
          </w:tcPr>
          <w:p w14:paraId="1172FBA6" w14:textId="77777777" w:rsidR="00AB3BA7" w:rsidRDefault="00AB3BA7" w:rsidP="00D67D55">
            <w:pPr>
              <w:pStyle w:val="Textpoznpodarou"/>
              <w:jc w:val="both"/>
              <w:rPr>
                <w:spacing w:val="-4"/>
              </w:rPr>
            </w:pPr>
          </w:p>
        </w:tc>
        <w:tc>
          <w:tcPr>
            <w:tcW w:w="7720" w:type="dxa"/>
            <w:shd w:val="clear" w:color="auto" w:fill="auto"/>
            <w:tcMar>
              <w:left w:w="0" w:type="dxa"/>
            </w:tcMar>
          </w:tcPr>
          <w:p w14:paraId="032CD84A" w14:textId="77777777" w:rsidR="00AB3BA7" w:rsidRPr="00460F0F" w:rsidRDefault="00AB3BA7" w:rsidP="00D67D55">
            <w:pPr>
              <w:spacing w:after="200"/>
              <w:rPr>
                <w:spacing w:val="-5"/>
              </w:rPr>
            </w:pPr>
            <w:r w:rsidRPr="00460F0F">
              <w:rPr>
                <w:color w:val="0D0D0D" w:themeColor="text1" w:themeTint="F2"/>
                <w:spacing w:val="-5"/>
              </w:rPr>
              <w:t>Celkové příjmy SR ze spotřebních daní se v 1.</w:t>
            </w:r>
            <w:r>
              <w:rPr>
                <w:color w:val="0D0D0D" w:themeColor="text1" w:themeTint="F2"/>
                <w:spacing w:val="-5"/>
              </w:rPr>
              <w:t xml:space="preserve"> čtvrtletí meziročně propadly </w:t>
            </w:r>
            <w:r w:rsidRPr="00460F0F">
              <w:rPr>
                <w:color w:val="0D0D0D" w:themeColor="text1" w:themeTint="F2"/>
                <w:spacing w:val="-5"/>
              </w:rPr>
              <w:t>o</w:t>
            </w:r>
            <w:r w:rsidRPr="00460F0F">
              <w:rPr>
                <w:spacing w:val="-5"/>
              </w:rPr>
              <w:t> </w:t>
            </w:r>
            <w:r>
              <w:rPr>
                <w:color w:val="0D0D0D" w:themeColor="text1" w:themeTint="F2"/>
                <w:spacing w:val="-5"/>
              </w:rPr>
              <w:t>pětinu a shod</w:t>
            </w:r>
            <w:r w:rsidRPr="00460F0F">
              <w:rPr>
                <w:color w:val="0D0D0D" w:themeColor="text1" w:themeTint="F2"/>
                <w:spacing w:val="-5"/>
              </w:rPr>
              <w:t xml:space="preserve">ně jako inkaso DPH zatím za rozpočtovým očekáváním zaostaly. Více než polovina meziročního poklesu šla na vrub slabšího </w:t>
            </w:r>
            <w:r>
              <w:rPr>
                <w:color w:val="0D0D0D" w:themeColor="text1" w:themeTint="F2"/>
                <w:spacing w:val="-5"/>
              </w:rPr>
              <w:t>inkasa daně z tabákových výrobků</w:t>
            </w:r>
            <w:r w:rsidRPr="00460F0F">
              <w:rPr>
                <w:color w:val="0D0D0D" w:themeColor="text1" w:themeTint="F2"/>
                <w:spacing w:val="-5"/>
              </w:rPr>
              <w:t xml:space="preserve"> (</w:t>
            </w:r>
            <w:r w:rsidRPr="00460F0F">
              <w:rPr>
                <w:spacing w:val="-5"/>
              </w:rPr>
              <w:t>–</w:t>
            </w:r>
            <w:r w:rsidRPr="00460F0F">
              <w:rPr>
                <w:color w:val="0D0D0D" w:themeColor="text1" w:themeTint="F2"/>
                <w:spacing w:val="-5"/>
              </w:rPr>
              <w:t>31</w:t>
            </w:r>
            <w:r>
              <w:rPr>
                <w:color w:val="0D0D0D" w:themeColor="text1" w:themeTint="F2"/>
                <w:spacing w:val="-5"/>
              </w:rPr>
              <w:t> %</w:t>
            </w:r>
            <w:r w:rsidRPr="00460F0F">
              <w:rPr>
                <w:color w:val="0D0D0D" w:themeColor="text1" w:themeTint="F2"/>
                <w:spacing w:val="-5"/>
              </w:rPr>
              <w:t xml:space="preserve">). </w:t>
            </w:r>
            <w:r>
              <w:rPr>
                <w:color w:val="0D0D0D" w:themeColor="text1" w:themeTint="F2"/>
                <w:spacing w:val="-5"/>
              </w:rPr>
              <w:t>To</w:t>
            </w:r>
            <w:r w:rsidRPr="00460F0F">
              <w:rPr>
                <w:color w:val="0D0D0D" w:themeColor="text1" w:themeTint="F2"/>
                <w:spacing w:val="-5"/>
              </w:rPr>
              <w:t xml:space="preserve"> bývá ovšem na počátku roku tradičně rozkolísan</w:t>
            </w:r>
            <w:r>
              <w:rPr>
                <w:color w:val="0D0D0D" w:themeColor="text1" w:themeTint="F2"/>
                <w:spacing w:val="-5"/>
              </w:rPr>
              <w:t>é</w:t>
            </w:r>
            <w:r w:rsidRPr="00460F0F">
              <w:rPr>
                <w:color w:val="0D0D0D" w:themeColor="text1" w:themeTint="F2"/>
                <w:spacing w:val="-5"/>
              </w:rPr>
              <w:t>, zejména při souběžném růstu sazby daně</w:t>
            </w:r>
            <w:r w:rsidRPr="00460F0F">
              <w:rPr>
                <w:rStyle w:val="Znakapoznpodarou"/>
                <w:color w:val="0D0D0D" w:themeColor="text1" w:themeTint="F2"/>
                <w:spacing w:val="-5"/>
              </w:rPr>
              <w:footnoteReference w:id="11"/>
            </w:r>
            <w:r w:rsidRPr="00460F0F">
              <w:rPr>
                <w:color w:val="0D0D0D" w:themeColor="text1" w:themeTint="F2"/>
                <w:spacing w:val="-5"/>
              </w:rPr>
              <w:t>. Výběr této daně snižovalo i</w:t>
            </w:r>
            <w:r>
              <w:rPr>
                <w:color w:val="0D0D0D" w:themeColor="text1" w:themeTint="F2"/>
                <w:spacing w:val="-5"/>
              </w:rPr>
              <w:t> </w:t>
            </w:r>
            <w:r w:rsidRPr="00460F0F">
              <w:rPr>
                <w:color w:val="0D0D0D" w:themeColor="text1" w:themeTint="F2"/>
                <w:spacing w:val="-5"/>
              </w:rPr>
              <w:t xml:space="preserve">pokračující omezení přeshraničních nákupů, které se v prvních dvou měsících loňského roku neprojevovalo. </w:t>
            </w:r>
            <w:r w:rsidRPr="00460F0F">
              <w:rPr>
                <w:spacing w:val="-5"/>
              </w:rPr>
              <w:t>Inkaso váhově významné daně z minerálních olejů se za 1.</w:t>
            </w:r>
            <w:r>
              <w:rPr>
                <w:spacing w:val="-5"/>
              </w:rPr>
              <w:t> kvartál</w:t>
            </w:r>
            <w:r w:rsidRPr="00460F0F">
              <w:rPr>
                <w:spacing w:val="-5"/>
              </w:rPr>
              <w:t xml:space="preserve"> snížilo o</w:t>
            </w:r>
            <w:r>
              <w:rPr>
                <w:spacing w:val="-5"/>
              </w:rPr>
              <w:t> </w:t>
            </w:r>
            <w:r w:rsidRPr="00460F0F">
              <w:rPr>
                <w:spacing w:val="-5"/>
              </w:rPr>
              <w:t>13</w:t>
            </w:r>
            <w:r>
              <w:rPr>
                <w:spacing w:val="-5"/>
              </w:rPr>
              <w:t> %</w:t>
            </w:r>
            <w:r w:rsidRPr="00460F0F">
              <w:rPr>
                <w:spacing w:val="-5"/>
              </w:rPr>
              <w:t xml:space="preserve"> a</w:t>
            </w:r>
            <w:r>
              <w:rPr>
                <w:spacing w:val="-5"/>
              </w:rPr>
              <w:t> </w:t>
            </w:r>
            <w:r w:rsidRPr="00460F0F">
              <w:rPr>
                <w:spacing w:val="-5"/>
              </w:rPr>
              <w:t>v dubnu se jeho pokles dále prohloubil</w:t>
            </w:r>
            <w:r w:rsidRPr="00460F0F">
              <w:rPr>
                <w:rStyle w:val="Znakapoznpodarou"/>
                <w:spacing w:val="-5"/>
              </w:rPr>
              <w:footnoteReference w:id="12"/>
            </w:r>
            <w:r w:rsidRPr="00460F0F">
              <w:rPr>
                <w:spacing w:val="-5"/>
              </w:rPr>
              <w:t>. Výkony osobní dopravy byly nadále poznamenány zpřísněním restrikcí (uzavřením okresů), zčásti také snížením spotřební daně z</w:t>
            </w:r>
            <w:r>
              <w:rPr>
                <w:spacing w:val="-5"/>
              </w:rPr>
              <w:t> </w:t>
            </w:r>
            <w:r w:rsidRPr="00460F0F">
              <w:rPr>
                <w:spacing w:val="-5"/>
              </w:rPr>
              <w:t>nafty (o</w:t>
            </w:r>
            <w:r>
              <w:rPr>
                <w:spacing w:val="-5"/>
              </w:rPr>
              <w:t> </w:t>
            </w:r>
            <w:r w:rsidRPr="00460F0F">
              <w:rPr>
                <w:spacing w:val="-5"/>
              </w:rPr>
              <w:t>1</w:t>
            </w:r>
            <w:r>
              <w:rPr>
                <w:spacing w:val="-5"/>
              </w:rPr>
              <w:t> </w:t>
            </w:r>
            <w:r w:rsidRPr="00460F0F">
              <w:rPr>
                <w:spacing w:val="-5"/>
              </w:rPr>
              <w:t>korunu). O</w:t>
            </w:r>
            <w:r>
              <w:rPr>
                <w:spacing w:val="-5"/>
              </w:rPr>
              <w:t> </w:t>
            </w:r>
            <w:r w:rsidRPr="00460F0F">
              <w:rPr>
                <w:spacing w:val="-5"/>
              </w:rPr>
              <w:t>více než 20</w:t>
            </w:r>
            <w:r>
              <w:rPr>
                <w:spacing w:val="-5"/>
              </w:rPr>
              <w:t> %</w:t>
            </w:r>
            <w:r w:rsidRPr="00460F0F">
              <w:rPr>
                <w:spacing w:val="-5"/>
              </w:rPr>
              <w:t xml:space="preserve"> klesl v 1.</w:t>
            </w:r>
            <w:r w:rsidRPr="00460F0F">
              <w:rPr>
                <w:color w:val="0D0D0D" w:themeColor="text1" w:themeTint="F2"/>
                <w:spacing w:val="-5"/>
              </w:rPr>
              <w:t> </w:t>
            </w:r>
            <w:r w:rsidRPr="00460F0F">
              <w:rPr>
                <w:spacing w:val="-5"/>
              </w:rPr>
              <w:t>čtvrtletí výběr daně z</w:t>
            </w:r>
            <w:r>
              <w:rPr>
                <w:spacing w:val="-5"/>
              </w:rPr>
              <w:t> </w:t>
            </w:r>
            <w:r w:rsidRPr="00460F0F">
              <w:rPr>
                <w:spacing w:val="-5"/>
              </w:rPr>
              <w:t>lihu i</w:t>
            </w:r>
            <w:r>
              <w:rPr>
                <w:spacing w:val="-5"/>
              </w:rPr>
              <w:t> </w:t>
            </w:r>
            <w:r w:rsidRPr="00460F0F">
              <w:rPr>
                <w:spacing w:val="-5"/>
              </w:rPr>
              <w:t>piva, což souviselo s uzavřením pohostinských zařízení i</w:t>
            </w:r>
            <w:r>
              <w:rPr>
                <w:spacing w:val="-5"/>
              </w:rPr>
              <w:t> </w:t>
            </w:r>
            <w:r w:rsidRPr="00460F0F">
              <w:rPr>
                <w:spacing w:val="-5"/>
              </w:rPr>
              <w:t>ochromením cestovního ruchu. Naopak inkaso daně z vína pokleslo mírněji (o</w:t>
            </w:r>
            <w:r>
              <w:rPr>
                <w:spacing w:val="-5"/>
              </w:rPr>
              <w:t> </w:t>
            </w:r>
            <w:r w:rsidRPr="00460F0F">
              <w:rPr>
                <w:spacing w:val="-5"/>
              </w:rPr>
              <w:t>5</w:t>
            </w:r>
            <w:r>
              <w:rPr>
                <w:spacing w:val="-5"/>
              </w:rPr>
              <w:t> %</w:t>
            </w:r>
            <w:r w:rsidRPr="00460F0F">
              <w:rPr>
                <w:spacing w:val="-5"/>
              </w:rPr>
              <w:t>), neboť se část utlumené spotřeby přesunula do domácností. Ve vyšším výběru energetických daní (+5,5</w:t>
            </w:r>
            <w:r>
              <w:rPr>
                <w:spacing w:val="-5"/>
              </w:rPr>
              <w:t> %</w:t>
            </w:r>
            <w:r w:rsidRPr="00460F0F">
              <w:rPr>
                <w:spacing w:val="-5"/>
              </w:rPr>
              <w:t>)</w:t>
            </w:r>
            <w:r>
              <w:rPr>
                <w:spacing w:val="-5"/>
              </w:rPr>
              <w:t xml:space="preserve"> </w:t>
            </w:r>
            <w:r w:rsidRPr="00460F0F">
              <w:rPr>
                <w:spacing w:val="-5"/>
              </w:rPr>
              <w:t>se projevila solidní kondice průmyslu, v němž využití výrobních kapacit vzrostlo na předpandemickou úroveň.</w:t>
            </w:r>
          </w:p>
        </w:tc>
      </w:tr>
      <w:tr w:rsidR="00AB3BA7" w:rsidRPr="00F704D2" w14:paraId="41DD26D1" w14:textId="77777777" w:rsidTr="00D67D55">
        <w:trPr>
          <w:trHeight w:val="170"/>
        </w:trPr>
        <w:tc>
          <w:tcPr>
            <w:tcW w:w="1732" w:type="dxa"/>
            <w:vMerge w:val="restart"/>
            <w:shd w:val="clear" w:color="auto" w:fill="auto"/>
            <w:tcMar>
              <w:left w:w="0" w:type="dxa"/>
            </w:tcMar>
          </w:tcPr>
          <w:p w14:paraId="3BEFDA87" w14:textId="77777777" w:rsidR="00AB3BA7" w:rsidRDefault="00AB3BA7" w:rsidP="00D67D55">
            <w:pPr>
              <w:pStyle w:val="Marginlie"/>
            </w:pPr>
          </w:p>
        </w:tc>
        <w:tc>
          <w:tcPr>
            <w:tcW w:w="217" w:type="dxa"/>
            <w:vMerge w:val="restart"/>
            <w:shd w:val="clear" w:color="auto" w:fill="auto"/>
            <w:tcMar>
              <w:left w:w="0" w:type="dxa"/>
            </w:tcMar>
          </w:tcPr>
          <w:p w14:paraId="7B9F4AB3" w14:textId="77777777" w:rsidR="00AB3BA7" w:rsidRDefault="00AB3BA7" w:rsidP="00D67D55">
            <w:pPr>
              <w:pStyle w:val="Textpoznpodarou"/>
              <w:jc w:val="both"/>
              <w:rPr>
                <w:spacing w:val="-4"/>
              </w:rPr>
            </w:pPr>
          </w:p>
        </w:tc>
        <w:tc>
          <w:tcPr>
            <w:tcW w:w="7720" w:type="dxa"/>
            <w:shd w:val="clear" w:color="auto" w:fill="auto"/>
            <w:tcMar>
              <w:left w:w="0" w:type="dxa"/>
            </w:tcMar>
          </w:tcPr>
          <w:p w14:paraId="2901B72E" w14:textId="77777777" w:rsidR="00AB3BA7" w:rsidRPr="00B80CE9" w:rsidRDefault="00AB3BA7" w:rsidP="00D67D55">
            <w:pPr>
              <w:spacing w:after="0" w:line="240" w:lineRule="auto"/>
              <w:rPr>
                <w:rFonts w:cs="Arial"/>
                <w:bCs/>
              </w:rPr>
            </w:pPr>
            <w:r w:rsidRPr="00B80CE9">
              <w:rPr>
                <w:rFonts w:cs="Arial"/>
                <w:b/>
                <w:bCs/>
                <w:color w:val="000000"/>
                <w:szCs w:val="20"/>
              </w:rPr>
              <w:t>Graf č. 16</w:t>
            </w:r>
            <w:r w:rsidRPr="00B80CE9">
              <w:rPr>
                <w:rFonts w:cs="Arial"/>
                <w:b/>
                <w:bCs/>
                <w:color w:val="000000"/>
                <w:sz w:val="18"/>
                <w:szCs w:val="18"/>
              </w:rPr>
              <w:t xml:space="preserve">  </w:t>
            </w:r>
            <w:r>
              <w:rPr>
                <w:rFonts w:cs="Arial"/>
                <w:b/>
                <w:bCs/>
              </w:rPr>
              <w:t>Celostátní inkaso</w:t>
            </w:r>
            <w:r w:rsidRPr="00B80CE9">
              <w:rPr>
                <w:rFonts w:cs="Arial"/>
                <w:b/>
                <w:bCs/>
              </w:rPr>
              <w:t xml:space="preserve"> vybraných </w:t>
            </w:r>
            <w:r>
              <w:rPr>
                <w:rFonts w:cs="Arial"/>
                <w:b/>
                <w:bCs/>
              </w:rPr>
              <w:t>daní</w:t>
            </w:r>
            <w:r w:rsidRPr="00B80CE9">
              <w:rPr>
                <w:rFonts w:cs="Arial"/>
                <w:b/>
                <w:bCs/>
              </w:rPr>
              <w:t xml:space="preserve"> </w:t>
            </w:r>
            <w:r w:rsidRPr="00B80CE9">
              <w:rPr>
                <w:rFonts w:cs="Arial"/>
                <w:bCs/>
              </w:rPr>
              <w:t>(</w:t>
            </w:r>
            <w:r w:rsidRPr="00B80CE9">
              <w:t>meziročně</w:t>
            </w:r>
            <w:r w:rsidRPr="00B80CE9">
              <w:rPr>
                <w:bCs/>
              </w:rPr>
              <w:t xml:space="preserve"> v %)</w:t>
            </w:r>
            <w:r>
              <w:rPr>
                <w:bCs/>
              </w:rPr>
              <w:t xml:space="preserve"> </w:t>
            </w:r>
            <w:r w:rsidRPr="00B80CE9">
              <w:rPr>
                <w:rFonts w:cs="Arial"/>
                <w:b/>
                <w:bCs/>
              </w:rPr>
              <w:t>a saldo státního rozpočtu</w:t>
            </w:r>
            <w:r>
              <w:rPr>
                <w:rFonts w:cs="Arial"/>
                <w:b/>
                <w:bCs/>
              </w:rPr>
              <w:t xml:space="preserve"> v rámci 1. čtvrtletí</w:t>
            </w:r>
            <w:r w:rsidRPr="00B80CE9">
              <w:t xml:space="preserve"> </w:t>
            </w:r>
            <w:r>
              <w:rPr>
                <w:rFonts w:cs="Arial"/>
                <w:bCs/>
              </w:rPr>
              <w:t>(v mld. korun, pravá osa</w:t>
            </w:r>
            <w:r w:rsidRPr="00B80CE9">
              <w:rPr>
                <w:rFonts w:cs="Arial"/>
                <w:bCs/>
              </w:rPr>
              <w:t>)</w:t>
            </w:r>
          </w:p>
        </w:tc>
      </w:tr>
      <w:tr w:rsidR="00AB3BA7" w14:paraId="1F25B391" w14:textId="77777777" w:rsidTr="00D67D55">
        <w:tblPrEx>
          <w:tblCellMar>
            <w:left w:w="70" w:type="dxa"/>
            <w:right w:w="70" w:type="dxa"/>
          </w:tblCellMar>
        </w:tblPrEx>
        <w:trPr>
          <w:trHeight w:val="170"/>
        </w:trPr>
        <w:tc>
          <w:tcPr>
            <w:tcW w:w="1732" w:type="dxa"/>
            <w:vMerge/>
            <w:shd w:val="clear" w:color="auto" w:fill="auto"/>
          </w:tcPr>
          <w:p w14:paraId="5C270839" w14:textId="77777777" w:rsidR="00AB3BA7" w:rsidRDefault="00AB3BA7" w:rsidP="00D67D55">
            <w:pPr>
              <w:pStyle w:val="Marginlie"/>
            </w:pPr>
          </w:p>
        </w:tc>
        <w:tc>
          <w:tcPr>
            <w:tcW w:w="217" w:type="dxa"/>
            <w:vMerge/>
            <w:shd w:val="clear" w:color="auto" w:fill="auto"/>
          </w:tcPr>
          <w:p w14:paraId="60736CEA" w14:textId="77777777" w:rsidR="00AB3BA7" w:rsidRDefault="00AB3BA7" w:rsidP="00D67D55">
            <w:pPr>
              <w:pStyle w:val="Textpoznpodarou"/>
              <w:jc w:val="both"/>
              <w:rPr>
                <w:spacing w:val="-4"/>
              </w:rPr>
            </w:pPr>
          </w:p>
        </w:tc>
        <w:tc>
          <w:tcPr>
            <w:tcW w:w="7720" w:type="dxa"/>
            <w:shd w:val="clear" w:color="auto" w:fill="auto"/>
          </w:tcPr>
          <w:p w14:paraId="472630AA" w14:textId="77777777" w:rsidR="00AB3BA7" w:rsidRPr="0067514E" w:rsidRDefault="00AB3BA7" w:rsidP="00D67D55">
            <w:pPr>
              <w:spacing w:after="0"/>
              <w:rPr>
                <w:spacing w:val="-6"/>
              </w:rPr>
            </w:pPr>
            <w:r>
              <w:rPr>
                <w:noProof/>
              </w:rPr>
              <w:drawing>
                <wp:inline distT="0" distB="0" distL="0" distR="0" wp14:anchorId="355F142F" wp14:editId="5EF79A25">
                  <wp:extent cx="4761230" cy="3359150"/>
                  <wp:effectExtent l="0" t="0" r="1270" b="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AB3BA7" w:rsidRPr="007B3A78" w14:paraId="347877AC" w14:textId="77777777" w:rsidTr="00D67D55">
        <w:trPr>
          <w:trHeight w:val="170"/>
        </w:trPr>
        <w:tc>
          <w:tcPr>
            <w:tcW w:w="1732" w:type="dxa"/>
            <w:vMerge/>
            <w:shd w:val="clear" w:color="auto" w:fill="auto"/>
            <w:tcMar>
              <w:left w:w="0" w:type="dxa"/>
            </w:tcMar>
          </w:tcPr>
          <w:p w14:paraId="046671EF" w14:textId="77777777" w:rsidR="00AB3BA7" w:rsidRDefault="00AB3BA7" w:rsidP="00D67D55">
            <w:pPr>
              <w:pStyle w:val="Marginlie"/>
            </w:pPr>
          </w:p>
        </w:tc>
        <w:tc>
          <w:tcPr>
            <w:tcW w:w="217" w:type="dxa"/>
            <w:vMerge/>
            <w:shd w:val="clear" w:color="auto" w:fill="auto"/>
            <w:tcMar>
              <w:left w:w="0" w:type="dxa"/>
            </w:tcMar>
          </w:tcPr>
          <w:p w14:paraId="692D9066" w14:textId="77777777" w:rsidR="00AB3BA7" w:rsidRDefault="00AB3BA7" w:rsidP="00D67D55">
            <w:pPr>
              <w:pStyle w:val="Textpoznpodarou"/>
              <w:jc w:val="both"/>
              <w:rPr>
                <w:spacing w:val="-4"/>
              </w:rPr>
            </w:pPr>
          </w:p>
        </w:tc>
        <w:tc>
          <w:tcPr>
            <w:tcW w:w="7720" w:type="dxa"/>
            <w:shd w:val="clear" w:color="auto" w:fill="auto"/>
            <w:tcMar>
              <w:left w:w="0" w:type="dxa"/>
            </w:tcMar>
          </w:tcPr>
          <w:p w14:paraId="14098A33" w14:textId="77777777" w:rsidR="00AB3BA7" w:rsidRDefault="00AB3BA7" w:rsidP="00D67D55">
            <w:pPr>
              <w:spacing w:after="0" w:line="240" w:lineRule="auto"/>
              <w:jc w:val="left"/>
              <w:rPr>
                <w:spacing w:val="-2"/>
                <w:sz w:val="14"/>
                <w:szCs w:val="14"/>
              </w:rPr>
            </w:pPr>
            <w:r w:rsidRPr="00E52D45">
              <w:rPr>
                <w:spacing w:val="-2"/>
                <w:sz w:val="14"/>
                <w:szCs w:val="14"/>
              </w:rPr>
              <w:t>*Saldo očištěné o prostředky na programy a projekty z rozpočtu EU (vč</w:t>
            </w:r>
            <w:r>
              <w:rPr>
                <w:spacing w:val="-2"/>
                <w:sz w:val="14"/>
                <w:szCs w:val="14"/>
              </w:rPr>
              <w:t xml:space="preserve">etně </w:t>
            </w:r>
            <w:r w:rsidRPr="00E52D45">
              <w:rPr>
                <w:spacing w:val="-2"/>
                <w:sz w:val="14"/>
                <w:szCs w:val="14"/>
              </w:rPr>
              <w:t>finančních mechanismů), které byly předfinancovány ze SR a následně jsou</w:t>
            </w:r>
            <w:r>
              <w:rPr>
                <w:spacing w:val="-2"/>
                <w:sz w:val="14"/>
                <w:szCs w:val="14"/>
              </w:rPr>
              <w:t xml:space="preserve"> propláceny z rozpočtů EU a FM. Údaje před rokem 2013 nebyly dostupné.</w:t>
            </w:r>
          </w:p>
          <w:p w14:paraId="4D0784A4" w14:textId="77777777" w:rsidR="00AB3BA7" w:rsidRPr="00E52D45" w:rsidRDefault="00AB3BA7" w:rsidP="00D67D55">
            <w:pPr>
              <w:spacing w:after="180" w:line="240" w:lineRule="auto"/>
              <w:jc w:val="left"/>
              <w:rPr>
                <w:spacing w:val="-2"/>
                <w:sz w:val="14"/>
                <w:szCs w:val="14"/>
              </w:rPr>
            </w:pPr>
            <w:r w:rsidRPr="00E52D45">
              <w:rPr>
                <w:spacing w:val="-2"/>
                <w:sz w:val="14"/>
                <w:szCs w:val="14"/>
              </w:rPr>
              <w:t>Zdroj: MF ČR</w:t>
            </w:r>
          </w:p>
        </w:tc>
      </w:tr>
      <w:tr w:rsidR="00AB3BA7" w:rsidRPr="008266F0" w14:paraId="38B65847" w14:textId="77777777" w:rsidTr="00D67D55">
        <w:trPr>
          <w:trHeight w:val="145"/>
        </w:trPr>
        <w:tc>
          <w:tcPr>
            <w:tcW w:w="1732" w:type="dxa"/>
            <w:shd w:val="clear" w:color="auto" w:fill="auto"/>
            <w:tcMar>
              <w:left w:w="0" w:type="dxa"/>
            </w:tcMar>
          </w:tcPr>
          <w:p w14:paraId="0C93D123" w14:textId="77777777" w:rsidR="00AB3BA7" w:rsidRDefault="00AB3BA7" w:rsidP="00D67D55">
            <w:pPr>
              <w:pStyle w:val="Marginlie"/>
            </w:pPr>
            <w:r>
              <w:t>Silný růst celkových výdajů SR se udržoval třetím rokem v řadě.</w:t>
            </w:r>
          </w:p>
          <w:p w14:paraId="1DCAE26A" w14:textId="77777777" w:rsidR="00AB3BA7" w:rsidRDefault="00AB3BA7" w:rsidP="00D67D55">
            <w:pPr>
              <w:pStyle w:val="Marginlie"/>
            </w:pPr>
            <w:r>
              <w:t xml:space="preserve">Tři čtvrtiny meziročního růstu běžných výdajů souvisely s řešením </w:t>
            </w:r>
            <w:r>
              <w:lastRenderedPageBreak/>
              <w:t>negativních důsledků pandemie.</w:t>
            </w:r>
          </w:p>
        </w:tc>
        <w:tc>
          <w:tcPr>
            <w:tcW w:w="217" w:type="dxa"/>
            <w:shd w:val="clear" w:color="auto" w:fill="auto"/>
            <w:tcMar>
              <w:left w:w="0" w:type="dxa"/>
            </w:tcMar>
          </w:tcPr>
          <w:p w14:paraId="0B5CC6EA" w14:textId="77777777" w:rsidR="00AB3BA7" w:rsidRDefault="00AB3BA7" w:rsidP="00D67D55">
            <w:pPr>
              <w:pStyle w:val="Textpoznpodarou"/>
              <w:jc w:val="both"/>
              <w:rPr>
                <w:spacing w:val="-4"/>
              </w:rPr>
            </w:pPr>
          </w:p>
        </w:tc>
        <w:tc>
          <w:tcPr>
            <w:tcW w:w="7720" w:type="dxa"/>
            <w:shd w:val="clear" w:color="auto" w:fill="auto"/>
            <w:tcMar>
              <w:left w:w="0" w:type="dxa"/>
            </w:tcMar>
          </w:tcPr>
          <w:p w14:paraId="0147C0A6" w14:textId="77777777" w:rsidR="00AB3BA7" w:rsidRPr="00F93A77" w:rsidRDefault="00AB3BA7" w:rsidP="00D67D55">
            <w:pPr>
              <w:spacing w:after="210"/>
              <w:rPr>
                <w:spacing w:val="-5"/>
              </w:rPr>
            </w:pPr>
            <w:r w:rsidRPr="004725AE">
              <w:rPr>
                <w:color w:val="0D0D0D" w:themeColor="text1" w:themeTint="F2"/>
                <w:spacing w:val="-5"/>
              </w:rPr>
              <w:t xml:space="preserve">Celkové výdaje SR </w:t>
            </w:r>
            <w:r>
              <w:rPr>
                <w:spacing w:val="-5"/>
              </w:rPr>
              <w:t>posílily</w:t>
            </w:r>
            <w:r>
              <w:rPr>
                <w:color w:val="0D0D0D" w:themeColor="text1" w:themeTint="F2"/>
                <w:spacing w:val="-5"/>
              </w:rPr>
              <w:t xml:space="preserve"> v 1. čtvrtletí</w:t>
            </w:r>
            <w:r>
              <w:rPr>
                <w:spacing w:val="-5"/>
              </w:rPr>
              <w:t xml:space="preserve"> </w:t>
            </w:r>
            <w:r w:rsidRPr="004725AE">
              <w:rPr>
                <w:color w:val="0D0D0D" w:themeColor="text1" w:themeTint="F2"/>
                <w:spacing w:val="-5"/>
              </w:rPr>
              <w:t>meziročně</w:t>
            </w:r>
            <w:r>
              <w:rPr>
                <w:spacing w:val="-5"/>
              </w:rPr>
              <w:t xml:space="preserve"> o 10,2 % (resp. 43 mld. korun). Přestože vzrostly dvouciferným tempem již třetím rokem v řadě, letošní tempo bylo ve srovnání s počátky let 2019 i 2020 nejslabší. Rozdíl v tomto období byl i ve struktuře růstu, neboť k letošnímu navýšení celkových výdajů již nepřispívaly investice. Na meziročním přírůstku všech běžných výdajů (+10,8 %) se letos zhruba ze tří čtvrtin podílely náklady související </w:t>
            </w:r>
            <w:r>
              <w:rPr>
                <w:color w:val="0D0D0D" w:themeColor="text1" w:themeTint="F2"/>
                <w:spacing w:val="-5"/>
              </w:rPr>
              <w:lastRenderedPageBreak/>
              <w:t>s </w:t>
            </w:r>
            <w:r w:rsidRPr="00F91658">
              <w:rPr>
                <w:color w:val="0D0D0D" w:themeColor="text1" w:themeTint="F2"/>
                <w:spacing w:val="-5"/>
              </w:rPr>
              <w:t xml:space="preserve">opatřeními </w:t>
            </w:r>
            <w:r>
              <w:rPr>
                <w:color w:val="0D0D0D" w:themeColor="text1" w:themeTint="F2"/>
                <w:spacing w:val="-5"/>
              </w:rPr>
              <w:t xml:space="preserve">kompenzujícími negativní důsledky pandemie (na </w:t>
            </w:r>
            <w:r>
              <w:rPr>
                <w:spacing w:val="-5"/>
              </w:rPr>
              <w:t>podniky, jednotlivce i obce)</w:t>
            </w:r>
            <w:r w:rsidRPr="00456B08">
              <w:rPr>
                <w:spacing w:val="-5"/>
              </w:rPr>
              <w:t xml:space="preserve"> či </w:t>
            </w:r>
            <w:r>
              <w:rPr>
                <w:spacing w:val="-5"/>
              </w:rPr>
              <w:t>s </w:t>
            </w:r>
            <w:r w:rsidRPr="00456B08">
              <w:rPr>
                <w:spacing w:val="-5"/>
              </w:rPr>
              <w:t>podporou za</w:t>
            </w:r>
            <w:r>
              <w:rPr>
                <w:spacing w:val="-5"/>
              </w:rPr>
              <w:t xml:space="preserve">tíženého zdravotnického </w:t>
            </w:r>
            <w:r w:rsidRPr="00456B08">
              <w:rPr>
                <w:spacing w:val="-5"/>
              </w:rPr>
              <w:t>systému</w:t>
            </w:r>
            <w:r w:rsidRPr="00456B08">
              <w:rPr>
                <w:rStyle w:val="Znakapoznpodarou"/>
                <w:spacing w:val="-5"/>
              </w:rPr>
              <w:footnoteReference w:id="13"/>
            </w:r>
            <w:r w:rsidRPr="00456B08">
              <w:rPr>
                <w:spacing w:val="-5"/>
              </w:rPr>
              <w:t xml:space="preserve">. Z běžných výdajů </w:t>
            </w:r>
            <w:r>
              <w:rPr>
                <w:spacing w:val="-5"/>
              </w:rPr>
              <w:t>tak</w:t>
            </w:r>
            <w:r w:rsidRPr="00456B08">
              <w:rPr>
                <w:spacing w:val="-5"/>
              </w:rPr>
              <w:t xml:space="preserve"> </w:t>
            </w:r>
            <w:r>
              <w:rPr>
                <w:spacing w:val="-5"/>
              </w:rPr>
              <w:t>nejvíce vzrostl</w:t>
            </w:r>
            <w:r w:rsidRPr="00456B08">
              <w:rPr>
                <w:spacing w:val="-5"/>
              </w:rPr>
              <w:t xml:space="preserve">y </w:t>
            </w:r>
            <w:r w:rsidRPr="00456B08">
              <w:rPr>
                <w:color w:val="0D0D0D" w:themeColor="text1" w:themeTint="F2"/>
                <w:spacing w:val="-5"/>
              </w:rPr>
              <w:t>neinvestiční trans</w:t>
            </w:r>
            <w:r>
              <w:rPr>
                <w:color w:val="0D0D0D" w:themeColor="text1" w:themeTint="F2"/>
                <w:spacing w:val="-5"/>
              </w:rPr>
              <w:t>fery podnikatelským subjektům (+156 %, na</w:t>
            </w:r>
            <w:r>
              <w:rPr>
                <w:spacing w:val="-5"/>
              </w:rPr>
              <w:t xml:space="preserve"> 38,6 mld.</w:t>
            </w:r>
            <w:r w:rsidRPr="00456B08">
              <w:rPr>
                <w:spacing w:val="-5"/>
              </w:rPr>
              <w:t xml:space="preserve"> korun), v</w:t>
            </w:r>
            <w:r>
              <w:rPr>
                <w:spacing w:val="-5"/>
              </w:rPr>
              <w:t xml:space="preserve"> nichž se soustřeďovala rozhodující část </w:t>
            </w:r>
            <w:r w:rsidRPr="00456B08">
              <w:rPr>
                <w:spacing w:val="-5"/>
              </w:rPr>
              <w:t>podpůrných opatření (program Antivirus, podpora firem v nejvíce</w:t>
            </w:r>
            <w:r>
              <w:rPr>
                <w:spacing w:val="-5"/>
              </w:rPr>
              <w:t xml:space="preserve"> zasažených odvětvích, ošetřovné pro OSVČ), a neinvestiční</w:t>
            </w:r>
            <w:r w:rsidRPr="00371E6A">
              <w:rPr>
                <w:spacing w:val="-5"/>
              </w:rPr>
              <w:t xml:space="preserve"> transfery f</w:t>
            </w:r>
            <w:r>
              <w:rPr>
                <w:spacing w:val="-5"/>
              </w:rPr>
              <w:t>ondům sociálního a veřejného zdravotního pojištění (+67 %). Naopak nárůst běžných transferů územním rozpočtům (+10,7 %) souvisel s pokračujícím navyšováním průměrných platů v regionálním školství</w:t>
            </w:r>
            <w:r>
              <w:rPr>
                <w:rStyle w:val="Znakapoznpodarou"/>
                <w:spacing w:val="-5"/>
              </w:rPr>
              <w:footnoteReference w:id="14"/>
            </w:r>
            <w:r>
              <w:rPr>
                <w:spacing w:val="-5"/>
              </w:rPr>
              <w:t xml:space="preserve"> a s posílením prostředků na sociální služby.</w:t>
            </w:r>
          </w:p>
        </w:tc>
      </w:tr>
      <w:tr w:rsidR="00AB3BA7" w:rsidRPr="008266F0" w14:paraId="5BABF064" w14:textId="77777777" w:rsidTr="00D67D55">
        <w:trPr>
          <w:trHeight w:val="145"/>
        </w:trPr>
        <w:tc>
          <w:tcPr>
            <w:tcW w:w="1732" w:type="dxa"/>
            <w:shd w:val="clear" w:color="auto" w:fill="auto"/>
            <w:tcMar>
              <w:left w:w="0" w:type="dxa"/>
            </w:tcMar>
          </w:tcPr>
          <w:p w14:paraId="46656992" w14:textId="77777777" w:rsidR="00AB3BA7" w:rsidRDefault="00AB3BA7" w:rsidP="00D67D55">
            <w:pPr>
              <w:pStyle w:val="Marginlie"/>
            </w:pPr>
            <w:r>
              <w:lastRenderedPageBreak/>
              <w:t>Výdaje na platy v organizačních složkách státu citelně zvolnily. Objem neinvestičních nákupů se vrátil na úroveň roku 2019.</w:t>
            </w:r>
          </w:p>
        </w:tc>
        <w:tc>
          <w:tcPr>
            <w:tcW w:w="217" w:type="dxa"/>
            <w:shd w:val="clear" w:color="auto" w:fill="auto"/>
            <w:tcMar>
              <w:left w:w="0" w:type="dxa"/>
            </w:tcMar>
          </w:tcPr>
          <w:p w14:paraId="3B8FD9CF" w14:textId="77777777" w:rsidR="00AB3BA7" w:rsidRDefault="00AB3BA7" w:rsidP="00D67D55">
            <w:pPr>
              <w:pStyle w:val="Textpoznpodarou"/>
              <w:jc w:val="both"/>
              <w:rPr>
                <w:spacing w:val="-4"/>
              </w:rPr>
            </w:pPr>
          </w:p>
        </w:tc>
        <w:tc>
          <w:tcPr>
            <w:tcW w:w="7720" w:type="dxa"/>
            <w:shd w:val="clear" w:color="auto" w:fill="auto"/>
            <w:tcMar>
              <w:left w:w="0" w:type="dxa"/>
            </w:tcMar>
          </w:tcPr>
          <w:p w14:paraId="18A3B6E3" w14:textId="77777777" w:rsidR="00AB3BA7" w:rsidRPr="00456B08" w:rsidRDefault="00AB3BA7" w:rsidP="00D67D55">
            <w:pPr>
              <w:spacing w:after="210"/>
              <w:rPr>
                <w:spacing w:val="-5"/>
              </w:rPr>
            </w:pPr>
            <w:r>
              <w:rPr>
                <w:spacing w:val="-5"/>
              </w:rPr>
              <w:t>Podstatně menší vliv na růst běžných výdajů SR měly vyšší odvody do rozpočtu EU (způsobené vyšším předfinancováním na počátku roku) či vyšší běžné transfery neziskovým organizacím (tažené posílením v oblasti sportu). V</w:t>
            </w:r>
            <w:r w:rsidRPr="00456B08">
              <w:rPr>
                <w:spacing w:val="-5"/>
              </w:rPr>
              <w:t>ýdaje na platy v organizačních složkách státu</w:t>
            </w:r>
            <w:r>
              <w:rPr>
                <w:spacing w:val="-5"/>
              </w:rPr>
              <w:t xml:space="preserve"> vzrostly o 0,7 %, nejméně za posledních deset let. Naopak skoro o třetinu (resp. 10 mld. korun) klesly běžné transfery příspěvkovým organizacím, zčásti vlivem vysokého předfinancování na počátku loňského roku (v oblasti výzkumu, vývoje či u vysokých škol). Meziročně o čtvrtinu méně vydal stát i na neinvestiční nákupy</w:t>
            </w:r>
            <w:r>
              <w:rPr>
                <w:rStyle w:val="Znakapoznpodarou"/>
                <w:spacing w:val="-5"/>
              </w:rPr>
              <w:footnoteReference w:id="15"/>
            </w:r>
            <w:r>
              <w:rPr>
                <w:spacing w:val="-5"/>
              </w:rPr>
              <w:t>, a to vlivem vysoké loňské základny (navýšené nákupy ochranných pomůcek i zdravotnického materiálu před propuknutím pandemie). Objem těchto výdajů se tak letos vrátil na úroveň počátku roku 2019.</w:t>
            </w:r>
          </w:p>
        </w:tc>
      </w:tr>
      <w:tr w:rsidR="00AB3BA7" w:rsidRPr="008266F0" w14:paraId="0D20A874" w14:textId="77777777" w:rsidTr="00D67D55">
        <w:trPr>
          <w:trHeight w:val="145"/>
        </w:trPr>
        <w:tc>
          <w:tcPr>
            <w:tcW w:w="1732" w:type="dxa"/>
            <w:shd w:val="clear" w:color="auto" w:fill="auto"/>
            <w:tcMar>
              <w:left w:w="0" w:type="dxa"/>
            </w:tcMar>
          </w:tcPr>
          <w:p w14:paraId="6E320291" w14:textId="77777777" w:rsidR="00AB3BA7" w:rsidRDefault="00AB3BA7" w:rsidP="00D67D55">
            <w:pPr>
              <w:pStyle w:val="Marginlie"/>
            </w:pPr>
            <w:r>
              <w:t>Čerpání drtivé většiny nedůchodových sociálních dávek vzrostlo – nejvíce dávky nemocenského pojištění, podpora nezaměstnaným a dávky hmotné nouze.</w:t>
            </w:r>
          </w:p>
        </w:tc>
        <w:tc>
          <w:tcPr>
            <w:tcW w:w="217" w:type="dxa"/>
            <w:shd w:val="clear" w:color="auto" w:fill="auto"/>
            <w:tcMar>
              <w:left w:w="0" w:type="dxa"/>
            </w:tcMar>
          </w:tcPr>
          <w:p w14:paraId="0F997781" w14:textId="77777777" w:rsidR="00AB3BA7" w:rsidRDefault="00AB3BA7" w:rsidP="00D67D55">
            <w:pPr>
              <w:pStyle w:val="Textpoznpodarou"/>
              <w:jc w:val="both"/>
              <w:rPr>
                <w:spacing w:val="-4"/>
              </w:rPr>
            </w:pPr>
          </w:p>
        </w:tc>
        <w:tc>
          <w:tcPr>
            <w:tcW w:w="7720" w:type="dxa"/>
            <w:shd w:val="clear" w:color="auto" w:fill="auto"/>
            <w:tcMar>
              <w:left w:w="0" w:type="dxa"/>
            </w:tcMar>
          </w:tcPr>
          <w:p w14:paraId="0D8A4909" w14:textId="77777777" w:rsidR="00AB3BA7" w:rsidRPr="005F6DCB" w:rsidRDefault="00AB3BA7" w:rsidP="00D67D55">
            <w:pPr>
              <w:spacing w:after="210"/>
              <w:rPr>
                <w:spacing w:val="-5"/>
              </w:rPr>
            </w:pPr>
            <w:r w:rsidRPr="005F6DCB">
              <w:rPr>
                <w:spacing w:val="-5"/>
              </w:rPr>
              <w:t>Čerpání sociálních dávek</w:t>
            </w:r>
            <w:r>
              <w:rPr>
                <w:spacing w:val="-5"/>
              </w:rPr>
              <w:t> </w:t>
            </w:r>
            <w:r w:rsidRPr="005F6DCB">
              <w:rPr>
                <w:spacing w:val="-5"/>
              </w:rPr>
              <w:t>– tradičně nejvýznamnější výdajové položky SR</w:t>
            </w:r>
            <w:r>
              <w:rPr>
                <w:spacing w:val="-5"/>
              </w:rPr>
              <w:t> </w:t>
            </w:r>
            <w:r w:rsidRPr="005F6DCB">
              <w:rPr>
                <w:spacing w:val="-5"/>
              </w:rPr>
              <w:t>– se v</w:t>
            </w:r>
            <w:r>
              <w:rPr>
                <w:spacing w:val="-5"/>
              </w:rPr>
              <w:t> </w:t>
            </w:r>
            <w:r w:rsidRPr="005F6DCB">
              <w:rPr>
                <w:spacing w:val="-5"/>
              </w:rPr>
              <w:t>1.</w:t>
            </w:r>
            <w:r>
              <w:rPr>
                <w:spacing w:val="-5"/>
              </w:rPr>
              <w:t> čtvrtlet</w:t>
            </w:r>
            <w:r w:rsidRPr="005F6DCB">
              <w:rPr>
                <w:spacing w:val="-5"/>
              </w:rPr>
              <w:t>í meziročně zvýšilo o</w:t>
            </w:r>
            <w:r>
              <w:rPr>
                <w:spacing w:val="-5"/>
              </w:rPr>
              <w:t> </w:t>
            </w:r>
            <w:r w:rsidRPr="005F6DCB">
              <w:rPr>
                <w:spacing w:val="-5"/>
              </w:rPr>
              <w:t>7,6</w:t>
            </w:r>
            <w:r>
              <w:rPr>
                <w:spacing w:val="-5"/>
              </w:rPr>
              <w:t> %</w:t>
            </w:r>
            <w:r w:rsidRPr="005F6DCB">
              <w:rPr>
                <w:spacing w:val="-5"/>
              </w:rPr>
              <w:t>, resp. 12,4</w:t>
            </w:r>
            <w:r>
              <w:rPr>
                <w:spacing w:val="-5"/>
              </w:rPr>
              <w:t> mld.</w:t>
            </w:r>
            <w:r w:rsidRPr="005F6DCB">
              <w:rPr>
                <w:spacing w:val="-5"/>
              </w:rPr>
              <w:t xml:space="preserve"> korun.</w:t>
            </w:r>
            <w:r>
              <w:rPr>
                <w:spacing w:val="-5"/>
              </w:rPr>
              <w:t xml:space="preserve"> Podíl dávek na všech výdajích SR se však dále snižoval a dosáhl minima v desetileté srovnatelné řadě (37,9 %). Podobně jako po většinu loňského roku rostly i letos výdaje na důchody (+7,0 %) pomaleji než na ostatní sociální dávky (+9,6 %). V nich se nejvíce projevovalo vyšší čerpání dávek nemocenského pojištění (+21 %) související z velké části s dopady pandemie. O pětinu se zvýšily i vyplacené podpory v nezaměstnanosti, jejichž objem byl i díky cenovému pohybu v ekonomice nejvyšší za posledních deset let (3 mld. korun). Vyšší výdaje na státní sociální podporu (+2,9 %) byly taženy takřka výhradně nárůstem u rodičovského příspěvku, neboť u většiny příjmově testovaných dávek bylo čerpání stále pod úrovní počátku loňského roku. Naopak objem dávek hmotné nouze vzrostl o více než čtvrtinu a meziročně byl vyšší již čtvrtý kvartál v řadě. Příspěvky na péči osobám pečujícím o vážně nemocné dosáhly v 1. čtvrtletí 8,2 mld. korun a jako jediné z hlavních druhů sociálních dávek meziročně neposílily (</w:t>
            </w:r>
            <w:r w:rsidRPr="005F6DCB">
              <w:rPr>
                <w:spacing w:val="-5"/>
              </w:rPr>
              <w:t>–</w:t>
            </w:r>
            <w:r>
              <w:rPr>
                <w:spacing w:val="-5"/>
              </w:rPr>
              <w:t>0,3 %).</w:t>
            </w:r>
          </w:p>
        </w:tc>
      </w:tr>
      <w:tr w:rsidR="00AB3BA7" w:rsidRPr="008266F0" w14:paraId="4A4E0D70" w14:textId="77777777" w:rsidTr="00D67D55">
        <w:trPr>
          <w:trHeight w:val="145"/>
        </w:trPr>
        <w:tc>
          <w:tcPr>
            <w:tcW w:w="1732" w:type="dxa"/>
            <w:shd w:val="clear" w:color="auto" w:fill="auto"/>
            <w:tcMar>
              <w:left w:w="0" w:type="dxa"/>
            </w:tcMar>
          </w:tcPr>
          <w:p w14:paraId="38EB16E0" w14:textId="77777777" w:rsidR="00AB3BA7" w:rsidRDefault="00AB3BA7" w:rsidP="00D67D55">
            <w:pPr>
              <w:pStyle w:val="Marginlie"/>
            </w:pPr>
            <w:r>
              <w:t>Příjmy i deficit důchodového pojištění vykázaly nejhorší výsledky od recese z roku 2013.</w:t>
            </w:r>
          </w:p>
        </w:tc>
        <w:tc>
          <w:tcPr>
            <w:tcW w:w="217" w:type="dxa"/>
            <w:shd w:val="clear" w:color="auto" w:fill="auto"/>
            <w:tcMar>
              <w:left w:w="0" w:type="dxa"/>
            </w:tcMar>
          </w:tcPr>
          <w:p w14:paraId="2DD953B6" w14:textId="77777777" w:rsidR="00AB3BA7" w:rsidRDefault="00AB3BA7" w:rsidP="00D67D55">
            <w:pPr>
              <w:pStyle w:val="Textpoznpodarou"/>
              <w:jc w:val="both"/>
              <w:rPr>
                <w:spacing w:val="-4"/>
              </w:rPr>
            </w:pPr>
          </w:p>
        </w:tc>
        <w:tc>
          <w:tcPr>
            <w:tcW w:w="7720" w:type="dxa"/>
            <w:shd w:val="clear" w:color="auto" w:fill="auto"/>
            <w:tcMar>
              <w:left w:w="0" w:type="dxa"/>
            </w:tcMar>
          </w:tcPr>
          <w:p w14:paraId="056D39C6" w14:textId="77777777" w:rsidR="00AB3BA7" w:rsidRPr="00D863C6" w:rsidRDefault="00AB3BA7" w:rsidP="00D67D55">
            <w:pPr>
              <w:spacing w:after="210"/>
              <w:rPr>
                <w:rFonts w:cs="Arial"/>
                <w:color w:val="0D0D0D" w:themeColor="text1" w:themeTint="F2"/>
                <w:spacing w:val="-5"/>
              </w:rPr>
            </w:pPr>
            <w:r w:rsidRPr="00D863C6">
              <w:rPr>
                <w:spacing w:val="-5"/>
              </w:rPr>
              <w:t>Počet příjemců důchodů se oproti březnu 2020 meziročně významně snížil (o</w:t>
            </w:r>
            <w:r>
              <w:rPr>
                <w:spacing w:val="-5"/>
              </w:rPr>
              <w:t> </w:t>
            </w:r>
            <w:r w:rsidRPr="00D863C6">
              <w:rPr>
                <w:spacing w:val="-5"/>
              </w:rPr>
              <w:t>1,0</w:t>
            </w:r>
            <w:r>
              <w:rPr>
                <w:spacing w:val="-5"/>
              </w:rPr>
              <w:t> %</w:t>
            </w:r>
            <w:r w:rsidRPr="00D863C6">
              <w:rPr>
                <w:spacing w:val="-5"/>
              </w:rPr>
              <w:t>), patrně vinou zvýšené úmrtnosti. P</w:t>
            </w:r>
            <w:r w:rsidRPr="00D863C6">
              <w:rPr>
                <w:rFonts w:cs="Arial"/>
                <w:color w:val="0D0D0D" w:themeColor="text1" w:themeTint="F2"/>
                <w:spacing w:val="-5"/>
              </w:rPr>
              <w:t>říjmy důchodového pojištění se navýšily jen o</w:t>
            </w:r>
            <w:r>
              <w:rPr>
                <w:rFonts w:cs="Arial"/>
                <w:color w:val="0D0D0D" w:themeColor="text1" w:themeTint="F2"/>
                <w:spacing w:val="-5"/>
              </w:rPr>
              <w:t> </w:t>
            </w:r>
            <w:r w:rsidRPr="00D863C6">
              <w:rPr>
                <w:rFonts w:cs="Arial"/>
                <w:color w:val="0D0D0D" w:themeColor="text1" w:themeTint="F2"/>
                <w:spacing w:val="-5"/>
              </w:rPr>
              <w:t>1,9</w:t>
            </w:r>
            <w:r>
              <w:rPr>
                <w:rFonts w:cs="Arial"/>
                <w:color w:val="0D0D0D" w:themeColor="text1" w:themeTint="F2"/>
                <w:spacing w:val="-5"/>
              </w:rPr>
              <w:t> %,</w:t>
            </w:r>
            <w:r w:rsidRPr="00D863C6">
              <w:rPr>
                <w:rFonts w:cs="Arial"/>
                <w:color w:val="0D0D0D" w:themeColor="text1" w:themeTint="F2"/>
                <w:spacing w:val="-5"/>
              </w:rPr>
              <w:t xml:space="preserve"> nejméně od konce recese v roce 2013</w:t>
            </w:r>
            <w:r w:rsidRPr="00D863C6">
              <w:rPr>
                <w:rStyle w:val="Znakapoznpodarou"/>
                <w:color w:val="0D0D0D" w:themeColor="text1" w:themeTint="F2"/>
                <w:spacing w:val="-5"/>
              </w:rPr>
              <w:footnoteReference w:id="16"/>
            </w:r>
            <w:r w:rsidRPr="00D863C6">
              <w:rPr>
                <w:rFonts w:cs="Arial"/>
                <w:color w:val="0D0D0D" w:themeColor="text1" w:themeTint="F2"/>
                <w:spacing w:val="-5"/>
              </w:rPr>
              <w:t>. Saldo důchodového účtu</w:t>
            </w:r>
            <w:r w:rsidRPr="00D863C6">
              <w:rPr>
                <w:rStyle w:val="Znakapoznpodarou"/>
                <w:color w:val="0D0D0D" w:themeColor="text1" w:themeTint="F2"/>
                <w:spacing w:val="-5"/>
              </w:rPr>
              <w:footnoteReference w:id="17"/>
            </w:r>
            <w:r w:rsidRPr="00D863C6">
              <w:rPr>
                <w:rFonts w:cs="Arial"/>
                <w:color w:val="0D0D0D" w:themeColor="text1" w:themeTint="F2"/>
                <w:spacing w:val="-5"/>
              </w:rPr>
              <w:t xml:space="preserve"> se ve srovnání s počátkem loňského roku prohloubilo o</w:t>
            </w:r>
            <w:r>
              <w:rPr>
                <w:rFonts w:cs="Arial"/>
                <w:color w:val="0D0D0D" w:themeColor="text1" w:themeTint="F2"/>
                <w:spacing w:val="-5"/>
              </w:rPr>
              <w:t> </w:t>
            </w:r>
            <w:r w:rsidRPr="00D863C6">
              <w:rPr>
                <w:rFonts w:cs="Arial"/>
                <w:color w:val="0D0D0D" w:themeColor="text1" w:themeTint="F2"/>
                <w:spacing w:val="-5"/>
              </w:rPr>
              <w:t>6</w:t>
            </w:r>
            <w:r>
              <w:rPr>
                <w:rFonts w:cs="Arial"/>
                <w:color w:val="0D0D0D" w:themeColor="text1" w:themeTint="F2"/>
                <w:spacing w:val="-5"/>
              </w:rPr>
              <w:t> mld.</w:t>
            </w:r>
            <w:r w:rsidRPr="00D863C6">
              <w:rPr>
                <w:rFonts w:cs="Arial"/>
                <w:color w:val="0D0D0D" w:themeColor="text1" w:themeTint="F2"/>
                <w:spacing w:val="-5"/>
              </w:rPr>
              <w:t xml:space="preserve"> korun (na </w:t>
            </w:r>
            <w:r w:rsidRPr="00D863C6">
              <w:rPr>
                <w:spacing w:val="-5"/>
              </w:rPr>
              <w:t>–</w:t>
            </w:r>
            <w:r w:rsidRPr="00D863C6">
              <w:rPr>
                <w:rFonts w:cs="Arial"/>
                <w:color w:val="0D0D0D" w:themeColor="text1" w:themeTint="F2"/>
                <w:spacing w:val="-5"/>
              </w:rPr>
              <w:t>9</w:t>
            </w:r>
            <w:r>
              <w:rPr>
                <w:rFonts w:cs="Arial"/>
                <w:color w:val="0D0D0D" w:themeColor="text1" w:themeTint="F2"/>
                <w:spacing w:val="-5"/>
              </w:rPr>
              <w:t> mld.</w:t>
            </w:r>
            <w:r w:rsidRPr="00D863C6">
              <w:rPr>
                <w:rFonts w:cs="Arial"/>
                <w:color w:val="0D0D0D" w:themeColor="text1" w:themeTint="F2"/>
                <w:spacing w:val="-5"/>
              </w:rPr>
              <w:t xml:space="preserve"> korun)</w:t>
            </w:r>
            <w:r>
              <w:rPr>
                <w:rFonts w:cs="Arial"/>
                <w:color w:val="0D0D0D" w:themeColor="text1" w:themeTint="F2"/>
                <w:spacing w:val="-5"/>
              </w:rPr>
              <w:t>,</w:t>
            </w:r>
            <w:r w:rsidRPr="00D863C6">
              <w:rPr>
                <w:rFonts w:cs="Arial"/>
                <w:color w:val="0D0D0D" w:themeColor="text1" w:themeTint="F2"/>
                <w:spacing w:val="-5"/>
              </w:rPr>
              <w:t xml:space="preserve"> a</w:t>
            </w:r>
            <w:r>
              <w:rPr>
                <w:rFonts w:cs="Arial"/>
                <w:color w:val="0D0D0D" w:themeColor="text1" w:themeTint="F2"/>
                <w:spacing w:val="-5"/>
              </w:rPr>
              <w:t xml:space="preserve"> bylo </w:t>
            </w:r>
            <w:r w:rsidRPr="00D863C6">
              <w:rPr>
                <w:rFonts w:cs="Arial"/>
                <w:color w:val="0D0D0D" w:themeColor="text1" w:themeTint="F2"/>
                <w:spacing w:val="-5"/>
              </w:rPr>
              <w:t>nejhorší za posledních devět let.</w:t>
            </w:r>
          </w:p>
        </w:tc>
      </w:tr>
      <w:tr w:rsidR="00AB3BA7" w:rsidRPr="008266F0" w14:paraId="4CDA9249" w14:textId="77777777" w:rsidTr="00D67D55">
        <w:trPr>
          <w:trHeight w:val="145"/>
        </w:trPr>
        <w:tc>
          <w:tcPr>
            <w:tcW w:w="1732" w:type="dxa"/>
            <w:shd w:val="clear" w:color="auto" w:fill="auto"/>
            <w:tcMar>
              <w:left w:w="0" w:type="dxa"/>
            </w:tcMar>
          </w:tcPr>
          <w:p w14:paraId="2F66577B" w14:textId="77777777" w:rsidR="00AB3BA7" w:rsidRDefault="00AB3BA7" w:rsidP="00D67D55">
            <w:pPr>
              <w:pStyle w:val="Marginlie"/>
            </w:pPr>
            <w:r>
              <w:t>Výše investic ze SR meziročně stagnovala. Náběh investiční aktivity byl s ohledem na ambiciózní rozpočtový cíl velmi pozvolný.</w:t>
            </w:r>
          </w:p>
        </w:tc>
        <w:tc>
          <w:tcPr>
            <w:tcW w:w="217" w:type="dxa"/>
            <w:shd w:val="clear" w:color="auto" w:fill="auto"/>
            <w:tcMar>
              <w:left w:w="0" w:type="dxa"/>
            </w:tcMar>
          </w:tcPr>
          <w:p w14:paraId="0436E2B4" w14:textId="77777777" w:rsidR="00AB3BA7" w:rsidRDefault="00AB3BA7" w:rsidP="00D67D55">
            <w:pPr>
              <w:pStyle w:val="Textpoznpodarou"/>
              <w:jc w:val="both"/>
              <w:rPr>
                <w:spacing w:val="-4"/>
              </w:rPr>
            </w:pPr>
          </w:p>
        </w:tc>
        <w:tc>
          <w:tcPr>
            <w:tcW w:w="7720" w:type="dxa"/>
            <w:shd w:val="clear" w:color="auto" w:fill="auto"/>
            <w:tcMar>
              <w:left w:w="0" w:type="dxa"/>
            </w:tcMar>
          </w:tcPr>
          <w:p w14:paraId="48A3BEC6" w14:textId="77777777" w:rsidR="00AB3BA7" w:rsidRPr="00456B08" w:rsidRDefault="00AB3BA7" w:rsidP="00D67D55">
            <w:pPr>
              <w:rPr>
                <w:spacing w:val="-5"/>
              </w:rPr>
            </w:pPr>
            <w:r w:rsidRPr="00B93556">
              <w:rPr>
                <w:color w:val="0D0D0D" w:themeColor="text1" w:themeTint="F2"/>
                <w:spacing w:val="-5"/>
              </w:rPr>
              <w:t>Kapitálové výdaje SR</w:t>
            </w:r>
            <w:r>
              <w:rPr>
                <w:color w:val="0D0D0D" w:themeColor="text1" w:themeTint="F2"/>
                <w:spacing w:val="-5"/>
              </w:rPr>
              <w:t xml:space="preserve"> dosáhly v 1. čtvrtletí 23,3 mld. korun, z toho 14,2 mld. bylo určeno na spolufinancování společných programů ČR a EU (hlavně v rámci Integrovaného regionálního operačního programu a OP Doprava). V obou případech jde o podobné hodnoty jako ve stejném období loňského roku. Za první čtvrtinu roku byla investována jen osmina celoroční rozpočtem plánované částky. Náběh investic na počátku roku bývá tradičně pozvolný, letošní procento plnění je ale jedno z nejnižších za poslední roky</w:t>
            </w:r>
            <w:r>
              <w:rPr>
                <w:rStyle w:val="Znakapoznpodarou"/>
                <w:color w:val="0D0D0D" w:themeColor="text1" w:themeTint="F2"/>
                <w:spacing w:val="-5"/>
              </w:rPr>
              <w:footnoteReference w:id="18"/>
            </w:r>
            <w:r>
              <w:rPr>
                <w:color w:val="0D0D0D" w:themeColor="text1" w:themeTint="F2"/>
                <w:spacing w:val="-5"/>
              </w:rPr>
              <w:t>. Je to však dáno i rekordní výší plánovaných investic (za celý rok 188 mld. korun, což odpovídá desetině všech výdajů SR).</w:t>
            </w:r>
          </w:p>
        </w:tc>
      </w:tr>
      <w:tr w:rsidR="00AB3BA7" w:rsidRPr="00F704D2" w14:paraId="60C5DEA1" w14:textId="77777777" w:rsidTr="00D67D55">
        <w:trPr>
          <w:trHeight w:val="170"/>
        </w:trPr>
        <w:tc>
          <w:tcPr>
            <w:tcW w:w="1732" w:type="dxa"/>
            <w:vMerge w:val="restart"/>
            <w:shd w:val="clear" w:color="auto" w:fill="auto"/>
            <w:tcMar>
              <w:left w:w="0" w:type="dxa"/>
            </w:tcMar>
          </w:tcPr>
          <w:p w14:paraId="782AEAFC" w14:textId="77777777" w:rsidR="00AB3BA7" w:rsidRDefault="00AB3BA7" w:rsidP="00D67D55">
            <w:pPr>
              <w:pStyle w:val="Marginlie"/>
            </w:pPr>
          </w:p>
        </w:tc>
        <w:tc>
          <w:tcPr>
            <w:tcW w:w="217" w:type="dxa"/>
            <w:vMerge w:val="restart"/>
            <w:shd w:val="clear" w:color="auto" w:fill="auto"/>
            <w:tcMar>
              <w:left w:w="0" w:type="dxa"/>
            </w:tcMar>
          </w:tcPr>
          <w:p w14:paraId="2185B80A" w14:textId="77777777" w:rsidR="00AB3BA7" w:rsidRDefault="00AB3BA7" w:rsidP="00D67D55">
            <w:pPr>
              <w:pStyle w:val="Textpoznpodarou"/>
              <w:jc w:val="both"/>
              <w:rPr>
                <w:spacing w:val="-4"/>
              </w:rPr>
            </w:pPr>
          </w:p>
        </w:tc>
        <w:tc>
          <w:tcPr>
            <w:tcW w:w="7720" w:type="dxa"/>
            <w:shd w:val="clear" w:color="auto" w:fill="auto"/>
            <w:tcMar>
              <w:left w:w="0" w:type="dxa"/>
            </w:tcMar>
          </w:tcPr>
          <w:p w14:paraId="21F22017" w14:textId="77777777" w:rsidR="00AB3BA7" w:rsidRPr="00D232BB" w:rsidRDefault="00AB3BA7" w:rsidP="00D67D55">
            <w:pPr>
              <w:spacing w:after="20" w:line="240" w:lineRule="auto"/>
              <w:jc w:val="left"/>
              <w:rPr>
                <w:rFonts w:cs="Arial"/>
                <w:bCs/>
              </w:rPr>
            </w:pPr>
            <w:r w:rsidRPr="00D232BB">
              <w:rPr>
                <w:b/>
              </w:rPr>
              <w:t xml:space="preserve">Graf č. 17  </w:t>
            </w:r>
            <w:r>
              <w:rPr>
                <w:rFonts w:cs="Arial"/>
                <w:b/>
                <w:bCs/>
              </w:rPr>
              <w:t>Vybrané výdaje státního rozpočtu v rámci 1. čtvrtletí</w:t>
            </w:r>
          </w:p>
        </w:tc>
      </w:tr>
      <w:tr w:rsidR="00AB3BA7" w14:paraId="6379FBBA" w14:textId="77777777" w:rsidTr="00D67D55">
        <w:tblPrEx>
          <w:tblCellMar>
            <w:left w:w="70" w:type="dxa"/>
            <w:right w:w="70" w:type="dxa"/>
          </w:tblCellMar>
        </w:tblPrEx>
        <w:trPr>
          <w:trHeight w:val="170"/>
        </w:trPr>
        <w:tc>
          <w:tcPr>
            <w:tcW w:w="1732" w:type="dxa"/>
            <w:vMerge/>
            <w:shd w:val="clear" w:color="auto" w:fill="auto"/>
          </w:tcPr>
          <w:p w14:paraId="21FAC33F" w14:textId="77777777" w:rsidR="00AB3BA7" w:rsidRDefault="00AB3BA7" w:rsidP="00D67D55">
            <w:pPr>
              <w:pStyle w:val="Marginlie"/>
            </w:pPr>
          </w:p>
        </w:tc>
        <w:tc>
          <w:tcPr>
            <w:tcW w:w="217" w:type="dxa"/>
            <w:vMerge/>
            <w:shd w:val="clear" w:color="auto" w:fill="auto"/>
          </w:tcPr>
          <w:p w14:paraId="2C210BEC" w14:textId="77777777" w:rsidR="00AB3BA7" w:rsidRDefault="00AB3BA7" w:rsidP="00D67D55">
            <w:pPr>
              <w:pStyle w:val="Textpoznpodarou"/>
              <w:jc w:val="both"/>
              <w:rPr>
                <w:spacing w:val="-4"/>
              </w:rPr>
            </w:pPr>
          </w:p>
        </w:tc>
        <w:tc>
          <w:tcPr>
            <w:tcW w:w="7720" w:type="dxa"/>
            <w:shd w:val="clear" w:color="auto" w:fill="auto"/>
          </w:tcPr>
          <w:p w14:paraId="0AD333E1" w14:textId="77777777" w:rsidR="00AB3BA7" w:rsidRPr="0067514E" w:rsidRDefault="00AB3BA7" w:rsidP="00D67D55">
            <w:pPr>
              <w:spacing w:after="0"/>
              <w:rPr>
                <w:spacing w:val="-6"/>
              </w:rPr>
            </w:pPr>
            <w:r>
              <w:rPr>
                <w:noProof/>
              </w:rPr>
              <w:drawing>
                <wp:inline distT="0" distB="0" distL="0" distR="0" wp14:anchorId="685F2530" wp14:editId="2522A304">
                  <wp:extent cx="4792149" cy="3486546"/>
                  <wp:effectExtent l="0" t="0" r="889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B3BA7" w:rsidRPr="00343AC1" w14:paraId="5CF058B5" w14:textId="77777777" w:rsidTr="00D67D55">
        <w:trPr>
          <w:trHeight w:val="170"/>
        </w:trPr>
        <w:tc>
          <w:tcPr>
            <w:tcW w:w="1732" w:type="dxa"/>
            <w:vMerge/>
            <w:shd w:val="clear" w:color="auto" w:fill="auto"/>
            <w:tcMar>
              <w:left w:w="0" w:type="dxa"/>
            </w:tcMar>
          </w:tcPr>
          <w:p w14:paraId="59BB093A" w14:textId="77777777" w:rsidR="00AB3BA7" w:rsidRDefault="00AB3BA7" w:rsidP="00D67D55">
            <w:pPr>
              <w:pStyle w:val="Marginlie"/>
            </w:pPr>
          </w:p>
        </w:tc>
        <w:tc>
          <w:tcPr>
            <w:tcW w:w="217" w:type="dxa"/>
            <w:vMerge/>
            <w:shd w:val="clear" w:color="auto" w:fill="auto"/>
            <w:tcMar>
              <w:left w:w="0" w:type="dxa"/>
            </w:tcMar>
          </w:tcPr>
          <w:p w14:paraId="775DDD2B" w14:textId="77777777" w:rsidR="00AB3BA7" w:rsidRDefault="00AB3BA7" w:rsidP="00D67D55">
            <w:pPr>
              <w:pStyle w:val="Textpoznpodarou"/>
              <w:jc w:val="both"/>
              <w:rPr>
                <w:spacing w:val="-4"/>
              </w:rPr>
            </w:pPr>
          </w:p>
        </w:tc>
        <w:tc>
          <w:tcPr>
            <w:tcW w:w="7720" w:type="dxa"/>
            <w:shd w:val="clear" w:color="auto" w:fill="auto"/>
            <w:tcMar>
              <w:left w:w="0" w:type="dxa"/>
            </w:tcMar>
          </w:tcPr>
          <w:p w14:paraId="66FAB86C" w14:textId="77777777" w:rsidR="00AB3BA7" w:rsidRPr="008F2BE2" w:rsidRDefault="00AB3BA7" w:rsidP="00D67D55">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3B82068A" w14:textId="77777777" w:rsidR="00AB3BA7" w:rsidRPr="008F2BE2" w:rsidRDefault="00AB3BA7" w:rsidP="00D67D55">
            <w:pPr>
              <w:pStyle w:val="Textpoznpodarou"/>
              <w:rPr>
                <w:spacing w:val="-4"/>
                <w:sz w:val="14"/>
                <w:szCs w:val="14"/>
              </w:rPr>
            </w:pPr>
            <w:r w:rsidRPr="008F2BE2">
              <w:rPr>
                <w:spacing w:val="-4"/>
                <w:sz w:val="14"/>
                <w:szCs w:val="14"/>
              </w:rPr>
              <w:t>**Zahrnuje i dávky pěstounské péče.</w:t>
            </w:r>
          </w:p>
          <w:p w14:paraId="0641A6EA" w14:textId="77777777" w:rsidR="00AB3BA7" w:rsidRPr="008F2BE2" w:rsidRDefault="00AB3BA7" w:rsidP="00D67D55">
            <w:pPr>
              <w:pStyle w:val="Textpoznpodarou"/>
              <w:rPr>
                <w:spacing w:val="-4"/>
                <w:sz w:val="14"/>
                <w:szCs w:val="14"/>
              </w:rPr>
            </w:pPr>
            <w:r w:rsidRPr="008F2BE2">
              <w:rPr>
                <w:spacing w:val="-4"/>
                <w:sz w:val="14"/>
                <w:szCs w:val="14"/>
              </w:rPr>
              <w:t>***Zahrnují dávky pomoci v hmotné nouzi, dávky osobám se zdravotním postižením, příspěvek na péči dle zákona o soc. službách.</w:t>
            </w:r>
          </w:p>
          <w:p w14:paraId="1FAD1D20" w14:textId="77777777" w:rsidR="00AB3BA7" w:rsidRPr="008F2BE2" w:rsidRDefault="00AB3BA7" w:rsidP="00D67D55">
            <w:pPr>
              <w:pStyle w:val="Textpoznpodarou"/>
              <w:rPr>
                <w:spacing w:val="-4"/>
                <w:sz w:val="14"/>
                <w:szCs w:val="14"/>
              </w:rPr>
            </w:pPr>
            <w:r w:rsidRPr="008F2BE2">
              <w:rPr>
                <w:spacing w:val="-4"/>
                <w:sz w:val="14"/>
                <w:szCs w:val="14"/>
              </w:rPr>
              <w:t>****Obsahují zejména výdaje na nákup služeb, materiálu, energií či ostatních služeb (například výdaje na opravy a udržování).</w:t>
            </w:r>
          </w:p>
          <w:p w14:paraId="4F431E5B" w14:textId="77777777" w:rsidR="00AB3BA7" w:rsidRPr="008F2BE2" w:rsidRDefault="00AB3BA7" w:rsidP="00D67D55">
            <w:pPr>
              <w:pStyle w:val="Textpoznpodarou"/>
              <w:spacing w:after="200"/>
              <w:rPr>
                <w:spacing w:val="-4"/>
                <w:sz w:val="14"/>
                <w:szCs w:val="14"/>
              </w:rPr>
            </w:pPr>
            <w:r w:rsidRPr="000F45E7">
              <w:rPr>
                <w:spacing w:val="-4"/>
                <w:sz w:val="14"/>
                <w:szCs w:val="14"/>
              </w:rPr>
              <w:t>Zdroj: MF ČR, MPSV</w:t>
            </w:r>
          </w:p>
        </w:tc>
      </w:tr>
      <w:tr w:rsidR="00AB3BA7" w:rsidRPr="00343AC1" w14:paraId="1888E0BC" w14:textId="77777777" w:rsidTr="00D67D55">
        <w:trPr>
          <w:trHeight w:val="170"/>
        </w:trPr>
        <w:tc>
          <w:tcPr>
            <w:tcW w:w="1732" w:type="dxa"/>
            <w:shd w:val="clear" w:color="auto" w:fill="auto"/>
            <w:tcMar>
              <w:left w:w="0" w:type="dxa"/>
            </w:tcMar>
          </w:tcPr>
          <w:p w14:paraId="0B87F4D2" w14:textId="77777777" w:rsidR="00AB3BA7" w:rsidRDefault="00AB3BA7" w:rsidP="00D67D55">
            <w:pPr>
              <w:pStyle w:val="Marginlie"/>
            </w:pPr>
            <w:r>
              <w:t>Pod vlivem hlubokých krizových schodků SR pokračovala akcelerace výše státního dluhu. Za 1. čtvrtletí narostl jen o desetinu méně než za celý rok 2020.</w:t>
            </w:r>
          </w:p>
          <w:p w14:paraId="79C7C054" w14:textId="77777777" w:rsidR="00AB3BA7" w:rsidRDefault="00AB3BA7" w:rsidP="00D67D55">
            <w:pPr>
              <w:pStyle w:val="Marginlie"/>
            </w:pPr>
          </w:p>
        </w:tc>
        <w:tc>
          <w:tcPr>
            <w:tcW w:w="217" w:type="dxa"/>
            <w:shd w:val="clear" w:color="auto" w:fill="auto"/>
            <w:tcMar>
              <w:left w:w="0" w:type="dxa"/>
            </w:tcMar>
          </w:tcPr>
          <w:p w14:paraId="7F2A3E83" w14:textId="77777777" w:rsidR="00AB3BA7" w:rsidRDefault="00AB3BA7" w:rsidP="00D67D55">
            <w:pPr>
              <w:pStyle w:val="Textpoznpodarou"/>
              <w:jc w:val="both"/>
              <w:rPr>
                <w:spacing w:val="-4"/>
              </w:rPr>
            </w:pPr>
          </w:p>
        </w:tc>
        <w:tc>
          <w:tcPr>
            <w:tcW w:w="7720" w:type="dxa"/>
            <w:shd w:val="clear" w:color="auto" w:fill="auto"/>
            <w:tcMar>
              <w:left w:w="0" w:type="dxa"/>
            </w:tcMar>
          </w:tcPr>
          <w:p w14:paraId="12AD2C4A" w14:textId="77777777" w:rsidR="00AB3BA7" w:rsidRPr="000D151F" w:rsidRDefault="00AB3BA7" w:rsidP="00D67D55">
            <w:pPr>
              <w:rPr>
                <w:spacing w:val="-4"/>
              </w:rPr>
            </w:pPr>
            <w:r w:rsidRPr="00794328">
              <w:rPr>
                <w:color w:val="0D0D0D" w:themeColor="text1" w:themeTint="F2"/>
                <w:spacing w:val="-4"/>
              </w:rPr>
              <w:t>Silně rostoucí potřeba financování související s nutností pokrytí krizového schodku SR vyústila v akceleraci výše státního dluhu.</w:t>
            </w:r>
            <w:r w:rsidRPr="000D151F">
              <w:rPr>
                <w:spacing w:val="-4"/>
              </w:rPr>
              <w:t xml:space="preserve"> </w:t>
            </w:r>
            <w:r>
              <w:rPr>
                <w:spacing w:val="-4"/>
              </w:rPr>
              <w:t>Ten činil na konci března 2 420 mld. korun a jen za první letošní čtvrtletí narostl o 370 mld. korun – tedy zhruba jen o desetinu méně než za celý loňský rok. Meziročně posílil o 647 mld., resp. 36,5 %. Vyšší relativní tempo zadlužování zažily státní finance naposledy v období 2001 až 2002. Klíčovými dluhovými nástroji byly</w:t>
            </w:r>
            <w:r w:rsidRPr="000D151F">
              <w:rPr>
                <w:spacing w:val="-4"/>
              </w:rPr>
              <w:t xml:space="preserve"> tradičně emise středně</w:t>
            </w:r>
            <w:r>
              <w:rPr>
                <w:spacing w:val="-4"/>
              </w:rPr>
              <w:t>-</w:t>
            </w:r>
            <w:r w:rsidRPr="000D151F">
              <w:rPr>
                <w:spacing w:val="-4"/>
              </w:rPr>
              <w:t xml:space="preserve"> a</w:t>
            </w:r>
            <w:r>
              <w:rPr>
                <w:spacing w:val="-4"/>
              </w:rPr>
              <w:t> </w:t>
            </w:r>
            <w:r w:rsidRPr="000D151F">
              <w:rPr>
                <w:spacing w:val="-4"/>
              </w:rPr>
              <w:t>dlouhodobých státních</w:t>
            </w:r>
            <w:r>
              <w:rPr>
                <w:spacing w:val="-4"/>
              </w:rPr>
              <w:t xml:space="preserve"> dluhopisů umístěné na domácím trhu. V 1. čtvrtletí stát prodal dluhopisy za 231,7 mld. korun</w:t>
            </w:r>
            <w:r>
              <w:rPr>
                <w:rStyle w:val="Znakapoznpodarou"/>
                <w:spacing w:val="-4"/>
              </w:rPr>
              <w:footnoteReference w:id="19"/>
            </w:r>
            <w:r>
              <w:rPr>
                <w:spacing w:val="-4"/>
              </w:rPr>
              <w:t>, které stačily s rezervou pokrýt veškeré letošní plánované splátky státního dluhu. Na rozdíl od předchozích let byly pro posílení likvidity státní pokladny intenzivněji využity krátkodobé zápůjčky a směnky (174,8 mld. korun). Nově byly přijaty i úvěry od Evropské komise (52,3 mld. korun)</w:t>
            </w:r>
            <w:r>
              <w:rPr>
                <w:rStyle w:val="Znakapoznpodarou"/>
                <w:spacing w:val="-4"/>
              </w:rPr>
              <w:footnoteReference w:id="20"/>
            </w:r>
            <w:r>
              <w:rPr>
                <w:spacing w:val="-4"/>
              </w:rPr>
              <w:t>, což vedlo k tomu, že korunová hodnota vnějšího dluhu poprvé od počátku roku 2014 meziročně vzrostla (+2,3 %). Vnější dluh ale stále tvořil méně než desetinu celkového státního dluhu.</w:t>
            </w:r>
          </w:p>
        </w:tc>
      </w:tr>
      <w:tr w:rsidR="00AB3BA7" w:rsidRPr="00343AC1" w14:paraId="40CB273F" w14:textId="77777777" w:rsidTr="00D67D55">
        <w:trPr>
          <w:trHeight w:val="1520"/>
        </w:trPr>
        <w:tc>
          <w:tcPr>
            <w:tcW w:w="1732" w:type="dxa"/>
            <w:shd w:val="clear" w:color="auto" w:fill="auto"/>
            <w:tcMar>
              <w:left w:w="0" w:type="dxa"/>
            </w:tcMar>
          </w:tcPr>
          <w:p w14:paraId="56225B92" w14:textId="77777777" w:rsidR="00AB3BA7" w:rsidRDefault="00AB3BA7" w:rsidP="00D67D55">
            <w:pPr>
              <w:pStyle w:val="Marginlie"/>
            </w:pPr>
            <w:r>
              <w:t>Míra deficitu hospodaření sektoru vládních institucí dosáhla loni nejhoršího výsledku od roku 2003. Míra zadlužení rekordně narostla a stanovila pětileté maximum.</w:t>
            </w:r>
          </w:p>
          <w:p w14:paraId="7F1FD09E" w14:textId="77777777" w:rsidR="00AB3BA7" w:rsidRDefault="00AB3BA7" w:rsidP="00D67D55">
            <w:pPr>
              <w:pStyle w:val="Marginlie"/>
            </w:pPr>
          </w:p>
        </w:tc>
        <w:tc>
          <w:tcPr>
            <w:tcW w:w="217" w:type="dxa"/>
            <w:shd w:val="clear" w:color="auto" w:fill="auto"/>
            <w:tcMar>
              <w:left w:w="0" w:type="dxa"/>
            </w:tcMar>
          </w:tcPr>
          <w:p w14:paraId="029342C6" w14:textId="77777777" w:rsidR="00AB3BA7" w:rsidRDefault="00AB3BA7" w:rsidP="00D67D55">
            <w:pPr>
              <w:pStyle w:val="Textpoznpodarou"/>
              <w:jc w:val="both"/>
              <w:rPr>
                <w:spacing w:val="-4"/>
              </w:rPr>
            </w:pPr>
          </w:p>
        </w:tc>
        <w:tc>
          <w:tcPr>
            <w:tcW w:w="7720" w:type="dxa"/>
            <w:shd w:val="clear" w:color="auto" w:fill="auto"/>
            <w:tcMar>
              <w:left w:w="0" w:type="dxa"/>
            </w:tcMar>
          </w:tcPr>
          <w:p w14:paraId="667565B1" w14:textId="77777777" w:rsidR="00AB3BA7" w:rsidRPr="000D151F" w:rsidRDefault="00AB3BA7" w:rsidP="00612B07">
            <w:pPr>
              <w:spacing w:after="0"/>
              <w:rPr>
                <w:spacing w:val="-4"/>
              </w:rPr>
            </w:pPr>
            <w:r w:rsidRPr="000F45E7">
              <w:rPr>
                <w:rFonts w:cs="Arial"/>
                <w:color w:val="0D0D0D" w:themeColor="text1" w:themeTint="F2"/>
                <w:spacing w:val="-6"/>
              </w:rPr>
              <w:t>Sektor vládních institucí (VI) v ČR hospodařil</w:t>
            </w:r>
            <w:r>
              <w:rPr>
                <w:rFonts w:cs="Arial"/>
                <w:color w:val="0D0D0D" w:themeColor="text1" w:themeTint="F2"/>
                <w:spacing w:val="-6"/>
              </w:rPr>
              <w:t xml:space="preserve"> v roce </w:t>
            </w:r>
            <w:r w:rsidRPr="000F45E7">
              <w:rPr>
                <w:rFonts w:cs="Arial"/>
                <w:color w:val="0D0D0D" w:themeColor="text1" w:themeTint="F2"/>
                <w:spacing w:val="-6"/>
              </w:rPr>
              <w:t>2020</w:t>
            </w:r>
            <w:r>
              <w:rPr>
                <w:rStyle w:val="Znakapoznpodarou"/>
                <w:color w:val="0D0D0D" w:themeColor="text1" w:themeTint="F2"/>
                <w:spacing w:val="-6"/>
              </w:rPr>
              <w:footnoteReference w:id="21"/>
            </w:r>
            <w:r w:rsidRPr="000F45E7">
              <w:rPr>
                <w:rFonts w:cs="Arial"/>
                <w:color w:val="0D0D0D" w:themeColor="text1" w:themeTint="F2"/>
                <w:spacing w:val="-6"/>
              </w:rPr>
              <w:t xml:space="preserve"> se schodkem</w:t>
            </w:r>
            <w:r>
              <w:rPr>
                <w:rFonts w:cs="Arial"/>
                <w:color w:val="0D0D0D" w:themeColor="text1" w:themeTint="F2"/>
                <w:spacing w:val="-6"/>
              </w:rPr>
              <w:t xml:space="preserve"> 348 mld. korun. To v relaci k nominálnímu HDP činilo –6,2 %, což představovalo nejhorší výsledek od roku 2003. P</w:t>
            </w:r>
            <w:r w:rsidRPr="000F45E7">
              <w:rPr>
                <w:rFonts w:cs="Arial"/>
                <w:color w:val="0D0D0D" w:themeColor="text1" w:themeTint="F2"/>
                <w:spacing w:val="-6"/>
              </w:rPr>
              <w:t xml:space="preserve">říjmy </w:t>
            </w:r>
            <w:r>
              <w:rPr>
                <w:rFonts w:cs="Arial"/>
                <w:color w:val="0D0D0D" w:themeColor="text1" w:themeTint="F2"/>
                <w:spacing w:val="-6"/>
              </w:rPr>
              <w:t xml:space="preserve">VI </w:t>
            </w:r>
            <w:r w:rsidRPr="000F45E7">
              <w:rPr>
                <w:rFonts w:cs="Arial"/>
                <w:color w:val="0D0D0D" w:themeColor="text1" w:themeTint="F2"/>
                <w:spacing w:val="-6"/>
              </w:rPr>
              <w:t>mezir</w:t>
            </w:r>
            <w:r>
              <w:rPr>
                <w:rFonts w:cs="Arial"/>
                <w:color w:val="0D0D0D" w:themeColor="text1" w:themeTint="F2"/>
                <w:spacing w:val="-6"/>
              </w:rPr>
              <w:t>očně klesly o 2,4 %</w:t>
            </w:r>
            <w:r w:rsidRPr="000F45E7">
              <w:rPr>
                <w:rFonts w:cs="Arial"/>
                <w:color w:val="0D0D0D" w:themeColor="text1" w:themeTint="F2"/>
                <w:spacing w:val="-6"/>
              </w:rPr>
              <w:t>,</w:t>
            </w:r>
            <w:r>
              <w:rPr>
                <w:rFonts w:cs="Arial"/>
                <w:color w:val="0D0D0D" w:themeColor="text1" w:themeTint="F2"/>
                <w:spacing w:val="-6"/>
              </w:rPr>
              <w:t xml:space="preserve"> růst výdajů akceleroval na 12,9 %</w:t>
            </w:r>
            <w:r w:rsidRPr="000F45E7">
              <w:rPr>
                <w:rFonts w:cs="Arial"/>
                <w:color w:val="0D0D0D" w:themeColor="text1" w:themeTint="F2"/>
                <w:spacing w:val="-6"/>
              </w:rPr>
              <w:t xml:space="preserve"> (v</w:t>
            </w:r>
            <w:r>
              <w:rPr>
                <w:rFonts w:cs="Arial"/>
                <w:color w:val="0D0D0D" w:themeColor="text1" w:themeTint="F2"/>
                <w:spacing w:val="-6"/>
              </w:rPr>
              <w:t> </w:t>
            </w:r>
            <w:r w:rsidRPr="000F45E7">
              <w:rPr>
                <w:rFonts w:cs="Arial"/>
                <w:color w:val="0D0D0D" w:themeColor="text1" w:themeTint="F2"/>
                <w:spacing w:val="-6"/>
              </w:rPr>
              <w:t>obou případech šlo o</w:t>
            </w:r>
            <w:r>
              <w:rPr>
                <w:rFonts w:cs="Arial"/>
                <w:color w:val="0D0D0D" w:themeColor="text1" w:themeTint="F2"/>
                <w:spacing w:val="-6"/>
              </w:rPr>
              <w:t> </w:t>
            </w:r>
            <w:r w:rsidRPr="000F45E7">
              <w:rPr>
                <w:rFonts w:cs="Arial"/>
                <w:color w:val="0D0D0D" w:themeColor="text1" w:themeTint="F2"/>
                <w:spacing w:val="-6"/>
              </w:rPr>
              <w:t xml:space="preserve">rekordní tempa </w:t>
            </w:r>
            <w:r>
              <w:rPr>
                <w:rFonts w:cs="Arial"/>
                <w:color w:val="0D0D0D" w:themeColor="text1" w:themeTint="F2"/>
                <w:spacing w:val="-6"/>
              </w:rPr>
              <w:t xml:space="preserve">za poslední dekádu). Saldo hospodaření se </w:t>
            </w:r>
            <w:r w:rsidRPr="000F45E7">
              <w:rPr>
                <w:rFonts w:cs="Arial"/>
                <w:color w:val="0D0D0D" w:themeColor="text1" w:themeTint="F2"/>
                <w:spacing w:val="-6"/>
              </w:rPr>
              <w:t>zhoršilo ve všec</w:t>
            </w:r>
            <w:r>
              <w:rPr>
                <w:rFonts w:cs="Arial"/>
                <w:color w:val="0D0D0D" w:themeColor="text1" w:themeTint="F2"/>
                <w:spacing w:val="-6"/>
              </w:rPr>
              <w:t xml:space="preserve">h subsektorech VI, především </w:t>
            </w:r>
            <w:r w:rsidRPr="000F45E7">
              <w:rPr>
                <w:rFonts w:cs="Arial"/>
                <w:color w:val="0D0D0D" w:themeColor="text1" w:themeTint="F2"/>
                <w:spacing w:val="-6"/>
              </w:rPr>
              <w:t>u</w:t>
            </w:r>
            <w:r>
              <w:rPr>
                <w:rFonts w:cs="Arial"/>
                <w:color w:val="0D0D0D" w:themeColor="text1" w:themeTint="F2"/>
                <w:spacing w:val="-6"/>
              </w:rPr>
              <w:t> </w:t>
            </w:r>
            <w:r w:rsidRPr="000F45E7">
              <w:rPr>
                <w:rFonts w:cs="Arial"/>
                <w:color w:val="0D0D0D" w:themeColor="text1" w:themeTint="F2"/>
                <w:spacing w:val="-6"/>
              </w:rPr>
              <w:t xml:space="preserve">ústředních VI, jež nesly </w:t>
            </w:r>
            <w:r>
              <w:rPr>
                <w:rFonts w:cs="Arial"/>
                <w:color w:val="0D0D0D" w:themeColor="text1" w:themeTint="F2"/>
                <w:spacing w:val="-6"/>
              </w:rPr>
              <w:t>hlavní břímě</w:t>
            </w:r>
            <w:r w:rsidRPr="000F45E7">
              <w:rPr>
                <w:rFonts w:cs="Arial"/>
                <w:color w:val="0D0D0D" w:themeColor="text1" w:themeTint="F2"/>
                <w:spacing w:val="-6"/>
              </w:rPr>
              <w:t xml:space="preserve"> nákladů spojených </w:t>
            </w:r>
            <w:r>
              <w:rPr>
                <w:rFonts w:cs="Arial"/>
                <w:color w:val="0D0D0D" w:themeColor="text1" w:themeTint="F2"/>
                <w:spacing w:val="-6"/>
              </w:rPr>
              <w:t>s </w:t>
            </w:r>
            <w:r w:rsidRPr="000F45E7">
              <w:rPr>
                <w:rFonts w:cs="Arial"/>
                <w:color w:val="0D0D0D" w:themeColor="text1" w:themeTint="F2"/>
                <w:spacing w:val="-6"/>
              </w:rPr>
              <w:t>protipandemickými opatřeními.</w:t>
            </w:r>
            <w:r>
              <w:rPr>
                <w:rFonts w:cs="Arial"/>
                <w:color w:val="0D0D0D" w:themeColor="text1" w:themeTint="F2"/>
                <w:spacing w:val="-6"/>
              </w:rPr>
              <w:t xml:space="preserve"> Místní VI ale stále vykazovaly přebytek (+14,5 mld. korun)</w:t>
            </w:r>
            <w:r w:rsidRPr="000F45E7">
              <w:rPr>
                <w:rFonts w:cs="Arial"/>
                <w:color w:val="0D0D0D" w:themeColor="text1" w:themeTint="F2"/>
                <w:spacing w:val="-6"/>
              </w:rPr>
              <w:t xml:space="preserve">, </w:t>
            </w:r>
            <w:r>
              <w:rPr>
                <w:rFonts w:cs="Arial"/>
                <w:color w:val="0D0D0D" w:themeColor="text1" w:themeTint="F2"/>
                <w:spacing w:val="-6"/>
              </w:rPr>
              <w:t>a to i při pokračujícím růstu</w:t>
            </w:r>
            <w:r w:rsidRPr="000F45E7">
              <w:rPr>
                <w:rFonts w:cs="Arial"/>
                <w:color w:val="0D0D0D" w:themeColor="text1" w:themeTint="F2"/>
                <w:spacing w:val="-6"/>
              </w:rPr>
              <w:t xml:space="preserve"> investiční</w:t>
            </w:r>
            <w:r>
              <w:rPr>
                <w:rFonts w:cs="Arial"/>
                <w:color w:val="0D0D0D" w:themeColor="text1" w:themeTint="F2"/>
                <w:spacing w:val="-6"/>
              </w:rPr>
              <w:t xml:space="preserve"> aktivity (+4,2 %). Na konci roku 2020 dosáhl dluh sektoru VI 2 153 mld. korun. Míra zadlužení činila 38,1 % HDP, nejvíce za posledních pět let. Její meziroční navýšení bylo zároveň nejvyšší v historii samostatné ČR.</w:t>
            </w:r>
          </w:p>
        </w:tc>
      </w:tr>
    </w:tbl>
    <w:p w14:paraId="4CAD749A" w14:textId="77777777" w:rsidR="00AB3BA7" w:rsidRPr="000F45E7" w:rsidRDefault="00AB3BA7" w:rsidP="00AB3BA7">
      <w:pPr>
        <w:pStyle w:val="Nadpis11"/>
        <w:spacing w:after="0"/>
        <w:rPr>
          <w:b w:val="0"/>
          <w:sz w:val="2"/>
          <w:szCs w:val="2"/>
        </w:rPr>
      </w:pPr>
    </w:p>
    <w:p w14:paraId="3E974863" w14:textId="23A1735E" w:rsidR="000663F0" w:rsidRPr="00E42054" w:rsidRDefault="000663F0" w:rsidP="00AB3BA7">
      <w:pPr>
        <w:pStyle w:val="Nadpis11"/>
        <w:rPr>
          <w:b w:val="0"/>
          <w:sz w:val="2"/>
          <w:szCs w:val="2"/>
        </w:rPr>
      </w:pPr>
    </w:p>
    <w:sectPr w:rsidR="000663F0" w:rsidRPr="00E42054" w:rsidSect="00E718CE">
      <w:headerReference w:type="even" r:id="rId11"/>
      <w:headerReference w:type="default" r:id="rId12"/>
      <w:footerReference w:type="even" r:id="rId13"/>
      <w:footerReference w:type="default" r:id="rId14"/>
      <w:pgSz w:w="11906" w:h="16838" w:code="9"/>
      <w:pgMar w:top="1134" w:right="1134" w:bottom="1418" w:left="1134" w:header="680" w:footer="737" w:gutter="0"/>
      <w:pgNumType w:start="3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18F09B" w16cid:durableId="246F10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0181" w14:textId="77777777" w:rsidR="00671D85" w:rsidRDefault="00671D85" w:rsidP="00E71A58">
      <w:r>
        <w:separator/>
      </w:r>
    </w:p>
  </w:endnote>
  <w:endnote w:type="continuationSeparator" w:id="0">
    <w:p w14:paraId="64BAABBF" w14:textId="77777777" w:rsidR="00671D85" w:rsidRDefault="00671D8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586F89F6" w:rsidR="006F6FF2" w:rsidRPr="00932443" w:rsidRDefault="006F6FF2"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E718CE">
      <w:rPr>
        <w:szCs w:val="16"/>
      </w:rPr>
      <w:t>30</w:t>
    </w:r>
    <w:r w:rsidRPr="00932443">
      <w:rPr>
        <w:szCs w:val="16"/>
      </w:rPr>
      <w:fldChar w:fldCharType="end"/>
    </w:r>
    <w:r w:rsidRPr="00932443">
      <w:rPr>
        <w:szCs w:val="16"/>
      </w:rPr>
      <w:tab/>
    </w:r>
    <w:r>
      <w:rPr>
        <w:szCs w:val="16"/>
      </w:rPr>
      <w:t>1. čtvrtletí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5B9B73B6" w:rsidR="006F6FF2" w:rsidRPr="00932443" w:rsidRDefault="006F6FF2" w:rsidP="00FA6CB6">
    <w:pPr>
      <w:pStyle w:val="Zpat"/>
      <w:rPr>
        <w:szCs w:val="16"/>
      </w:rPr>
    </w:pPr>
    <w:r w:rsidRPr="00FA6CB6">
      <w:rPr>
        <w:szCs w:val="16"/>
      </w:rPr>
      <w:tab/>
    </w:r>
    <w:r>
      <w:rPr>
        <w:szCs w:val="16"/>
      </w:rPr>
      <w:t>1. čtvrtletí 2021</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E718CE">
      <w:rPr>
        <w:rStyle w:val="ZpatChar"/>
        <w:szCs w:val="16"/>
      </w:rPr>
      <w:t>31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BB5C" w14:textId="77777777" w:rsidR="00671D85" w:rsidRDefault="00671D85" w:rsidP="00A21B4D">
      <w:pPr>
        <w:spacing w:after="0"/>
      </w:pPr>
      <w:r>
        <w:separator/>
      </w:r>
    </w:p>
  </w:footnote>
  <w:footnote w:type="continuationSeparator" w:id="0">
    <w:p w14:paraId="572718C3" w14:textId="77777777" w:rsidR="00671D85" w:rsidRDefault="00671D85" w:rsidP="00E71A58">
      <w:r>
        <w:continuationSeparator/>
      </w:r>
    </w:p>
  </w:footnote>
  <w:footnote w:id="1">
    <w:p w14:paraId="3CD49E9B" w14:textId="77777777" w:rsidR="006F6FF2" w:rsidRPr="004A27B5" w:rsidRDefault="006F6FF2" w:rsidP="00AB3BA7">
      <w:pPr>
        <w:pStyle w:val="Textpoznpodarou"/>
        <w:jc w:val="both"/>
        <w:rPr>
          <w:spacing w:val="-3"/>
          <w:sz w:val="16"/>
          <w:szCs w:val="16"/>
        </w:rPr>
      </w:pPr>
      <w:r w:rsidRPr="004A27B5">
        <w:rPr>
          <w:rStyle w:val="Znakapoznpodarou"/>
          <w:spacing w:val="-3"/>
          <w:sz w:val="16"/>
          <w:szCs w:val="16"/>
        </w:rPr>
        <w:footnoteRef/>
      </w:r>
      <w:r w:rsidRPr="004A27B5">
        <w:rPr>
          <w:spacing w:val="-3"/>
          <w:sz w:val="16"/>
          <w:szCs w:val="16"/>
        </w:rPr>
        <w:t xml:space="preserve"> </w:t>
      </w:r>
      <w:r w:rsidRPr="004A27B5">
        <w:rPr>
          <w:color w:val="0D0D0D" w:themeColor="text1" w:themeTint="F2"/>
          <w:spacing w:val="-3"/>
          <w:sz w:val="16"/>
          <w:szCs w:val="16"/>
        </w:rPr>
        <w:t xml:space="preserve">Pokud není uvedeno jinak, vycházejí všechny údaje týkající se státního rozpočtu </w:t>
      </w:r>
      <w:r w:rsidRPr="004A27B5">
        <w:rPr>
          <w:rFonts w:cs="Arial"/>
          <w:color w:val="0D0D0D" w:themeColor="text1" w:themeTint="F2"/>
          <w:spacing w:val="-3"/>
          <w:sz w:val="16"/>
          <w:szCs w:val="16"/>
        </w:rPr>
        <w:t>z dat Ministerstva financí o pokladním plnění.</w:t>
      </w:r>
    </w:p>
  </w:footnote>
  <w:footnote w:id="2">
    <w:p w14:paraId="43D56518" w14:textId="77777777" w:rsidR="006F6FF2" w:rsidRPr="004A27B5" w:rsidRDefault="006F6FF2" w:rsidP="00AB3BA7">
      <w:pPr>
        <w:pStyle w:val="Textpoznpodarou"/>
        <w:rPr>
          <w:spacing w:val="-4"/>
          <w:sz w:val="16"/>
          <w:szCs w:val="16"/>
        </w:rPr>
      </w:pPr>
      <w:r w:rsidRPr="004A27B5">
        <w:rPr>
          <w:rStyle w:val="Znakapoznpodarou"/>
          <w:spacing w:val="-4"/>
          <w:sz w:val="16"/>
          <w:szCs w:val="16"/>
        </w:rPr>
        <w:footnoteRef/>
      </w:r>
      <w:r w:rsidRPr="004A27B5">
        <w:rPr>
          <w:spacing w:val="-4"/>
          <w:sz w:val="16"/>
          <w:szCs w:val="16"/>
        </w:rPr>
        <w:t xml:space="preserve"> To odpovídalo 25</w:t>
      </w:r>
      <w:r>
        <w:rPr>
          <w:spacing w:val="-4"/>
          <w:sz w:val="16"/>
          <w:szCs w:val="16"/>
        </w:rPr>
        <w:t> %</w:t>
      </w:r>
      <w:r w:rsidRPr="004A27B5">
        <w:rPr>
          <w:spacing w:val="-4"/>
          <w:sz w:val="16"/>
          <w:szCs w:val="16"/>
        </w:rPr>
        <w:t xml:space="preserve"> očekávaného celoročního deficitu dle březnové novely zákona o</w:t>
      </w:r>
      <w:r>
        <w:rPr>
          <w:spacing w:val="-4"/>
          <w:sz w:val="16"/>
          <w:szCs w:val="16"/>
        </w:rPr>
        <w:t> </w:t>
      </w:r>
      <w:r w:rsidRPr="004A27B5">
        <w:rPr>
          <w:spacing w:val="-4"/>
          <w:sz w:val="16"/>
          <w:szCs w:val="16"/>
        </w:rPr>
        <w:t>SR na rok 2021. Ta s ohledem na opětovné zhoršení epidemické situace navýšila plánovaný deficit na 500</w:t>
      </w:r>
      <w:r>
        <w:rPr>
          <w:spacing w:val="-4"/>
          <w:sz w:val="16"/>
          <w:szCs w:val="16"/>
        </w:rPr>
        <w:t> mld.</w:t>
      </w:r>
      <w:r w:rsidRPr="004A27B5">
        <w:rPr>
          <w:spacing w:val="-4"/>
          <w:sz w:val="16"/>
          <w:szCs w:val="16"/>
        </w:rPr>
        <w:t xml:space="preserve"> korun (z</w:t>
      </w:r>
      <w:r>
        <w:rPr>
          <w:spacing w:val="-4"/>
          <w:sz w:val="16"/>
          <w:szCs w:val="16"/>
        </w:rPr>
        <w:t> </w:t>
      </w:r>
      <w:r w:rsidRPr="004A27B5">
        <w:rPr>
          <w:spacing w:val="-4"/>
          <w:sz w:val="16"/>
          <w:szCs w:val="16"/>
        </w:rPr>
        <w:t>320</w:t>
      </w:r>
      <w:r>
        <w:rPr>
          <w:spacing w:val="-4"/>
          <w:sz w:val="16"/>
          <w:szCs w:val="16"/>
        </w:rPr>
        <w:t> mld.</w:t>
      </w:r>
      <w:r w:rsidRPr="004A27B5">
        <w:rPr>
          <w:spacing w:val="-4"/>
          <w:sz w:val="16"/>
          <w:szCs w:val="16"/>
        </w:rPr>
        <w:t xml:space="preserve"> uvedených v 1</w:t>
      </w:r>
      <w:r>
        <w:rPr>
          <w:spacing w:val="-4"/>
          <w:sz w:val="16"/>
          <w:szCs w:val="16"/>
        </w:rPr>
        <w:t>. </w:t>
      </w:r>
      <w:r w:rsidRPr="004A27B5">
        <w:rPr>
          <w:spacing w:val="-4"/>
          <w:sz w:val="16"/>
          <w:szCs w:val="16"/>
        </w:rPr>
        <w:t xml:space="preserve">verzi zákona </w:t>
      </w:r>
      <w:r>
        <w:rPr>
          <w:spacing w:val="-4"/>
          <w:sz w:val="16"/>
          <w:szCs w:val="16"/>
        </w:rPr>
        <w:t>o </w:t>
      </w:r>
      <w:r w:rsidRPr="004A27B5">
        <w:rPr>
          <w:spacing w:val="-4"/>
          <w:sz w:val="16"/>
          <w:szCs w:val="16"/>
        </w:rPr>
        <w:t>SR schválené 18</w:t>
      </w:r>
      <w:r>
        <w:rPr>
          <w:spacing w:val="-4"/>
          <w:sz w:val="16"/>
          <w:szCs w:val="16"/>
        </w:rPr>
        <w:t>. </w:t>
      </w:r>
      <w:r w:rsidRPr="004A27B5">
        <w:rPr>
          <w:spacing w:val="-4"/>
          <w:sz w:val="16"/>
          <w:szCs w:val="16"/>
        </w:rPr>
        <w:t>prosince 2020).</w:t>
      </w:r>
    </w:p>
  </w:footnote>
  <w:footnote w:id="3">
    <w:p w14:paraId="6C9419D1"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Dílčí roli sehrálo i</w:t>
      </w:r>
      <w:r>
        <w:rPr>
          <w:spacing w:val="-2"/>
          <w:sz w:val="16"/>
          <w:szCs w:val="16"/>
        </w:rPr>
        <w:t> </w:t>
      </w:r>
      <w:r w:rsidRPr="004A27B5">
        <w:rPr>
          <w:spacing w:val="-2"/>
          <w:sz w:val="16"/>
          <w:szCs w:val="16"/>
        </w:rPr>
        <w:t xml:space="preserve">zrušení </w:t>
      </w:r>
      <w:r>
        <w:rPr>
          <w:spacing w:val="-2"/>
          <w:sz w:val="16"/>
          <w:szCs w:val="16"/>
        </w:rPr>
        <w:t>daně z nabytí nemovitosti, které</w:t>
      </w:r>
      <w:r w:rsidRPr="004A27B5">
        <w:rPr>
          <w:spacing w:val="-2"/>
          <w:sz w:val="16"/>
          <w:szCs w:val="16"/>
        </w:rPr>
        <w:t xml:space="preserve"> se v inkasu projevilo až od 2.</w:t>
      </w:r>
      <w:r>
        <w:rPr>
          <w:spacing w:val="-2"/>
          <w:sz w:val="16"/>
          <w:szCs w:val="16"/>
        </w:rPr>
        <w:t> čtvrtlet</w:t>
      </w:r>
      <w:r w:rsidRPr="004A27B5">
        <w:rPr>
          <w:spacing w:val="-2"/>
          <w:sz w:val="16"/>
          <w:szCs w:val="16"/>
        </w:rPr>
        <w:t>í 2020.</w:t>
      </w:r>
    </w:p>
  </w:footnote>
  <w:footnote w:id="4">
    <w:p w14:paraId="08AF4770"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Pokles příjmů SR na počátku roku 2017 byl ale způsoben výhradně krátkodobým propadem přijatých prostředků z evropských fondů v souvislosti s přechodem na nové programové období EU. Samotné daňové příjmy se snížily naposledy v 1.</w:t>
      </w:r>
      <w:r>
        <w:rPr>
          <w:spacing w:val="-2"/>
          <w:sz w:val="16"/>
          <w:szCs w:val="16"/>
        </w:rPr>
        <w:t> čtvrtlet</w:t>
      </w:r>
      <w:r w:rsidRPr="004A27B5">
        <w:rPr>
          <w:spacing w:val="-2"/>
          <w:sz w:val="16"/>
          <w:szCs w:val="16"/>
        </w:rPr>
        <w:t>í 2015.</w:t>
      </w:r>
    </w:p>
  </w:footnote>
  <w:footnote w:id="5">
    <w:p w14:paraId="4754455D"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Na sdílených daní</w:t>
      </w:r>
      <w:r>
        <w:rPr>
          <w:spacing w:val="-2"/>
          <w:sz w:val="16"/>
          <w:szCs w:val="16"/>
        </w:rPr>
        <w:t>ch</w:t>
      </w:r>
      <w:r w:rsidRPr="004A27B5">
        <w:rPr>
          <w:spacing w:val="-2"/>
          <w:sz w:val="16"/>
          <w:szCs w:val="16"/>
        </w:rPr>
        <w:t xml:space="preserve"> (DPH, daně z příjmu) tak inkasoval SR v 1</w:t>
      </w:r>
      <w:r>
        <w:rPr>
          <w:spacing w:val="-2"/>
          <w:sz w:val="16"/>
          <w:szCs w:val="16"/>
        </w:rPr>
        <w:t>. </w:t>
      </w:r>
      <w:r w:rsidRPr="004A27B5">
        <w:rPr>
          <w:spacing w:val="-2"/>
          <w:sz w:val="16"/>
          <w:szCs w:val="16"/>
        </w:rPr>
        <w:t>letošním čtvrtletí o</w:t>
      </w:r>
      <w:r>
        <w:rPr>
          <w:spacing w:val="-2"/>
          <w:sz w:val="16"/>
          <w:szCs w:val="16"/>
        </w:rPr>
        <w:t> </w:t>
      </w:r>
      <w:r w:rsidRPr="004A27B5">
        <w:rPr>
          <w:spacing w:val="-2"/>
          <w:sz w:val="16"/>
          <w:szCs w:val="16"/>
        </w:rPr>
        <w:t>6,3</w:t>
      </w:r>
      <w:r>
        <w:rPr>
          <w:spacing w:val="-2"/>
          <w:sz w:val="16"/>
          <w:szCs w:val="16"/>
        </w:rPr>
        <w:t> mld.</w:t>
      </w:r>
      <w:r w:rsidRPr="004A27B5">
        <w:rPr>
          <w:spacing w:val="-2"/>
          <w:sz w:val="16"/>
          <w:szCs w:val="16"/>
        </w:rPr>
        <w:t xml:space="preserve"> korun méně.</w:t>
      </w:r>
    </w:p>
  </w:footnote>
  <w:footnote w:id="6">
    <w:p w14:paraId="06F5EB0A" w14:textId="77777777" w:rsidR="006F6FF2" w:rsidRPr="004A27B5" w:rsidRDefault="006F6FF2" w:rsidP="00AB3BA7">
      <w:pPr>
        <w:pStyle w:val="Textpoznpodarou"/>
        <w:rPr>
          <w:spacing w:val="-3"/>
          <w:sz w:val="16"/>
          <w:szCs w:val="16"/>
        </w:rPr>
      </w:pPr>
      <w:r w:rsidRPr="004A27B5">
        <w:rPr>
          <w:rStyle w:val="Znakapoznpodarou"/>
          <w:spacing w:val="-3"/>
          <w:sz w:val="16"/>
          <w:szCs w:val="16"/>
        </w:rPr>
        <w:footnoteRef/>
      </w:r>
      <w:r w:rsidRPr="004A27B5">
        <w:rPr>
          <w:spacing w:val="-3"/>
          <w:sz w:val="16"/>
          <w:szCs w:val="16"/>
        </w:rPr>
        <w:t xml:space="preserve"> To bylo způsobeno tím, že plánovaný převod prostředků privatizačního účtu do</w:t>
      </w:r>
      <w:r>
        <w:rPr>
          <w:spacing w:val="-3"/>
          <w:sz w:val="16"/>
          <w:szCs w:val="16"/>
        </w:rPr>
        <w:t> </w:t>
      </w:r>
      <w:r w:rsidRPr="004A27B5">
        <w:rPr>
          <w:spacing w:val="-3"/>
          <w:sz w:val="16"/>
          <w:szCs w:val="16"/>
        </w:rPr>
        <w:t>SR (+10</w:t>
      </w:r>
      <w:r>
        <w:rPr>
          <w:spacing w:val="-3"/>
          <w:sz w:val="16"/>
          <w:szCs w:val="16"/>
        </w:rPr>
        <w:t> mld.</w:t>
      </w:r>
      <w:r w:rsidRPr="004A27B5">
        <w:rPr>
          <w:spacing w:val="-3"/>
          <w:sz w:val="16"/>
          <w:szCs w:val="16"/>
        </w:rPr>
        <w:t xml:space="preserve"> korun) se letos v 1.</w:t>
      </w:r>
      <w:r>
        <w:rPr>
          <w:spacing w:val="-3"/>
          <w:sz w:val="16"/>
          <w:szCs w:val="16"/>
        </w:rPr>
        <w:t> čtvrtlet</w:t>
      </w:r>
      <w:r w:rsidRPr="004A27B5">
        <w:rPr>
          <w:spacing w:val="-3"/>
          <w:sz w:val="16"/>
          <w:szCs w:val="16"/>
        </w:rPr>
        <w:t>í (na rozdíl od loňského roku) dosud neuskutečnil. Tato diskrepance byla letos čá</w:t>
      </w:r>
      <w:r>
        <w:rPr>
          <w:spacing w:val="-3"/>
          <w:sz w:val="16"/>
          <w:szCs w:val="16"/>
        </w:rPr>
        <w:t>stečně kompenzována mimořádnými</w:t>
      </w:r>
      <w:r w:rsidRPr="004A27B5">
        <w:rPr>
          <w:spacing w:val="-3"/>
          <w:sz w:val="16"/>
          <w:szCs w:val="16"/>
        </w:rPr>
        <w:t xml:space="preserve"> výnosy z a</w:t>
      </w:r>
      <w:r>
        <w:rPr>
          <w:spacing w:val="-3"/>
          <w:sz w:val="16"/>
          <w:szCs w:val="16"/>
        </w:rPr>
        <w:t>u</w:t>
      </w:r>
      <w:r w:rsidRPr="004A27B5">
        <w:rPr>
          <w:spacing w:val="-3"/>
          <w:sz w:val="16"/>
          <w:szCs w:val="16"/>
        </w:rPr>
        <w:t>kce kmitočtů (+5,6</w:t>
      </w:r>
      <w:r>
        <w:rPr>
          <w:spacing w:val="-3"/>
          <w:sz w:val="16"/>
          <w:szCs w:val="16"/>
        </w:rPr>
        <w:t> mld.</w:t>
      </w:r>
      <w:r w:rsidRPr="004A27B5">
        <w:rPr>
          <w:spacing w:val="-3"/>
          <w:sz w:val="16"/>
          <w:szCs w:val="16"/>
        </w:rPr>
        <w:t>).</w:t>
      </w:r>
    </w:p>
  </w:footnote>
  <w:footnote w:id="7">
    <w:p w14:paraId="2346817A"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Po zrušení superhrubé mzdy byla od 1</w:t>
      </w:r>
      <w:r>
        <w:rPr>
          <w:spacing w:val="-2"/>
          <w:sz w:val="16"/>
          <w:szCs w:val="16"/>
        </w:rPr>
        <w:t>. </w:t>
      </w:r>
      <w:r w:rsidRPr="004A27B5">
        <w:rPr>
          <w:spacing w:val="-2"/>
          <w:sz w:val="16"/>
          <w:szCs w:val="16"/>
        </w:rPr>
        <w:t>ledna 2021 zavedena základní daňová sazba 15</w:t>
      </w:r>
      <w:r>
        <w:rPr>
          <w:spacing w:val="-2"/>
          <w:sz w:val="16"/>
          <w:szCs w:val="16"/>
        </w:rPr>
        <w:t> %</w:t>
      </w:r>
      <w:r w:rsidRPr="004A27B5">
        <w:rPr>
          <w:spacing w:val="-2"/>
          <w:sz w:val="16"/>
          <w:szCs w:val="16"/>
        </w:rPr>
        <w:t xml:space="preserve"> (a</w:t>
      </w:r>
      <w:r>
        <w:rPr>
          <w:spacing w:val="-2"/>
          <w:sz w:val="16"/>
          <w:szCs w:val="16"/>
        </w:rPr>
        <w:t> </w:t>
      </w:r>
      <w:r w:rsidRPr="004A27B5">
        <w:rPr>
          <w:spacing w:val="-2"/>
          <w:sz w:val="16"/>
          <w:szCs w:val="16"/>
        </w:rPr>
        <w:t>doplňková 23</w:t>
      </w:r>
      <w:r>
        <w:rPr>
          <w:spacing w:val="-2"/>
          <w:sz w:val="16"/>
          <w:szCs w:val="16"/>
        </w:rPr>
        <w:t> %</w:t>
      </w:r>
      <w:r w:rsidRPr="004A27B5">
        <w:rPr>
          <w:spacing w:val="-2"/>
          <w:sz w:val="16"/>
          <w:szCs w:val="16"/>
        </w:rPr>
        <w:t>) a</w:t>
      </w:r>
      <w:r>
        <w:rPr>
          <w:spacing w:val="-2"/>
          <w:sz w:val="16"/>
          <w:szCs w:val="16"/>
        </w:rPr>
        <w:t> </w:t>
      </w:r>
      <w:r w:rsidRPr="004A27B5">
        <w:rPr>
          <w:spacing w:val="-2"/>
          <w:sz w:val="16"/>
          <w:szCs w:val="16"/>
        </w:rPr>
        <w:t>navýšena roční daňová sleva na poplatníka (+3</w:t>
      </w:r>
      <w:r>
        <w:rPr>
          <w:spacing w:val="-2"/>
          <w:sz w:val="16"/>
          <w:szCs w:val="16"/>
        </w:rPr>
        <w:t> tis.</w:t>
      </w:r>
      <w:r w:rsidRPr="004A27B5">
        <w:rPr>
          <w:spacing w:val="-2"/>
          <w:sz w:val="16"/>
          <w:szCs w:val="16"/>
        </w:rPr>
        <w:t xml:space="preserve"> korun). Tyto změny by měly dle odhadů MF letos připravit veřejné rozpočty na výše uvedené dani o</w:t>
      </w:r>
      <w:r>
        <w:rPr>
          <w:spacing w:val="-2"/>
          <w:sz w:val="16"/>
          <w:szCs w:val="16"/>
        </w:rPr>
        <w:t> </w:t>
      </w:r>
      <w:r w:rsidRPr="004A27B5">
        <w:rPr>
          <w:spacing w:val="-2"/>
          <w:sz w:val="16"/>
          <w:szCs w:val="16"/>
        </w:rPr>
        <w:t>90</w:t>
      </w:r>
      <w:r>
        <w:rPr>
          <w:spacing w:val="-2"/>
          <w:sz w:val="16"/>
          <w:szCs w:val="16"/>
        </w:rPr>
        <w:t> mld.</w:t>
      </w:r>
      <w:r w:rsidRPr="004A27B5">
        <w:rPr>
          <w:spacing w:val="-2"/>
          <w:sz w:val="16"/>
          <w:szCs w:val="16"/>
        </w:rPr>
        <w:t xml:space="preserve"> korun. Jen za 1.</w:t>
      </w:r>
      <w:r>
        <w:rPr>
          <w:spacing w:val="-2"/>
          <w:sz w:val="16"/>
          <w:szCs w:val="16"/>
        </w:rPr>
        <w:t> čtvrtlet</w:t>
      </w:r>
      <w:r w:rsidRPr="004A27B5">
        <w:rPr>
          <w:spacing w:val="-2"/>
          <w:sz w:val="16"/>
          <w:szCs w:val="16"/>
        </w:rPr>
        <w:t>í 2021 kleslo celostátní inkaso DPFO ze závislé činnosti o</w:t>
      </w:r>
      <w:r>
        <w:rPr>
          <w:spacing w:val="-2"/>
          <w:sz w:val="16"/>
          <w:szCs w:val="16"/>
        </w:rPr>
        <w:t> </w:t>
      </w:r>
      <w:r w:rsidRPr="004A27B5">
        <w:rPr>
          <w:spacing w:val="-2"/>
          <w:sz w:val="16"/>
          <w:szCs w:val="16"/>
        </w:rPr>
        <w:t>20</w:t>
      </w:r>
      <w:r>
        <w:rPr>
          <w:spacing w:val="-2"/>
          <w:sz w:val="16"/>
          <w:szCs w:val="16"/>
        </w:rPr>
        <w:t> mld.</w:t>
      </w:r>
      <w:r w:rsidRPr="004A27B5">
        <w:rPr>
          <w:spacing w:val="-2"/>
          <w:sz w:val="16"/>
          <w:szCs w:val="16"/>
        </w:rPr>
        <w:t xml:space="preserve"> korun.</w:t>
      </w:r>
    </w:p>
  </w:footnote>
  <w:footnote w:id="8">
    <w:p w14:paraId="62E1EA8D" w14:textId="77777777" w:rsidR="006F6FF2" w:rsidRPr="004A27B5"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Dle odhadů MF vedl v 1.</w:t>
      </w:r>
      <w:r>
        <w:rPr>
          <w:spacing w:val="-2"/>
          <w:sz w:val="16"/>
          <w:szCs w:val="16"/>
        </w:rPr>
        <w:t> čtvrtlet</w:t>
      </w:r>
      <w:r w:rsidRPr="004A27B5">
        <w:rPr>
          <w:spacing w:val="-2"/>
          <w:sz w:val="16"/>
          <w:szCs w:val="16"/>
        </w:rPr>
        <w:t>í 2021 tento faktor k poklesu příjmů korporátní daně do</w:t>
      </w:r>
      <w:r>
        <w:rPr>
          <w:spacing w:val="-2"/>
          <w:sz w:val="16"/>
          <w:szCs w:val="16"/>
        </w:rPr>
        <w:t> </w:t>
      </w:r>
      <w:r w:rsidRPr="004A27B5">
        <w:rPr>
          <w:spacing w:val="-2"/>
          <w:sz w:val="16"/>
          <w:szCs w:val="16"/>
        </w:rPr>
        <w:t>SR o</w:t>
      </w:r>
      <w:r>
        <w:rPr>
          <w:spacing w:val="-2"/>
          <w:sz w:val="16"/>
          <w:szCs w:val="16"/>
        </w:rPr>
        <w:t> </w:t>
      </w:r>
      <w:r w:rsidRPr="004A27B5">
        <w:rPr>
          <w:spacing w:val="-2"/>
          <w:sz w:val="16"/>
          <w:szCs w:val="16"/>
        </w:rPr>
        <w:t>2,3</w:t>
      </w:r>
      <w:r>
        <w:rPr>
          <w:spacing w:val="-2"/>
          <w:sz w:val="16"/>
          <w:szCs w:val="16"/>
        </w:rPr>
        <w:t> mld.</w:t>
      </w:r>
      <w:r w:rsidRPr="004A27B5">
        <w:rPr>
          <w:spacing w:val="-2"/>
          <w:sz w:val="16"/>
          <w:szCs w:val="16"/>
        </w:rPr>
        <w:t xml:space="preserve"> korun.</w:t>
      </w:r>
    </w:p>
  </w:footnote>
  <w:footnote w:id="9">
    <w:p w14:paraId="0FF01D22" w14:textId="77777777" w:rsidR="006F6FF2" w:rsidRPr="00E915E7" w:rsidRDefault="006F6FF2" w:rsidP="00AB3BA7">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V tomto segmentu jsou častěji zastoupeny malé a</w:t>
      </w:r>
      <w:r>
        <w:rPr>
          <w:spacing w:val="-2"/>
          <w:sz w:val="16"/>
          <w:szCs w:val="16"/>
        </w:rPr>
        <w:t> </w:t>
      </w:r>
      <w:r w:rsidRPr="004A27B5">
        <w:rPr>
          <w:spacing w:val="-2"/>
          <w:sz w:val="16"/>
          <w:szCs w:val="16"/>
        </w:rPr>
        <w:t>střední podniky, které vzhledem k velikosti tržeb nemus</w:t>
      </w:r>
      <w:r>
        <w:rPr>
          <w:spacing w:val="-2"/>
          <w:sz w:val="16"/>
          <w:szCs w:val="16"/>
        </w:rPr>
        <w:t>ej</w:t>
      </w:r>
      <w:r w:rsidRPr="004A27B5">
        <w:rPr>
          <w:spacing w:val="-2"/>
          <w:sz w:val="16"/>
          <w:szCs w:val="16"/>
        </w:rPr>
        <w:t xml:space="preserve">í být mnohdy pravidelnými plátci záloh daně. Jejich nepříznivé hospodářské výsledky se tak poprvé naplno projeví v inkasu až </w:t>
      </w:r>
      <w:r>
        <w:rPr>
          <w:spacing w:val="-2"/>
          <w:sz w:val="16"/>
          <w:szCs w:val="16"/>
        </w:rPr>
        <w:t>v </w:t>
      </w:r>
      <w:r w:rsidRPr="004A27B5">
        <w:rPr>
          <w:spacing w:val="-2"/>
          <w:sz w:val="16"/>
          <w:szCs w:val="16"/>
        </w:rPr>
        <w:t>létě 2021 (při ročním zúčtování daně).</w:t>
      </w:r>
    </w:p>
  </w:footnote>
  <w:footnote w:id="10">
    <w:p w14:paraId="099A6923" w14:textId="77777777" w:rsidR="006F6FF2" w:rsidRPr="00F57F87" w:rsidRDefault="006F6FF2" w:rsidP="00AB3BA7">
      <w:pPr>
        <w:pStyle w:val="Textpoznpodarou"/>
        <w:rPr>
          <w:sz w:val="16"/>
          <w:szCs w:val="16"/>
        </w:rPr>
      </w:pPr>
      <w:r w:rsidRPr="00F57F87">
        <w:rPr>
          <w:rStyle w:val="Znakapoznpodarou"/>
          <w:sz w:val="16"/>
          <w:szCs w:val="16"/>
        </w:rPr>
        <w:footnoteRef/>
      </w:r>
      <w:r w:rsidRPr="00F57F87">
        <w:rPr>
          <w:sz w:val="16"/>
          <w:szCs w:val="16"/>
        </w:rPr>
        <w:t xml:space="preserve"> V únoru 2021 propadl celostátní výběr DPH meziročně o</w:t>
      </w:r>
      <w:r>
        <w:rPr>
          <w:sz w:val="16"/>
          <w:szCs w:val="16"/>
        </w:rPr>
        <w:t> </w:t>
      </w:r>
      <w:r w:rsidRPr="00F57F87">
        <w:rPr>
          <w:sz w:val="16"/>
          <w:szCs w:val="16"/>
        </w:rPr>
        <w:t>28</w:t>
      </w:r>
      <w:r>
        <w:rPr>
          <w:sz w:val="16"/>
          <w:szCs w:val="16"/>
        </w:rPr>
        <w:t> %</w:t>
      </w:r>
      <w:r w:rsidRPr="00F57F87">
        <w:rPr>
          <w:sz w:val="16"/>
          <w:szCs w:val="16"/>
        </w:rPr>
        <w:t>, v březnu již vzrostl o</w:t>
      </w:r>
      <w:r>
        <w:rPr>
          <w:sz w:val="16"/>
          <w:szCs w:val="16"/>
        </w:rPr>
        <w:t> </w:t>
      </w:r>
      <w:r w:rsidRPr="00F57F87">
        <w:rPr>
          <w:sz w:val="16"/>
          <w:szCs w:val="16"/>
        </w:rPr>
        <w:t>8</w:t>
      </w:r>
      <w:r>
        <w:rPr>
          <w:sz w:val="16"/>
          <w:szCs w:val="16"/>
        </w:rPr>
        <w:t> %</w:t>
      </w:r>
      <w:r w:rsidRPr="00F57F87">
        <w:rPr>
          <w:sz w:val="16"/>
          <w:szCs w:val="16"/>
        </w:rPr>
        <w:t xml:space="preserve"> a</w:t>
      </w:r>
      <w:r>
        <w:rPr>
          <w:sz w:val="16"/>
          <w:szCs w:val="16"/>
        </w:rPr>
        <w:t> v </w:t>
      </w:r>
      <w:r w:rsidRPr="00F57F87">
        <w:rPr>
          <w:sz w:val="16"/>
          <w:szCs w:val="16"/>
        </w:rPr>
        <w:t>dubnu dokonce o</w:t>
      </w:r>
      <w:r>
        <w:rPr>
          <w:sz w:val="16"/>
          <w:szCs w:val="16"/>
        </w:rPr>
        <w:t> </w:t>
      </w:r>
      <w:r w:rsidRPr="00F57F87">
        <w:rPr>
          <w:sz w:val="16"/>
          <w:szCs w:val="16"/>
        </w:rPr>
        <w:t>30</w:t>
      </w:r>
      <w:r>
        <w:rPr>
          <w:sz w:val="16"/>
          <w:szCs w:val="16"/>
        </w:rPr>
        <w:t> %</w:t>
      </w:r>
      <w:r w:rsidRPr="00F57F87">
        <w:rPr>
          <w:sz w:val="16"/>
          <w:szCs w:val="16"/>
        </w:rPr>
        <w:t>. Za první čtyři měsíce letošního roku tak inkaso vykázalo 2,8% růst.</w:t>
      </w:r>
    </w:p>
  </w:footnote>
  <w:footnote w:id="11">
    <w:p w14:paraId="03C017A5" w14:textId="77777777" w:rsidR="006F6FF2" w:rsidRPr="004B6443" w:rsidRDefault="006F6FF2" w:rsidP="00AB3BA7">
      <w:pPr>
        <w:pStyle w:val="Textpoznpodarou"/>
        <w:rPr>
          <w:sz w:val="16"/>
          <w:szCs w:val="16"/>
        </w:rPr>
      </w:pPr>
      <w:r w:rsidRPr="004B6443">
        <w:rPr>
          <w:rStyle w:val="Znakapoznpodarou"/>
          <w:sz w:val="16"/>
          <w:szCs w:val="16"/>
        </w:rPr>
        <w:footnoteRef/>
      </w:r>
      <w:r w:rsidRPr="004B6443">
        <w:rPr>
          <w:sz w:val="16"/>
          <w:szCs w:val="16"/>
        </w:rPr>
        <w:t xml:space="preserve"> V</w:t>
      </w:r>
      <w:r>
        <w:rPr>
          <w:sz w:val="16"/>
          <w:szCs w:val="16"/>
        </w:rPr>
        <w:t> </w:t>
      </w:r>
      <w:r w:rsidRPr="004B6443">
        <w:rPr>
          <w:sz w:val="16"/>
          <w:szCs w:val="16"/>
        </w:rPr>
        <w:t xml:space="preserve">samotném dubnu 2021 již inkaso meziročně mírně vzrostlo. </w:t>
      </w:r>
      <w:r>
        <w:rPr>
          <w:sz w:val="16"/>
          <w:szCs w:val="16"/>
        </w:rPr>
        <w:t>Stále více se tak začal projevovat efekt růstu sazby daně (jenž by měl být letos silnější než v loňském roce) a také skutečnost, že v loňském dubnu negativní vliv protipandemických opatření na spotřebu v ekonomice patrně kulminoval.</w:t>
      </w:r>
    </w:p>
  </w:footnote>
  <w:footnote w:id="12">
    <w:p w14:paraId="7B57C3B2" w14:textId="77777777" w:rsidR="006F6FF2" w:rsidRPr="00244330" w:rsidRDefault="006F6FF2" w:rsidP="00AB3BA7">
      <w:pPr>
        <w:pStyle w:val="Textpoznpodarou"/>
        <w:rPr>
          <w:sz w:val="16"/>
          <w:szCs w:val="16"/>
        </w:rPr>
      </w:pPr>
      <w:r w:rsidRPr="00244330">
        <w:rPr>
          <w:rStyle w:val="Znakapoznpodarou"/>
          <w:sz w:val="16"/>
          <w:szCs w:val="16"/>
        </w:rPr>
        <w:footnoteRef/>
      </w:r>
      <w:r w:rsidRPr="00244330">
        <w:rPr>
          <w:sz w:val="16"/>
          <w:szCs w:val="16"/>
        </w:rPr>
        <w:t xml:space="preserve"> Z aktuálních údajů ČSÚ vyplývá, že na meziročním poklesu </w:t>
      </w:r>
      <w:r>
        <w:rPr>
          <w:sz w:val="16"/>
          <w:szCs w:val="16"/>
        </w:rPr>
        <w:t>u </w:t>
      </w:r>
      <w:r w:rsidRPr="00244330">
        <w:rPr>
          <w:sz w:val="16"/>
          <w:szCs w:val="16"/>
        </w:rPr>
        <w:t>vybraných ropných produktů v prvních dvou měsících roku 2021 (o</w:t>
      </w:r>
      <w:r>
        <w:rPr>
          <w:sz w:val="16"/>
          <w:szCs w:val="16"/>
        </w:rPr>
        <w:t> </w:t>
      </w:r>
      <w:r w:rsidRPr="00244330">
        <w:rPr>
          <w:sz w:val="16"/>
          <w:szCs w:val="16"/>
        </w:rPr>
        <w:t>14</w:t>
      </w:r>
      <w:r>
        <w:rPr>
          <w:sz w:val="16"/>
          <w:szCs w:val="16"/>
        </w:rPr>
        <w:t> %</w:t>
      </w:r>
      <w:r w:rsidRPr="00244330">
        <w:rPr>
          <w:sz w:val="16"/>
          <w:szCs w:val="16"/>
        </w:rPr>
        <w:t>)</w:t>
      </w:r>
      <w:r>
        <w:rPr>
          <w:sz w:val="16"/>
          <w:szCs w:val="16"/>
        </w:rPr>
        <w:t xml:space="preserve"> </w:t>
      </w:r>
      <w:r w:rsidRPr="00244330">
        <w:rPr>
          <w:sz w:val="16"/>
          <w:szCs w:val="16"/>
        </w:rPr>
        <w:t>se rovnoměrně podílely všechny tři hlavní složky</w:t>
      </w:r>
      <w:r>
        <w:rPr>
          <w:sz w:val="16"/>
          <w:szCs w:val="16"/>
        </w:rPr>
        <w:t>, tj. </w:t>
      </w:r>
      <w:r w:rsidRPr="00244330">
        <w:rPr>
          <w:sz w:val="16"/>
          <w:szCs w:val="16"/>
        </w:rPr>
        <w:t>motorová nafta, benz</w:t>
      </w:r>
      <w:r>
        <w:rPr>
          <w:sz w:val="16"/>
          <w:szCs w:val="16"/>
        </w:rPr>
        <w:t>i</w:t>
      </w:r>
      <w:r w:rsidRPr="00244330">
        <w:rPr>
          <w:sz w:val="16"/>
          <w:szCs w:val="16"/>
        </w:rPr>
        <w:t>n</w:t>
      </w:r>
      <w:r>
        <w:rPr>
          <w:sz w:val="16"/>
          <w:szCs w:val="16"/>
        </w:rPr>
        <w:t xml:space="preserve"> i letecký petrolej – u něj došlo k nejhlubšímu relativnímu propadu (o 79 %), což souviselo s útlumem mezinárodní letecké dopravy.</w:t>
      </w:r>
    </w:p>
  </w:footnote>
  <w:footnote w:id="13">
    <w:p w14:paraId="70FB6AB0" w14:textId="77777777" w:rsidR="006F6FF2" w:rsidRPr="00813E8A" w:rsidRDefault="006F6FF2" w:rsidP="00AB3BA7">
      <w:pPr>
        <w:pStyle w:val="Textpoznpodarou"/>
        <w:jc w:val="both"/>
        <w:rPr>
          <w:color w:val="0D0D0D" w:themeColor="text1" w:themeTint="F2"/>
          <w:spacing w:val="-4"/>
          <w:sz w:val="16"/>
          <w:szCs w:val="16"/>
        </w:rPr>
      </w:pPr>
      <w:r w:rsidRPr="00813E8A">
        <w:rPr>
          <w:rStyle w:val="Znakapoznpodarou"/>
          <w:spacing w:val="-4"/>
          <w:sz w:val="16"/>
          <w:szCs w:val="16"/>
        </w:rPr>
        <w:footnoteRef/>
      </w:r>
      <w:r>
        <w:rPr>
          <w:spacing w:val="-4"/>
          <w:sz w:val="16"/>
          <w:szCs w:val="16"/>
        </w:rPr>
        <w:t xml:space="preserve"> Šlo</w:t>
      </w:r>
      <w:r>
        <w:rPr>
          <w:color w:val="0D0D0D" w:themeColor="text1" w:themeTint="F2"/>
          <w:spacing w:val="-4"/>
          <w:sz w:val="16"/>
          <w:szCs w:val="16"/>
        </w:rPr>
        <w:t xml:space="preserve"> zejména</w:t>
      </w:r>
      <w:r w:rsidRPr="00813E8A">
        <w:rPr>
          <w:color w:val="0D0D0D" w:themeColor="text1" w:themeTint="F2"/>
          <w:spacing w:val="-4"/>
          <w:sz w:val="16"/>
          <w:szCs w:val="16"/>
        </w:rPr>
        <w:t xml:space="preserve"> </w:t>
      </w:r>
      <w:r>
        <w:rPr>
          <w:color w:val="0D0D0D" w:themeColor="text1" w:themeTint="F2"/>
          <w:spacing w:val="-4"/>
          <w:sz w:val="16"/>
          <w:szCs w:val="16"/>
        </w:rPr>
        <w:t>o </w:t>
      </w:r>
      <w:r w:rsidRPr="00813E8A">
        <w:rPr>
          <w:color w:val="0D0D0D" w:themeColor="text1" w:themeTint="F2"/>
          <w:spacing w:val="-4"/>
          <w:sz w:val="16"/>
          <w:szCs w:val="16"/>
        </w:rPr>
        <w:t>náhradu části mezd a</w:t>
      </w:r>
      <w:r>
        <w:rPr>
          <w:color w:val="0D0D0D" w:themeColor="text1" w:themeTint="F2"/>
          <w:spacing w:val="-4"/>
          <w:sz w:val="16"/>
          <w:szCs w:val="16"/>
        </w:rPr>
        <w:t> </w:t>
      </w:r>
      <w:r w:rsidRPr="00813E8A">
        <w:rPr>
          <w:color w:val="0D0D0D" w:themeColor="text1" w:themeTint="F2"/>
          <w:spacing w:val="-4"/>
          <w:sz w:val="16"/>
          <w:szCs w:val="16"/>
        </w:rPr>
        <w:t>povinných odvodů v rámci programu Antivirus A, A+ a</w:t>
      </w:r>
      <w:r>
        <w:rPr>
          <w:color w:val="0D0D0D" w:themeColor="text1" w:themeTint="F2"/>
          <w:spacing w:val="-4"/>
          <w:sz w:val="16"/>
          <w:szCs w:val="16"/>
        </w:rPr>
        <w:t> </w:t>
      </w:r>
      <w:r w:rsidRPr="00813E8A">
        <w:rPr>
          <w:color w:val="0D0D0D" w:themeColor="text1" w:themeTint="F2"/>
          <w:spacing w:val="-4"/>
          <w:sz w:val="16"/>
          <w:szCs w:val="16"/>
        </w:rPr>
        <w:t>B</w:t>
      </w:r>
      <w:r>
        <w:rPr>
          <w:color w:val="0D0D0D" w:themeColor="text1" w:themeTint="F2"/>
          <w:spacing w:val="-4"/>
          <w:sz w:val="16"/>
          <w:szCs w:val="16"/>
        </w:rPr>
        <w:t xml:space="preserve"> </w:t>
      </w:r>
      <w:r w:rsidRPr="00813E8A">
        <w:rPr>
          <w:color w:val="0D0D0D" w:themeColor="text1" w:themeTint="F2"/>
          <w:spacing w:val="-4"/>
          <w:sz w:val="16"/>
          <w:szCs w:val="16"/>
        </w:rPr>
        <w:t>(11,5 mld.</w:t>
      </w:r>
      <w:r>
        <w:rPr>
          <w:color w:val="0D0D0D" w:themeColor="text1" w:themeTint="F2"/>
          <w:spacing w:val="-4"/>
          <w:sz w:val="16"/>
          <w:szCs w:val="16"/>
        </w:rPr>
        <w:t xml:space="preserve"> korun</w:t>
      </w:r>
      <w:r w:rsidRPr="00813E8A">
        <w:rPr>
          <w:color w:val="0D0D0D" w:themeColor="text1" w:themeTint="F2"/>
          <w:spacing w:val="-4"/>
          <w:sz w:val="16"/>
          <w:szCs w:val="16"/>
        </w:rPr>
        <w:t>), speciální programy na přímou podporu zasažených sektorů ekonomiky, např. v oblasti pohostinství, cestovního ruchu, kultury, vzdělávání, sportu, zemědělství a</w:t>
      </w:r>
      <w:r>
        <w:rPr>
          <w:color w:val="0D0D0D" w:themeColor="text1" w:themeTint="F2"/>
          <w:spacing w:val="-4"/>
          <w:sz w:val="16"/>
          <w:szCs w:val="16"/>
        </w:rPr>
        <w:t> </w:t>
      </w:r>
      <w:r w:rsidRPr="00813E8A">
        <w:rPr>
          <w:color w:val="0D0D0D" w:themeColor="text1" w:themeTint="F2"/>
          <w:spacing w:val="-4"/>
          <w:sz w:val="16"/>
          <w:szCs w:val="16"/>
        </w:rPr>
        <w:t>potravinářství (v</w:t>
      </w:r>
      <w:r>
        <w:rPr>
          <w:color w:val="0D0D0D" w:themeColor="text1" w:themeTint="F2"/>
          <w:spacing w:val="-4"/>
          <w:sz w:val="16"/>
          <w:szCs w:val="16"/>
        </w:rPr>
        <w:t>č. </w:t>
      </w:r>
      <w:r w:rsidRPr="00813E8A">
        <w:rPr>
          <w:color w:val="0D0D0D" w:themeColor="text1" w:themeTint="F2"/>
          <w:spacing w:val="-4"/>
          <w:sz w:val="16"/>
          <w:szCs w:val="16"/>
        </w:rPr>
        <w:t>programu COVID Nájemné) v celkové výši 10,5</w:t>
      </w:r>
      <w:r>
        <w:rPr>
          <w:color w:val="0D0D0D" w:themeColor="text1" w:themeTint="F2"/>
          <w:spacing w:val="-4"/>
          <w:sz w:val="16"/>
          <w:szCs w:val="16"/>
        </w:rPr>
        <w:t> mld.</w:t>
      </w:r>
      <w:r w:rsidRPr="00813E8A">
        <w:rPr>
          <w:color w:val="0D0D0D" w:themeColor="text1" w:themeTint="F2"/>
          <w:spacing w:val="-4"/>
          <w:sz w:val="16"/>
          <w:szCs w:val="16"/>
        </w:rPr>
        <w:t xml:space="preserve"> a</w:t>
      </w:r>
      <w:r>
        <w:rPr>
          <w:color w:val="0D0D0D" w:themeColor="text1" w:themeTint="F2"/>
          <w:spacing w:val="-4"/>
          <w:sz w:val="16"/>
          <w:szCs w:val="16"/>
        </w:rPr>
        <w:t> </w:t>
      </w:r>
      <w:r w:rsidRPr="00813E8A">
        <w:rPr>
          <w:color w:val="0D0D0D" w:themeColor="text1" w:themeTint="F2"/>
          <w:spacing w:val="-4"/>
          <w:sz w:val="16"/>
          <w:szCs w:val="16"/>
        </w:rPr>
        <w:t>dále o</w:t>
      </w:r>
      <w:r>
        <w:rPr>
          <w:color w:val="0D0D0D" w:themeColor="text1" w:themeTint="F2"/>
          <w:spacing w:val="-4"/>
          <w:sz w:val="16"/>
          <w:szCs w:val="16"/>
        </w:rPr>
        <w:t> </w:t>
      </w:r>
      <w:r w:rsidRPr="00813E8A">
        <w:rPr>
          <w:color w:val="0D0D0D" w:themeColor="text1" w:themeTint="F2"/>
          <w:spacing w:val="-4"/>
          <w:sz w:val="16"/>
          <w:szCs w:val="16"/>
        </w:rPr>
        <w:t>vyšší výdaje ve zdravotnictví, zejména zvýšení platby státu za tzv.</w:t>
      </w:r>
      <w:r>
        <w:rPr>
          <w:color w:val="0D0D0D" w:themeColor="text1" w:themeTint="F2"/>
          <w:spacing w:val="-4"/>
          <w:sz w:val="16"/>
          <w:szCs w:val="16"/>
        </w:rPr>
        <w:t> </w:t>
      </w:r>
      <w:r w:rsidRPr="00813E8A">
        <w:rPr>
          <w:color w:val="0D0D0D" w:themeColor="text1" w:themeTint="F2"/>
          <w:spacing w:val="-4"/>
          <w:sz w:val="16"/>
          <w:szCs w:val="16"/>
        </w:rPr>
        <w:t>státního pojištěnce (+12,5</w:t>
      </w:r>
      <w:r>
        <w:rPr>
          <w:color w:val="0D0D0D" w:themeColor="text1" w:themeTint="F2"/>
          <w:spacing w:val="-4"/>
          <w:sz w:val="16"/>
          <w:szCs w:val="16"/>
        </w:rPr>
        <w:t> mld.</w:t>
      </w:r>
      <w:r w:rsidRPr="00813E8A">
        <w:rPr>
          <w:color w:val="0D0D0D" w:themeColor="text1" w:themeTint="F2"/>
          <w:spacing w:val="-4"/>
          <w:sz w:val="16"/>
          <w:szCs w:val="16"/>
        </w:rPr>
        <w:t>) i</w:t>
      </w:r>
      <w:r>
        <w:rPr>
          <w:color w:val="0D0D0D" w:themeColor="text1" w:themeTint="F2"/>
          <w:spacing w:val="-4"/>
          <w:sz w:val="16"/>
          <w:szCs w:val="16"/>
        </w:rPr>
        <w:t> </w:t>
      </w:r>
      <w:r w:rsidRPr="00813E8A">
        <w:rPr>
          <w:color w:val="0D0D0D" w:themeColor="text1" w:themeTint="F2"/>
          <w:spacing w:val="-4"/>
          <w:sz w:val="16"/>
          <w:szCs w:val="16"/>
        </w:rPr>
        <w:t>nákupy ochranných prostředků (1,4</w:t>
      </w:r>
      <w:r>
        <w:rPr>
          <w:color w:val="0D0D0D" w:themeColor="text1" w:themeTint="F2"/>
          <w:spacing w:val="-4"/>
          <w:sz w:val="16"/>
          <w:szCs w:val="16"/>
        </w:rPr>
        <w:t> mld.</w:t>
      </w:r>
      <w:r w:rsidRPr="00813E8A">
        <w:rPr>
          <w:color w:val="0D0D0D" w:themeColor="text1" w:themeTint="F2"/>
          <w:spacing w:val="-4"/>
          <w:sz w:val="16"/>
          <w:szCs w:val="16"/>
        </w:rPr>
        <w:t>). Výdaje v oblasti zdravotnictví představovaly jediné z výše uvedených položek, které byly čerpány</w:t>
      </w:r>
      <w:r>
        <w:rPr>
          <w:color w:val="0D0D0D" w:themeColor="text1" w:themeTint="F2"/>
          <w:spacing w:val="-4"/>
          <w:sz w:val="16"/>
          <w:szCs w:val="16"/>
        </w:rPr>
        <w:t xml:space="preserve"> i</w:t>
      </w:r>
      <w:r w:rsidRPr="00813E8A">
        <w:rPr>
          <w:color w:val="0D0D0D" w:themeColor="text1" w:themeTint="F2"/>
          <w:spacing w:val="-4"/>
          <w:sz w:val="16"/>
          <w:szCs w:val="16"/>
        </w:rPr>
        <w:t xml:space="preserve"> v 1.</w:t>
      </w:r>
      <w:r>
        <w:rPr>
          <w:color w:val="0D0D0D" w:themeColor="text1" w:themeTint="F2"/>
          <w:spacing w:val="-4"/>
          <w:sz w:val="16"/>
          <w:szCs w:val="16"/>
        </w:rPr>
        <w:t> čtvrtlet</w:t>
      </w:r>
      <w:r w:rsidRPr="00813E8A">
        <w:rPr>
          <w:color w:val="0D0D0D" w:themeColor="text1" w:themeTint="F2"/>
          <w:spacing w:val="-4"/>
          <w:sz w:val="16"/>
          <w:szCs w:val="16"/>
        </w:rPr>
        <w:t>í 2020</w:t>
      </w:r>
      <w:r>
        <w:rPr>
          <w:color w:val="0D0D0D" w:themeColor="text1" w:themeTint="F2"/>
          <w:spacing w:val="-4"/>
          <w:sz w:val="16"/>
          <w:szCs w:val="16"/>
        </w:rPr>
        <w:t> </w:t>
      </w:r>
      <w:r w:rsidRPr="00813E8A">
        <w:rPr>
          <w:color w:val="0D0D0D" w:themeColor="text1" w:themeTint="F2"/>
          <w:spacing w:val="-4"/>
          <w:sz w:val="16"/>
          <w:szCs w:val="16"/>
        </w:rPr>
        <w:t>– platba za státní pojištěnce (+1,0</w:t>
      </w:r>
      <w:r>
        <w:rPr>
          <w:color w:val="0D0D0D" w:themeColor="text1" w:themeTint="F2"/>
          <w:spacing w:val="-4"/>
          <w:sz w:val="16"/>
          <w:szCs w:val="16"/>
        </w:rPr>
        <w:t> mld.</w:t>
      </w:r>
      <w:r w:rsidRPr="00813E8A">
        <w:rPr>
          <w:color w:val="0D0D0D" w:themeColor="text1" w:themeTint="F2"/>
          <w:spacing w:val="-4"/>
          <w:sz w:val="16"/>
          <w:szCs w:val="16"/>
        </w:rPr>
        <w:t xml:space="preserve"> oproti 1.</w:t>
      </w:r>
      <w:r>
        <w:rPr>
          <w:color w:val="0D0D0D" w:themeColor="text1" w:themeTint="F2"/>
          <w:spacing w:val="-4"/>
          <w:sz w:val="16"/>
          <w:szCs w:val="16"/>
        </w:rPr>
        <w:t> čtvrtlet</w:t>
      </w:r>
      <w:r w:rsidRPr="00813E8A">
        <w:rPr>
          <w:color w:val="0D0D0D" w:themeColor="text1" w:themeTint="F2"/>
          <w:spacing w:val="-4"/>
          <w:sz w:val="16"/>
          <w:szCs w:val="16"/>
        </w:rPr>
        <w:t>í 2019), nákupy materiálů (+3,8</w:t>
      </w:r>
      <w:r>
        <w:rPr>
          <w:color w:val="0D0D0D" w:themeColor="text1" w:themeTint="F2"/>
          <w:spacing w:val="-4"/>
          <w:sz w:val="16"/>
          <w:szCs w:val="16"/>
        </w:rPr>
        <w:t> mld.</w:t>
      </w:r>
      <w:r w:rsidRPr="00813E8A">
        <w:rPr>
          <w:color w:val="0D0D0D" w:themeColor="text1" w:themeTint="F2"/>
          <w:spacing w:val="-4"/>
          <w:sz w:val="16"/>
          <w:szCs w:val="16"/>
        </w:rPr>
        <w:t>).</w:t>
      </w:r>
    </w:p>
  </w:footnote>
  <w:footnote w:id="14">
    <w:p w14:paraId="7838D8D8" w14:textId="77777777" w:rsidR="006F6FF2" w:rsidRPr="00813E8A" w:rsidRDefault="006F6FF2" w:rsidP="00AB3BA7">
      <w:pPr>
        <w:pStyle w:val="Textpoznpodarou"/>
        <w:rPr>
          <w:spacing w:val="-2"/>
          <w:sz w:val="16"/>
          <w:szCs w:val="16"/>
        </w:rPr>
      </w:pPr>
      <w:r w:rsidRPr="00813E8A">
        <w:rPr>
          <w:rStyle w:val="Znakapoznpodarou"/>
          <w:spacing w:val="-2"/>
          <w:sz w:val="16"/>
          <w:szCs w:val="16"/>
        </w:rPr>
        <w:footnoteRef/>
      </w:r>
      <w:r w:rsidRPr="00813E8A">
        <w:rPr>
          <w:spacing w:val="-2"/>
          <w:sz w:val="16"/>
          <w:szCs w:val="16"/>
        </w:rPr>
        <w:t xml:space="preserve"> Odráží schválený meziroční nárůst u</w:t>
      </w:r>
      <w:r>
        <w:rPr>
          <w:spacing w:val="-2"/>
          <w:sz w:val="16"/>
          <w:szCs w:val="16"/>
        </w:rPr>
        <w:t> </w:t>
      </w:r>
      <w:r w:rsidRPr="00813E8A">
        <w:rPr>
          <w:spacing w:val="-2"/>
          <w:sz w:val="16"/>
          <w:szCs w:val="16"/>
        </w:rPr>
        <w:t>pedagogických i</w:t>
      </w:r>
      <w:r>
        <w:rPr>
          <w:spacing w:val="-2"/>
          <w:sz w:val="16"/>
          <w:szCs w:val="16"/>
        </w:rPr>
        <w:t> </w:t>
      </w:r>
      <w:r w:rsidRPr="00813E8A">
        <w:rPr>
          <w:spacing w:val="-2"/>
          <w:sz w:val="16"/>
          <w:szCs w:val="16"/>
        </w:rPr>
        <w:t>nepedagogických pracovníků (o</w:t>
      </w:r>
      <w:r>
        <w:rPr>
          <w:spacing w:val="-2"/>
          <w:sz w:val="16"/>
          <w:szCs w:val="16"/>
        </w:rPr>
        <w:t> </w:t>
      </w:r>
      <w:r w:rsidRPr="00813E8A">
        <w:rPr>
          <w:spacing w:val="-2"/>
          <w:sz w:val="16"/>
          <w:szCs w:val="16"/>
        </w:rPr>
        <w:t>9</w:t>
      </w:r>
      <w:r>
        <w:rPr>
          <w:spacing w:val="-2"/>
          <w:sz w:val="16"/>
          <w:szCs w:val="16"/>
        </w:rPr>
        <w:t> %</w:t>
      </w:r>
      <w:r w:rsidRPr="00813E8A">
        <w:rPr>
          <w:spacing w:val="-2"/>
          <w:sz w:val="16"/>
          <w:szCs w:val="16"/>
        </w:rPr>
        <w:t>, resp. 4,3</w:t>
      </w:r>
      <w:r>
        <w:rPr>
          <w:spacing w:val="-2"/>
          <w:sz w:val="16"/>
          <w:szCs w:val="16"/>
        </w:rPr>
        <w:t> %</w:t>
      </w:r>
      <w:r w:rsidRPr="00813E8A">
        <w:rPr>
          <w:spacing w:val="-2"/>
          <w:sz w:val="16"/>
          <w:szCs w:val="16"/>
        </w:rPr>
        <w:t>).</w:t>
      </w:r>
    </w:p>
  </w:footnote>
  <w:footnote w:id="15">
    <w:p w14:paraId="37E3E0DD" w14:textId="77777777" w:rsidR="006F6FF2" w:rsidRPr="00D671AC" w:rsidRDefault="006F6FF2" w:rsidP="00AB3BA7">
      <w:pPr>
        <w:pStyle w:val="Textpoznpodarou"/>
        <w:rPr>
          <w:sz w:val="16"/>
          <w:szCs w:val="16"/>
        </w:rPr>
      </w:pPr>
      <w:r w:rsidRPr="00813E8A">
        <w:rPr>
          <w:rStyle w:val="Znakapoznpodarou"/>
          <w:spacing w:val="-2"/>
          <w:sz w:val="16"/>
          <w:szCs w:val="16"/>
        </w:rPr>
        <w:footnoteRef/>
      </w:r>
      <w:r w:rsidRPr="00813E8A">
        <w:rPr>
          <w:spacing w:val="-2"/>
          <w:sz w:val="16"/>
          <w:szCs w:val="16"/>
        </w:rPr>
        <w:t xml:space="preserve"> Nezahrnuje výdaje na obsluhu státního dluhu.</w:t>
      </w:r>
    </w:p>
  </w:footnote>
  <w:footnote w:id="16">
    <w:p w14:paraId="3C3644A5" w14:textId="77777777" w:rsidR="006F6FF2" w:rsidRPr="00813E8A" w:rsidRDefault="006F6FF2" w:rsidP="00AB3BA7">
      <w:pPr>
        <w:pStyle w:val="Textpoznpodarou"/>
        <w:rPr>
          <w:spacing w:val="-4"/>
          <w:sz w:val="16"/>
          <w:szCs w:val="16"/>
        </w:rPr>
      </w:pPr>
      <w:r w:rsidRPr="00813E8A">
        <w:rPr>
          <w:rStyle w:val="Znakapoznpodarou"/>
          <w:spacing w:val="-4"/>
          <w:sz w:val="16"/>
          <w:szCs w:val="16"/>
        </w:rPr>
        <w:footnoteRef/>
      </w:r>
      <w:r w:rsidRPr="00813E8A">
        <w:rPr>
          <w:spacing w:val="-4"/>
          <w:sz w:val="16"/>
          <w:szCs w:val="16"/>
        </w:rPr>
        <w:t xml:space="preserve"> Objem vybraného pojistného meziročně klesal i</w:t>
      </w:r>
      <w:r>
        <w:rPr>
          <w:spacing w:val="-4"/>
          <w:sz w:val="16"/>
          <w:szCs w:val="16"/>
        </w:rPr>
        <w:t> </w:t>
      </w:r>
      <w:r w:rsidRPr="00813E8A">
        <w:rPr>
          <w:spacing w:val="-4"/>
          <w:sz w:val="16"/>
          <w:szCs w:val="16"/>
        </w:rPr>
        <w:t>ve 2. a</w:t>
      </w:r>
      <w:r>
        <w:rPr>
          <w:spacing w:val="-4"/>
          <w:sz w:val="16"/>
          <w:szCs w:val="16"/>
        </w:rPr>
        <w:t> </w:t>
      </w:r>
      <w:r w:rsidRPr="00813E8A">
        <w:rPr>
          <w:spacing w:val="-4"/>
          <w:sz w:val="16"/>
          <w:szCs w:val="16"/>
        </w:rPr>
        <w:t>3.</w:t>
      </w:r>
      <w:r>
        <w:rPr>
          <w:spacing w:val="-4"/>
          <w:sz w:val="16"/>
          <w:szCs w:val="16"/>
        </w:rPr>
        <w:t> čtvrtlet</w:t>
      </w:r>
      <w:r w:rsidRPr="00813E8A">
        <w:rPr>
          <w:spacing w:val="-4"/>
          <w:sz w:val="16"/>
          <w:szCs w:val="16"/>
        </w:rPr>
        <w:t>í 2020, kdy byl ale po část tohoto období negativně poznamenán zrušením minimálních záloh pro osoby samostatně výdělečně činné a</w:t>
      </w:r>
      <w:r>
        <w:rPr>
          <w:spacing w:val="-4"/>
          <w:sz w:val="16"/>
          <w:szCs w:val="16"/>
        </w:rPr>
        <w:t> </w:t>
      </w:r>
      <w:r w:rsidRPr="00813E8A">
        <w:rPr>
          <w:spacing w:val="-4"/>
          <w:sz w:val="16"/>
          <w:szCs w:val="16"/>
        </w:rPr>
        <w:t>též prominutím pojistného placeného zaměstnavatelem (program Antivirus</w:t>
      </w:r>
      <w:r>
        <w:rPr>
          <w:spacing w:val="-4"/>
          <w:sz w:val="16"/>
          <w:szCs w:val="16"/>
        </w:rPr>
        <w:t> </w:t>
      </w:r>
      <w:r w:rsidRPr="00813E8A">
        <w:rPr>
          <w:spacing w:val="-4"/>
          <w:sz w:val="16"/>
          <w:szCs w:val="16"/>
        </w:rPr>
        <w:t>C).</w:t>
      </w:r>
    </w:p>
  </w:footnote>
  <w:footnote w:id="17">
    <w:p w14:paraId="08F436ED" w14:textId="77777777" w:rsidR="006F6FF2" w:rsidRPr="00EC2E06" w:rsidRDefault="006F6FF2" w:rsidP="00AB3BA7">
      <w:pPr>
        <w:pStyle w:val="Textpoznpodarou"/>
        <w:jc w:val="both"/>
        <w:rPr>
          <w:spacing w:val="-4"/>
        </w:rPr>
      </w:pPr>
      <w:r w:rsidRPr="00EC2E06">
        <w:rPr>
          <w:rStyle w:val="Znakapoznpodarou"/>
          <w:spacing w:val="-4"/>
          <w:sz w:val="16"/>
          <w:szCs w:val="16"/>
        </w:rPr>
        <w:footnoteRef/>
      </w:r>
      <w:r w:rsidRPr="00EC2E06">
        <w:rPr>
          <w:spacing w:val="-4"/>
          <w:sz w:val="16"/>
          <w:szCs w:val="16"/>
        </w:rPr>
        <w:t xml:space="preserve"> Je vyjádřeno </w:t>
      </w:r>
      <w:r w:rsidRPr="00EC2E06">
        <w:rPr>
          <w:rFonts w:cs="Arial"/>
          <w:color w:val="000000" w:themeColor="text1"/>
          <w:spacing w:val="-4"/>
          <w:sz w:val="16"/>
          <w:szCs w:val="16"/>
        </w:rPr>
        <w:t xml:space="preserve">rozdílem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18">
    <w:p w14:paraId="1BEBD26E" w14:textId="77777777" w:rsidR="006F6FF2" w:rsidRPr="00813E8A" w:rsidRDefault="006F6FF2" w:rsidP="00AB3BA7">
      <w:pPr>
        <w:pStyle w:val="Textpoznpodarou"/>
        <w:rPr>
          <w:spacing w:val="-2"/>
          <w:sz w:val="16"/>
          <w:szCs w:val="16"/>
        </w:rPr>
      </w:pPr>
      <w:r w:rsidRPr="00813E8A">
        <w:rPr>
          <w:rStyle w:val="Znakapoznpodarou"/>
          <w:spacing w:val="-2"/>
          <w:sz w:val="16"/>
          <w:szCs w:val="16"/>
        </w:rPr>
        <w:footnoteRef/>
      </w:r>
      <w:r w:rsidRPr="00813E8A">
        <w:rPr>
          <w:spacing w:val="-2"/>
          <w:sz w:val="16"/>
          <w:szCs w:val="16"/>
        </w:rPr>
        <w:t xml:space="preserve"> Hůře na tom byl jen rok 2017, kdy se ovšem zpočátku projevila nižší připravenost projektů </w:t>
      </w:r>
      <w:r>
        <w:rPr>
          <w:spacing w:val="-2"/>
          <w:sz w:val="16"/>
          <w:szCs w:val="16"/>
        </w:rPr>
        <w:t>při rozjezd</w:t>
      </w:r>
      <w:r w:rsidRPr="00813E8A">
        <w:rPr>
          <w:spacing w:val="-2"/>
          <w:sz w:val="16"/>
          <w:szCs w:val="16"/>
        </w:rPr>
        <w:t>u nové</w:t>
      </w:r>
      <w:r>
        <w:rPr>
          <w:spacing w:val="-2"/>
          <w:sz w:val="16"/>
          <w:szCs w:val="16"/>
        </w:rPr>
        <w:t>ho</w:t>
      </w:r>
      <w:r w:rsidRPr="00813E8A">
        <w:rPr>
          <w:spacing w:val="-2"/>
          <w:sz w:val="16"/>
          <w:szCs w:val="16"/>
        </w:rPr>
        <w:t xml:space="preserve"> programového období EU.</w:t>
      </w:r>
    </w:p>
  </w:footnote>
  <w:footnote w:id="19">
    <w:p w14:paraId="40F47F82" w14:textId="77777777" w:rsidR="006F6FF2" w:rsidRPr="00C31AA6" w:rsidRDefault="006F6FF2" w:rsidP="00AB3BA7">
      <w:pPr>
        <w:pStyle w:val="Textpoznpodarou"/>
        <w:rPr>
          <w:sz w:val="16"/>
          <w:szCs w:val="16"/>
        </w:rPr>
      </w:pPr>
      <w:r w:rsidRPr="00C31AA6">
        <w:rPr>
          <w:rStyle w:val="Znakapoznpodarou"/>
          <w:sz w:val="16"/>
          <w:szCs w:val="16"/>
        </w:rPr>
        <w:footnoteRef/>
      </w:r>
      <w:r w:rsidRPr="00C31AA6">
        <w:rPr>
          <w:sz w:val="16"/>
          <w:szCs w:val="16"/>
        </w:rPr>
        <w:t xml:space="preserve"> Při průměrném ročním výnosu 1,3</w:t>
      </w:r>
      <w:r>
        <w:rPr>
          <w:sz w:val="16"/>
          <w:szCs w:val="16"/>
        </w:rPr>
        <w:t> %</w:t>
      </w:r>
      <w:r w:rsidRPr="00C31AA6">
        <w:rPr>
          <w:sz w:val="16"/>
          <w:szCs w:val="16"/>
        </w:rPr>
        <w:t xml:space="preserve"> a</w:t>
      </w:r>
      <w:r>
        <w:rPr>
          <w:sz w:val="16"/>
          <w:szCs w:val="16"/>
        </w:rPr>
        <w:t> </w:t>
      </w:r>
      <w:r w:rsidRPr="00C31AA6">
        <w:rPr>
          <w:sz w:val="16"/>
          <w:szCs w:val="16"/>
        </w:rPr>
        <w:t>době splatnosti 6,9</w:t>
      </w:r>
      <w:r>
        <w:rPr>
          <w:sz w:val="16"/>
          <w:szCs w:val="16"/>
        </w:rPr>
        <w:t> </w:t>
      </w:r>
      <w:r w:rsidRPr="00C31AA6">
        <w:rPr>
          <w:sz w:val="16"/>
          <w:szCs w:val="16"/>
        </w:rPr>
        <w:t xml:space="preserve">let. </w:t>
      </w:r>
      <w:r w:rsidRPr="00C31AA6">
        <w:rPr>
          <w:spacing w:val="-4"/>
          <w:sz w:val="16"/>
          <w:szCs w:val="16"/>
        </w:rPr>
        <w:t>D</w:t>
      </w:r>
      <w:r>
        <w:rPr>
          <w:spacing w:val="-4"/>
          <w:sz w:val="16"/>
          <w:szCs w:val="16"/>
        </w:rPr>
        <w:t xml:space="preserve">luhopisy </w:t>
      </w:r>
      <w:r w:rsidRPr="00C31AA6">
        <w:rPr>
          <w:spacing w:val="-4"/>
          <w:sz w:val="16"/>
          <w:szCs w:val="16"/>
        </w:rPr>
        <w:t>nejvíce poptávaly tuzemské finanční in</w:t>
      </w:r>
      <w:r>
        <w:rPr>
          <w:spacing w:val="-4"/>
          <w:sz w:val="16"/>
          <w:szCs w:val="16"/>
        </w:rPr>
        <w:t>stituce, které tak na konci března 2021</w:t>
      </w:r>
      <w:r w:rsidRPr="00C31AA6">
        <w:rPr>
          <w:spacing w:val="-4"/>
          <w:sz w:val="16"/>
          <w:szCs w:val="16"/>
        </w:rPr>
        <w:t xml:space="preserve"> držely 63</w:t>
      </w:r>
      <w:r>
        <w:rPr>
          <w:spacing w:val="-4"/>
          <w:sz w:val="16"/>
          <w:szCs w:val="16"/>
        </w:rPr>
        <w:t> %</w:t>
      </w:r>
      <w:r w:rsidRPr="00C31AA6">
        <w:rPr>
          <w:spacing w:val="-4"/>
          <w:sz w:val="16"/>
          <w:szCs w:val="16"/>
        </w:rPr>
        <w:t xml:space="preserve"> z celkových domácích státních dluhopisů. Na nerezidenty připadalo 33</w:t>
      </w:r>
      <w:r>
        <w:rPr>
          <w:spacing w:val="-4"/>
          <w:sz w:val="16"/>
          <w:szCs w:val="16"/>
        </w:rPr>
        <w:t> %</w:t>
      </w:r>
      <w:r w:rsidRPr="00C31AA6">
        <w:rPr>
          <w:spacing w:val="-4"/>
          <w:sz w:val="16"/>
          <w:szCs w:val="16"/>
        </w:rPr>
        <w:t>, meziročně o</w:t>
      </w:r>
      <w:r>
        <w:rPr>
          <w:spacing w:val="-4"/>
          <w:sz w:val="16"/>
          <w:szCs w:val="16"/>
        </w:rPr>
        <w:t> </w:t>
      </w:r>
      <w:r w:rsidRPr="00C31AA6">
        <w:rPr>
          <w:spacing w:val="-4"/>
          <w:sz w:val="16"/>
          <w:szCs w:val="16"/>
        </w:rPr>
        <w:t>7</w:t>
      </w:r>
      <w:r>
        <w:rPr>
          <w:spacing w:val="-4"/>
          <w:sz w:val="16"/>
          <w:szCs w:val="16"/>
        </w:rPr>
        <w:t> p. b.</w:t>
      </w:r>
      <w:r w:rsidRPr="00C31AA6">
        <w:rPr>
          <w:spacing w:val="-4"/>
          <w:sz w:val="16"/>
          <w:szCs w:val="16"/>
        </w:rPr>
        <w:t xml:space="preserve"> méně, ale zároveň o</w:t>
      </w:r>
      <w:r>
        <w:rPr>
          <w:spacing w:val="-4"/>
          <w:sz w:val="16"/>
          <w:szCs w:val="16"/>
        </w:rPr>
        <w:t> </w:t>
      </w:r>
      <w:r w:rsidRPr="00C31AA6">
        <w:rPr>
          <w:spacing w:val="-4"/>
          <w:sz w:val="16"/>
          <w:szCs w:val="16"/>
        </w:rPr>
        <w:t>2</w:t>
      </w:r>
      <w:r>
        <w:rPr>
          <w:spacing w:val="-4"/>
          <w:sz w:val="16"/>
          <w:szCs w:val="16"/>
        </w:rPr>
        <w:t> p. b.</w:t>
      </w:r>
      <w:r w:rsidRPr="00C31AA6">
        <w:rPr>
          <w:spacing w:val="-4"/>
          <w:sz w:val="16"/>
          <w:szCs w:val="16"/>
        </w:rPr>
        <w:t xml:space="preserve"> více než na konci loňského roku.</w:t>
      </w:r>
    </w:p>
  </w:footnote>
  <w:footnote w:id="20">
    <w:p w14:paraId="7ECC64E1" w14:textId="77777777" w:rsidR="006F6FF2" w:rsidRPr="00385329" w:rsidRDefault="006F6FF2" w:rsidP="00AB3BA7">
      <w:pPr>
        <w:pStyle w:val="Textpoznpodarou"/>
        <w:rPr>
          <w:sz w:val="16"/>
          <w:szCs w:val="16"/>
        </w:rPr>
      </w:pPr>
      <w:r w:rsidRPr="00385329">
        <w:rPr>
          <w:rStyle w:val="Znakapoznpodarou"/>
          <w:sz w:val="16"/>
          <w:szCs w:val="16"/>
        </w:rPr>
        <w:footnoteRef/>
      </w:r>
      <w:r w:rsidRPr="00385329">
        <w:rPr>
          <w:sz w:val="16"/>
          <w:szCs w:val="16"/>
        </w:rPr>
        <w:t xml:space="preserve"> Šlo o</w:t>
      </w:r>
      <w:r>
        <w:rPr>
          <w:sz w:val="16"/>
          <w:szCs w:val="16"/>
        </w:rPr>
        <w:t> </w:t>
      </w:r>
      <w:r w:rsidRPr="00385329">
        <w:rPr>
          <w:sz w:val="16"/>
          <w:szCs w:val="16"/>
        </w:rPr>
        <w:t xml:space="preserve">prostředky v rámci dočasného nástroje pomoci na zmírnění rizik nezaměstnanosti vlivem rozšíření pandemie </w:t>
      </w:r>
      <w:r>
        <w:rPr>
          <w:sz w:val="16"/>
          <w:szCs w:val="16"/>
        </w:rPr>
        <w:t>covidu-19</w:t>
      </w:r>
      <w:r w:rsidRPr="00385329">
        <w:rPr>
          <w:sz w:val="16"/>
          <w:szCs w:val="16"/>
        </w:rPr>
        <w:t>.</w:t>
      </w:r>
    </w:p>
  </w:footnote>
  <w:footnote w:id="21">
    <w:p w14:paraId="024716F6" w14:textId="77777777" w:rsidR="006F6FF2" w:rsidRPr="008C2F4A" w:rsidRDefault="006F6FF2" w:rsidP="00AB3BA7">
      <w:pPr>
        <w:pStyle w:val="Textpoznpodarou"/>
        <w:rPr>
          <w:spacing w:val="-4"/>
          <w:sz w:val="16"/>
          <w:szCs w:val="16"/>
        </w:rPr>
      </w:pPr>
      <w:r w:rsidRPr="008C2F4A">
        <w:rPr>
          <w:rStyle w:val="Znakapoznpodarou"/>
          <w:sz w:val="16"/>
          <w:szCs w:val="16"/>
        </w:rPr>
        <w:footnoteRef/>
      </w:r>
      <w:r w:rsidRPr="008C2F4A">
        <w:rPr>
          <w:sz w:val="16"/>
          <w:szCs w:val="16"/>
        </w:rPr>
        <w:t xml:space="preserve"> </w:t>
      </w:r>
      <w:r>
        <w:rPr>
          <w:sz w:val="16"/>
          <w:szCs w:val="16"/>
        </w:rPr>
        <w:t xml:space="preserve">Údaje o hospodaření vládních institucí za 1. čtvrtletí 2021 zveřejní ČSÚ 30. června 2021. Detailnější zhodnocení vývoje za rok 2020 je obsaženo v publikaci Analýza sektorových účtů: </w:t>
      </w:r>
      <w:hyperlink r:id="rId1" w:history="1">
        <w:r w:rsidRPr="00616BBB">
          <w:rPr>
            <w:rStyle w:val="Hypertextovodkaz"/>
            <w:spacing w:val="-4"/>
            <w:sz w:val="16"/>
            <w:szCs w:val="16"/>
          </w:rPr>
          <w:t>https://www.czso.cz/csu/czso/cri/analyza-ctvrtletnich-sektorovych-uctu-4-ctvrtleti-2020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6F6FF2" w:rsidRDefault="006F6FF2" w:rsidP="00937AE2">
    <w:pPr>
      <w:pStyle w:val="Zhlav"/>
    </w:pPr>
    <w:r>
      <w:t>Vývoj ekonomiky České republiky</w:t>
    </w:r>
  </w:p>
  <w:p w14:paraId="675E4C41" w14:textId="77777777" w:rsidR="006F6FF2" w:rsidRPr="006F5416" w:rsidRDefault="006F6FF2"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6F6FF2" w:rsidRDefault="006F6FF2" w:rsidP="00937AE2">
    <w:pPr>
      <w:pStyle w:val="Zhlav"/>
    </w:pPr>
    <w:r>
      <w:t>Vývoj ekonomiky České republiky</w:t>
    </w:r>
  </w:p>
  <w:p w14:paraId="0CDCFD48" w14:textId="77777777" w:rsidR="006F6FF2" w:rsidRPr="006F5416" w:rsidRDefault="006F6FF2"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5"/>
  </w:num>
  <w:num w:numId="14">
    <w:abstractNumId w:val="12"/>
  </w:num>
  <w:num w:numId="15">
    <w:abstractNumId w:val="18"/>
  </w:num>
  <w:num w:numId="16">
    <w:abstractNumId w:val="14"/>
  </w:num>
  <w:num w:numId="17">
    <w:abstractNumId w:val="26"/>
  </w:num>
  <w:num w:numId="18">
    <w:abstractNumId w:val="19"/>
  </w:num>
  <w:num w:numId="19">
    <w:abstractNumId w:val="27"/>
  </w:num>
  <w:num w:numId="20">
    <w:abstractNumId w:val="28"/>
  </w:num>
  <w:num w:numId="21">
    <w:abstractNumId w:val="24"/>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6BDB"/>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70A87"/>
    <w:rsid w:val="000712B3"/>
    <w:rsid w:val="00071A7C"/>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1D49"/>
    <w:rsid w:val="000A212B"/>
    <w:rsid w:val="000A242D"/>
    <w:rsid w:val="000A256D"/>
    <w:rsid w:val="000A2E5F"/>
    <w:rsid w:val="000A3A2C"/>
    <w:rsid w:val="000A3D9E"/>
    <w:rsid w:val="000A4A54"/>
    <w:rsid w:val="000A4ED9"/>
    <w:rsid w:val="000A5DB7"/>
    <w:rsid w:val="000A6D94"/>
    <w:rsid w:val="000A7377"/>
    <w:rsid w:val="000A775A"/>
    <w:rsid w:val="000A7FF4"/>
    <w:rsid w:val="000B03CC"/>
    <w:rsid w:val="000B4212"/>
    <w:rsid w:val="000B67B7"/>
    <w:rsid w:val="000C0EA8"/>
    <w:rsid w:val="000C13A2"/>
    <w:rsid w:val="000C21E7"/>
    <w:rsid w:val="000C23EC"/>
    <w:rsid w:val="000C30C3"/>
    <w:rsid w:val="000C3408"/>
    <w:rsid w:val="000C35AB"/>
    <w:rsid w:val="000C3F7B"/>
    <w:rsid w:val="000C4769"/>
    <w:rsid w:val="000C4D56"/>
    <w:rsid w:val="000C5DFA"/>
    <w:rsid w:val="000C6AFD"/>
    <w:rsid w:val="000C6C90"/>
    <w:rsid w:val="000C72B7"/>
    <w:rsid w:val="000D0A26"/>
    <w:rsid w:val="000D3058"/>
    <w:rsid w:val="000D310A"/>
    <w:rsid w:val="000D3EF4"/>
    <w:rsid w:val="000D4DC0"/>
    <w:rsid w:val="000D5637"/>
    <w:rsid w:val="000D5A03"/>
    <w:rsid w:val="000D6F4E"/>
    <w:rsid w:val="000D73BB"/>
    <w:rsid w:val="000E0E96"/>
    <w:rsid w:val="000E298B"/>
    <w:rsid w:val="000E2C7D"/>
    <w:rsid w:val="000E3E56"/>
    <w:rsid w:val="000E440D"/>
    <w:rsid w:val="000E4AC5"/>
    <w:rsid w:val="000E6253"/>
    <w:rsid w:val="000E6E4D"/>
    <w:rsid w:val="000E6FBD"/>
    <w:rsid w:val="000E6FCB"/>
    <w:rsid w:val="000F090B"/>
    <w:rsid w:val="000F3F3B"/>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C33"/>
    <w:rsid w:val="00116D3F"/>
    <w:rsid w:val="00117474"/>
    <w:rsid w:val="00117623"/>
    <w:rsid w:val="00117FEA"/>
    <w:rsid w:val="001200CF"/>
    <w:rsid w:val="001208E3"/>
    <w:rsid w:val="00121609"/>
    <w:rsid w:val="0012192F"/>
    <w:rsid w:val="00122994"/>
    <w:rsid w:val="0012320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2B29"/>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3622"/>
    <w:rsid w:val="00175B9F"/>
    <w:rsid w:val="001762F4"/>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1F68"/>
    <w:rsid w:val="001A21FA"/>
    <w:rsid w:val="001A4D7C"/>
    <w:rsid w:val="001A4EF0"/>
    <w:rsid w:val="001A552F"/>
    <w:rsid w:val="001A70B1"/>
    <w:rsid w:val="001B0738"/>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5DA"/>
    <w:rsid w:val="001F7CE0"/>
    <w:rsid w:val="00200085"/>
    <w:rsid w:val="00203332"/>
    <w:rsid w:val="00203CD5"/>
    <w:rsid w:val="00203D8F"/>
    <w:rsid w:val="00203DA4"/>
    <w:rsid w:val="00204EA6"/>
    <w:rsid w:val="00205186"/>
    <w:rsid w:val="00206516"/>
    <w:rsid w:val="002071D5"/>
    <w:rsid w:val="002111E5"/>
    <w:rsid w:val="002118B9"/>
    <w:rsid w:val="00213691"/>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120E"/>
    <w:rsid w:val="00262582"/>
    <w:rsid w:val="0026291D"/>
    <w:rsid w:val="00262CF3"/>
    <w:rsid w:val="00264309"/>
    <w:rsid w:val="00264992"/>
    <w:rsid w:val="0026564B"/>
    <w:rsid w:val="00265C83"/>
    <w:rsid w:val="00265E85"/>
    <w:rsid w:val="00267B49"/>
    <w:rsid w:val="00267C51"/>
    <w:rsid w:val="002700D9"/>
    <w:rsid w:val="0027025F"/>
    <w:rsid w:val="002709CC"/>
    <w:rsid w:val="00270D25"/>
    <w:rsid w:val="00271022"/>
    <w:rsid w:val="00271465"/>
    <w:rsid w:val="00271E47"/>
    <w:rsid w:val="002721F5"/>
    <w:rsid w:val="00272DF4"/>
    <w:rsid w:val="00275062"/>
    <w:rsid w:val="00275758"/>
    <w:rsid w:val="0027583D"/>
    <w:rsid w:val="00275DEF"/>
    <w:rsid w:val="002763A2"/>
    <w:rsid w:val="00276B33"/>
    <w:rsid w:val="002803A5"/>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E02A1"/>
    <w:rsid w:val="002E196A"/>
    <w:rsid w:val="002E20C7"/>
    <w:rsid w:val="002E20CD"/>
    <w:rsid w:val="002E222E"/>
    <w:rsid w:val="002E28D8"/>
    <w:rsid w:val="002E3638"/>
    <w:rsid w:val="002E37D1"/>
    <w:rsid w:val="002E3BEE"/>
    <w:rsid w:val="002E4E4C"/>
    <w:rsid w:val="002E4EA7"/>
    <w:rsid w:val="002E5846"/>
    <w:rsid w:val="002E792B"/>
    <w:rsid w:val="002E7AE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3BB4"/>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2058C"/>
    <w:rsid w:val="003208D0"/>
    <w:rsid w:val="003209D6"/>
    <w:rsid w:val="003217B9"/>
    <w:rsid w:val="00321924"/>
    <w:rsid w:val="00321EB6"/>
    <w:rsid w:val="003220A5"/>
    <w:rsid w:val="003238E0"/>
    <w:rsid w:val="00323A1C"/>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978B1"/>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5B59"/>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6595"/>
    <w:rsid w:val="0046746A"/>
    <w:rsid w:val="00467B14"/>
    <w:rsid w:val="004707FE"/>
    <w:rsid w:val="00470EDC"/>
    <w:rsid w:val="00472418"/>
    <w:rsid w:val="0047276D"/>
    <w:rsid w:val="00472AF6"/>
    <w:rsid w:val="00473482"/>
    <w:rsid w:val="00474646"/>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46FC7"/>
    <w:rsid w:val="005500F9"/>
    <w:rsid w:val="00550160"/>
    <w:rsid w:val="005523A8"/>
    <w:rsid w:val="00552F2C"/>
    <w:rsid w:val="00553A25"/>
    <w:rsid w:val="005547EB"/>
    <w:rsid w:val="005555E0"/>
    <w:rsid w:val="0055599F"/>
    <w:rsid w:val="00556D68"/>
    <w:rsid w:val="005570D6"/>
    <w:rsid w:val="00557E0E"/>
    <w:rsid w:val="00557E45"/>
    <w:rsid w:val="00560C41"/>
    <w:rsid w:val="00560CAC"/>
    <w:rsid w:val="00561F44"/>
    <w:rsid w:val="00562B4D"/>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6BCA"/>
    <w:rsid w:val="0058703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21E0"/>
    <w:rsid w:val="005A28FF"/>
    <w:rsid w:val="005A2C09"/>
    <w:rsid w:val="005A3778"/>
    <w:rsid w:val="005A3DF8"/>
    <w:rsid w:val="005A5549"/>
    <w:rsid w:val="005A566A"/>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19CB"/>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4DA4"/>
    <w:rsid w:val="006F5416"/>
    <w:rsid w:val="006F624B"/>
    <w:rsid w:val="006F6D87"/>
    <w:rsid w:val="006F6FF2"/>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D01"/>
    <w:rsid w:val="00715E4D"/>
    <w:rsid w:val="0071677A"/>
    <w:rsid w:val="00716F48"/>
    <w:rsid w:val="00717114"/>
    <w:rsid w:val="0071779F"/>
    <w:rsid w:val="00720310"/>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0D79"/>
    <w:rsid w:val="00861B41"/>
    <w:rsid w:val="00861B9F"/>
    <w:rsid w:val="00861BE3"/>
    <w:rsid w:val="008625D3"/>
    <w:rsid w:val="00862C0A"/>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3B05"/>
    <w:rsid w:val="008C4B50"/>
    <w:rsid w:val="008C5A37"/>
    <w:rsid w:val="008C7569"/>
    <w:rsid w:val="008C79C3"/>
    <w:rsid w:val="008D006F"/>
    <w:rsid w:val="008D033D"/>
    <w:rsid w:val="008D0DBD"/>
    <w:rsid w:val="008D117E"/>
    <w:rsid w:val="008D127E"/>
    <w:rsid w:val="008D1CA8"/>
    <w:rsid w:val="008D1E0A"/>
    <w:rsid w:val="008D1E6A"/>
    <w:rsid w:val="008D2A16"/>
    <w:rsid w:val="008D33F5"/>
    <w:rsid w:val="008D35E4"/>
    <w:rsid w:val="008D3ACD"/>
    <w:rsid w:val="008D6C3A"/>
    <w:rsid w:val="008D70E2"/>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648B"/>
    <w:rsid w:val="009373B2"/>
    <w:rsid w:val="00937AE2"/>
    <w:rsid w:val="0094061F"/>
    <w:rsid w:val="00940F0F"/>
    <w:rsid w:val="0094416B"/>
    <w:rsid w:val="0094427A"/>
    <w:rsid w:val="00944C7C"/>
    <w:rsid w:val="00945245"/>
    <w:rsid w:val="00945523"/>
    <w:rsid w:val="00950921"/>
    <w:rsid w:val="00951D68"/>
    <w:rsid w:val="00951E5B"/>
    <w:rsid w:val="00952050"/>
    <w:rsid w:val="00952B7B"/>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0CAF"/>
    <w:rsid w:val="009B1324"/>
    <w:rsid w:val="009B284F"/>
    <w:rsid w:val="009B3764"/>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6A"/>
    <w:rsid w:val="00A201E1"/>
    <w:rsid w:val="00A20FE1"/>
    <w:rsid w:val="00A21B4D"/>
    <w:rsid w:val="00A22073"/>
    <w:rsid w:val="00A223E0"/>
    <w:rsid w:val="00A22959"/>
    <w:rsid w:val="00A23158"/>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97075"/>
    <w:rsid w:val="00AA0E80"/>
    <w:rsid w:val="00AA17CD"/>
    <w:rsid w:val="00AA1D85"/>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550"/>
    <w:rsid w:val="00B00913"/>
    <w:rsid w:val="00B01593"/>
    <w:rsid w:val="00B01FF9"/>
    <w:rsid w:val="00B023F2"/>
    <w:rsid w:val="00B026FE"/>
    <w:rsid w:val="00B038CA"/>
    <w:rsid w:val="00B05F00"/>
    <w:rsid w:val="00B06DB4"/>
    <w:rsid w:val="00B0750D"/>
    <w:rsid w:val="00B0799C"/>
    <w:rsid w:val="00B102CE"/>
    <w:rsid w:val="00B10A4D"/>
    <w:rsid w:val="00B10C90"/>
    <w:rsid w:val="00B11002"/>
    <w:rsid w:val="00B1114F"/>
    <w:rsid w:val="00B121B2"/>
    <w:rsid w:val="00B131B1"/>
    <w:rsid w:val="00B141B6"/>
    <w:rsid w:val="00B14BC1"/>
    <w:rsid w:val="00B162C3"/>
    <w:rsid w:val="00B16DD1"/>
    <w:rsid w:val="00B16EB8"/>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639"/>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D89"/>
    <w:rsid w:val="00B80EC6"/>
    <w:rsid w:val="00B81288"/>
    <w:rsid w:val="00B81D70"/>
    <w:rsid w:val="00B833B9"/>
    <w:rsid w:val="00B83AAF"/>
    <w:rsid w:val="00B83E07"/>
    <w:rsid w:val="00B84CF6"/>
    <w:rsid w:val="00B85016"/>
    <w:rsid w:val="00B8561A"/>
    <w:rsid w:val="00B86628"/>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4BF"/>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246C"/>
    <w:rsid w:val="00C1493E"/>
    <w:rsid w:val="00C15DBD"/>
    <w:rsid w:val="00C161C5"/>
    <w:rsid w:val="00C2010D"/>
    <w:rsid w:val="00C20CB5"/>
    <w:rsid w:val="00C21430"/>
    <w:rsid w:val="00C216DF"/>
    <w:rsid w:val="00C21E61"/>
    <w:rsid w:val="00C21F94"/>
    <w:rsid w:val="00C224BD"/>
    <w:rsid w:val="00C234DB"/>
    <w:rsid w:val="00C2479A"/>
    <w:rsid w:val="00C24903"/>
    <w:rsid w:val="00C2590D"/>
    <w:rsid w:val="00C25D9C"/>
    <w:rsid w:val="00C27913"/>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307"/>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09B"/>
    <w:rsid w:val="00CC0834"/>
    <w:rsid w:val="00CC0AEA"/>
    <w:rsid w:val="00CC20FE"/>
    <w:rsid w:val="00CC2E7D"/>
    <w:rsid w:val="00CC5BE8"/>
    <w:rsid w:val="00CC612B"/>
    <w:rsid w:val="00CC655F"/>
    <w:rsid w:val="00CC66F9"/>
    <w:rsid w:val="00CC6C2A"/>
    <w:rsid w:val="00CC6FE5"/>
    <w:rsid w:val="00CC7458"/>
    <w:rsid w:val="00CC76BD"/>
    <w:rsid w:val="00CC7A87"/>
    <w:rsid w:val="00CD0D6B"/>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E48"/>
    <w:rsid w:val="00CE47B8"/>
    <w:rsid w:val="00CE62FA"/>
    <w:rsid w:val="00CE670B"/>
    <w:rsid w:val="00CE6833"/>
    <w:rsid w:val="00CF020B"/>
    <w:rsid w:val="00CF15BF"/>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67D55"/>
    <w:rsid w:val="00D70289"/>
    <w:rsid w:val="00D70822"/>
    <w:rsid w:val="00D72076"/>
    <w:rsid w:val="00D721B4"/>
    <w:rsid w:val="00D726A9"/>
    <w:rsid w:val="00D72DBA"/>
    <w:rsid w:val="00D743E0"/>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34A"/>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8CE"/>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7CE2"/>
    <w:rsid w:val="00E90CA8"/>
    <w:rsid w:val="00E930A1"/>
    <w:rsid w:val="00E93820"/>
    <w:rsid w:val="00E94A86"/>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CEB"/>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A00"/>
    <w:rsid w:val="00ED1DF0"/>
    <w:rsid w:val="00ED2386"/>
    <w:rsid w:val="00ED2EA1"/>
    <w:rsid w:val="00ED3851"/>
    <w:rsid w:val="00ED3E51"/>
    <w:rsid w:val="00ED3F10"/>
    <w:rsid w:val="00ED4D04"/>
    <w:rsid w:val="00ED566D"/>
    <w:rsid w:val="00ED5907"/>
    <w:rsid w:val="00ED5F5B"/>
    <w:rsid w:val="00ED62C6"/>
    <w:rsid w:val="00ED64C1"/>
    <w:rsid w:val="00ED781F"/>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75D3"/>
    <w:rsid w:val="00F62BFF"/>
    <w:rsid w:val="00F63AAE"/>
    <w:rsid w:val="00F63DDE"/>
    <w:rsid w:val="00F63FB7"/>
    <w:rsid w:val="00F6421B"/>
    <w:rsid w:val="00F647F1"/>
    <w:rsid w:val="00F649D2"/>
    <w:rsid w:val="00F6602B"/>
    <w:rsid w:val="00F6799D"/>
    <w:rsid w:val="00F7150B"/>
    <w:rsid w:val="00F717E4"/>
    <w:rsid w:val="00F71DE6"/>
    <w:rsid w:val="00F72D71"/>
    <w:rsid w:val="00F7381C"/>
    <w:rsid w:val="00F73A0C"/>
    <w:rsid w:val="00F7549F"/>
    <w:rsid w:val="00F756DB"/>
    <w:rsid w:val="00F766BE"/>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4-ctvrtleti-20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21\Qmakro\Rozpo&#269;et\Grafy-st&#225;tn&#237;%20rozpo&#269;et-rok-2021-1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JKAM%20CSU\PUBLIKACE\PUBLIKACE\2021\Qmakro\Rozpo&#269;et\Grafy-st&#225;tn&#237;%20rozpo&#269;et-rok-2021-1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5025814723822324"/>
          <c:h val="0.81082663967425594"/>
        </c:manualLayout>
      </c:layout>
      <c:barChart>
        <c:barDir val="col"/>
        <c:grouping val="clustered"/>
        <c:varyColors val="0"/>
        <c:ser>
          <c:idx val="2"/>
          <c:order val="4"/>
          <c:tx>
            <c:strRef>
              <c:f>'G1-Státní rozpočet-příjmy-2020'!$A$37</c:f>
              <c:strCache>
                <c:ptCount val="1"/>
                <c:pt idx="0">
                  <c:v>Saldo státního rozpočtu (SR, pravá osa)</c:v>
                </c:pt>
              </c:strCache>
            </c:strRef>
          </c:tx>
          <c:spPr>
            <a:solidFill>
              <a:schemeClr val="bg1">
                <a:lumMod val="65000"/>
              </a:schemeClr>
            </a:solidFill>
          </c:spPr>
          <c:invertIfNegative val="0"/>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rozpočet-příjmy-2020'!$B$37:$O$37</c:f>
              <c:numCache>
                <c:formatCode>#\ ##0.0</c:formatCode>
                <c:ptCount val="14"/>
                <c:pt idx="0">
                  <c:v>-13.347</c:v>
                </c:pt>
                <c:pt idx="1">
                  <c:v>-2.3460000000000001</c:v>
                </c:pt>
                <c:pt idx="2">
                  <c:v>-45.942</c:v>
                </c:pt>
                <c:pt idx="3">
                  <c:v>-25.202000000000002</c:v>
                </c:pt>
                <c:pt idx="4">
                  <c:v>-22.69</c:v>
                </c:pt>
                <c:pt idx="5">
                  <c:v>13.97</c:v>
                </c:pt>
                <c:pt idx="6">
                  <c:v>43.59</c:v>
                </c:pt>
                <c:pt idx="7">
                  <c:v>19.91</c:v>
                </c:pt>
                <c:pt idx="8">
                  <c:v>43.6</c:v>
                </c:pt>
                <c:pt idx="9">
                  <c:v>4.68</c:v>
                </c:pt>
                <c:pt idx="10">
                  <c:v>16.260000000000002</c:v>
                </c:pt>
                <c:pt idx="11">
                  <c:v>-9.24</c:v>
                </c:pt>
                <c:pt idx="12">
                  <c:v>-44.70771591839997</c:v>
                </c:pt>
                <c:pt idx="13">
                  <c:v>-125.1977047449202</c:v>
                </c:pt>
              </c:numCache>
            </c:numRef>
          </c:val>
          <c:extLst>
            <c:ext xmlns:c16="http://schemas.microsoft.com/office/drawing/2014/chart" uri="{C3380CC4-5D6E-409C-BE32-E72D297353CC}">
              <c16:uniqueId val="{00000000-8F16-4B7A-8DBC-A2BE6AC73E82}"/>
            </c:ext>
          </c:extLst>
        </c:ser>
        <c:ser>
          <c:idx val="5"/>
          <c:order val="5"/>
          <c:tx>
            <c:strRef>
              <c:f>'G1-Státní rozpočet-příjmy-2020'!$A$38</c:f>
              <c:strCache>
                <c:ptCount val="1"/>
                <c:pt idx="0">
                  <c:v>Saldo SR očišť. o vliv EU a FM* (pr. osa)</c:v>
                </c:pt>
              </c:strCache>
            </c:strRef>
          </c:tx>
          <c:spPr>
            <a:solidFill>
              <a:schemeClr val="bg1">
                <a:lumMod val="85000"/>
              </a:schemeClr>
            </a:solidFill>
            <a:ln>
              <a:solidFill>
                <a:schemeClr val="bg1">
                  <a:lumMod val="65000"/>
                </a:schemeClr>
              </a:solidFill>
            </a:ln>
          </c:spPr>
          <c:invertIfNegative val="0"/>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rozpočet-příjmy-2020'!$B$38:$O$38</c:f>
              <c:numCache>
                <c:formatCode>General</c:formatCode>
                <c:ptCount val="14"/>
                <c:pt idx="5" formatCode="0.0">
                  <c:v>-9.4</c:v>
                </c:pt>
                <c:pt idx="6" formatCode="0.0">
                  <c:v>11</c:v>
                </c:pt>
                <c:pt idx="7">
                  <c:v>-18.100000000000001</c:v>
                </c:pt>
                <c:pt idx="8" formatCode="#\ ##0.0">
                  <c:v>-11.9</c:v>
                </c:pt>
                <c:pt idx="9" formatCode="#\ ##0.0">
                  <c:v>-4.5599999999999996</c:v>
                </c:pt>
                <c:pt idx="10" formatCode="#\ ##0.0">
                  <c:v>-5.26</c:v>
                </c:pt>
                <c:pt idx="11" formatCode="#\ ##0.0">
                  <c:v>-6.1961843930897658</c:v>
                </c:pt>
                <c:pt idx="12" formatCode="#\ ##0.0">
                  <c:v>-41.582504753719945</c:v>
                </c:pt>
                <c:pt idx="13" formatCode="#\ ##0.0">
                  <c:v>-123.9</c:v>
                </c:pt>
              </c:numCache>
            </c:numRef>
          </c:val>
          <c:extLst>
            <c:ext xmlns:c16="http://schemas.microsoft.com/office/drawing/2014/chart" uri="{C3380CC4-5D6E-409C-BE32-E72D297353CC}">
              <c16:uniqueId val="{00000001-8F16-4B7A-8DBC-A2BE6AC73E82}"/>
            </c:ext>
          </c:extLst>
        </c:ser>
        <c:dLbls>
          <c:showLegendKey val="0"/>
          <c:showVal val="0"/>
          <c:showCatName val="0"/>
          <c:showSerName val="0"/>
          <c:showPercent val="0"/>
          <c:showBubbleSize val="0"/>
        </c:dLbls>
        <c:gapWidth val="60"/>
        <c:overlap val="12"/>
        <c:axId val="539204576"/>
        <c:axId val="556140592"/>
      </c:barChart>
      <c:lineChart>
        <c:grouping val="standard"/>
        <c:varyColors val="0"/>
        <c:ser>
          <c:idx val="0"/>
          <c:order val="0"/>
          <c:tx>
            <c:strRef>
              <c:f>'G1-Státní rozpočet-příjmy-2020'!$A$33</c:f>
              <c:strCache>
                <c:ptCount val="1"/>
                <c:pt idx="0">
                  <c:v>DPH</c:v>
                </c:pt>
              </c:strCache>
            </c:strRef>
          </c:tx>
          <c:spPr>
            <a:ln w="19050">
              <a:solidFill>
                <a:srgbClr val="BD1B25"/>
              </a:solidFill>
            </a:ln>
          </c:spPr>
          <c:marker>
            <c:symbol val="none"/>
          </c:marker>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rozpočet-příjmy-2020'!$B$33:$O$33</c:f>
              <c:numCache>
                <c:formatCode>0.0</c:formatCode>
                <c:ptCount val="14"/>
                <c:pt idx="0">
                  <c:v>4.3689320388349557</c:v>
                </c:pt>
                <c:pt idx="1">
                  <c:v>-6.4254952627045583</c:v>
                </c:pt>
                <c:pt idx="2">
                  <c:v>11.616347569955821</c:v>
                </c:pt>
                <c:pt idx="3">
                  <c:v>-6.6138875144318092</c:v>
                </c:pt>
                <c:pt idx="4">
                  <c:v>3.2144118685976792</c:v>
                </c:pt>
                <c:pt idx="5">
                  <c:v>25.496235455167707</c:v>
                </c:pt>
                <c:pt idx="6">
                  <c:v>15.121352604308711</c:v>
                </c:pt>
                <c:pt idx="7">
                  <c:v>-14.307710529432683</c:v>
                </c:pt>
                <c:pt idx="8">
                  <c:v>4.1879751209398677</c:v>
                </c:pt>
                <c:pt idx="9">
                  <c:v>8.6229769169541015</c:v>
                </c:pt>
                <c:pt idx="10">
                  <c:v>13.14118221787983</c:v>
                </c:pt>
                <c:pt idx="11">
                  <c:v>-0.16191709844561331</c:v>
                </c:pt>
                <c:pt idx="12">
                  <c:v>5.7174974991134349</c:v>
                </c:pt>
                <c:pt idx="13">
                  <c:v>-6.9116831971698929</c:v>
                </c:pt>
              </c:numCache>
            </c:numRef>
          </c:val>
          <c:smooth val="0"/>
          <c:extLst>
            <c:ext xmlns:c16="http://schemas.microsoft.com/office/drawing/2014/chart" uri="{C3380CC4-5D6E-409C-BE32-E72D297353CC}">
              <c16:uniqueId val="{00000002-8F16-4B7A-8DBC-A2BE6AC73E82}"/>
            </c:ext>
          </c:extLst>
        </c:ser>
        <c:ser>
          <c:idx val="1"/>
          <c:order val="1"/>
          <c:tx>
            <c:strRef>
              <c:f>'G1-Státní rozpočet-příjmy-2020'!$A$34</c:f>
              <c:strCache>
                <c:ptCount val="1"/>
                <c:pt idx="0">
                  <c:v>Spotřební daně</c:v>
                </c:pt>
              </c:strCache>
            </c:strRef>
          </c:tx>
          <c:spPr>
            <a:ln w="12700">
              <a:solidFill>
                <a:schemeClr val="accent6">
                  <a:lumMod val="75000"/>
                </a:schemeClr>
              </a:solidFill>
              <a:prstDash val="solid"/>
            </a:ln>
          </c:spPr>
          <c:marker>
            <c:symbol val="none"/>
          </c:marker>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rozpočet-příjmy-2020'!$B$34:$O$34</c:f>
              <c:numCache>
                <c:formatCode>0.0</c:formatCode>
                <c:ptCount val="14"/>
                <c:pt idx="0">
                  <c:v>-0.98070230939575254</c:v>
                </c:pt>
                <c:pt idx="1">
                  <c:v>-13.322683706070293</c:v>
                </c:pt>
                <c:pt idx="2">
                  <c:v>28.603022484334673</c:v>
                </c:pt>
                <c:pt idx="3">
                  <c:v>-3.6113499570077323</c:v>
                </c:pt>
                <c:pt idx="4">
                  <c:v>9.5450490633363074</c:v>
                </c:pt>
                <c:pt idx="5">
                  <c:v>9.9077090119435383</c:v>
                </c:pt>
                <c:pt idx="6">
                  <c:v>13.879970363052593</c:v>
                </c:pt>
                <c:pt idx="7">
                  <c:v>-27.998265018434182</c:v>
                </c:pt>
                <c:pt idx="8">
                  <c:v>8.162650602409613</c:v>
                </c:pt>
                <c:pt idx="9">
                  <c:v>2.339181286549703</c:v>
                </c:pt>
                <c:pt idx="10">
                  <c:v>3.4013605442176953</c:v>
                </c:pt>
                <c:pt idx="11">
                  <c:v>-3.8421052631579045</c:v>
                </c:pt>
                <c:pt idx="12">
                  <c:v>7.1724296093322408</c:v>
                </c:pt>
                <c:pt idx="13">
                  <c:v>-19.383681280818053</c:v>
                </c:pt>
              </c:numCache>
            </c:numRef>
          </c:val>
          <c:smooth val="0"/>
          <c:extLst>
            <c:ext xmlns:c16="http://schemas.microsoft.com/office/drawing/2014/chart" uri="{C3380CC4-5D6E-409C-BE32-E72D297353CC}">
              <c16:uniqueId val="{00000003-8F16-4B7A-8DBC-A2BE6AC73E82}"/>
            </c:ext>
          </c:extLst>
        </c:ser>
        <c:ser>
          <c:idx val="3"/>
          <c:order val="2"/>
          <c:tx>
            <c:strRef>
              <c:f>'G1-Státní rozpočet-příjmy-2020'!$A$35</c:f>
              <c:strCache>
                <c:ptCount val="1"/>
                <c:pt idx="0">
                  <c:v>Daně z příjmů (DPFO) ze závislé činnosti</c:v>
                </c:pt>
              </c:strCache>
            </c:strRef>
          </c:tx>
          <c:spPr>
            <a:ln w="19050">
              <a:solidFill>
                <a:srgbClr val="0071BC"/>
              </a:solidFill>
              <a:prstDash val="sysDot"/>
            </a:ln>
          </c:spPr>
          <c:marker>
            <c:symbol val="diamond"/>
            <c:size val="5"/>
            <c:spPr>
              <a:solidFill>
                <a:schemeClr val="bg1"/>
              </a:solidFill>
              <a:ln>
                <a:solidFill>
                  <a:srgbClr val="0071BC"/>
                </a:solidFill>
              </a:ln>
            </c:spPr>
          </c:marker>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rozpočet-příjmy-2020'!$B$35:$O$35</c:f>
              <c:numCache>
                <c:formatCode>0.0</c:formatCode>
                <c:ptCount val="14"/>
                <c:pt idx="0">
                  <c:v>1.2636612021857729</c:v>
                </c:pt>
                <c:pt idx="1">
                  <c:v>-4.5531197301855002</c:v>
                </c:pt>
                <c:pt idx="2">
                  <c:v>-1.7314487632508815</c:v>
                </c:pt>
                <c:pt idx="3">
                  <c:v>3.8475368572455864</c:v>
                </c:pt>
                <c:pt idx="4">
                  <c:v>3.8781163434903192</c:v>
                </c:pt>
                <c:pt idx="5">
                  <c:v>4.5000000000000142</c:v>
                </c:pt>
                <c:pt idx="6">
                  <c:v>0.7655502392344431</c:v>
                </c:pt>
                <c:pt idx="7">
                  <c:v>1.772712883823985</c:v>
                </c:pt>
                <c:pt idx="8">
                  <c:v>8.2426127527216266</c:v>
                </c:pt>
                <c:pt idx="9">
                  <c:v>10.287356321839098</c:v>
                </c:pt>
                <c:pt idx="10">
                  <c:v>15.398645127670662</c:v>
                </c:pt>
                <c:pt idx="11">
                  <c:v>12.485888462406862</c:v>
                </c:pt>
                <c:pt idx="12">
                  <c:v>9.9123042259534344</c:v>
                </c:pt>
                <c:pt idx="13">
                  <c:v>-36.539312440474447</c:v>
                </c:pt>
              </c:numCache>
            </c:numRef>
          </c:val>
          <c:smooth val="0"/>
          <c:extLst>
            <c:ext xmlns:c16="http://schemas.microsoft.com/office/drawing/2014/chart" uri="{C3380CC4-5D6E-409C-BE32-E72D297353CC}">
              <c16:uniqueId val="{00000004-8F16-4B7A-8DBC-A2BE6AC73E82}"/>
            </c:ext>
          </c:extLst>
        </c:ser>
        <c:ser>
          <c:idx val="4"/>
          <c:order val="3"/>
          <c:tx>
            <c:strRef>
              <c:f>'G1-Státní rozpočet-příjmy-2020'!$A$36</c:f>
              <c:strCache>
                <c:ptCount val="1"/>
                <c:pt idx="0">
                  <c:v>Daně z příjmů právnických osob (DPPO)</c:v>
                </c:pt>
              </c:strCache>
            </c:strRef>
          </c:tx>
          <c:spPr>
            <a:ln w="19050">
              <a:solidFill>
                <a:srgbClr val="92D050"/>
              </a:solidFill>
              <a:prstDash val="sysDot"/>
            </a:ln>
          </c:spPr>
          <c:marker>
            <c:symbol val="circle"/>
            <c:size val="5"/>
            <c:spPr>
              <a:solidFill>
                <a:srgbClr val="00B050"/>
              </a:solidFill>
              <a:ln>
                <a:noFill/>
              </a:ln>
            </c:spPr>
          </c:marker>
          <c:cat>
            <c:numRef>
              <c:f>'G1-Státní rozpočet-příjmy-2020'!$B$32:$O$32</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rozpočet-příjmy-2020'!$B$36:$O$36</c:f>
              <c:numCache>
                <c:formatCode>0.0</c:formatCode>
                <c:ptCount val="14"/>
                <c:pt idx="0">
                  <c:v>18.38259175056838</c:v>
                </c:pt>
                <c:pt idx="1">
                  <c:v>-14.074074074074076</c:v>
                </c:pt>
                <c:pt idx="2">
                  <c:v>-3.1928480204342691E-2</c:v>
                </c:pt>
                <c:pt idx="3">
                  <c:v>-8.6234429894602442</c:v>
                </c:pt>
                <c:pt idx="4">
                  <c:v>-0.66410346032854761</c:v>
                </c:pt>
                <c:pt idx="5">
                  <c:v>-0.49261083743841994</c:v>
                </c:pt>
                <c:pt idx="6">
                  <c:v>2.5813295615275962</c:v>
                </c:pt>
                <c:pt idx="7">
                  <c:v>7.2388831437435215</c:v>
                </c:pt>
                <c:pt idx="8">
                  <c:v>12.600450016072017</c:v>
                </c:pt>
                <c:pt idx="9">
                  <c:v>10.248358549814427</c:v>
                </c:pt>
                <c:pt idx="10">
                  <c:v>1.1651993785603452</c:v>
                </c:pt>
                <c:pt idx="11">
                  <c:v>3.7880726900435064</c:v>
                </c:pt>
                <c:pt idx="12">
                  <c:v>1.9680718055980151</c:v>
                </c:pt>
                <c:pt idx="13">
                  <c:v>0.65770178358668829</c:v>
                </c:pt>
              </c:numCache>
            </c:numRef>
          </c:val>
          <c:smooth val="0"/>
          <c:extLst>
            <c:ext xmlns:c16="http://schemas.microsoft.com/office/drawing/2014/chart" uri="{C3380CC4-5D6E-409C-BE32-E72D297353CC}">
              <c16:uniqueId val="{00000005-8F16-4B7A-8DBC-A2BE6AC73E82}"/>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40"/>
        </c:scaling>
        <c:delete val="0"/>
        <c:axPos val="l"/>
        <c:majorGridlines>
          <c:spPr>
            <a:ln w="6350">
              <a:solidFill>
                <a:schemeClr val="bg1">
                  <a:lumMod val="75000"/>
                </a:schemeClr>
              </a:solidFill>
            </a:ln>
          </c:spPr>
        </c:majorGridlines>
        <c:title>
          <c:tx>
            <c:rich>
              <a:bodyPr/>
              <a:lstStyle/>
              <a:p>
                <a:pPr>
                  <a:defRPr sz="700" b="0" i="1"/>
                </a:pPr>
                <a:r>
                  <a:rPr lang="cs-CZ" sz="700" b="0" i="1"/>
                  <a:t>Jednotlivé</a:t>
                </a:r>
                <a:r>
                  <a:rPr lang="cs-CZ" sz="700" b="0" i="1" baseline="0"/>
                  <a:t> druhy příjmů (meziroční změna </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v </a:t>
                </a:r>
                <a:r>
                  <a:rPr lang="cs-CZ" sz="700" b="0" i="1" baseline="0"/>
                  <a:t>%)</a:t>
                </a:r>
                <a:endParaRPr lang="cs-CZ" sz="700" b="0" i="1"/>
              </a:p>
            </c:rich>
          </c:tx>
          <c:layout/>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556140592"/>
        <c:scaling>
          <c:orientation val="minMax"/>
          <c:max val="120"/>
          <c:min val="-160"/>
        </c:scaling>
        <c:delete val="0"/>
        <c:axPos val="r"/>
        <c:title>
          <c:tx>
            <c:rich>
              <a:bodyPr/>
              <a:lstStyle/>
              <a:p>
                <a:pPr>
                  <a:defRPr sz="700" b="0" i="1"/>
                </a:pPr>
                <a:r>
                  <a:rPr lang="cs-CZ" sz="700" b="0" i="1"/>
                  <a:t>Saldo státního rozpočtu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a:t> korun)</a:t>
                </a:r>
              </a:p>
            </c:rich>
          </c:tx>
          <c:layout>
            <c:manualLayout>
              <c:xMode val="edge"/>
              <c:yMode val="edge"/>
              <c:x val="0.97045792894156713"/>
              <c:y val="0.17482631219571415"/>
            </c:manualLayout>
          </c:layout>
          <c:overlay val="0"/>
        </c:title>
        <c:numFmt formatCode="#,##0" sourceLinked="0"/>
        <c:majorTickMark val="out"/>
        <c:minorTickMark val="none"/>
        <c:tickLblPos val="nextTo"/>
        <c:crossAx val="539204576"/>
        <c:crosses val="max"/>
        <c:crossBetween val="between"/>
        <c:majorUnit val="2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2.9416606460500545E-2"/>
          <c:y val="0.87940106577842259"/>
          <c:w val="0.96194907147777087"/>
          <c:h val="0.1133968118585998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6067747074773961"/>
        </c:manualLayout>
      </c:layout>
      <c:barChart>
        <c:barDir val="col"/>
        <c:grouping val="clustered"/>
        <c:varyColors val="0"/>
        <c:ser>
          <c:idx val="0"/>
          <c:order val="0"/>
          <c:tx>
            <c:strRef>
              <c:f>'SR-výdaje-celorok-2021'!$B$30</c:f>
              <c:strCache>
                <c:ptCount val="1"/>
                <c:pt idx="0">
                  <c:v>Běžné výdaje (pravá osa)</c:v>
                </c:pt>
              </c:strCache>
            </c:strRef>
          </c:tx>
          <c:spPr>
            <a:solidFill>
              <a:srgbClr val="D3D3D3"/>
            </a:solidFill>
            <a:ln>
              <a:noFill/>
            </a:ln>
          </c:spPr>
          <c:invertIfNegative val="0"/>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'SR-výdaje-celorok-2021'!$B$34:$B$47</c:f>
              <c:numCache>
                <c:formatCode>0.0</c:formatCode>
                <c:ptCount val="14"/>
                <c:pt idx="0">
                  <c:v>251.64</c:v>
                </c:pt>
                <c:pt idx="1">
                  <c:v>242.03</c:v>
                </c:pt>
                <c:pt idx="2">
                  <c:v>262.01</c:v>
                </c:pt>
                <c:pt idx="3">
                  <c:v>252.45</c:v>
                </c:pt>
                <c:pt idx="4">
                  <c:v>258.94</c:v>
                </c:pt>
                <c:pt idx="5">
                  <c:v>261.20999999999998</c:v>
                </c:pt>
                <c:pt idx="6">
                  <c:v>265.72000000000003</c:v>
                </c:pt>
                <c:pt idx="7">
                  <c:v>274.76</c:v>
                </c:pt>
                <c:pt idx="8">
                  <c:v>278.33</c:v>
                </c:pt>
                <c:pt idx="9">
                  <c:v>296.72000000000003</c:v>
                </c:pt>
                <c:pt idx="10">
                  <c:v>317.70999999999998</c:v>
                </c:pt>
                <c:pt idx="11">
                  <c:v>357.12</c:v>
                </c:pt>
                <c:pt idx="12">
                  <c:v>398.64712341415998</c:v>
                </c:pt>
                <c:pt idx="13">
                  <c:v>441.6</c:v>
                </c:pt>
              </c:numCache>
            </c:numRef>
          </c:val>
          <c:extLst>
            <c:ext xmlns:c16="http://schemas.microsoft.com/office/drawing/2014/chart" uri="{C3380CC4-5D6E-409C-BE32-E72D297353CC}">
              <c16:uniqueId val="{00000000-3956-4F06-A1C8-4A53CBA2CF8D}"/>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'SR-výdaje-celorok-2021'!$C$30</c:f>
              <c:strCache>
                <c:ptCount val="1"/>
                <c:pt idx="0">
                  <c:v>Platy a související výdaje*</c:v>
                </c:pt>
              </c:strCache>
            </c:strRef>
          </c:tx>
          <c:spPr>
            <a:ln w="15875">
              <a:solidFill>
                <a:srgbClr val="92D05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'SR-výdaje-celorok-2021'!$C$34:$C$47</c:f>
              <c:numCache>
                <c:formatCode>0.0</c:formatCode>
                <c:ptCount val="14"/>
                <c:pt idx="0">
                  <c:v>14.73</c:v>
                </c:pt>
                <c:pt idx="1">
                  <c:v>15.14</c:v>
                </c:pt>
                <c:pt idx="2">
                  <c:v>15.42</c:v>
                </c:pt>
                <c:pt idx="3">
                  <c:v>14.05</c:v>
                </c:pt>
                <c:pt idx="4">
                  <c:v>14.35</c:v>
                </c:pt>
                <c:pt idx="5">
                  <c:v>14.46</c:v>
                </c:pt>
                <c:pt idx="6">
                  <c:v>14.8</c:v>
                </c:pt>
                <c:pt idx="7">
                  <c:v>15.8</c:v>
                </c:pt>
                <c:pt idx="8">
                  <c:v>16.75</c:v>
                </c:pt>
                <c:pt idx="9">
                  <c:v>17.75</c:v>
                </c:pt>
                <c:pt idx="10">
                  <c:v>20.47</c:v>
                </c:pt>
                <c:pt idx="11">
                  <c:v>22.19</c:v>
                </c:pt>
                <c:pt idx="12">
                  <c:v>23.3823472427</c:v>
                </c:pt>
                <c:pt idx="13">
                  <c:v>23.5</c:v>
                </c:pt>
              </c:numCache>
            </c:numRef>
          </c:val>
          <c:smooth val="0"/>
          <c:extLst>
            <c:ext xmlns:c16="http://schemas.microsoft.com/office/drawing/2014/chart" uri="{C3380CC4-5D6E-409C-BE32-E72D297353CC}">
              <c16:uniqueId val="{00000001-3956-4F06-A1C8-4A53CBA2CF8D}"/>
            </c:ext>
          </c:extLst>
        </c:ser>
        <c:ser>
          <c:idx val="6"/>
          <c:order val="2"/>
          <c:tx>
            <c:strRef>
              <c:f>'SR-výdaje-celorok-2021'!$D$30</c:f>
              <c:strCache>
                <c:ptCount val="1"/>
                <c:pt idx="0">
                  <c:v>Podpora v nezaměstnanosti</c:v>
                </c:pt>
              </c:strCache>
            </c:strRef>
          </c:tx>
          <c:spPr>
            <a:ln w="15875">
              <a:solidFill>
                <a:srgbClr val="48AEE7"/>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'SR-výdaje-celorok-2021'!$D$34:$D$47</c:f>
              <c:numCache>
                <c:formatCode>0.0</c:formatCode>
                <c:ptCount val="14"/>
                <c:pt idx="0">
                  <c:v>1.87</c:v>
                </c:pt>
                <c:pt idx="1">
                  <c:v>3.07</c:v>
                </c:pt>
                <c:pt idx="2">
                  <c:v>4.21</c:v>
                </c:pt>
                <c:pt idx="3">
                  <c:v>3.62</c:v>
                </c:pt>
                <c:pt idx="4">
                  <c:v>2.63</c:v>
                </c:pt>
                <c:pt idx="5">
                  <c:v>2.82</c:v>
                </c:pt>
                <c:pt idx="6">
                  <c:v>2.86</c:v>
                </c:pt>
                <c:pt idx="7">
                  <c:v>2.56</c:v>
                </c:pt>
                <c:pt idx="8">
                  <c:v>2.4500000000000002</c:v>
                </c:pt>
                <c:pt idx="9">
                  <c:v>2.42</c:v>
                </c:pt>
                <c:pt idx="10">
                  <c:v>2.21</c:v>
                </c:pt>
                <c:pt idx="11">
                  <c:v>2.30140118962</c:v>
                </c:pt>
                <c:pt idx="12">
                  <c:v>2.4618649264500001</c:v>
                </c:pt>
                <c:pt idx="13">
                  <c:v>3</c:v>
                </c:pt>
              </c:numCache>
            </c:numRef>
          </c:val>
          <c:smooth val="0"/>
          <c:extLst>
            <c:ext xmlns:c16="http://schemas.microsoft.com/office/drawing/2014/chart" uri="{C3380CC4-5D6E-409C-BE32-E72D297353CC}">
              <c16:uniqueId val="{00000002-3956-4F06-A1C8-4A53CBA2CF8D}"/>
            </c:ext>
          </c:extLst>
        </c:ser>
        <c:ser>
          <c:idx val="7"/>
          <c:order val="3"/>
          <c:tx>
            <c:strRef>
              <c:f>'SR-výdaje-celorok-2021'!$E$30</c:f>
              <c:strCache>
                <c:ptCount val="1"/>
                <c:pt idx="0">
                  <c:v>Státní sociální podpora**</c:v>
                </c:pt>
              </c:strCache>
            </c:strRef>
          </c:tx>
          <c:spPr>
            <a:ln w="15875">
              <a:solidFill>
                <a:srgbClr val="00B05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'SR-výdaje-celorok-2021'!$E$34:$E$47</c:f>
              <c:numCache>
                <c:formatCode>General</c:formatCode>
                <c:ptCount val="14"/>
                <c:pt idx="0">
                  <c:v>11.07</c:v>
                </c:pt>
                <c:pt idx="1">
                  <c:v>10.199999999999999</c:v>
                </c:pt>
                <c:pt idx="2">
                  <c:v>10.3</c:v>
                </c:pt>
                <c:pt idx="3">
                  <c:v>9.3800000000000008</c:v>
                </c:pt>
                <c:pt idx="4">
                  <c:v>8.89</c:v>
                </c:pt>
                <c:pt idx="5">
                  <c:v>9.2200000000000006</c:v>
                </c:pt>
                <c:pt idx="6">
                  <c:v>9.3699999999999992</c:v>
                </c:pt>
                <c:pt idx="7">
                  <c:v>9.33</c:v>
                </c:pt>
                <c:pt idx="8">
                  <c:v>9.3800000000000008</c:v>
                </c:pt>
                <c:pt idx="9">
                  <c:v>9.2899999999999991</c:v>
                </c:pt>
                <c:pt idx="10">
                  <c:v>9.48</c:v>
                </c:pt>
                <c:pt idx="11" formatCode="0.00">
                  <c:v>9.5169305102399999</c:v>
                </c:pt>
                <c:pt idx="12">
                  <c:v>11.83410995721</c:v>
                </c:pt>
                <c:pt idx="13" formatCode="0.00">
                  <c:v>12.2</c:v>
                </c:pt>
              </c:numCache>
            </c:numRef>
          </c:val>
          <c:smooth val="0"/>
          <c:extLst>
            <c:ext xmlns:c16="http://schemas.microsoft.com/office/drawing/2014/chart" uri="{C3380CC4-5D6E-409C-BE32-E72D297353CC}">
              <c16:uniqueId val="{00000003-3956-4F06-A1C8-4A53CBA2CF8D}"/>
            </c:ext>
          </c:extLst>
        </c:ser>
        <c:ser>
          <c:idx val="2"/>
          <c:order val="4"/>
          <c:tx>
            <c:strRef>
              <c:f>'SR-výdaje-celorok-2021'!$F$30</c:f>
              <c:strCache>
                <c:ptCount val="1"/>
                <c:pt idx="0">
                  <c:v>Dávky nemocenského pojištění</c:v>
                </c:pt>
              </c:strCache>
            </c:strRef>
          </c:tx>
          <c:spPr>
            <a:ln w="15875">
              <a:solidFill>
                <a:srgbClr val="0071BC"/>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'SR-výdaje-celorok-2021'!$F$34:$F$47</c:f>
              <c:numCache>
                <c:formatCode>0.00</c:formatCode>
                <c:ptCount val="14"/>
                <c:pt idx="0">
                  <c:v>9.09</c:v>
                </c:pt>
                <c:pt idx="1">
                  <c:v>7.27</c:v>
                </c:pt>
                <c:pt idx="2">
                  <c:v>6.07</c:v>
                </c:pt>
                <c:pt idx="3">
                  <c:v>6.07</c:v>
                </c:pt>
                <c:pt idx="4">
                  <c:v>5.21</c:v>
                </c:pt>
                <c:pt idx="5">
                  <c:v>5.3</c:v>
                </c:pt>
                <c:pt idx="6">
                  <c:v>5.47</c:v>
                </c:pt>
                <c:pt idx="7">
                  <c:v>6.21</c:v>
                </c:pt>
                <c:pt idx="8">
                  <c:v>6.67</c:v>
                </c:pt>
                <c:pt idx="9">
                  <c:v>7.47</c:v>
                </c:pt>
                <c:pt idx="10">
                  <c:v>8.2899999999999991</c:v>
                </c:pt>
                <c:pt idx="11">
                  <c:v>9.92</c:v>
                </c:pt>
                <c:pt idx="12">
                  <c:v>10.97</c:v>
                </c:pt>
                <c:pt idx="13">
                  <c:v>13.3</c:v>
                </c:pt>
              </c:numCache>
            </c:numRef>
          </c:val>
          <c:smooth val="0"/>
          <c:extLst>
            <c:ext xmlns:c16="http://schemas.microsoft.com/office/drawing/2014/chart" uri="{C3380CC4-5D6E-409C-BE32-E72D297353CC}">
              <c16:uniqueId val="{00000004-3956-4F06-A1C8-4A53CBA2CF8D}"/>
            </c:ext>
          </c:extLst>
        </c:ser>
        <c:ser>
          <c:idx val="3"/>
          <c:order val="5"/>
          <c:tx>
            <c:strRef>
              <c:f>'SR-výdaje-celorok-2021'!$G$30</c:f>
              <c:strCache>
                <c:ptCount val="1"/>
                <c:pt idx="0">
                  <c:v>Dávky sociální péče***</c:v>
                </c:pt>
              </c:strCache>
            </c:strRef>
          </c:tx>
          <c:spPr>
            <a:ln w="15875">
              <a:solidFill>
                <a:srgbClr val="7030A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'SR-výdaje-celorok-2021'!$G$34:$G$47</c:f>
              <c:numCache>
                <c:formatCode>0.00</c:formatCode>
                <c:ptCount val="14"/>
                <c:pt idx="0">
                  <c:v>7.8000000000000007</c:v>
                </c:pt>
                <c:pt idx="1">
                  <c:v>7.1</c:v>
                </c:pt>
                <c:pt idx="2">
                  <c:v>7.1999999999999993</c:v>
                </c:pt>
                <c:pt idx="3">
                  <c:v>6.68</c:v>
                </c:pt>
                <c:pt idx="4">
                  <c:v>6.37</c:v>
                </c:pt>
                <c:pt idx="5">
                  <c:v>7.64</c:v>
                </c:pt>
                <c:pt idx="6">
                  <c:v>8.2100000000000009</c:v>
                </c:pt>
                <c:pt idx="7">
                  <c:v>8.44</c:v>
                </c:pt>
                <c:pt idx="8">
                  <c:v>8.34</c:v>
                </c:pt>
                <c:pt idx="9">
                  <c:v>8.85</c:v>
                </c:pt>
                <c:pt idx="10">
                  <c:v>8.48</c:v>
                </c:pt>
                <c:pt idx="11">
                  <c:v>8.3800000000000008</c:v>
                </c:pt>
                <c:pt idx="12">
                  <c:v>9.91</c:v>
                </c:pt>
                <c:pt idx="13">
                  <c:v>10.199999999999999</c:v>
                </c:pt>
              </c:numCache>
            </c:numRef>
          </c:val>
          <c:smooth val="0"/>
          <c:extLst>
            <c:ext xmlns:c16="http://schemas.microsoft.com/office/drawing/2014/chart" uri="{C3380CC4-5D6E-409C-BE32-E72D297353CC}">
              <c16:uniqueId val="{00000005-3956-4F06-A1C8-4A53CBA2CF8D}"/>
            </c:ext>
          </c:extLst>
        </c:ser>
        <c:ser>
          <c:idx val="4"/>
          <c:order val="6"/>
          <c:tx>
            <c:strRef>
              <c:f>'SR-výdaje-celorok-2021'!$H$30</c:f>
              <c:strCache>
                <c:ptCount val="1"/>
                <c:pt idx="0">
                  <c:v>Neinv. nákupy a souvis.výdaje****</c:v>
                </c:pt>
              </c:strCache>
            </c:strRef>
          </c:tx>
          <c:spPr>
            <a:ln w="15875">
              <a:solidFill>
                <a:srgbClr val="F8A124"/>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'SR-výdaje-celorok-2021'!$H$34:$H$47</c:f>
              <c:numCache>
                <c:formatCode>General</c:formatCode>
                <c:ptCount val="14"/>
                <c:pt idx="4" formatCode="0.0">
                  <c:v>14.04</c:v>
                </c:pt>
                <c:pt idx="5" formatCode="0.0">
                  <c:v>11.8</c:v>
                </c:pt>
                <c:pt idx="6" formatCode="0.0">
                  <c:v>10.3</c:v>
                </c:pt>
                <c:pt idx="7" formatCode="0.0">
                  <c:v>12.43</c:v>
                </c:pt>
                <c:pt idx="8" formatCode="0.0">
                  <c:v>11.780000000000001</c:v>
                </c:pt>
                <c:pt idx="9" formatCode="0.0">
                  <c:v>14.34</c:v>
                </c:pt>
                <c:pt idx="10" formatCode="0.0">
                  <c:v>15.51</c:v>
                </c:pt>
                <c:pt idx="11" formatCode="0.0">
                  <c:v>13.6</c:v>
                </c:pt>
                <c:pt idx="12" formatCode="0.0">
                  <c:v>18.412898374919997</c:v>
                </c:pt>
                <c:pt idx="13" formatCode="0.0">
                  <c:v>13.9</c:v>
                </c:pt>
              </c:numCache>
            </c:numRef>
          </c:val>
          <c:smooth val="0"/>
          <c:extLst>
            <c:ext xmlns:c16="http://schemas.microsoft.com/office/drawing/2014/chart" uri="{C3380CC4-5D6E-409C-BE32-E72D297353CC}">
              <c16:uniqueId val="{00000006-3956-4F06-A1C8-4A53CBA2CF8D}"/>
            </c:ext>
          </c:extLst>
        </c:ser>
        <c:ser>
          <c:idx val="5"/>
          <c:order val="7"/>
          <c:tx>
            <c:strRef>
              <c:f>'SR-výdaje-celorok-2021'!$I$30</c:f>
              <c:strCache>
                <c:ptCount val="1"/>
                <c:pt idx="0">
                  <c:v>Neinvestič. transfery podnik. subj.</c:v>
                </c:pt>
              </c:strCache>
            </c:strRef>
          </c:tx>
          <c:spPr>
            <a:ln w="15875">
              <a:solidFill>
                <a:schemeClr val="tx1">
                  <a:lumMod val="95000"/>
                  <a:lumOff val="5000"/>
                </a:schemeClr>
              </a:solidFill>
              <a:prstDash val="sysDash"/>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'SR-výdaje-celorok-2021'!$I$34:$I$47</c:f>
              <c:numCache>
                <c:formatCode>General</c:formatCode>
                <c:ptCount val="14"/>
                <c:pt idx="4" formatCode="0.0">
                  <c:v>8.6300000000000008</c:v>
                </c:pt>
                <c:pt idx="5" formatCode="0.0">
                  <c:v>7.93</c:v>
                </c:pt>
                <c:pt idx="6" formatCode="0.0">
                  <c:v>9.3800000000000008</c:v>
                </c:pt>
                <c:pt idx="7" formatCode="0.0">
                  <c:v>10.44</c:v>
                </c:pt>
                <c:pt idx="8" formatCode="0.0">
                  <c:v>9.8800000000000008</c:v>
                </c:pt>
                <c:pt idx="9" formatCode="0.0">
                  <c:v>13.31</c:v>
                </c:pt>
                <c:pt idx="10" formatCode="0.0">
                  <c:v>11.74</c:v>
                </c:pt>
                <c:pt idx="11" formatCode="0.0">
                  <c:v>15.29</c:v>
                </c:pt>
                <c:pt idx="12" formatCode="0.0">
                  <c:v>15.09</c:v>
                </c:pt>
                <c:pt idx="13" formatCode="0.0">
                  <c:v>38.6</c:v>
                </c:pt>
              </c:numCache>
            </c:numRef>
          </c:val>
          <c:smooth val="0"/>
          <c:extLst>
            <c:ext xmlns:c16="http://schemas.microsoft.com/office/drawing/2014/chart" uri="{C3380CC4-5D6E-409C-BE32-E72D297353CC}">
              <c16:uniqueId val="{00000007-3956-4F06-A1C8-4A53CBA2CF8D}"/>
            </c:ext>
          </c:extLst>
        </c:ser>
        <c:ser>
          <c:idx val="8"/>
          <c:order val="8"/>
          <c:tx>
            <c:strRef>
              <c:f>'SR-výdaje-celorok-2021'!$J$30</c:f>
              <c:strCache>
                <c:ptCount val="1"/>
                <c:pt idx="0">
                  <c:v>Kapitálové výdaje</c:v>
                </c:pt>
              </c:strCache>
            </c:strRef>
          </c:tx>
          <c:spPr>
            <a:ln w="15875">
              <a:solidFill>
                <a:srgbClr val="C00000"/>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'SR-výdaje-celorok-2021'!$J$34:$J$47</c:f>
              <c:numCache>
                <c:formatCode>0.0</c:formatCode>
                <c:ptCount val="14"/>
                <c:pt idx="0">
                  <c:v>31.85</c:v>
                </c:pt>
                <c:pt idx="1">
                  <c:v>31.88</c:v>
                </c:pt>
                <c:pt idx="2">
                  <c:v>33.1</c:v>
                </c:pt>
                <c:pt idx="3">
                  <c:v>26.12</c:v>
                </c:pt>
                <c:pt idx="4">
                  <c:v>22.19</c:v>
                </c:pt>
                <c:pt idx="5">
                  <c:v>17.690000000000001</c:v>
                </c:pt>
                <c:pt idx="6">
                  <c:v>14.93</c:v>
                </c:pt>
                <c:pt idx="7">
                  <c:v>19.78</c:v>
                </c:pt>
                <c:pt idx="8">
                  <c:v>20.02</c:v>
                </c:pt>
                <c:pt idx="9">
                  <c:v>6.27</c:v>
                </c:pt>
                <c:pt idx="10">
                  <c:v>11.73</c:v>
                </c:pt>
                <c:pt idx="11">
                  <c:v>16.43</c:v>
                </c:pt>
                <c:pt idx="12">
                  <c:v>23.367157547710001</c:v>
                </c:pt>
                <c:pt idx="13">
                  <c:v>23.3</c:v>
                </c:pt>
              </c:numCache>
            </c:numRef>
          </c:val>
          <c:smooth val="0"/>
          <c:extLst>
            <c:ext xmlns:c16="http://schemas.microsoft.com/office/drawing/2014/chart" uri="{C3380CC4-5D6E-409C-BE32-E72D297353CC}">
              <c16:uniqueId val="{00000008-3956-4F06-A1C8-4A53CBA2CF8D}"/>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45"/>
          <c:min val="0"/>
        </c:scaling>
        <c:delete val="0"/>
        <c:axPos val="l"/>
        <c:majorGridlines>
          <c:spPr>
            <a:ln w="6350">
              <a:solidFill>
                <a:schemeClr val="bg1">
                  <a:lumMod val="75000"/>
                </a:schemeClr>
              </a:solidFill>
            </a:ln>
          </c:spPr>
        </c:majorGridlines>
        <c:title>
          <c:tx>
            <c:rich>
              <a:bodyPr/>
              <a:lstStyle/>
              <a:p>
                <a:pPr>
                  <a:defRPr sz="700" b="0"/>
                </a:pPr>
                <a:r>
                  <a:rPr lang="cs-CZ" sz="700" b="0" i="1" u="none" strike="noStrike" baseline="0">
                    <a:effectLst/>
                  </a:rPr>
                  <a:t>Ostatní výdaje (v</a:t>
                </a:r>
                <a:r>
                  <a:rPr lang="cs-CZ" sz="700" b="0" i="1" u="none" strike="noStrike" kern="1200" baseline="0">
                    <a:solidFill>
                      <a:sysClr val="windowText" lastClr="000000"/>
                    </a:solidFill>
                    <a:effectLst/>
                    <a:latin typeface="Arial" panose="020B0604020202020204" pitchFamily="34" charset="0"/>
                    <a:ea typeface="+mn-ea"/>
                    <a:cs typeface="Arial" panose="020B0604020202020204" pitchFamily="34" charset="0"/>
                  </a:rPr>
                  <a:t> mld.</a:t>
                </a:r>
                <a:r>
                  <a:rPr lang="cs-CZ" sz="700" b="0" i="1" u="none" strike="noStrike" baseline="0">
                    <a:effectLst/>
                  </a:rPr>
                  <a:t> korun)</a:t>
                </a:r>
                <a:endParaRPr lang="cs-CZ" sz="700" b="0"/>
              </a:p>
            </c:rich>
          </c:tx>
          <c:layout/>
          <c:overlay val="0"/>
        </c:title>
        <c:numFmt formatCode="0" sourceLinked="0"/>
        <c:majorTickMark val="out"/>
        <c:minorTickMark val="none"/>
        <c:tickLblPos val="nextTo"/>
        <c:spPr>
          <a:ln w="6350">
            <a:solidFill>
              <a:schemeClr val="tx1"/>
            </a:solidFill>
          </a:ln>
        </c:spPr>
        <c:crossAx val="72827648"/>
        <c:crosses val="autoZero"/>
        <c:crossBetween val="between"/>
        <c:majorUnit val="5"/>
      </c:valAx>
      <c:valAx>
        <c:axId val="72835072"/>
        <c:scaling>
          <c:orientation val="minMax"/>
          <c:max val="450"/>
          <c:min val="0"/>
        </c:scaling>
        <c:delete val="0"/>
        <c:axPos val="r"/>
        <c:title>
          <c:tx>
            <c:rich>
              <a:bodyPr/>
              <a:lstStyle/>
              <a:p>
                <a:pPr>
                  <a:defRPr sz="700" b="0" i="1"/>
                </a:pPr>
                <a:r>
                  <a:rPr lang="cs-CZ" sz="700" b="0" i="1"/>
                  <a:t>Běžné</a:t>
                </a:r>
                <a:r>
                  <a:rPr lang="cs-CZ" sz="700" b="0" i="1" baseline="0"/>
                  <a:t> výdaje celkem (v</a:t>
                </a:r>
                <a:r>
                  <a:rPr lang="cs-CZ" sz="700" b="0" i="1" u="none" strike="noStrike" kern="1200" baseline="0">
                    <a:solidFill>
                      <a:sysClr val="windowText" lastClr="000000"/>
                    </a:solidFill>
                    <a:latin typeface="Arial" panose="020B0604020202020204" pitchFamily="34" charset="0"/>
                    <a:ea typeface="+mn-ea"/>
                    <a:cs typeface="Arial" panose="020B0604020202020204" pitchFamily="34" charset="0"/>
                  </a:rPr>
                  <a:t> mld.</a:t>
                </a:r>
                <a:r>
                  <a:rPr lang="cs-CZ" sz="700" b="0" i="1" baseline="0"/>
                  <a:t> korun)</a:t>
                </a:r>
                <a:endParaRPr lang="cs-CZ" sz="700" b="0" i="1"/>
              </a:p>
            </c:rich>
          </c:tx>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5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7.4619073571775774E-2"/>
          <c:y val="0.83055036538478355"/>
          <c:w val="0.82415013583096774"/>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CFB4-146A-4FA7-B0A9-E0AA376ACB97}">
  <ds:schemaRefs>
    <ds:schemaRef ds:uri="http://schemas.openxmlformats.org/officeDocument/2006/bibliography"/>
  </ds:schemaRefs>
</ds:datastoreItem>
</file>

<file path=customXml/itemProps2.xml><?xml version="1.0" encoding="utf-8"?>
<ds:datastoreItem xmlns:ds="http://schemas.openxmlformats.org/officeDocument/2006/customXml" ds:itemID="{9E887CCD-88A9-4723-9123-20CB617A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6</TotalTime>
  <Pages>4</Pages>
  <Words>1989</Words>
  <Characters>11202</Characters>
  <Application>Microsoft Office Word</Application>
  <DocSecurity>0</DocSecurity>
  <Lines>169</Lines>
  <Paragraphs>49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13142</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4</cp:revision>
  <cp:lastPrinted>2019-04-08T10:52:00Z</cp:lastPrinted>
  <dcterms:created xsi:type="dcterms:W3CDTF">2021-06-15T07:59:00Z</dcterms:created>
  <dcterms:modified xsi:type="dcterms:W3CDTF">2021-06-15T08:16:00Z</dcterms:modified>
</cp:coreProperties>
</file>