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7B62" w14:textId="15CA557F" w:rsidR="00867569" w:rsidRPr="00BD40CD" w:rsidRDefault="007F6239" w:rsidP="00E42E00">
      <w:pPr>
        <w:pStyle w:val="Datum"/>
      </w:pPr>
      <w:r w:rsidRPr="00BD40CD">
        <w:t>2</w:t>
      </w:r>
      <w:r w:rsidR="006929F3">
        <w:t>8</w:t>
      </w:r>
      <w:r w:rsidR="00F03815" w:rsidRPr="00BD40CD">
        <w:t>. </w:t>
      </w:r>
      <w:r w:rsidR="006929F3">
        <w:t>ledna</w:t>
      </w:r>
      <w:r w:rsidRPr="00BD40CD">
        <w:t xml:space="preserve"> 202</w:t>
      </w:r>
      <w:r w:rsidR="006929F3">
        <w:t>2</w:t>
      </w:r>
    </w:p>
    <w:p w14:paraId="0B263346" w14:textId="61412166"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3C094F" w:rsidRPr="00BD40CD">
        <w:t>3</w:t>
      </w:r>
      <w:r w:rsidRPr="00BD40CD">
        <w:t>.</w:t>
      </w:r>
      <w:r w:rsidR="00F03815" w:rsidRPr="00BD40CD">
        <w:t> čtvrtlet</w:t>
      </w:r>
      <w:r w:rsidRPr="00BD40CD">
        <w:t>í 202</w:t>
      </w:r>
      <w:r w:rsidR="00AD5C35" w:rsidRPr="00BD40CD">
        <w:t>1</w:t>
      </w:r>
    </w:p>
    <w:p w14:paraId="424C4183" w14:textId="25EAB8E7" w:rsidR="00B920DD" w:rsidRPr="00BD40CD" w:rsidRDefault="001A5571" w:rsidP="000302A6">
      <w:pPr>
        <w:pStyle w:val="Perex"/>
        <w:spacing w:after="120"/>
      </w:pPr>
      <w:r w:rsidRPr="00BD40CD">
        <w:t xml:space="preserve">Absence </w:t>
      </w:r>
      <w:r w:rsidR="00B920DD" w:rsidRPr="00BD40CD">
        <w:t xml:space="preserve">omezujících </w:t>
      </w:r>
      <w:r w:rsidR="003E3B40">
        <w:t xml:space="preserve">vládních protiepidemických </w:t>
      </w:r>
      <w:r w:rsidR="00B920DD" w:rsidRPr="00BD40CD">
        <w:t xml:space="preserve">opatření ve </w:t>
      </w:r>
      <w:r w:rsidRPr="00BD40CD">
        <w:t>3</w:t>
      </w:r>
      <w:r w:rsidR="00B920DD" w:rsidRPr="00BD40CD">
        <w:t>.</w:t>
      </w:r>
      <w:r w:rsidR="008C00A5" w:rsidRPr="00BD40CD">
        <w:t> čtvrtlet</w:t>
      </w:r>
      <w:r w:rsidR="00B920DD" w:rsidRPr="00BD40CD">
        <w:t xml:space="preserve">í </w:t>
      </w:r>
      <w:r w:rsidRPr="00BD40CD">
        <w:t xml:space="preserve">napomohla rozvoji obchodu </w:t>
      </w:r>
      <w:r w:rsidR="000F6E26" w:rsidRPr="00BD40CD">
        <w:t>a</w:t>
      </w:r>
      <w:r w:rsidR="000F6E26">
        <w:t> </w:t>
      </w:r>
      <w:r w:rsidRPr="00BD40CD">
        <w:t>služeb, na druhé straně ale přetrvávající problémy s dodávkami komponent v průmyslu vedly k</w:t>
      </w:r>
      <w:r w:rsidR="00A93025" w:rsidRPr="00BD40CD">
        <w:t xml:space="preserve"> celkové </w:t>
      </w:r>
      <w:r w:rsidRPr="00BD40CD">
        <w:t>mezičtvrtletní stagnaci hrubé přidané hodnoty nefinančních podniků. Ve 3.</w:t>
      </w:r>
      <w:r w:rsidR="00A93025" w:rsidRPr="00BD40CD">
        <w:t> čtvrtletí</w:t>
      </w:r>
      <w:r w:rsidRPr="00BD40CD">
        <w:t xml:space="preserve"> </w:t>
      </w:r>
      <w:r w:rsidR="00A93025" w:rsidRPr="00BD40CD">
        <w:t xml:space="preserve">stále </w:t>
      </w:r>
      <w:r w:rsidRPr="00BD40CD">
        <w:t>silně rostla spotře</w:t>
      </w:r>
      <w:r w:rsidR="00B920DD" w:rsidRPr="00BD40CD">
        <w:t>b</w:t>
      </w:r>
      <w:r w:rsidRPr="00BD40CD">
        <w:t xml:space="preserve">a domácností. Razantně </w:t>
      </w:r>
      <w:r w:rsidR="00A93025" w:rsidRPr="00BD40CD">
        <w:t xml:space="preserve">tak </w:t>
      </w:r>
      <w:r w:rsidRPr="00BD40CD">
        <w:t xml:space="preserve">poklesla </w:t>
      </w:r>
      <w:r w:rsidR="006B5A01">
        <w:t>míra jejich</w:t>
      </w:r>
      <w:r w:rsidRPr="00BD40CD">
        <w:t xml:space="preserve"> úspor, která byla v předchozím roce </w:t>
      </w:r>
      <w:r w:rsidR="000F6E26" w:rsidRPr="00BD40CD">
        <w:t>a</w:t>
      </w:r>
      <w:r w:rsidR="000F6E26">
        <w:t> </w:t>
      </w:r>
      <w:r w:rsidRPr="00BD40CD">
        <w:t>půl rekordně zvýšená. V</w:t>
      </w:r>
      <w:r w:rsidR="001A6821" w:rsidRPr="00BD40CD">
        <w:t xml:space="preserve">ládní instituce </w:t>
      </w:r>
      <w:r w:rsidRPr="00BD40CD">
        <w:t>stále</w:t>
      </w:r>
      <w:r w:rsidR="001A6821" w:rsidRPr="00BD40CD">
        <w:t xml:space="preserve"> hospodařily s</w:t>
      </w:r>
      <w:r w:rsidRPr="00BD40CD">
        <w:t xml:space="preserve"> výrazným </w:t>
      </w:r>
      <w:r w:rsidR="001A6821" w:rsidRPr="00BD40CD">
        <w:t>deficitem</w:t>
      </w:r>
      <w:r w:rsidR="00A93025" w:rsidRPr="00BD40CD">
        <w:t xml:space="preserve">, </w:t>
      </w:r>
      <w:r w:rsidR="000F6E26" w:rsidRPr="00BD40CD">
        <w:t>i</w:t>
      </w:r>
      <w:r w:rsidR="000F6E26">
        <w:t> </w:t>
      </w:r>
      <w:r w:rsidR="00A93025" w:rsidRPr="00BD40CD">
        <w:t>když se zmírnil tlak na výdaje spojené s řešením dopadů pandemie</w:t>
      </w:r>
      <w:r w:rsidR="001A6821" w:rsidRPr="00BD40CD">
        <w:t>.</w:t>
      </w:r>
    </w:p>
    <w:p w14:paraId="284FBAAC" w14:textId="5B1D34A7" w:rsidR="00066E38" w:rsidRPr="00BD40CD" w:rsidRDefault="008F35E4" w:rsidP="000302A6">
      <w:pPr>
        <w:pStyle w:val="Nadpis1"/>
        <w:spacing w:after="120"/>
      </w:pPr>
      <w:r w:rsidRPr="00BD40CD">
        <w:t>Nefinanční podniky</w:t>
      </w:r>
    </w:p>
    <w:p w14:paraId="6D3D5DDA" w14:textId="3ED6E98B" w:rsidR="00A0276F" w:rsidRPr="00BD40CD" w:rsidRDefault="005A37E0" w:rsidP="009F7FD8">
      <w:pPr>
        <w:spacing w:after="120"/>
      </w:pPr>
      <w:r w:rsidRPr="00BD40CD">
        <w:t>Ve 3.</w:t>
      </w:r>
      <w:r w:rsidR="003D21DB">
        <w:t> čtvrtlet</w:t>
      </w:r>
      <w:r w:rsidRPr="00BD40CD">
        <w:t>í 2021 českou ekonomiku neomezovala žádná protiepidemická opatření. Podmínky byly srovnatelné s</w:t>
      </w:r>
      <w:r w:rsidR="00600E0E">
        <w:t xml:space="preserve">e </w:t>
      </w:r>
      <w:r w:rsidRPr="00BD40CD">
        <w:t>3.</w:t>
      </w:r>
      <w:r w:rsidR="003D21DB">
        <w:t> čtvrtlet</w:t>
      </w:r>
      <w:r w:rsidRPr="00BD40CD">
        <w:t>ím 2020</w:t>
      </w:r>
      <w:r w:rsidR="00631512" w:rsidRPr="00BD40CD">
        <w:t>.</w:t>
      </w:r>
      <w:r w:rsidRPr="00BD40CD">
        <w:t xml:space="preserve"> Na počátku 2.</w:t>
      </w:r>
      <w:r w:rsidR="003D21DB">
        <w:t> čtvrtlet</w:t>
      </w:r>
      <w:r w:rsidRPr="00BD40CD">
        <w:t xml:space="preserve">í 2021 ještě omezení služeb </w:t>
      </w:r>
      <w:r w:rsidR="000F6E26" w:rsidRPr="00BD40CD">
        <w:t>a</w:t>
      </w:r>
      <w:r w:rsidR="000F6E26">
        <w:t> </w:t>
      </w:r>
      <w:r w:rsidRPr="00BD40CD">
        <w:t xml:space="preserve">obchodu platila, </w:t>
      </w:r>
      <w:r w:rsidR="00631512" w:rsidRPr="00BD40CD">
        <w:t>takže mezičtvrtletní srovnání je tímto zčásti ovlivněno.</w:t>
      </w:r>
      <w:r w:rsidR="00971D38" w:rsidRPr="00BD40CD">
        <w:t xml:space="preserve"> Zatímco služby </w:t>
      </w:r>
      <w:r w:rsidR="000F6E26" w:rsidRPr="00BD40CD">
        <w:t>a</w:t>
      </w:r>
      <w:r w:rsidR="000F6E26">
        <w:t> </w:t>
      </w:r>
      <w:r w:rsidR="00971D38" w:rsidRPr="00BD40CD">
        <w:t xml:space="preserve">obchod se ve 3. čtvrtletí zotavovaly, </w:t>
      </w:r>
      <w:r w:rsidR="000F6E26" w:rsidRPr="00BD40CD">
        <w:t>u</w:t>
      </w:r>
      <w:r w:rsidR="000F6E26">
        <w:t> </w:t>
      </w:r>
      <w:r w:rsidR="00971D38" w:rsidRPr="00BD40CD">
        <w:t>průmyslu (zejména ve výrobě motorových vozidel) vrcholily problémy s nedostatkem součástek, které narušily výrobu. Hrubá přidaná hodnota (HPH) nefinančních podniků (NP)</w:t>
      </w:r>
      <w:r w:rsidR="00B66166" w:rsidRPr="00BD40CD">
        <w:t xml:space="preserve"> meziročně vzrostla </w:t>
      </w:r>
      <w:r w:rsidR="000F6E26" w:rsidRPr="00BD40CD">
        <w:t>o</w:t>
      </w:r>
      <w:r w:rsidR="000F6E26">
        <w:t> </w:t>
      </w:r>
      <w:r w:rsidR="00B66166" w:rsidRPr="00BD40CD">
        <w:t>58,1</w:t>
      </w:r>
      <w:r w:rsidR="003D21DB">
        <w:t> mld</w:t>
      </w:r>
      <w:r w:rsidR="00B66166" w:rsidRPr="00BD40CD">
        <w:t>. korun</w:t>
      </w:r>
      <w:r w:rsidR="00B66166" w:rsidRPr="00BD40CD">
        <w:rPr>
          <w:rStyle w:val="Znakapoznpodarou"/>
        </w:rPr>
        <w:footnoteReference w:id="1"/>
      </w:r>
      <w:r w:rsidR="00B66166" w:rsidRPr="00BD40CD">
        <w:t>. Vzhledem k velmi silnému růstu cenové hladiny byl reálný přírůstek poměrně mírný (2,5</w:t>
      </w:r>
      <w:r w:rsidR="00BD40CD">
        <w:t> %</w:t>
      </w:r>
      <w:r w:rsidR="00B66166" w:rsidRPr="00BD40CD">
        <w:t>)</w:t>
      </w:r>
      <w:r w:rsidR="00B66166" w:rsidRPr="00BD40CD">
        <w:rPr>
          <w:rStyle w:val="Znakapoznpodarou"/>
          <w:spacing w:val="-2"/>
        </w:rPr>
        <w:footnoteReference w:id="2"/>
      </w:r>
      <w:r w:rsidR="00B66166" w:rsidRPr="00BD40CD">
        <w:t xml:space="preserve">. Sezónně očištěné údaje ukázaly na mezičtvrtletní stagnaci </w:t>
      </w:r>
      <w:r w:rsidR="00A0276F" w:rsidRPr="00BD40CD">
        <w:t>HPH nefinančních podniků</w:t>
      </w:r>
      <w:r w:rsidR="00B66166" w:rsidRPr="00BD40CD">
        <w:t xml:space="preserve"> (</w:t>
      </w:r>
      <w:r w:rsidR="00A0276F" w:rsidRPr="00BD40CD">
        <w:t>+0,4</w:t>
      </w:r>
      <w:r w:rsidR="003D21DB">
        <w:t> mld</w:t>
      </w:r>
      <w:r w:rsidR="00A0276F" w:rsidRPr="00BD40CD">
        <w:t>. korun</w:t>
      </w:r>
      <w:r w:rsidR="00B66166" w:rsidRPr="00BD40CD">
        <w:t>)</w:t>
      </w:r>
      <w:r w:rsidR="00A0276F" w:rsidRPr="00BD40CD">
        <w:t>.</w:t>
      </w:r>
    </w:p>
    <w:p w14:paraId="1E347E01" w14:textId="170DCEDC" w:rsidR="00F0005E" w:rsidRPr="00BD40CD" w:rsidRDefault="000F6E26" w:rsidP="009F7FD8">
      <w:pPr>
        <w:spacing w:after="120"/>
      </w:pPr>
      <w:r w:rsidRPr="00BD40CD">
        <w:t>I</w:t>
      </w:r>
      <w:r>
        <w:t> </w:t>
      </w:r>
      <w:r w:rsidR="00A0276F" w:rsidRPr="00BD40CD">
        <w:t>ve 3.</w:t>
      </w:r>
      <w:r w:rsidR="003D21DB">
        <w:t> čtvrtlet</w:t>
      </w:r>
      <w:r w:rsidR="00A0276F" w:rsidRPr="00BD40CD">
        <w:t>í v sektoru NP meziročně rostla zaměstnanost (1,0</w:t>
      </w:r>
      <w:r w:rsidR="00BD40CD">
        <w:t> %</w:t>
      </w:r>
      <w:r w:rsidR="00A0276F" w:rsidRPr="00BD40CD">
        <w:t>)</w:t>
      </w:r>
      <w:r w:rsidR="00A0276F" w:rsidRPr="00BD40CD">
        <w:rPr>
          <w:rStyle w:val="Znakapoznpodarou"/>
        </w:rPr>
        <w:footnoteReference w:id="3"/>
      </w:r>
      <w:r w:rsidR="00A0276F" w:rsidRPr="00BD40CD">
        <w:t xml:space="preserve">. V absolutních číslech ale zaměstnanost setrvávala pod úrovní stejného období let </w:t>
      </w:r>
      <w:r w:rsidR="00C91009" w:rsidRPr="00BD40CD">
        <w:t xml:space="preserve">2019 </w:t>
      </w:r>
      <w:r w:rsidRPr="00BD40CD">
        <w:t>i</w:t>
      </w:r>
      <w:r>
        <w:t> </w:t>
      </w:r>
      <w:r w:rsidR="00C91009" w:rsidRPr="00BD40CD">
        <w:t>2018. Meziroční nárůst objemu vyplacených náhrad zaměstnancům dosáhl 44,6</w:t>
      </w:r>
      <w:r w:rsidR="003D21DB">
        <w:t> mld</w:t>
      </w:r>
      <w:r w:rsidR="00C91009" w:rsidRPr="00BD40CD">
        <w:t>. korun (10,1</w:t>
      </w:r>
      <w:r w:rsidR="00BD40CD">
        <w:t> %</w:t>
      </w:r>
      <w:r w:rsidR="00C91009" w:rsidRPr="00BD40CD">
        <w:t xml:space="preserve">) </w:t>
      </w:r>
      <w:r w:rsidRPr="00BD40CD">
        <w:t>a</w:t>
      </w:r>
      <w:r>
        <w:t> </w:t>
      </w:r>
      <w:r w:rsidR="00C91009" w:rsidRPr="00BD40CD">
        <w:t xml:space="preserve">udržel se tak na podobné úrovni jako v předchozím kvartálu. </w:t>
      </w:r>
      <w:r w:rsidR="001C6AAC" w:rsidRPr="00BD40CD">
        <w:t xml:space="preserve">Objem samotných mezd </w:t>
      </w:r>
      <w:r w:rsidRPr="00BD40CD">
        <w:t>a</w:t>
      </w:r>
      <w:r>
        <w:t> </w:t>
      </w:r>
      <w:r w:rsidR="001C6AAC" w:rsidRPr="00BD40CD">
        <w:t xml:space="preserve">platů, které NP vyplatily, se zvýšil </w:t>
      </w:r>
      <w:r w:rsidRPr="00BD40CD">
        <w:t>o</w:t>
      </w:r>
      <w:r>
        <w:t> </w:t>
      </w:r>
      <w:r w:rsidR="001C6AAC" w:rsidRPr="00BD40CD">
        <w:t>28,2</w:t>
      </w:r>
      <w:r w:rsidR="003D21DB">
        <w:t> mld</w:t>
      </w:r>
      <w:r w:rsidR="001C6AAC" w:rsidRPr="00BD40CD">
        <w:t>. (8,2</w:t>
      </w:r>
      <w:r w:rsidR="00BD40CD">
        <w:t> %</w:t>
      </w:r>
      <w:r w:rsidR="001C6AAC" w:rsidRPr="00BD40CD">
        <w:t>)</w:t>
      </w:r>
      <w:r w:rsidR="0037363B">
        <w:t>, zčásti šlo ale</w:t>
      </w:r>
      <w:r w:rsidR="0037363B" w:rsidRPr="00BD40CD">
        <w:t xml:space="preserve"> </w:t>
      </w:r>
      <w:r w:rsidRPr="00BD40CD">
        <w:t>o</w:t>
      </w:r>
      <w:r>
        <w:t> </w:t>
      </w:r>
      <w:r w:rsidR="00936D58" w:rsidRPr="00BD40CD">
        <w:t xml:space="preserve">projev nižší srovnávací základny. Poměrně velký meziroční nárůst sociálních příspěvků zaměstnavatelů (17,2 %) byl ovlivněn nízkou základnou 3. čtvrtletí 2020 (malým podnikům byly tyto platby odpuštěny). </w:t>
      </w:r>
      <w:r w:rsidR="00497031" w:rsidRPr="00BD40CD">
        <w:t>Oproti předchozímu čtvrtletí se (sezónně očištěný) objem náhrad zaměstnancům zvýšil o 9,3 mld. korun (1,9 %). Ve formě dotací obdržely nefinanční podniky 11,4</w:t>
      </w:r>
      <w:r w:rsidR="003D21DB">
        <w:t> mld</w:t>
      </w:r>
      <w:r w:rsidR="00497031" w:rsidRPr="00BD40CD">
        <w:t xml:space="preserve">. korun, což bylo meziročně </w:t>
      </w:r>
      <w:r w:rsidRPr="00BD40CD">
        <w:t>o</w:t>
      </w:r>
      <w:r>
        <w:t> </w:t>
      </w:r>
      <w:r w:rsidR="00497031" w:rsidRPr="00BD40CD">
        <w:t>2,7</w:t>
      </w:r>
      <w:r w:rsidR="003D21DB">
        <w:t> mld</w:t>
      </w:r>
      <w:r w:rsidR="00497031" w:rsidRPr="00BD40CD">
        <w:t>. více. Dotace byly vyšší, než je obvyklá úroveň v tomto kvartálu, ale oproti 1.</w:t>
      </w:r>
      <w:r w:rsidR="003F43E5">
        <w:t> pololet</w:t>
      </w:r>
      <w:r w:rsidR="00497031" w:rsidRPr="00BD40CD">
        <w:t>í, kdy podniky využívaly různé podpůrné programy</w:t>
      </w:r>
      <w:r w:rsidR="00497031" w:rsidRPr="00BD40CD">
        <w:rPr>
          <w:rStyle w:val="Znakapoznpodarou"/>
        </w:rPr>
        <w:footnoteReference w:id="4"/>
      </w:r>
      <w:r w:rsidR="00497031" w:rsidRPr="00BD40CD">
        <w:t>, výrazně klesly</w:t>
      </w:r>
      <w:r w:rsidR="00F0005E" w:rsidRPr="00BD40CD">
        <w:t>.</w:t>
      </w:r>
    </w:p>
    <w:p w14:paraId="4F864ED9" w14:textId="030BB0D4" w:rsidR="00FF7B39" w:rsidRPr="00BD40CD" w:rsidRDefault="00F91278" w:rsidP="00B1299C">
      <w:pPr>
        <w:spacing w:after="120"/>
        <w:rPr>
          <w:highlight w:val="yellow"/>
        </w:rPr>
      </w:pPr>
      <w:r w:rsidRPr="00BD40CD">
        <w:t>Hrubý provozní přebytek byl ve 3.</w:t>
      </w:r>
      <w:r w:rsidR="003D21DB">
        <w:t> čtvrtlet</w:t>
      </w:r>
      <w:r w:rsidRPr="00BD40CD">
        <w:t xml:space="preserve">í meziročně vyšší </w:t>
      </w:r>
      <w:r w:rsidR="000F6E26" w:rsidRPr="00BD40CD">
        <w:t>o</w:t>
      </w:r>
      <w:r w:rsidR="000F6E26">
        <w:t> </w:t>
      </w:r>
      <w:r w:rsidRPr="00BD40CD">
        <w:t>16,0</w:t>
      </w:r>
      <w:r w:rsidR="003D21DB">
        <w:t> mld</w:t>
      </w:r>
      <w:r w:rsidRPr="00BD40CD">
        <w:t xml:space="preserve">. korun </w:t>
      </w:r>
      <w:r w:rsidR="000F6E26" w:rsidRPr="00BD40CD">
        <w:t>a</w:t>
      </w:r>
      <w:r w:rsidR="000F6E26">
        <w:t> </w:t>
      </w:r>
      <w:r w:rsidRPr="00BD40CD">
        <w:t>dosáhl 392,6</w:t>
      </w:r>
      <w:r w:rsidR="003D21DB">
        <w:t> mld</w:t>
      </w:r>
      <w:r w:rsidRPr="00BD40CD">
        <w:t>.</w:t>
      </w:r>
      <w:r w:rsidR="001D11FD" w:rsidRPr="00BD40CD">
        <w:t xml:space="preserve"> Mezičtvrtletně ale (sezónně očištěný) hrubý provozní přebytek</w:t>
      </w:r>
      <w:r w:rsidR="005523EC" w:rsidRPr="00BD40CD">
        <w:t xml:space="preserve"> klesl </w:t>
      </w:r>
      <w:r w:rsidR="000F6E26" w:rsidRPr="00BD40CD">
        <w:t>o</w:t>
      </w:r>
      <w:r w:rsidR="000F6E26">
        <w:t> </w:t>
      </w:r>
      <w:r w:rsidR="005523EC" w:rsidRPr="00BD40CD">
        <w:t>8,5</w:t>
      </w:r>
      <w:r w:rsidR="003D21DB">
        <w:t> mld</w:t>
      </w:r>
      <w:r w:rsidR="005523EC" w:rsidRPr="00BD40CD">
        <w:t>. korun, což je výsledek stagnace HPH za současného pokračujícího nárůstu mzdových nákladů.</w:t>
      </w:r>
      <w:r w:rsidR="0086334D" w:rsidRPr="00BD40CD">
        <w:t xml:space="preserve"> </w:t>
      </w:r>
      <w:r w:rsidR="0076719B" w:rsidRPr="00BD40CD">
        <w:t xml:space="preserve">Výsledná míra </w:t>
      </w:r>
      <w:r w:rsidR="0076719B" w:rsidRPr="00BD40CD">
        <w:lastRenderedPageBreak/>
        <w:t>zisku</w:t>
      </w:r>
      <w:r w:rsidR="00687BBE" w:rsidRPr="00BD40CD">
        <w:t> </w:t>
      </w:r>
      <w:r w:rsidR="008538A7" w:rsidRPr="00BD40CD">
        <w:t>NP</w:t>
      </w:r>
      <w:r w:rsidR="0076719B" w:rsidRPr="00BD40CD">
        <w:rPr>
          <w:rStyle w:val="Znakapoznpodarou"/>
        </w:rPr>
        <w:footnoteReference w:id="5"/>
      </w:r>
      <w:r w:rsidR="0076719B" w:rsidRPr="00BD40CD">
        <w:t xml:space="preserve"> </w:t>
      </w:r>
      <w:r w:rsidR="00FF7B39" w:rsidRPr="00BD40CD">
        <w:t>se</w:t>
      </w:r>
      <w:r w:rsidR="004943E1" w:rsidRPr="00BD40CD">
        <w:t xml:space="preserve"> </w:t>
      </w:r>
      <w:r w:rsidR="0076719B" w:rsidRPr="00BD40CD">
        <w:t xml:space="preserve">mezičtvrtletně </w:t>
      </w:r>
      <w:r w:rsidR="00B351F5" w:rsidRPr="00BD40CD">
        <w:t>snížila</w:t>
      </w:r>
      <w:r w:rsidR="0076719B" w:rsidRPr="00BD40CD">
        <w:t xml:space="preserve"> </w:t>
      </w:r>
      <w:r w:rsidR="00EF788F" w:rsidRPr="00BD40CD">
        <w:t>o </w:t>
      </w:r>
      <w:r w:rsidR="0086334D" w:rsidRPr="00BD40CD">
        <w:t>1,0</w:t>
      </w:r>
      <w:r w:rsidR="00B13907" w:rsidRPr="00BD40CD">
        <w:t> p. b.</w:t>
      </w:r>
      <w:r w:rsidR="0076719B" w:rsidRPr="00BD40CD">
        <w:t xml:space="preserve"> na 4</w:t>
      </w:r>
      <w:r w:rsidR="0086334D" w:rsidRPr="00BD40CD">
        <w:t>5,1</w:t>
      </w:r>
      <w:r w:rsidR="00B13907" w:rsidRPr="00BD40CD">
        <w:t> %</w:t>
      </w:r>
      <w:r w:rsidR="0076719B" w:rsidRPr="00BD40CD">
        <w:t xml:space="preserve"> (</w:t>
      </w:r>
      <w:r w:rsidR="002F19E2" w:rsidRPr="00BD40CD">
        <w:t>sezónně očištěno</w:t>
      </w:r>
      <w:r w:rsidR="0076719B" w:rsidRPr="00BD40CD">
        <w:t>)</w:t>
      </w:r>
      <w:r w:rsidR="0086334D" w:rsidRPr="00BD40CD">
        <w:t xml:space="preserve"> </w:t>
      </w:r>
      <w:r w:rsidR="000F6E26" w:rsidRPr="00BD40CD">
        <w:t>a</w:t>
      </w:r>
      <w:r w:rsidR="000F6E26">
        <w:t> </w:t>
      </w:r>
      <w:r w:rsidR="0086334D" w:rsidRPr="00BD40CD">
        <w:t>vrátila se na úroveň před rokem 2020.</w:t>
      </w:r>
      <w:r w:rsidR="002F19E2" w:rsidRPr="00BD40CD">
        <w:t xml:space="preserve"> Meziročně míra zisku </w:t>
      </w:r>
      <w:r w:rsidR="0086334D" w:rsidRPr="00BD40CD">
        <w:t>klesla</w:t>
      </w:r>
      <w:r w:rsidR="002F19E2" w:rsidRPr="00BD40CD">
        <w:t xml:space="preserve"> </w:t>
      </w:r>
      <w:r w:rsidR="00EF788F" w:rsidRPr="00BD40CD">
        <w:t>o </w:t>
      </w:r>
      <w:r w:rsidR="0086334D" w:rsidRPr="00BD40CD">
        <w:t>1,3</w:t>
      </w:r>
      <w:r w:rsidR="00EF788F" w:rsidRPr="00BD40CD">
        <w:t> </w:t>
      </w:r>
      <w:r w:rsidR="002F19E2" w:rsidRPr="00BD40CD">
        <w:t>p.</w:t>
      </w:r>
      <w:r w:rsidR="004943E1" w:rsidRPr="00BD40CD">
        <w:t> </w:t>
      </w:r>
      <w:r w:rsidR="002F19E2" w:rsidRPr="00BD40CD">
        <w:t>b. (sezónně neočištěno).</w:t>
      </w:r>
    </w:p>
    <w:p w14:paraId="3A1FC6F0" w14:textId="2994E0F1" w:rsidR="007B7E54" w:rsidRPr="00BD40CD" w:rsidRDefault="007F6239" w:rsidP="007B7E54">
      <w:pPr>
        <w:pStyle w:val="TabulkaGraf"/>
        <w:jc w:val="both"/>
      </w:pPr>
      <w:r w:rsidRPr="00BD40CD">
        <w:t>G</w:t>
      </w:r>
      <w:r w:rsidR="002E6F00" w:rsidRPr="00BD40CD">
        <w:t>raf </w:t>
      </w:r>
      <w:r w:rsidRPr="00BD40CD">
        <w:t xml:space="preserve">1: Meziroční nominální přírůstek HPH </w:t>
      </w:r>
      <w:r w:rsidR="00F03815" w:rsidRPr="00BD40CD">
        <w:t>a </w:t>
      </w:r>
      <w:r w:rsidRPr="00BD40CD">
        <w:t>náhrad zaměstnancům (v</w:t>
      </w:r>
      <w:r w:rsidR="00840938" w:rsidRPr="00BD40CD">
        <w:t> mld.</w:t>
      </w:r>
      <w:r w:rsidRPr="00BD40CD">
        <w:t xml:space="preserve"> korun), míra zisku (sezónně očištěno, v</w:t>
      </w:r>
      <w:r w:rsidR="00840938" w:rsidRPr="00BD40CD">
        <w:t> %</w:t>
      </w:r>
      <w:r w:rsidRPr="00BD40CD">
        <w:t>)</w:t>
      </w:r>
    </w:p>
    <w:p w14:paraId="54DDBBA8" w14:textId="498DF94F" w:rsidR="007B7E54" w:rsidRPr="00BD40CD" w:rsidRDefault="0086334D" w:rsidP="007B7E54">
      <w:pPr>
        <w:pStyle w:val="TabulkaGraf"/>
        <w:jc w:val="center"/>
        <w:rPr>
          <w:b w:val="0"/>
          <w:bCs w:val="0"/>
          <w:highlight w:val="yellow"/>
        </w:rPr>
      </w:pPr>
      <w:r w:rsidRPr="00BD40CD">
        <w:rPr>
          <w:noProof/>
          <w:lang w:eastAsia="cs-CZ"/>
        </w:rPr>
        <w:drawing>
          <wp:inline distT="0" distB="0" distL="0" distR="0" wp14:anchorId="6CD92129" wp14:editId="52E891BE">
            <wp:extent cx="4737600" cy="3060000"/>
            <wp:effectExtent l="0" t="0" r="6350" b="762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01FAE64" w:rsidR="00941335" w:rsidRPr="00BD40CD" w:rsidRDefault="00941335" w:rsidP="009F7FD8">
      <w:pPr>
        <w:spacing w:after="120"/>
      </w:pPr>
      <w:r w:rsidRPr="00BD40CD">
        <w:t>Zdroj: ČSÚ, národní účty</w:t>
      </w:r>
    </w:p>
    <w:p w14:paraId="68AFAAD7" w14:textId="60CCBFB8" w:rsidR="00121123" w:rsidRPr="00BD40CD" w:rsidRDefault="00A33E60" w:rsidP="009F7FD8">
      <w:pPr>
        <w:spacing w:after="120"/>
      </w:pPr>
      <w:r w:rsidRPr="00BD40CD">
        <w:t>Deficit salda důchodů z vlastnictví NP</w:t>
      </w:r>
      <w:r w:rsidR="00C510FD" w:rsidRPr="00BD40CD">
        <w:t xml:space="preserve"> se ve 3.</w:t>
      </w:r>
      <w:r w:rsidR="003D21DB">
        <w:t> čtvrtlet</w:t>
      </w:r>
      <w:r w:rsidR="00C510FD" w:rsidRPr="00BD40CD">
        <w:t xml:space="preserve">í 2021 meziročně prohloubil </w:t>
      </w:r>
      <w:r w:rsidR="000F6E26" w:rsidRPr="00BD40CD">
        <w:t>o</w:t>
      </w:r>
      <w:r w:rsidR="000F6E26">
        <w:t> </w:t>
      </w:r>
      <w:r w:rsidR="00C510FD" w:rsidRPr="00BD40CD">
        <w:t>28,0</w:t>
      </w:r>
      <w:r w:rsidR="003D21DB">
        <w:t> mld</w:t>
      </w:r>
      <w:r w:rsidR="00C510FD" w:rsidRPr="00BD40CD">
        <w:t>. korun na 97,7</w:t>
      </w:r>
      <w:r w:rsidR="003D21DB">
        <w:t> mld</w:t>
      </w:r>
      <w:r w:rsidR="00C510FD" w:rsidRPr="00BD40CD">
        <w:t xml:space="preserve">. </w:t>
      </w:r>
      <w:r w:rsidR="000771E3" w:rsidRPr="00BD40CD">
        <w:t xml:space="preserve">Na propadu se podílela </w:t>
      </w:r>
      <w:r w:rsidR="000F6E26" w:rsidRPr="00BD40CD">
        <w:t>i</w:t>
      </w:r>
      <w:r w:rsidR="000F6E26">
        <w:t> </w:t>
      </w:r>
      <w:r w:rsidR="000771E3" w:rsidRPr="00BD40CD">
        <w:t>výjimečná situace roku 202</w:t>
      </w:r>
      <w:r w:rsidR="003F43E5" w:rsidRPr="00BD40CD">
        <w:t>0</w:t>
      </w:r>
      <w:r w:rsidR="003F43E5">
        <w:t> </w:t>
      </w:r>
      <w:r w:rsidR="000771E3" w:rsidRPr="00BD40CD">
        <w:t>– ve 3.</w:t>
      </w:r>
      <w:r w:rsidR="003D21DB">
        <w:t> čtvrtlet</w:t>
      </w:r>
      <w:r w:rsidR="000771E3" w:rsidRPr="00BD40CD">
        <w:t xml:space="preserve">í nedošlo k tak velkému odlivu důchodů, </w:t>
      </w:r>
      <w:r w:rsidR="00102EAC">
        <w:t>jaký</w:t>
      </w:r>
      <w:r w:rsidR="00102EAC" w:rsidRPr="00BD40CD">
        <w:t xml:space="preserve"> </w:t>
      </w:r>
      <w:r w:rsidR="000771E3" w:rsidRPr="00BD40CD">
        <w:t xml:space="preserve">byl v tomto období v předchozích letech </w:t>
      </w:r>
      <w:r w:rsidR="00102EAC" w:rsidRPr="00BD40CD">
        <w:t>obvykl</w:t>
      </w:r>
      <w:r w:rsidR="00102EAC">
        <w:t>ý</w:t>
      </w:r>
      <w:r w:rsidR="000771E3" w:rsidRPr="00BD40CD">
        <w:t xml:space="preserve">. S výjimkou roku 2020 byl ale </w:t>
      </w:r>
      <w:r w:rsidR="00102EAC">
        <w:t xml:space="preserve">deficit za 3. čtvrtletí roku 2021 </w:t>
      </w:r>
      <w:r w:rsidR="000771E3" w:rsidRPr="00BD40CD">
        <w:t>nejmírnější od roku 2013.</w:t>
      </w:r>
      <w:r w:rsidR="00D11FF5" w:rsidRPr="00BD40CD">
        <w:t xml:space="preserve"> Na straně zdrojů došlo k meziročnímu navýšení důchodů z vlastnictví </w:t>
      </w:r>
      <w:r w:rsidR="000F6E26" w:rsidRPr="00BD40CD">
        <w:t>o</w:t>
      </w:r>
      <w:r w:rsidR="000F6E26">
        <w:t> </w:t>
      </w:r>
      <w:r w:rsidR="00D11FF5" w:rsidRPr="00BD40CD">
        <w:t>8,9</w:t>
      </w:r>
      <w:r w:rsidR="003D21DB">
        <w:t> mld</w:t>
      </w:r>
      <w:r w:rsidR="00D11FF5" w:rsidRPr="00BD40CD">
        <w:t xml:space="preserve">. korun, z toho se úroky zvýšily </w:t>
      </w:r>
      <w:r w:rsidR="000F6E26" w:rsidRPr="00BD40CD">
        <w:t>o</w:t>
      </w:r>
      <w:r w:rsidR="000F6E26">
        <w:t> </w:t>
      </w:r>
      <w:r w:rsidR="00D11FF5" w:rsidRPr="00BD40CD">
        <w:t>4,4</w:t>
      </w:r>
      <w:r w:rsidR="003D21DB">
        <w:t> mld</w:t>
      </w:r>
      <w:r w:rsidR="00D11FF5" w:rsidRPr="00BD40CD">
        <w:t xml:space="preserve">. </w:t>
      </w:r>
      <w:r w:rsidR="000F6E26" w:rsidRPr="00BD40CD">
        <w:t>a</w:t>
      </w:r>
      <w:r w:rsidR="000F6E26">
        <w:t> </w:t>
      </w:r>
      <w:r w:rsidR="00D11FF5" w:rsidRPr="00BD40CD">
        <w:t xml:space="preserve">rozdělované důchody společností </w:t>
      </w:r>
      <w:r w:rsidR="000F6E26" w:rsidRPr="00BD40CD">
        <w:t>o</w:t>
      </w:r>
      <w:r w:rsidR="000F6E26">
        <w:t> </w:t>
      </w:r>
      <w:r w:rsidR="00D11FF5" w:rsidRPr="00BD40CD">
        <w:t>3,1</w:t>
      </w:r>
      <w:r w:rsidR="003D21DB">
        <w:t> mld</w:t>
      </w:r>
      <w:r w:rsidR="00D11FF5" w:rsidRPr="00BD40CD">
        <w:t xml:space="preserve">. Objem vyplacených důchodů z vlastnictví byl meziročně </w:t>
      </w:r>
      <w:r w:rsidR="000F6E26" w:rsidRPr="00BD40CD">
        <w:t>o</w:t>
      </w:r>
      <w:r w:rsidR="000F6E26">
        <w:t> </w:t>
      </w:r>
      <w:r w:rsidR="00D11FF5" w:rsidRPr="00BD40CD">
        <w:t>36,9</w:t>
      </w:r>
      <w:r w:rsidR="003D21DB">
        <w:t> mld</w:t>
      </w:r>
      <w:r w:rsidR="00D11FF5" w:rsidRPr="00BD40CD">
        <w:t>.</w:t>
      </w:r>
      <w:r w:rsidR="00CB5EA3" w:rsidRPr="00BD40CD">
        <w:t xml:space="preserve"> korun</w:t>
      </w:r>
      <w:r w:rsidR="00D11FF5" w:rsidRPr="00BD40CD">
        <w:t xml:space="preserve"> vyšší</w:t>
      </w:r>
      <w:r w:rsidR="00CB5EA3" w:rsidRPr="00BD40CD">
        <w:t xml:space="preserve">, přičemž rozdělované důchody společností </w:t>
      </w:r>
      <w:r w:rsidR="00102EAC" w:rsidRPr="00BD40CD">
        <w:t xml:space="preserve">se </w:t>
      </w:r>
      <w:r w:rsidR="00CB5EA3" w:rsidRPr="00BD40CD">
        <w:t xml:space="preserve">zvýšily </w:t>
      </w:r>
      <w:r w:rsidR="000F6E26" w:rsidRPr="00BD40CD">
        <w:t>o</w:t>
      </w:r>
      <w:r w:rsidR="000F6E26">
        <w:t> </w:t>
      </w:r>
      <w:r w:rsidR="00CB5EA3" w:rsidRPr="00BD40CD">
        <w:t xml:space="preserve">47,7 mld., zatímco reinvestované zisky klesly </w:t>
      </w:r>
      <w:r w:rsidR="000F6E26" w:rsidRPr="00BD40CD">
        <w:t>o</w:t>
      </w:r>
      <w:r w:rsidR="000F6E26">
        <w:t> </w:t>
      </w:r>
      <w:r w:rsidR="00CB5EA3" w:rsidRPr="00BD40CD">
        <w:t>12,7</w:t>
      </w:r>
      <w:r w:rsidR="003D21DB">
        <w:t> mld</w:t>
      </w:r>
      <w:r w:rsidR="00CB5EA3" w:rsidRPr="00BD40CD">
        <w:t>.</w:t>
      </w:r>
    </w:p>
    <w:p w14:paraId="0343CC9F" w14:textId="553B65C2" w:rsidR="00DD6C3A" w:rsidRPr="00BD40CD" w:rsidRDefault="00270CE3" w:rsidP="009F7FD8">
      <w:pPr>
        <w:spacing w:after="120"/>
      </w:pPr>
      <w:r w:rsidRPr="00BD40CD">
        <w:t>Záporné saldo druhotných důchodů se ve 3.</w:t>
      </w:r>
      <w:r w:rsidR="003D21DB">
        <w:t> čtvrtlet</w:t>
      </w:r>
      <w:r w:rsidRPr="00BD40CD">
        <w:t xml:space="preserve">í 2021 meziročně zmírnilo </w:t>
      </w:r>
      <w:r w:rsidR="000F6E26" w:rsidRPr="00BD40CD">
        <w:t>o</w:t>
      </w:r>
      <w:r w:rsidR="000F6E26">
        <w:t> </w:t>
      </w:r>
      <w:r w:rsidR="00B26BED" w:rsidRPr="00BD40CD">
        <w:t>11,6</w:t>
      </w:r>
      <w:r w:rsidR="003D21DB">
        <w:t> mld</w:t>
      </w:r>
      <w:r w:rsidR="00B26BED" w:rsidRPr="00BD40CD">
        <w:t>. korun na 36,3</w:t>
      </w:r>
      <w:r w:rsidR="003D21DB">
        <w:t> mld</w:t>
      </w:r>
      <w:r w:rsidR="00B26BED" w:rsidRPr="00BD40CD">
        <w:t>.</w:t>
      </w:r>
      <w:r w:rsidR="00121D14" w:rsidRPr="00BD40CD">
        <w:t xml:space="preserve"> Stál za tím zejména propad běžných daní z důchodů </w:t>
      </w:r>
      <w:r w:rsidR="000F6E26" w:rsidRPr="00BD40CD">
        <w:t>a</w:t>
      </w:r>
      <w:r w:rsidR="000F6E26">
        <w:t> </w:t>
      </w:r>
      <w:r w:rsidR="00121D14" w:rsidRPr="00BD40CD">
        <w:t>jmění zaplacených NP</w:t>
      </w:r>
      <w:r w:rsidR="001A5758">
        <w:t>, a to</w:t>
      </w:r>
      <w:r w:rsidR="00121D14" w:rsidRPr="00BD40CD">
        <w:t xml:space="preserve"> </w:t>
      </w:r>
      <w:r w:rsidR="000F6E26" w:rsidRPr="00BD40CD">
        <w:t>o</w:t>
      </w:r>
      <w:r w:rsidR="000F6E26">
        <w:t> </w:t>
      </w:r>
      <w:r w:rsidR="00121D14" w:rsidRPr="00BD40CD">
        <w:t xml:space="preserve">12,4 mld. korun. Ostatní </w:t>
      </w:r>
      <w:r w:rsidR="001A5758">
        <w:t xml:space="preserve">vyplacené </w:t>
      </w:r>
      <w:r w:rsidR="00121D14" w:rsidRPr="00BD40CD">
        <w:t>běžné transfery se meziročně téměř nezměnily (+0,6</w:t>
      </w:r>
      <w:r w:rsidR="003D21DB">
        <w:t> mld</w:t>
      </w:r>
      <w:r w:rsidR="00121D14" w:rsidRPr="00BD40CD">
        <w:t>. korun).</w:t>
      </w:r>
      <w:r w:rsidR="004153B8" w:rsidRPr="00BD40CD">
        <w:t xml:space="preserve"> Ostatní běžné transfery, které podniky obdržely, se také </w:t>
      </w:r>
      <w:r w:rsidR="001A5758">
        <w:t xml:space="preserve">meziročně výrazněji </w:t>
      </w:r>
      <w:r w:rsidR="004153B8" w:rsidRPr="00BD40CD">
        <w:t>nezměnil</w:t>
      </w:r>
      <w:r w:rsidR="001A5758">
        <w:t>y</w:t>
      </w:r>
      <w:r w:rsidR="004153B8" w:rsidRPr="00BD40CD">
        <w:t xml:space="preserve"> </w:t>
      </w:r>
      <w:r w:rsidR="001A5758">
        <w:br/>
      </w:r>
      <w:r w:rsidR="004153B8" w:rsidRPr="00BD40CD">
        <w:t>(</w:t>
      </w:r>
      <w:r w:rsidR="003F43E5">
        <w:t>–</w:t>
      </w:r>
      <w:r w:rsidR="004153B8" w:rsidRPr="00BD40CD">
        <w:t>0,2</w:t>
      </w:r>
      <w:r w:rsidR="003D21DB">
        <w:t> mld</w:t>
      </w:r>
      <w:r w:rsidR="004153B8" w:rsidRPr="00BD40CD">
        <w:t>. korun). Obdržené prostředky z podpůrných programů nadále mírně zvyšovaly položku sociálních příspěvků nad její obvyklou úroveň, ale na saldo vliv neměly</w:t>
      </w:r>
      <w:r w:rsidR="004153B8" w:rsidRPr="00BD40CD">
        <w:rPr>
          <w:rStyle w:val="Znakapoznpodarou"/>
        </w:rPr>
        <w:footnoteReference w:id="6"/>
      </w:r>
      <w:r w:rsidR="004153B8" w:rsidRPr="00BD40CD">
        <w:t>.</w:t>
      </w:r>
      <w:r w:rsidR="00BA6BD0" w:rsidRPr="00BD40CD">
        <w:t xml:space="preserve"> Hrubé úspory NP dosáhly 258,6 mld. korun, což bylo téměř </w:t>
      </w:r>
      <w:r w:rsidR="00E3189B">
        <w:t>shodně</w:t>
      </w:r>
      <w:r w:rsidR="00E3189B" w:rsidRPr="00BD40CD">
        <w:t xml:space="preserve"> </w:t>
      </w:r>
      <w:r w:rsidR="00BA6BD0" w:rsidRPr="00BD40CD">
        <w:t xml:space="preserve">jako ve stejném období roku 2020. </w:t>
      </w:r>
      <w:r w:rsidR="00E0186F" w:rsidRPr="00BD40CD">
        <w:t xml:space="preserve">Míra </w:t>
      </w:r>
      <w:r w:rsidR="00E0186F" w:rsidRPr="00BD40CD">
        <w:lastRenderedPageBreak/>
        <w:t>úspor</w:t>
      </w:r>
      <w:r w:rsidR="00CF1E81" w:rsidRPr="00BD40CD">
        <w:t> </w:t>
      </w:r>
      <w:r w:rsidR="00E0186F" w:rsidRPr="00BD40CD">
        <w:t>NP</w:t>
      </w:r>
      <w:r w:rsidR="00E0186F" w:rsidRPr="00BD40CD">
        <w:rPr>
          <w:rStyle w:val="Znakapoznpodarou"/>
        </w:rPr>
        <w:footnoteReference w:id="7"/>
      </w:r>
      <w:r w:rsidR="00E0186F" w:rsidRPr="00BD40CD">
        <w:t xml:space="preserve"> </w:t>
      </w:r>
      <w:r w:rsidR="009A3ACE" w:rsidRPr="00BD40CD">
        <w:t>dosáhla 29,6</w:t>
      </w:r>
      <w:r w:rsidR="00BD40CD">
        <w:t> %</w:t>
      </w:r>
      <w:r w:rsidR="009A3ACE" w:rsidRPr="00BD40CD">
        <w:t xml:space="preserve">, což bylo meziročně méně </w:t>
      </w:r>
      <w:r w:rsidR="000F6E26" w:rsidRPr="00BD40CD">
        <w:t>o</w:t>
      </w:r>
      <w:r w:rsidR="000F6E26">
        <w:t> </w:t>
      </w:r>
      <w:r w:rsidR="009A3ACE" w:rsidRPr="00BD40CD">
        <w:t>2,2</w:t>
      </w:r>
      <w:r w:rsidR="00B13907" w:rsidRPr="00BD40CD">
        <w:t> p. b.</w:t>
      </w:r>
      <w:r w:rsidR="00DD6C3A" w:rsidRPr="00BD40CD">
        <w:t xml:space="preserve"> </w:t>
      </w:r>
      <w:r w:rsidR="009A3ACE" w:rsidRPr="00BD40CD">
        <w:t>Ve s</w:t>
      </w:r>
      <w:r w:rsidR="00DD6C3A" w:rsidRPr="00BD40CD">
        <w:t xml:space="preserve">rovnání se stejným obdobím </w:t>
      </w:r>
      <w:r w:rsidR="008C00A5" w:rsidRPr="00BD40CD">
        <w:t>z </w:t>
      </w:r>
      <w:r w:rsidR="00DD6C3A" w:rsidRPr="00BD40CD">
        <w:t xml:space="preserve">minulých let </w:t>
      </w:r>
      <w:r w:rsidR="009A3ACE" w:rsidRPr="00BD40CD">
        <w:t>byla</w:t>
      </w:r>
      <w:r w:rsidR="00DD6C3A" w:rsidRPr="00BD40CD">
        <w:t xml:space="preserve"> míra úspor za </w:t>
      </w:r>
      <w:r w:rsidR="009A3ACE" w:rsidRPr="00BD40CD">
        <w:t>3</w:t>
      </w:r>
      <w:r w:rsidR="00DD6C3A" w:rsidRPr="00BD40CD">
        <w:t>.</w:t>
      </w:r>
      <w:r w:rsidR="008C00A5" w:rsidRPr="00BD40CD">
        <w:t> čtvrtlet</w:t>
      </w:r>
      <w:r w:rsidR="00DD6C3A" w:rsidRPr="00BD40CD">
        <w:t xml:space="preserve">í </w:t>
      </w:r>
      <w:r w:rsidR="005357DB">
        <w:t xml:space="preserve">2021 </w:t>
      </w:r>
      <w:r w:rsidR="009A3ACE" w:rsidRPr="00BD40CD">
        <w:t xml:space="preserve">stále </w:t>
      </w:r>
      <w:r w:rsidR="0023363B">
        <w:t>mimořádně</w:t>
      </w:r>
      <w:r w:rsidR="009A3ACE" w:rsidRPr="00BD40CD">
        <w:t xml:space="preserve"> vysoká</w:t>
      </w:r>
      <w:r w:rsidR="00DD6C3A" w:rsidRPr="00BD40CD">
        <w:t>.</w:t>
      </w:r>
    </w:p>
    <w:p w14:paraId="3E756D4D" w14:textId="62BBB8F6" w:rsidR="00EF788F" w:rsidRPr="00BD40CD" w:rsidRDefault="00374EF6" w:rsidP="009F7FD8">
      <w:pPr>
        <w:spacing w:after="120"/>
      </w:pPr>
      <w:r w:rsidRPr="00BD40CD">
        <w:t>Nefinanční podniky obdržely v</w:t>
      </w:r>
      <w:r w:rsidR="005F603D" w:rsidRPr="00BD40CD">
        <w:t>e</w:t>
      </w:r>
      <w:r w:rsidR="00EA3AFD" w:rsidRPr="00BD40CD">
        <w:t xml:space="preserve"> </w:t>
      </w:r>
      <w:r w:rsidR="0000044B" w:rsidRPr="00BD40CD">
        <w:t>3</w:t>
      </w:r>
      <w:r w:rsidRPr="00BD40CD">
        <w:t>.</w:t>
      </w:r>
      <w:r w:rsidR="00B13907" w:rsidRPr="00BD40CD">
        <w:t> čtvrtlet</w:t>
      </w:r>
      <w:r w:rsidRPr="00BD40CD">
        <w:t xml:space="preserve">í </w:t>
      </w:r>
      <w:r w:rsidR="005F603D" w:rsidRPr="00BD40CD">
        <w:t>9,</w:t>
      </w:r>
      <w:r w:rsidR="0000044B" w:rsidRPr="00BD40CD">
        <w:t>3</w:t>
      </w:r>
      <w:r w:rsidR="00B13907" w:rsidRPr="00BD40CD">
        <w:t> mld.</w:t>
      </w:r>
      <w:r w:rsidRPr="00BD40CD">
        <w:t xml:space="preserve"> korun ve formě kapitálových transferů. To je meziročně </w:t>
      </w:r>
      <w:r w:rsidR="00EF788F" w:rsidRPr="00BD40CD">
        <w:t>o </w:t>
      </w:r>
      <w:r w:rsidR="005F603D" w:rsidRPr="00BD40CD">
        <w:t>0,</w:t>
      </w:r>
      <w:r w:rsidR="0000044B" w:rsidRPr="00BD40CD">
        <w:t>4</w:t>
      </w:r>
      <w:r w:rsidR="00B13907" w:rsidRPr="00BD40CD">
        <w:t> mld.</w:t>
      </w:r>
      <w:r w:rsidRPr="00BD40CD">
        <w:t xml:space="preserve"> </w:t>
      </w:r>
      <w:r w:rsidR="0000044B" w:rsidRPr="00BD40CD">
        <w:t>méně</w:t>
      </w:r>
      <w:r w:rsidRPr="00BD40CD">
        <w:t xml:space="preserve">. </w:t>
      </w:r>
      <w:r w:rsidR="005F603D" w:rsidRPr="00BD40CD">
        <w:t xml:space="preserve">Z toho investiční dotace činily </w:t>
      </w:r>
      <w:r w:rsidR="0000044B" w:rsidRPr="00BD40CD">
        <w:t>5,9</w:t>
      </w:r>
      <w:r w:rsidR="008C00A5" w:rsidRPr="00BD40CD">
        <w:t> mld.</w:t>
      </w:r>
      <w:r w:rsidR="005F603D" w:rsidRPr="00BD40CD">
        <w:t xml:space="preserve"> korun, zatímco ostatní kapitálové transfery dosáhly </w:t>
      </w:r>
      <w:r w:rsidR="0000044B" w:rsidRPr="00BD40CD">
        <w:t>3,4</w:t>
      </w:r>
      <w:r w:rsidR="008C00A5" w:rsidRPr="00BD40CD">
        <w:t> mld.</w:t>
      </w:r>
      <w:r w:rsidR="005F603D" w:rsidRPr="00BD40CD">
        <w:t xml:space="preserve"> </w:t>
      </w:r>
      <w:r w:rsidR="00F50BF2" w:rsidRPr="00BD40CD">
        <w:t xml:space="preserve">Investiční aktivita NP ukazuje na problémy, které přetrvávají navzdory ekonomickému oživení. </w:t>
      </w:r>
      <w:r w:rsidR="000B090E" w:rsidRPr="00BD40CD">
        <w:t xml:space="preserve">Podle sezónně očištěných údajů výdaje na tvorbu hrubého fixního kapitálu NP </w:t>
      </w:r>
      <w:r w:rsidR="008C00A5" w:rsidRPr="00BD40CD">
        <w:t xml:space="preserve">mezičtvrtletně </w:t>
      </w:r>
      <w:r w:rsidR="0000044B" w:rsidRPr="00BD40CD">
        <w:t xml:space="preserve">klesly </w:t>
      </w:r>
      <w:r w:rsidR="008C00A5" w:rsidRPr="00BD40CD">
        <w:t>o </w:t>
      </w:r>
      <w:r w:rsidR="00F50BF2" w:rsidRPr="00BD40CD">
        <w:t>6,2</w:t>
      </w:r>
      <w:r w:rsidR="008C00A5" w:rsidRPr="00BD40CD">
        <w:t> mld.</w:t>
      </w:r>
      <w:r w:rsidR="000B090E" w:rsidRPr="00BD40CD">
        <w:t xml:space="preserve"> korun. </w:t>
      </w:r>
      <w:r w:rsidR="00F50BF2" w:rsidRPr="00BD40CD">
        <w:t>Za loňským 3.</w:t>
      </w:r>
      <w:r w:rsidR="003F43E5">
        <w:t> kvartál</w:t>
      </w:r>
      <w:r w:rsidR="00F50BF2" w:rsidRPr="00BD40CD">
        <w:t xml:space="preserve">em investice zaostávaly </w:t>
      </w:r>
      <w:r w:rsidR="000F6E26" w:rsidRPr="00BD40CD">
        <w:t>o</w:t>
      </w:r>
      <w:r w:rsidR="000F6E26">
        <w:t> </w:t>
      </w:r>
      <w:r w:rsidR="00F50BF2" w:rsidRPr="00BD40CD">
        <w:t>1,4</w:t>
      </w:r>
      <w:r w:rsidR="003D21DB">
        <w:t> mld</w:t>
      </w:r>
      <w:r w:rsidR="00F50BF2" w:rsidRPr="00BD40CD">
        <w:t xml:space="preserve">. korun. Výsledkem </w:t>
      </w:r>
      <w:r w:rsidR="000507CF" w:rsidRPr="00BD40CD">
        <w:t>zbr</w:t>
      </w:r>
      <w:r w:rsidR="000507CF">
        <w:t>z</w:t>
      </w:r>
      <w:r w:rsidR="000507CF" w:rsidRPr="00BD40CD">
        <w:t xml:space="preserve">děné </w:t>
      </w:r>
      <w:r w:rsidR="00F50BF2" w:rsidRPr="00BD40CD">
        <w:t xml:space="preserve">investiční aktivity je </w:t>
      </w:r>
      <w:r w:rsidR="000F6E26" w:rsidRPr="00BD40CD">
        <w:t>i</w:t>
      </w:r>
      <w:r w:rsidR="000F6E26">
        <w:t> </w:t>
      </w:r>
      <w:r w:rsidR="006C2E9D" w:rsidRPr="00BD40CD">
        <w:t>mezičtvrtletní pokles m</w:t>
      </w:r>
      <w:r w:rsidR="00850AAD" w:rsidRPr="00BD40CD">
        <w:t>ír</w:t>
      </w:r>
      <w:r w:rsidR="006C2E9D" w:rsidRPr="00BD40CD">
        <w:t>y</w:t>
      </w:r>
      <w:r w:rsidR="00850AAD" w:rsidRPr="00BD40CD">
        <w:t xml:space="preserve"> investic</w:t>
      </w:r>
      <w:r w:rsidR="00850AAD" w:rsidRPr="00BD40CD">
        <w:rPr>
          <w:rStyle w:val="Znakapoznpodarou"/>
        </w:rPr>
        <w:footnoteReference w:id="8"/>
      </w:r>
      <w:r w:rsidR="00F50BF2" w:rsidRPr="00BD40CD">
        <w:t xml:space="preserve"> </w:t>
      </w:r>
      <w:r w:rsidR="008C00A5" w:rsidRPr="00BD40CD">
        <w:t>o </w:t>
      </w:r>
      <w:r w:rsidR="006177EB" w:rsidRPr="00BD40CD">
        <w:t>0,</w:t>
      </w:r>
      <w:r w:rsidR="00F50BF2" w:rsidRPr="00BD40CD">
        <w:t>7</w:t>
      </w:r>
      <w:r w:rsidR="006177EB" w:rsidRPr="00BD40CD">
        <w:t> p.</w:t>
      </w:r>
      <w:r w:rsidR="00B13907" w:rsidRPr="00BD40CD">
        <w:t> b.</w:t>
      </w:r>
      <w:r w:rsidR="00850AAD" w:rsidRPr="00BD40CD">
        <w:t xml:space="preserve"> na 2</w:t>
      </w:r>
      <w:r w:rsidR="00F50BF2" w:rsidRPr="00BD40CD">
        <w:t>5,7</w:t>
      </w:r>
      <w:r w:rsidR="00B13907" w:rsidRPr="00BD40CD">
        <w:t> %</w:t>
      </w:r>
      <w:r w:rsidR="00850AAD" w:rsidRPr="00BD40CD">
        <w:t xml:space="preserve"> (sezónně očištěno)</w:t>
      </w:r>
      <w:r w:rsidR="006C2E9D" w:rsidRPr="00BD40CD">
        <w:t>.</w:t>
      </w:r>
      <w:r w:rsidR="00850AAD" w:rsidRPr="00BD40CD">
        <w:t xml:space="preserve"> Meziročně </w:t>
      </w:r>
      <w:r w:rsidR="00FD6DEA" w:rsidRPr="00BD40CD">
        <w:t>byla m</w:t>
      </w:r>
      <w:r w:rsidR="00850AAD" w:rsidRPr="00BD40CD">
        <w:t xml:space="preserve">íra investic (neočištěná) </w:t>
      </w:r>
      <w:r w:rsidR="00FD6DEA" w:rsidRPr="00BD40CD">
        <w:t>nižší</w:t>
      </w:r>
      <w:r w:rsidR="00850AAD" w:rsidRPr="00BD40CD">
        <w:t xml:space="preserve"> </w:t>
      </w:r>
      <w:r w:rsidR="00EF788F" w:rsidRPr="00BD40CD">
        <w:t>o </w:t>
      </w:r>
      <w:r w:rsidR="006C2E9D" w:rsidRPr="00BD40CD">
        <w:t>2,0</w:t>
      </w:r>
      <w:r w:rsidR="00B13907" w:rsidRPr="00BD40CD">
        <w:t> p. b.</w:t>
      </w:r>
    </w:p>
    <w:p w14:paraId="551D4C2E" w14:textId="2A5949EA" w:rsidR="0050641C" w:rsidRPr="00BD40CD" w:rsidRDefault="009F7FD8" w:rsidP="000302A6">
      <w:pPr>
        <w:pStyle w:val="TabulkaGraf"/>
        <w:spacing w:after="120"/>
      </w:pPr>
      <w:r w:rsidRPr="00BD40CD">
        <w:t>G</w:t>
      </w:r>
      <w:r w:rsidR="002E6F00" w:rsidRPr="00BD40CD">
        <w:t>raf </w:t>
      </w:r>
      <w:r w:rsidR="0050641C" w:rsidRPr="00BD40CD">
        <w:t>2: Meziroční nominální přírůstek tvorby hrubého fixního kapitálu (v</w:t>
      </w:r>
      <w:r w:rsidR="00840938" w:rsidRPr="00BD40CD">
        <w:t> mld.</w:t>
      </w:r>
      <w:r w:rsidR="0050641C" w:rsidRPr="00BD40CD">
        <w:t xml:space="preserve"> korun) </w:t>
      </w:r>
      <w:r w:rsidR="00F03815" w:rsidRPr="00BD40CD">
        <w:t>a </w:t>
      </w:r>
      <w:r w:rsidR="0050641C" w:rsidRPr="00BD40CD">
        <w:t>míra investic (sezónně očištěno, v</w:t>
      </w:r>
      <w:r w:rsidR="00840938" w:rsidRPr="00BD40CD">
        <w:t> %</w:t>
      </w:r>
      <w:r w:rsidR="0050641C" w:rsidRPr="00BD40CD">
        <w:t>)</w:t>
      </w:r>
    </w:p>
    <w:p w14:paraId="2423C116" w14:textId="3FBB0367" w:rsidR="007B7E54" w:rsidRPr="00BD40CD" w:rsidRDefault="00F174C2" w:rsidP="009F7FD8">
      <w:pPr>
        <w:jc w:val="center"/>
      </w:pPr>
      <w:r w:rsidRPr="00BD40CD">
        <w:rPr>
          <w:noProof/>
        </w:rPr>
        <w:drawing>
          <wp:inline distT="0" distB="0" distL="0" distR="0" wp14:anchorId="2199CB5F" wp14:editId="453DFFD1">
            <wp:extent cx="4743950" cy="2910775"/>
            <wp:effectExtent l="0" t="0" r="0" b="444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7145A9" w14:textId="43A617D7" w:rsidR="00D60BAF" w:rsidRPr="00BD40CD" w:rsidRDefault="00941335" w:rsidP="00702D2D">
      <w:pPr>
        <w:spacing w:after="240"/>
        <w:rPr>
          <w:rFonts w:eastAsia="Times New Roman"/>
          <w:b/>
          <w:bCs/>
          <w:szCs w:val="28"/>
          <w:highlight w:val="yellow"/>
        </w:rPr>
      </w:pPr>
      <w:r w:rsidRPr="00BD40CD">
        <w:t>Zdroj: ČSÚ, národní účty</w:t>
      </w:r>
    </w:p>
    <w:p w14:paraId="260BC134" w14:textId="77777777" w:rsidR="00B20F58" w:rsidRPr="00BD40CD" w:rsidRDefault="00B20F58">
      <w:pPr>
        <w:spacing w:line="240" w:lineRule="auto"/>
        <w:jc w:val="left"/>
        <w:rPr>
          <w:rFonts w:eastAsia="Times New Roman"/>
          <w:b/>
          <w:bCs/>
          <w:szCs w:val="28"/>
        </w:rPr>
      </w:pPr>
      <w:r w:rsidRPr="00BD40CD">
        <w:br w:type="page"/>
      </w:r>
    </w:p>
    <w:p w14:paraId="7BF2286A" w14:textId="519D9937" w:rsidR="00F50CEF" w:rsidRPr="00BD40CD" w:rsidRDefault="00F50CEF" w:rsidP="000302A6">
      <w:pPr>
        <w:pStyle w:val="Nadpis1"/>
        <w:spacing w:after="120"/>
      </w:pPr>
      <w:r w:rsidRPr="00BD40CD">
        <w:lastRenderedPageBreak/>
        <w:t>Vládní instituce</w:t>
      </w:r>
    </w:p>
    <w:p w14:paraId="7DC3C845" w14:textId="362D4418" w:rsidR="00393900" w:rsidRPr="00BD40CD" w:rsidRDefault="00AE3964" w:rsidP="009F7FD8">
      <w:pPr>
        <w:spacing w:after="120"/>
      </w:pPr>
      <w:r w:rsidRPr="00BD40CD">
        <w:t>Hospodaření sektoru vládních institucí (VI)</w:t>
      </w:r>
      <w:r w:rsidR="003C1B23" w:rsidRPr="00BD40CD">
        <w:t xml:space="preserve"> ve 3.</w:t>
      </w:r>
      <w:r w:rsidR="003D21DB">
        <w:t> čtvrtlet</w:t>
      </w:r>
      <w:r w:rsidR="003C1B23" w:rsidRPr="00BD40CD">
        <w:t>í 2021 skončilo v deficitu 42,7</w:t>
      </w:r>
      <w:r w:rsidR="003D21DB">
        <w:t> mld</w:t>
      </w:r>
      <w:r w:rsidR="003C1B23" w:rsidRPr="00BD40CD">
        <w:t>. korun</w:t>
      </w:r>
      <w:r w:rsidR="00393900" w:rsidRPr="00BD40CD">
        <w:t xml:space="preserve">. Záporné saldo se </w:t>
      </w:r>
      <w:r w:rsidR="003C1B23" w:rsidRPr="00BD40CD">
        <w:t>meziročně mírně zhoršil</w:t>
      </w:r>
      <w:r w:rsidR="00393900" w:rsidRPr="00BD40CD">
        <w:t>o</w:t>
      </w:r>
      <w:r w:rsidR="003C1B23" w:rsidRPr="00BD40CD">
        <w:t xml:space="preserve"> </w:t>
      </w:r>
      <w:r w:rsidR="000F6E26" w:rsidRPr="00BD40CD">
        <w:t>o</w:t>
      </w:r>
      <w:r w:rsidR="000F6E26">
        <w:t> </w:t>
      </w:r>
      <w:r w:rsidR="003C1B23" w:rsidRPr="00BD40CD">
        <w:t>2,0</w:t>
      </w:r>
      <w:r w:rsidR="003D21DB">
        <w:t> mld</w:t>
      </w:r>
      <w:r w:rsidR="003C1B23" w:rsidRPr="00BD40CD">
        <w:t>.</w:t>
      </w:r>
      <w:r w:rsidR="00393900" w:rsidRPr="00BD40CD">
        <w:t xml:space="preserve"> </w:t>
      </w:r>
      <w:r w:rsidR="00A1071A" w:rsidRPr="00BD40CD">
        <w:t xml:space="preserve">Příznivý vývoj ekonomiky byl spojen s poměrně výrazným růstem příjmů, silnou dynamiku si ale držela </w:t>
      </w:r>
      <w:r w:rsidR="000F6E26" w:rsidRPr="00BD40CD">
        <w:t>i</w:t>
      </w:r>
      <w:r w:rsidR="000F6E26">
        <w:t> </w:t>
      </w:r>
      <w:r w:rsidR="00A1071A" w:rsidRPr="00BD40CD">
        <w:t>výdajová strana, což přispělo k dalšímu deficitu. V období let 2014–2019 bylo ve 3.</w:t>
      </w:r>
      <w:r w:rsidR="003F43E5">
        <w:t> kvartál</w:t>
      </w:r>
      <w:r w:rsidR="00A1071A" w:rsidRPr="00BD40CD">
        <w:t>u vždy dosaženo přebytku hospodaření.</w:t>
      </w:r>
    </w:p>
    <w:p w14:paraId="4948D54D" w14:textId="0EE1592E" w:rsidR="00AB5CFD" w:rsidRPr="00BD40CD" w:rsidRDefault="006B1FB1" w:rsidP="009F7FD8">
      <w:pPr>
        <w:spacing w:after="120"/>
      </w:pPr>
      <w:r w:rsidRPr="00BD40CD">
        <w:t>Příjmy VI ve 3.</w:t>
      </w:r>
      <w:r w:rsidR="003D21DB">
        <w:t> čtvrtlet</w:t>
      </w:r>
      <w:r w:rsidRPr="00BD40CD">
        <w:t xml:space="preserve">í meziročně vzrostly </w:t>
      </w:r>
      <w:r w:rsidR="000F6E26" w:rsidRPr="00BD40CD">
        <w:t>o</w:t>
      </w:r>
      <w:r w:rsidR="000F6E26">
        <w:t> </w:t>
      </w:r>
      <w:r w:rsidRPr="00BD40CD">
        <w:t>37,4</w:t>
      </w:r>
      <w:r w:rsidR="003D21DB">
        <w:t> mld</w:t>
      </w:r>
      <w:r w:rsidRPr="00BD40CD">
        <w:t>. korun (6,3</w:t>
      </w:r>
      <w:r w:rsidR="00BD40CD">
        <w:t> %</w:t>
      </w:r>
      <w:r w:rsidRPr="00BD40CD">
        <w:t>) na 630,6</w:t>
      </w:r>
      <w:r w:rsidR="003D21DB">
        <w:t> mld</w:t>
      </w:r>
      <w:r w:rsidRPr="00BD40CD">
        <w:t>. Pohyby na příjmové straně hospodaření byly</w:t>
      </w:r>
      <w:r w:rsidR="00462BD9" w:rsidRPr="00BD40CD">
        <w:t xml:space="preserve"> </w:t>
      </w:r>
      <w:r w:rsidRPr="00BD40CD">
        <w:t xml:space="preserve">ovlivněny daňovými změnami </w:t>
      </w:r>
      <w:r w:rsidR="000F6E26" w:rsidRPr="00BD40CD">
        <w:t>i</w:t>
      </w:r>
      <w:r w:rsidR="000F6E26">
        <w:t> </w:t>
      </w:r>
      <w:r w:rsidRPr="00BD40CD">
        <w:t>stabilizačními</w:t>
      </w:r>
      <w:r w:rsidR="003E3B40">
        <w:t xml:space="preserve"> vládními</w:t>
      </w:r>
      <w:r w:rsidRPr="00BD40CD">
        <w:t xml:space="preserve"> opatřeními, která platila v roce 2020. Nejvíce k růstu příjmů přispívaly přijaté sociální příspěvky</w:t>
      </w:r>
      <w:r w:rsidR="00462BD9" w:rsidRPr="00BD40CD">
        <w:t xml:space="preserve"> (+34,0</w:t>
      </w:r>
      <w:r w:rsidR="003D21DB">
        <w:t> mld</w:t>
      </w:r>
      <w:r w:rsidR="00462BD9" w:rsidRPr="00BD40CD">
        <w:t xml:space="preserve">. korun), </w:t>
      </w:r>
      <w:r w:rsidR="000F6E26" w:rsidRPr="00BD40CD">
        <w:t>u</w:t>
      </w:r>
      <w:r w:rsidR="000F6E26">
        <w:t> </w:t>
      </w:r>
      <w:r w:rsidR="00462BD9" w:rsidRPr="00BD40CD">
        <w:t>kterých se zčásti projevila slabší základna 3.</w:t>
      </w:r>
      <w:r w:rsidR="003D21DB">
        <w:t> čtvrtlet</w:t>
      </w:r>
      <w:r w:rsidR="00462BD9" w:rsidRPr="00BD40CD">
        <w:t xml:space="preserve">í 2020, kdy byly </w:t>
      </w:r>
      <w:r w:rsidR="0049203F">
        <w:t xml:space="preserve">OSVČ </w:t>
      </w:r>
      <w:r w:rsidR="0049203F" w:rsidRPr="00BD40CD">
        <w:t>platby</w:t>
      </w:r>
      <w:r w:rsidR="00462BD9" w:rsidRPr="00BD40CD">
        <w:t xml:space="preserve"> odpuštěny. Příjmy VI podpořil </w:t>
      </w:r>
      <w:r w:rsidR="000F6E26" w:rsidRPr="00BD40CD">
        <w:t>i</w:t>
      </w:r>
      <w:r w:rsidR="000F6E26">
        <w:t> </w:t>
      </w:r>
      <w:r w:rsidR="00462BD9" w:rsidRPr="00BD40CD">
        <w:t xml:space="preserve">růst přijatých daní z výroby </w:t>
      </w:r>
      <w:r w:rsidR="000F6E26" w:rsidRPr="00BD40CD">
        <w:t>a</w:t>
      </w:r>
      <w:r w:rsidR="000F6E26">
        <w:t> </w:t>
      </w:r>
      <w:r w:rsidR="00462BD9" w:rsidRPr="00BD40CD">
        <w:t>dovozu (+16,4</w:t>
      </w:r>
      <w:r w:rsidR="003D21DB">
        <w:t> mld</w:t>
      </w:r>
      <w:r w:rsidR="00462BD9" w:rsidRPr="00BD40CD">
        <w:t xml:space="preserve">. korun) </w:t>
      </w:r>
      <w:r w:rsidR="000F6E26" w:rsidRPr="00BD40CD">
        <w:t>a</w:t>
      </w:r>
      <w:r w:rsidR="000F6E26">
        <w:t> </w:t>
      </w:r>
      <w:r w:rsidR="00462BD9" w:rsidRPr="00BD40CD">
        <w:t>zvýšení hodnoty tržní produkce</w:t>
      </w:r>
      <w:r w:rsidR="00AB5CFD" w:rsidRPr="00BD40CD">
        <w:t xml:space="preserve"> (+6,6</w:t>
      </w:r>
      <w:r w:rsidR="003D21DB">
        <w:t> mld</w:t>
      </w:r>
      <w:r w:rsidR="00AB5CFD" w:rsidRPr="00BD40CD">
        <w:t>.)</w:t>
      </w:r>
      <w:r w:rsidR="00462BD9" w:rsidRPr="00BD40CD">
        <w:t>.</w:t>
      </w:r>
      <w:r w:rsidR="00AB5CFD" w:rsidRPr="00BD40CD">
        <w:t xml:space="preserve"> Mírně narostly </w:t>
      </w:r>
      <w:r w:rsidR="000F6E26" w:rsidRPr="00BD40CD">
        <w:t>i</w:t>
      </w:r>
      <w:r w:rsidR="000F6E26">
        <w:t> </w:t>
      </w:r>
      <w:r w:rsidR="00AB5CFD" w:rsidRPr="00BD40CD">
        <w:t>přijaté kapitálové transfery (+2,5</w:t>
      </w:r>
      <w:r w:rsidR="003D21DB">
        <w:t> mld</w:t>
      </w:r>
      <w:r w:rsidR="00AB5CFD" w:rsidRPr="00BD40CD">
        <w:t xml:space="preserve">. korun). Naopak se </w:t>
      </w:r>
      <w:r w:rsidR="003E3B40">
        <w:t xml:space="preserve">značně </w:t>
      </w:r>
      <w:r w:rsidR="00AB5CFD" w:rsidRPr="00BD40CD">
        <w:t xml:space="preserve">propadaly přijaté běžné daně z důchodů </w:t>
      </w:r>
      <w:r w:rsidR="000F6E26" w:rsidRPr="00BD40CD">
        <w:t>a</w:t>
      </w:r>
      <w:r w:rsidR="000F6E26">
        <w:t> </w:t>
      </w:r>
      <w:r w:rsidR="00AB5CFD" w:rsidRPr="00BD40CD">
        <w:t>jmění (</w:t>
      </w:r>
      <w:r w:rsidR="003F43E5">
        <w:t>–</w:t>
      </w:r>
      <w:r w:rsidR="00AB5CFD" w:rsidRPr="00BD40CD">
        <w:t>23,1</w:t>
      </w:r>
      <w:r w:rsidR="003D21DB">
        <w:t> mld</w:t>
      </w:r>
      <w:r w:rsidR="00AB5CFD" w:rsidRPr="00BD40CD">
        <w:t>. korun), což lze přičíst daňovým dopadům zrušení superhrubé mzdy.</w:t>
      </w:r>
    </w:p>
    <w:p w14:paraId="0E0F0C12" w14:textId="768EC494" w:rsidR="00A73918" w:rsidRPr="00BD40CD" w:rsidRDefault="00A75F37" w:rsidP="009F7FD8">
      <w:pPr>
        <w:spacing w:after="120"/>
      </w:pPr>
      <w:r w:rsidRPr="00BD40CD">
        <w:t xml:space="preserve">Výdaje VI se meziročně zvýšily </w:t>
      </w:r>
      <w:r w:rsidR="000F6E26" w:rsidRPr="00BD40CD">
        <w:t>o</w:t>
      </w:r>
      <w:r w:rsidR="000F6E26">
        <w:t> </w:t>
      </w:r>
      <w:r w:rsidRPr="00BD40CD">
        <w:t>39,4</w:t>
      </w:r>
      <w:r w:rsidR="003D21DB">
        <w:t> mld</w:t>
      </w:r>
      <w:r w:rsidRPr="00BD40CD">
        <w:t xml:space="preserve">. korun </w:t>
      </w:r>
      <w:r w:rsidR="004B4671" w:rsidRPr="00BD40CD">
        <w:t>(6,2</w:t>
      </w:r>
      <w:r w:rsidR="00BD40CD">
        <w:t> %</w:t>
      </w:r>
      <w:r w:rsidR="004B4671" w:rsidRPr="00BD40CD">
        <w:t xml:space="preserve">) </w:t>
      </w:r>
      <w:r w:rsidR="000F6E26" w:rsidRPr="00BD40CD">
        <w:t>a</w:t>
      </w:r>
      <w:r w:rsidR="000F6E26">
        <w:t> </w:t>
      </w:r>
      <w:r w:rsidR="004B4671" w:rsidRPr="00BD40CD">
        <w:t>dosáhly 673,3</w:t>
      </w:r>
      <w:r w:rsidR="003D21DB">
        <w:t> mld</w:t>
      </w:r>
      <w:r w:rsidR="004B4671" w:rsidRPr="00BD40CD">
        <w:t>. Narůstala při</w:t>
      </w:r>
      <w:r w:rsidR="003F5C51">
        <w:t> </w:t>
      </w:r>
      <w:r w:rsidR="004B4671" w:rsidRPr="00BD40CD">
        <w:t xml:space="preserve">tom většina výdajových položek. Nejvíce vzrostly sociální dávky </w:t>
      </w:r>
      <w:r w:rsidR="000F6E26" w:rsidRPr="00BD40CD">
        <w:t>a</w:t>
      </w:r>
      <w:r w:rsidR="000F6E26">
        <w:t> </w:t>
      </w:r>
      <w:r w:rsidR="004B4671" w:rsidRPr="00BD40CD">
        <w:t>naturální transfery (+13,5</w:t>
      </w:r>
      <w:r w:rsidR="003D21DB">
        <w:t> mld</w:t>
      </w:r>
      <w:r w:rsidR="004B4671" w:rsidRPr="00BD40CD">
        <w:t>. korun)</w:t>
      </w:r>
      <w:r w:rsidR="00006A93" w:rsidRPr="00BD40CD">
        <w:t>. Přitom zvýšení sociálních dávek bylo nejmírnější od konce roku 2017, ale přírůstek naturálních sociálních transferů byl druhý nejvyšší za posledních dvacet let.</w:t>
      </w:r>
      <w:r w:rsidR="004B4671" w:rsidRPr="00BD40CD">
        <w:t xml:space="preserve"> </w:t>
      </w:r>
      <w:proofErr w:type="gramStart"/>
      <w:r w:rsidR="00006A93" w:rsidRPr="00BD40CD">
        <w:t>Mírněji</w:t>
      </w:r>
      <w:proofErr w:type="gramEnd"/>
      <w:r w:rsidR="00006A93" w:rsidRPr="00BD40CD">
        <w:t xml:space="preserve"> než v předchozím kvartálu rostly</w:t>
      </w:r>
      <w:r w:rsidR="004B4671" w:rsidRPr="00BD40CD">
        <w:t xml:space="preserve"> náhrady zaměstnancům (+9,2</w:t>
      </w:r>
      <w:r w:rsidR="003D21DB">
        <w:t> mld</w:t>
      </w:r>
      <w:r w:rsidR="004B4671" w:rsidRPr="00BD40CD">
        <w:t>.)</w:t>
      </w:r>
      <w:r w:rsidR="00006A93" w:rsidRPr="00BD40CD">
        <w:t>. Výrazně se na růstu výdajů podílela</w:t>
      </w:r>
      <w:r w:rsidR="004B4671" w:rsidRPr="00BD40CD">
        <w:t xml:space="preserve"> </w:t>
      </w:r>
      <w:proofErr w:type="spellStart"/>
      <w:r w:rsidR="004B4671" w:rsidRPr="00BD40CD">
        <w:t>mezispotřeba</w:t>
      </w:r>
      <w:proofErr w:type="spellEnd"/>
      <w:r w:rsidR="004B4671" w:rsidRPr="00BD40CD">
        <w:t xml:space="preserve"> (+7,2</w:t>
      </w:r>
      <w:r w:rsidR="003D21DB">
        <w:t> mld</w:t>
      </w:r>
      <w:r w:rsidR="004B4671" w:rsidRPr="00BD40CD">
        <w:t xml:space="preserve">.) </w:t>
      </w:r>
      <w:r w:rsidR="000F6E26" w:rsidRPr="00BD40CD">
        <w:t>a</w:t>
      </w:r>
      <w:r w:rsidR="000F6E26">
        <w:t> </w:t>
      </w:r>
      <w:r w:rsidR="004B4671" w:rsidRPr="00BD40CD">
        <w:t>vyplacené ostatní běžné transfery (+7,2</w:t>
      </w:r>
      <w:r w:rsidR="003D21DB">
        <w:t> mld</w:t>
      </w:r>
      <w:r w:rsidR="004B4671" w:rsidRPr="00BD40CD">
        <w:t>.)</w:t>
      </w:r>
      <w:r w:rsidR="00006A93" w:rsidRPr="00BD40CD">
        <w:t xml:space="preserve">. Výdaje na tvorbu hrubého kapitálu byly meziročně vyšší </w:t>
      </w:r>
      <w:r w:rsidR="000F6E26" w:rsidRPr="00BD40CD">
        <w:t>o</w:t>
      </w:r>
      <w:r w:rsidR="000F6E26">
        <w:t> </w:t>
      </w:r>
      <w:r w:rsidR="00574740" w:rsidRPr="00BD40CD">
        <w:t>4,4</w:t>
      </w:r>
      <w:r w:rsidR="003D21DB">
        <w:t> mld</w:t>
      </w:r>
      <w:r w:rsidR="00574740" w:rsidRPr="00BD40CD">
        <w:t xml:space="preserve">. korun, z toho samotné investice VI vzrostly </w:t>
      </w:r>
      <w:r w:rsidR="000F6E26" w:rsidRPr="00BD40CD">
        <w:t>o</w:t>
      </w:r>
      <w:r w:rsidR="000F6E26">
        <w:t> </w:t>
      </w:r>
      <w:r w:rsidR="00574740" w:rsidRPr="00BD40CD">
        <w:t>6,4</w:t>
      </w:r>
      <w:r w:rsidR="003D21DB">
        <w:t> mld</w:t>
      </w:r>
      <w:r w:rsidR="00574740" w:rsidRPr="00BD40CD">
        <w:t>. Vyplacené dotace ve 3.</w:t>
      </w:r>
      <w:r w:rsidR="003D21DB">
        <w:t> čtvrtlet</w:t>
      </w:r>
      <w:r w:rsidR="00574740" w:rsidRPr="00BD40CD">
        <w:t xml:space="preserve">í nedosahovaly mimořádně vysoké úrovně 1. pololetí, ale </w:t>
      </w:r>
      <w:r w:rsidR="000F6E26" w:rsidRPr="00BD40CD">
        <w:t>i</w:t>
      </w:r>
      <w:r w:rsidR="000F6E26">
        <w:t> </w:t>
      </w:r>
      <w:r w:rsidR="00574740" w:rsidRPr="00BD40CD">
        <w:t xml:space="preserve">tak byly meziročně vyšší </w:t>
      </w:r>
      <w:r w:rsidR="000F6E26" w:rsidRPr="00BD40CD">
        <w:t>o</w:t>
      </w:r>
      <w:r w:rsidR="000F6E26">
        <w:t> </w:t>
      </w:r>
      <w:r w:rsidR="00574740" w:rsidRPr="00BD40CD">
        <w:t>3,2</w:t>
      </w:r>
      <w:r w:rsidR="003D21DB">
        <w:t> mld</w:t>
      </w:r>
      <w:r w:rsidR="00574740" w:rsidRPr="00BD40CD">
        <w:t>. korun</w:t>
      </w:r>
      <w:r w:rsidR="00DB2214" w:rsidRPr="00BD40CD">
        <w:t>. Meziročně nižší byly jen vyplacené kapitálové transfery</w:t>
      </w:r>
      <w:r w:rsidR="00DB2214" w:rsidRPr="00BD40CD">
        <w:rPr>
          <w:rStyle w:val="Znakapoznpodarou"/>
        </w:rPr>
        <w:footnoteReference w:id="9"/>
      </w:r>
      <w:r w:rsidR="00DB2214" w:rsidRPr="00BD40CD">
        <w:t xml:space="preserve"> (</w:t>
      </w:r>
      <w:r w:rsidR="003F43E5">
        <w:t>–</w:t>
      </w:r>
      <w:r w:rsidR="00DB2214" w:rsidRPr="00BD40CD">
        <w:t>5,3</w:t>
      </w:r>
      <w:r w:rsidR="003D21DB">
        <w:t> mld</w:t>
      </w:r>
      <w:r w:rsidR="00DB2214" w:rsidRPr="00BD40CD">
        <w:t>. korun).</w:t>
      </w:r>
    </w:p>
    <w:p w14:paraId="673ACA7D" w14:textId="6A07EFCE" w:rsidR="00A7774A" w:rsidRPr="00BD40CD" w:rsidRDefault="003E7D31" w:rsidP="009F7FD8">
      <w:pPr>
        <w:spacing w:after="120"/>
      </w:pPr>
      <w:r w:rsidRPr="00BD40CD">
        <w:t xml:space="preserve">Hlavní podíl na celkovém deficitu měl stále </w:t>
      </w:r>
      <w:proofErr w:type="spellStart"/>
      <w:r w:rsidRPr="00BD40CD">
        <w:t>subsektor</w:t>
      </w:r>
      <w:proofErr w:type="spellEnd"/>
      <w:r w:rsidRPr="00BD40CD">
        <w:t xml:space="preserve"> ústředních vládních institucí. Jejich hospodaření ve 3. čtvrtletí skončilo schodkem 54,3</w:t>
      </w:r>
      <w:r w:rsidR="003D21DB">
        <w:t> mld</w:t>
      </w:r>
      <w:r w:rsidRPr="00BD40CD">
        <w:t xml:space="preserve">. korun, což bylo meziročně </w:t>
      </w:r>
      <w:r w:rsidR="000F6E26" w:rsidRPr="00BD40CD">
        <w:t>o</w:t>
      </w:r>
      <w:r w:rsidR="000F6E26">
        <w:t> </w:t>
      </w:r>
      <w:r w:rsidRPr="00BD40CD">
        <w:t>8,1</w:t>
      </w:r>
      <w:r w:rsidR="003D21DB">
        <w:t> mld</w:t>
      </w:r>
      <w:r w:rsidRPr="00BD40CD">
        <w:t>. méně.</w:t>
      </w:r>
      <w:r w:rsidR="00A46E13" w:rsidRPr="00BD40CD">
        <w:t xml:space="preserve"> Ke zmírnění deficitu přispělo zejména</w:t>
      </w:r>
      <w:r w:rsidR="00380823" w:rsidRPr="00BD40CD">
        <w:t xml:space="preserve"> částečné</w:t>
      </w:r>
      <w:r w:rsidR="00A46E13" w:rsidRPr="00BD40CD">
        <w:t xml:space="preserve"> uvolnění tlaku na straně výdajů, které </w:t>
      </w:r>
      <w:r w:rsidR="000F6E26" w:rsidRPr="00BD40CD">
        <w:t>i</w:t>
      </w:r>
      <w:r w:rsidR="000F6E26">
        <w:t> </w:t>
      </w:r>
      <w:r w:rsidR="00A46E13" w:rsidRPr="00BD40CD">
        <w:t xml:space="preserve">tak byly meziročně vyšší </w:t>
      </w:r>
      <w:r w:rsidR="000F6E26" w:rsidRPr="00BD40CD">
        <w:t>o</w:t>
      </w:r>
      <w:r w:rsidR="000F6E26">
        <w:t> </w:t>
      </w:r>
      <w:r w:rsidR="00A46E13" w:rsidRPr="00BD40CD">
        <w:t>18,8</w:t>
      </w:r>
      <w:r w:rsidR="003D21DB">
        <w:t> mld</w:t>
      </w:r>
      <w:r w:rsidR="00A46E13" w:rsidRPr="00BD40CD">
        <w:t>. korun.</w:t>
      </w:r>
      <w:r w:rsidR="00E26A5C" w:rsidRPr="00BD40CD">
        <w:t xml:space="preserve"> </w:t>
      </w:r>
      <w:r w:rsidR="00380823" w:rsidRPr="00BD40CD">
        <w:t xml:space="preserve">Oproti předchozím čtvrtletím byl mírnější </w:t>
      </w:r>
      <w:r w:rsidR="00055EBE" w:rsidRPr="00BD40CD">
        <w:t xml:space="preserve">přírůstek </w:t>
      </w:r>
      <w:r w:rsidR="000F6E26" w:rsidRPr="00BD40CD">
        <w:t>u</w:t>
      </w:r>
      <w:r w:rsidR="000F6E26">
        <w:t> </w:t>
      </w:r>
      <w:r w:rsidR="00176CFE" w:rsidRPr="00BD40CD">
        <w:t>sociální</w:t>
      </w:r>
      <w:r w:rsidR="00055EBE" w:rsidRPr="00BD40CD">
        <w:t>ch</w:t>
      </w:r>
      <w:r w:rsidR="00176CFE" w:rsidRPr="00BD40CD">
        <w:t xml:space="preserve"> dáv</w:t>
      </w:r>
      <w:r w:rsidR="00055EBE" w:rsidRPr="00BD40CD">
        <w:t>e</w:t>
      </w:r>
      <w:r w:rsidR="00176CFE" w:rsidRPr="00BD40CD">
        <w:t>k (+6,6</w:t>
      </w:r>
      <w:r w:rsidR="003D21DB">
        <w:t> mld</w:t>
      </w:r>
      <w:r w:rsidR="00176CFE" w:rsidRPr="00BD40CD">
        <w:t>.)</w:t>
      </w:r>
      <w:r w:rsidR="00E26A5C" w:rsidRPr="00BD40CD">
        <w:t xml:space="preserve"> </w:t>
      </w:r>
      <w:r w:rsidR="000F6E26" w:rsidRPr="00BD40CD">
        <w:t>i</w:t>
      </w:r>
      <w:r w:rsidR="000F6E26">
        <w:t> </w:t>
      </w:r>
      <w:proofErr w:type="spellStart"/>
      <w:r w:rsidR="00176CFE" w:rsidRPr="00BD40CD">
        <w:t>mezispotřeb</w:t>
      </w:r>
      <w:r w:rsidR="00055EBE" w:rsidRPr="00BD40CD">
        <w:t>y</w:t>
      </w:r>
      <w:proofErr w:type="spellEnd"/>
      <w:r w:rsidR="00176CFE" w:rsidRPr="00BD40CD">
        <w:t xml:space="preserve"> (+4,7</w:t>
      </w:r>
      <w:r w:rsidR="003D21DB">
        <w:t> mld</w:t>
      </w:r>
      <w:r w:rsidR="00176CFE" w:rsidRPr="00BD40CD">
        <w:t>.)</w:t>
      </w:r>
      <w:r w:rsidR="00A14819" w:rsidRPr="00BD40CD">
        <w:t>. N</w:t>
      </w:r>
      <w:r w:rsidR="00055EBE" w:rsidRPr="00BD40CD">
        <w:t>aopak výrazněji rostly investice (+7,2</w:t>
      </w:r>
      <w:r w:rsidR="00A14819" w:rsidRPr="00BD40CD">
        <w:t> </w:t>
      </w:r>
      <w:r w:rsidR="00055EBE" w:rsidRPr="00BD40CD">
        <w:t>mld. korun).</w:t>
      </w:r>
      <w:r w:rsidR="00176CFE" w:rsidRPr="00BD40CD">
        <w:t xml:space="preserve"> </w:t>
      </w:r>
      <w:r w:rsidR="00A14819" w:rsidRPr="00BD40CD">
        <w:t>Nižší nároky na stabilizaci ekonomiky se projevily z</w:t>
      </w:r>
      <w:r w:rsidR="0096328A" w:rsidRPr="00BD40CD">
        <w:t>pomal</w:t>
      </w:r>
      <w:r w:rsidR="00A14819" w:rsidRPr="00BD40CD">
        <w:t>ením</w:t>
      </w:r>
      <w:r w:rsidR="0096328A" w:rsidRPr="00BD40CD">
        <w:t xml:space="preserve"> růst</w:t>
      </w:r>
      <w:r w:rsidR="00A14819" w:rsidRPr="00BD40CD">
        <w:t>u</w:t>
      </w:r>
      <w:r w:rsidR="0096328A" w:rsidRPr="00BD40CD">
        <w:t xml:space="preserve"> vyplacených dotací (+2,2</w:t>
      </w:r>
      <w:r w:rsidR="003D21DB">
        <w:t> mld</w:t>
      </w:r>
      <w:r w:rsidR="0096328A" w:rsidRPr="00BD40CD">
        <w:t xml:space="preserve">. korun) </w:t>
      </w:r>
      <w:r w:rsidR="000F6E26" w:rsidRPr="00BD40CD">
        <w:t>a</w:t>
      </w:r>
      <w:r w:rsidR="000F6E26">
        <w:t> </w:t>
      </w:r>
      <w:r w:rsidR="00E26A5C" w:rsidRPr="00BD40CD">
        <w:t>ostatních běžných transferů</w:t>
      </w:r>
      <w:r w:rsidR="0096328A" w:rsidRPr="00BD40CD">
        <w:rPr>
          <w:rStyle w:val="Znakapoznpodarou"/>
        </w:rPr>
        <w:footnoteReference w:id="10"/>
      </w:r>
      <w:r w:rsidR="0096328A" w:rsidRPr="00BD40CD">
        <w:t>. Meziročně nižší byly vyplacené kapitálové transfery (</w:t>
      </w:r>
      <w:r w:rsidR="003F43E5">
        <w:t>–</w:t>
      </w:r>
      <w:r w:rsidR="0096328A" w:rsidRPr="00BD40CD">
        <w:t>4,6</w:t>
      </w:r>
      <w:r w:rsidR="003D21DB">
        <w:t> mld</w:t>
      </w:r>
      <w:r w:rsidR="0096328A" w:rsidRPr="00BD40CD">
        <w:t>. korun).</w:t>
      </w:r>
      <w:r w:rsidR="00123848" w:rsidRPr="00BD40CD">
        <w:t xml:space="preserve"> Příjmy ústředních vládních institucí</w:t>
      </w:r>
      <w:r w:rsidR="00380823" w:rsidRPr="00BD40CD">
        <w:t xml:space="preserve"> meziročně vzrostly </w:t>
      </w:r>
      <w:r w:rsidR="000F6E26" w:rsidRPr="00BD40CD">
        <w:t>o</w:t>
      </w:r>
      <w:r w:rsidR="000F6E26">
        <w:t> </w:t>
      </w:r>
      <w:r w:rsidR="00380823" w:rsidRPr="00BD40CD">
        <w:t>26,8</w:t>
      </w:r>
      <w:r w:rsidR="003D21DB">
        <w:t> mld</w:t>
      </w:r>
      <w:r w:rsidR="00380823" w:rsidRPr="00BD40CD">
        <w:t>. korun, zejména zásluhou přijatých čistých sociálních příspěvků (+25,8</w:t>
      </w:r>
      <w:r w:rsidR="003D21DB">
        <w:t> mld</w:t>
      </w:r>
      <w:r w:rsidR="00380823" w:rsidRPr="00BD40CD">
        <w:t xml:space="preserve">.) </w:t>
      </w:r>
      <w:r w:rsidR="000F6E26" w:rsidRPr="00BD40CD">
        <w:t>a</w:t>
      </w:r>
      <w:r w:rsidR="000F6E26">
        <w:t> </w:t>
      </w:r>
      <w:r w:rsidR="00380823" w:rsidRPr="00BD40CD">
        <w:t xml:space="preserve">daní z výroby </w:t>
      </w:r>
      <w:r w:rsidR="000F6E26" w:rsidRPr="00BD40CD">
        <w:t>a</w:t>
      </w:r>
      <w:r w:rsidR="000F6E26">
        <w:t> </w:t>
      </w:r>
      <w:r w:rsidR="00380823" w:rsidRPr="00BD40CD">
        <w:t>dovozu (+8,6</w:t>
      </w:r>
      <w:r w:rsidR="003D21DB">
        <w:t> mld</w:t>
      </w:r>
      <w:r w:rsidR="00380823" w:rsidRPr="00BD40CD">
        <w:t>.). Naopak meziročně výrazně nižší (</w:t>
      </w:r>
      <w:r w:rsidR="003F43E5">
        <w:t>–</w:t>
      </w:r>
      <w:r w:rsidR="00380823" w:rsidRPr="00BD40CD">
        <w:t>18,7</w:t>
      </w:r>
      <w:r w:rsidR="003D21DB">
        <w:t> mld</w:t>
      </w:r>
      <w:r w:rsidR="00380823" w:rsidRPr="00BD40CD">
        <w:t xml:space="preserve">. korun) byly přijaté daně z důchodů </w:t>
      </w:r>
      <w:r w:rsidR="000F6E26" w:rsidRPr="00BD40CD">
        <w:t>a</w:t>
      </w:r>
      <w:r w:rsidR="000F6E26">
        <w:t> </w:t>
      </w:r>
      <w:r w:rsidR="00380823" w:rsidRPr="00BD40CD">
        <w:t>jmění.</w:t>
      </w:r>
    </w:p>
    <w:p w14:paraId="0B8DA90A" w14:textId="7ACC5E76" w:rsidR="00354A44" w:rsidRPr="00BD40CD" w:rsidRDefault="00354A44" w:rsidP="00354A44">
      <w:pPr>
        <w:spacing w:after="240"/>
      </w:pPr>
      <w:r w:rsidRPr="00BD40CD">
        <w:t xml:space="preserve">Ostatní </w:t>
      </w:r>
      <w:proofErr w:type="spellStart"/>
      <w:r w:rsidRPr="00BD40CD">
        <w:t>subsektory</w:t>
      </w:r>
      <w:proofErr w:type="spellEnd"/>
      <w:r w:rsidRPr="00BD40CD">
        <w:t xml:space="preserve"> VI hospodařily s přebytkem, který se ale </w:t>
      </w:r>
      <w:r w:rsidR="000F6E26" w:rsidRPr="00BD40CD">
        <w:t>u</w:t>
      </w:r>
      <w:r w:rsidR="000F6E26">
        <w:t> </w:t>
      </w:r>
      <w:r w:rsidRPr="00BD40CD">
        <w:t>obou meziročně snížil. Kladné saldo hospodaření místních vládních institucí dosáhlo 9,5</w:t>
      </w:r>
      <w:r w:rsidR="003D21DB">
        <w:t> mld</w:t>
      </w:r>
      <w:r w:rsidRPr="00BD40CD">
        <w:t xml:space="preserve">. korun, což bylo meziročně </w:t>
      </w:r>
      <w:r w:rsidR="000F6E26" w:rsidRPr="00BD40CD">
        <w:lastRenderedPageBreak/>
        <w:t>o</w:t>
      </w:r>
      <w:r w:rsidR="000F6E26">
        <w:t> </w:t>
      </w:r>
      <w:r w:rsidRPr="00BD40CD">
        <w:t>5,3 mld. méně. Výrazně zpomalil růst jejich příjmů (+3,0</w:t>
      </w:r>
      <w:r w:rsidR="003D21DB">
        <w:t> mld</w:t>
      </w:r>
      <w:r w:rsidRPr="00BD40CD">
        <w:t xml:space="preserve">. korun). Meziročně nižší totiž byly přijaté běžné daně z důchodů </w:t>
      </w:r>
      <w:r w:rsidR="000F6E26" w:rsidRPr="00BD40CD">
        <w:t>a</w:t>
      </w:r>
      <w:r w:rsidR="000F6E26">
        <w:t> </w:t>
      </w:r>
      <w:r w:rsidRPr="00BD40CD">
        <w:t>jmění (</w:t>
      </w:r>
      <w:r w:rsidR="003F43E5">
        <w:t>–</w:t>
      </w:r>
      <w:r w:rsidRPr="00BD40CD">
        <w:t>4,4</w:t>
      </w:r>
      <w:r w:rsidR="003D21DB">
        <w:t> mld</w:t>
      </w:r>
      <w:r w:rsidRPr="00BD40CD">
        <w:t xml:space="preserve">. korun) </w:t>
      </w:r>
      <w:r w:rsidR="000F6E26" w:rsidRPr="00BD40CD">
        <w:t>a</w:t>
      </w:r>
      <w:r w:rsidR="000F6E26">
        <w:t> </w:t>
      </w:r>
      <w:r w:rsidRPr="00BD40CD">
        <w:t xml:space="preserve">klesly </w:t>
      </w:r>
      <w:r w:rsidR="000F6E26" w:rsidRPr="00BD40CD">
        <w:t>i</w:t>
      </w:r>
      <w:r w:rsidR="000F6E26">
        <w:t> </w:t>
      </w:r>
      <w:r w:rsidRPr="00BD40CD">
        <w:t xml:space="preserve">ostatní běžné transfery </w:t>
      </w:r>
      <w:r w:rsidR="007F7F00">
        <w:br/>
      </w:r>
      <w:r w:rsidRPr="00BD40CD">
        <w:t>(</w:t>
      </w:r>
      <w:r w:rsidR="003F43E5">
        <w:t>–</w:t>
      </w:r>
      <w:r w:rsidRPr="00BD40CD">
        <w:t xml:space="preserve">2,0 mld.), které v předchozích </w:t>
      </w:r>
      <w:r w:rsidR="007F7F00" w:rsidRPr="00BD40CD">
        <w:t>kvartále</w:t>
      </w:r>
      <w:r w:rsidR="007F7F00">
        <w:t>ch</w:t>
      </w:r>
      <w:r w:rsidR="007F7F00" w:rsidRPr="00BD40CD">
        <w:t xml:space="preserve"> </w:t>
      </w:r>
      <w:r w:rsidRPr="00BD40CD">
        <w:t xml:space="preserve">nejvíce přispívaly k růstu příjmů místních VI. Naopak přírůstek přijatých daní z výroby </w:t>
      </w:r>
      <w:r w:rsidR="000F6E26" w:rsidRPr="00BD40CD">
        <w:t>a</w:t>
      </w:r>
      <w:r w:rsidR="000F6E26">
        <w:t> </w:t>
      </w:r>
      <w:r w:rsidRPr="00BD40CD">
        <w:t>dovozu se výrazněji neměnil (+7,9</w:t>
      </w:r>
      <w:r w:rsidR="003D21DB">
        <w:t> mld</w:t>
      </w:r>
      <w:r w:rsidRPr="00BD40CD">
        <w:t xml:space="preserve">. korun). Výdaje místních VI byly meziročně vyšší </w:t>
      </w:r>
      <w:r w:rsidR="000F6E26" w:rsidRPr="00BD40CD">
        <w:t>o</w:t>
      </w:r>
      <w:r w:rsidR="000F6E26">
        <w:t> </w:t>
      </w:r>
      <w:r w:rsidRPr="00BD40CD">
        <w:t>8,3</w:t>
      </w:r>
      <w:r w:rsidR="003D21DB">
        <w:t> mld</w:t>
      </w:r>
      <w:r w:rsidRPr="00BD40CD">
        <w:t xml:space="preserve">. korun, především </w:t>
      </w:r>
      <w:r w:rsidR="007F7F00">
        <w:t>vlivem</w:t>
      </w:r>
      <w:r w:rsidR="007F7F00" w:rsidRPr="00BD40CD">
        <w:t xml:space="preserve"> </w:t>
      </w:r>
      <w:r w:rsidRPr="00BD40CD">
        <w:t>rostoucích náhrad zaměstnancům (+5,7</w:t>
      </w:r>
      <w:r w:rsidR="003D21DB">
        <w:t> mld</w:t>
      </w:r>
      <w:r w:rsidRPr="00BD40CD">
        <w:t xml:space="preserve">.) </w:t>
      </w:r>
      <w:r w:rsidR="000F6E26" w:rsidRPr="00BD40CD">
        <w:t>a</w:t>
      </w:r>
      <w:r w:rsidR="000F6E26">
        <w:t> </w:t>
      </w:r>
      <w:proofErr w:type="spellStart"/>
      <w:r w:rsidRPr="00BD40CD">
        <w:t>mezispotřeby</w:t>
      </w:r>
      <w:proofErr w:type="spellEnd"/>
      <w:r w:rsidRPr="00BD40CD">
        <w:t xml:space="preserve"> (+2,5</w:t>
      </w:r>
      <w:r w:rsidR="003D21DB">
        <w:t> mld</w:t>
      </w:r>
      <w:r w:rsidRPr="00BD40CD">
        <w:t>.). Investiční výdaje mírně meziročně klesly (</w:t>
      </w:r>
      <w:r w:rsidR="003F43E5">
        <w:t>–</w:t>
      </w:r>
      <w:r w:rsidRPr="00BD40CD">
        <w:t>0,7</w:t>
      </w:r>
      <w:r w:rsidR="003D21DB">
        <w:t> mld</w:t>
      </w:r>
      <w:r w:rsidRPr="00BD40CD">
        <w:t xml:space="preserve">. korun) </w:t>
      </w:r>
      <w:r w:rsidR="000F6E26" w:rsidRPr="00BD40CD">
        <w:t>a</w:t>
      </w:r>
      <w:r w:rsidR="000F6E26">
        <w:t> </w:t>
      </w:r>
      <w:r w:rsidRPr="00BD40CD">
        <w:t>ve srovnání se stejným obdobím předchozích let byly nejnižší od roku 2017. Fondy sociálního zabezpečení (zdravotní pojišťovny) ve 3.</w:t>
      </w:r>
      <w:r w:rsidR="003D21DB">
        <w:t> čtvrtlet</w:t>
      </w:r>
      <w:r w:rsidRPr="00BD40CD">
        <w:t>í 2021 hospodařily s přebytkem 2,1</w:t>
      </w:r>
      <w:r w:rsidR="003D21DB">
        <w:t> mld</w:t>
      </w:r>
      <w:r w:rsidRPr="00BD40CD">
        <w:t xml:space="preserve">. korun, což bylo meziročně </w:t>
      </w:r>
      <w:r w:rsidR="000F6E26" w:rsidRPr="00BD40CD">
        <w:t>o</w:t>
      </w:r>
      <w:r w:rsidR="000F6E26">
        <w:t> </w:t>
      </w:r>
      <w:r w:rsidRPr="00BD40CD">
        <w:t>4,8</w:t>
      </w:r>
      <w:r w:rsidR="003D21DB">
        <w:t> mld</w:t>
      </w:r>
      <w:r w:rsidRPr="00BD40CD">
        <w:t xml:space="preserve">. méně </w:t>
      </w:r>
      <w:r w:rsidR="000F6E26" w:rsidRPr="00BD40CD">
        <w:t>a</w:t>
      </w:r>
      <w:r w:rsidR="000F6E26">
        <w:t> </w:t>
      </w:r>
      <w:r w:rsidRPr="00BD40CD">
        <w:t>v rámci 3.</w:t>
      </w:r>
      <w:r w:rsidR="003F43E5">
        <w:t> kvartál</w:t>
      </w:r>
      <w:r w:rsidRPr="00BD40CD">
        <w:t xml:space="preserve">u šlo </w:t>
      </w:r>
      <w:r w:rsidR="000F6E26" w:rsidRPr="00BD40CD">
        <w:t>o</w:t>
      </w:r>
      <w:r w:rsidR="000F6E26">
        <w:t> </w:t>
      </w:r>
      <w:r w:rsidRPr="00BD40CD">
        <w:t>nejslabší saldo od roku 2015. Důvodem bylo zrychlení přírůstku výdajů na 12,2</w:t>
      </w:r>
      <w:r w:rsidR="003D21DB">
        <w:t> mld</w:t>
      </w:r>
      <w:r w:rsidRPr="00BD40CD">
        <w:t>. korun za současného zpomalení dynamiky příjmů (+7,3</w:t>
      </w:r>
      <w:r w:rsidR="003D21DB">
        <w:t> mld</w:t>
      </w:r>
      <w:r w:rsidRPr="00BD40CD">
        <w:t>.). K růstu výdajů přispívaly především posilující naturální sociální transfery (+6,6</w:t>
      </w:r>
      <w:r w:rsidR="003D21DB">
        <w:t> mld</w:t>
      </w:r>
      <w:r w:rsidRPr="00BD40CD">
        <w:t xml:space="preserve">. korun) </w:t>
      </w:r>
      <w:r w:rsidR="000F6E26" w:rsidRPr="00BD40CD">
        <w:t>a</w:t>
      </w:r>
      <w:r w:rsidR="000F6E26">
        <w:t> </w:t>
      </w:r>
      <w:r w:rsidRPr="00BD40CD">
        <w:t>ostatní běžné transfery (+6,0</w:t>
      </w:r>
      <w:r w:rsidR="003D21DB">
        <w:t> mld</w:t>
      </w:r>
      <w:r w:rsidRPr="00BD40CD">
        <w:t>.). Oproti předchozím kvartálům ale výrazně zpomalil meziroční růst jimi přijatých čistých sociálních příspěvků (+8,2 mld.</w:t>
      </w:r>
      <w:r w:rsidR="007F7F00">
        <w:t xml:space="preserve"> </w:t>
      </w:r>
      <w:r w:rsidRPr="00BD40CD">
        <w:t>korun).</w:t>
      </w:r>
    </w:p>
    <w:p w14:paraId="49B7A36E" w14:textId="77777777" w:rsidR="00263486" w:rsidRPr="00BD40CD" w:rsidRDefault="00263486" w:rsidP="00263486">
      <w:pPr>
        <w:pStyle w:val="TabulkaGraf"/>
      </w:pPr>
      <w:r w:rsidRPr="00BD40CD">
        <w:t>Graf 3: Saldo hospodaření vládních institucí (v mld. korun)</w:t>
      </w:r>
    </w:p>
    <w:p w14:paraId="25057C2B" w14:textId="505E01C3" w:rsidR="00263486" w:rsidRPr="00BD40CD" w:rsidRDefault="00674BE6" w:rsidP="00263486">
      <w:pPr>
        <w:jc w:val="center"/>
        <w:rPr>
          <w:noProof/>
          <w:lang w:eastAsia="cs-CZ"/>
        </w:rPr>
      </w:pPr>
      <w:r w:rsidRPr="00BD40CD">
        <w:rPr>
          <w:noProof/>
        </w:rPr>
        <w:drawing>
          <wp:inline distT="0" distB="0" distL="0" distR="0" wp14:anchorId="63561A81" wp14:editId="6383C07F">
            <wp:extent cx="4747125" cy="2929825"/>
            <wp:effectExtent l="0" t="0" r="0" b="444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7942DA" w14:textId="77777777" w:rsidR="00263486" w:rsidRPr="00BD40CD" w:rsidRDefault="00263486" w:rsidP="00263486">
      <w:pPr>
        <w:spacing w:after="120"/>
        <w:jc w:val="left"/>
      </w:pPr>
      <w:r w:rsidRPr="00BD40CD">
        <w:t>Zdroj: ČSÚ, národní účty</w:t>
      </w:r>
    </w:p>
    <w:p w14:paraId="5D7B9B9B" w14:textId="0983CBD7" w:rsidR="00263486" w:rsidRPr="00BD40CD" w:rsidRDefault="00170C0F" w:rsidP="00263486">
      <w:pPr>
        <w:spacing w:after="240"/>
      </w:pPr>
      <w:r w:rsidRPr="00BD40CD">
        <w:t>Dluh sektoru vládních institucí ve 3.</w:t>
      </w:r>
      <w:r w:rsidR="003D21DB">
        <w:t> čtvrtlet</w:t>
      </w:r>
      <w:r w:rsidRPr="00BD40CD">
        <w:t>í 2021 dosá</w:t>
      </w:r>
      <w:r w:rsidR="00756FB7" w:rsidRPr="00BD40CD">
        <w:t>hl 2 </w:t>
      </w:r>
      <w:r w:rsidRPr="00BD40CD">
        <w:t>432</w:t>
      </w:r>
      <w:r w:rsidR="00756FB7" w:rsidRPr="00BD40CD">
        <w:t>,</w:t>
      </w:r>
      <w:r w:rsidRPr="00BD40CD">
        <w:t>9</w:t>
      </w:r>
      <w:r w:rsidR="008C00A5" w:rsidRPr="00BD40CD">
        <w:t> mld.</w:t>
      </w:r>
      <w:r w:rsidR="00756FB7" w:rsidRPr="00BD40CD">
        <w:t xml:space="preserve"> korun</w:t>
      </w:r>
      <w:r w:rsidR="00756FB7" w:rsidRPr="00BD40CD">
        <w:rPr>
          <w:rStyle w:val="Znakapoznpodarou"/>
        </w:rPr>
        <w:footnoteReference w:id="11"/>
      </w:r>
      <w:r w:rsidR="00756FB7" w:rsidRPr="00BD40CD">
        <w:t xml:space="preserve">, což </w:t>
      </w:r>
      <w:r w:rsidR="00DA05BA" w:rsidRPr="00BD40CD">
        <w:t xml:space="preserve">bylo meziročně </w:t>
      </w:r>
      <w:r w:rsidR="000F6E26" w:rsidRPr="00BD40CD">
        <w:t>o</w:t>
      </w:r>
      <w:r w:rsidR="000F6E26">
        <w:t> </w:t>
      </w:r>
      <w:r w:rsidR="00DA05BA" w:rsidRPr="00BD40CD">
        <w:t>260,0</w:t>
      </w:r>
      <w:r w:rsidR="003D21DB">
        <w:t> mld</w:t>
      </w:r>
      <w:r w:rsidR="00DA05BA" w:rsidRPr="00BD40CD">
        <w:t>. korun více. Dynamika dluhu se tak nadále držela výrazně nad předkrizovou úrovní. V dluhovém portfoliu se meziročně navyšoval zejména objem dluhových cenných papírů (+212,4 mld. korun).</w:t>
      </w:r>
      <w:r w:rsidR="00BF029D" w:rsidRPr="00BD40CD">
        <w:t xml:space="preserve"> Z toho se objem dlouhodobých dluhopisů meziročně zvýšil </w:t>
      </w:r>
      <w:r w:rsidR="000F6E26" w:rsidRPr="00BD40CD">
        <w:lastRenderedPageBreak/>
        <w:t>o</w:t>
      </w:r>
      <w:r w:rsidR="000F6E26">
        <w:t> </w:t>
      </w:r>
      <w:r w:rsidR="00BF029D" w:rsidRPr="00BD40CD">
        <w:t>297,9</w:t>
      </w:r>
      <w:r w:rsidR="003D21DB">
        <w:t> mld</w:t>
      </w:r>
      <w:r w:rsidR="00BF029D" w:rsidRPr="00BD40CD">
        <w:t>. korun. Naopak objem těch krátkodobých potřetí v řadě klesl (</w:t>
      </w:r>
      <w:r w:rsidR="003F43E5">
        <w:t>–</w:t>
      </w:r>
      <w:r w:rsidR="00BF029D" w:rsidRPr="00BD40CD">
        <w:t>85,4</w:t>
      </w:r>
      <w:r w:rsidR="003D21DB">
        <w:t> mld</w:t>
      </w:r>
      <w:r w:rsidR="00BF029D" w:rsidRPr="00BD40CD">
        <w:t>.), což je ovlivněno hlavně srovnáním s</w:t>
      </w:r>
      <w:r w:rsidR="00355C29">
        <w:t xml:space="preserve">e </w:t>
      </w:r>
      <w:r w:rsidR="00BF029D" w:rsidRPr="00BD40CD">
        <w:t>3.</w:t>
      </w:r>
      <w:r w:rsidR="003F43E5">
        <w:t> kvartál</w:t>
      </w:r>
      <w:r w:rsidR="00BF029D" w:rsidRPr="00BD40CD">
        <w:t xml:space="preserve">em 2020, kdy </w:t>
      </w:r>
      <w:r w:rsidR="00DB4709">
        <w:t xml:space="preserve">byl </w:t>
      </w:r>
      <w:r w:rsidR="00BF029D" w:rsidRPr="00BD40CD">
        <w:t>ještě v dluhovém portfoliu výrazně zvýšený objem krátkodobých dluho</w:t>
      </w:r>
      <w:r w:rsidR="00943AD2" w:rsidRPr="00BD40CD">
        <w:t>pisů, kterými byla pokryta potřeba financování vládních výdajů ze začátku pandemie</w:t>
      </w:r>
      <w:r w:rsidR="00BF029D" w:rsidRPr="00BD40CD">
        <w:t>.</w:t>
      </w:r>
      <w:r w:rsidR="00943AD2" w:rsidRPr="00BD40CD">
        <w:t xml:space="preserve"> O</w:t>
      </w:r>
      <w:r w:rsidR="00263486" w:rsidRPr="00BD40CD">
        <w:t>bjem půjček</w:t>
      </w:r>
      <w:r w:rsidR="00A10F29" w:rsidRPr="00BD40CD">
        <w:t xml:space="preserve"> byl meziročně vyšší </w:t>
      </w:r>
      <w:r w:rsidR="008C00A5" w:rsidRPr="00BD40CD">
        <w:t>o </w:t>
      </w:r>
      <w:r w:rsidR="00A10F29" w:rsidRPr="00BD40CD">
        <w:t>4</w:t>
      </w:r>
      <w:r w:rsidR="00943AD2" w:rsidRPr="00BD40CD">
        <w:t>2</w:t>
      </w:r>
      <w:r w:rsidR="00A10F29" w:rsidRPr="00BD40CD">
        <w:t>,</w:t>
      </w:r>
      <w:r w:rsidR="00943AD2" w:rsidRPr="00BD40CD">
        <w:t>1</w:t>
      </w:r>
      <w:r w:rsidR="008C00A5" w:rsidRPr="00BD40CD">
        <w:t> mld.</w:t>
      </w:r>
      <w:r w:rsidR="00A10F29" w:rsidRPr="00BD40CD">
        <w:t xml:space="preserve"> korun</w:t>
      </w:r>
      <w:r w:rsidR="00355C29">
        <w:t>, z</w:t>
      </w:r>
      <w:r w:rsidR="00A10F29" w:rsidRPr="00BD40CD">
        <w:t> </w:t>
      </w:r>
      <w:r w:rsidR="00263486" w:rsidRPr="00BD40CD">
        <w:t>toho</w:t>
      </w:r>
      <w:r w:rsidR="00A10F29" w:rsidRPr="00BD40CD">
        <w:t xml:space="preserve"> většinu tvořily </w:t>
      </w:r>
      <w:r w:rsidR="00263486" w:rsidRPr="00BD40CD">
        <w:t xml:space="preserve">dlouhodobé </w:t>
      </w:r>
      <w:r w:rsidR="00A10F29" w:rsidRPr="00BD40CD">
        <w:t xml:space="preserve">půjčky, kterých přibylo </w:t>
      </w:r>
      <w:r w:rsidR="001C3B2C" w:rsidRPr="00BD40CD">
        <w:t>o </w:t>
      </w:r>
      <w:r w:rsidR="00A10F29" w:rsidRPr="00BD40CD">
        <w:t>4</w:t>
      </w:r>
      <w:r w:rsidR="00943AD2" w:rsidRPr="00BD40CD">
        <w:t>6</w:t>
      </w:r>
      <w:r w:rsidR="00A10F29" w:rsidRPr="00BD40CD">
        <w:t>,</w:t>
      </w:r>
      <w:r w:rsidR="00943AD2" w:rsidRPr="00BD40CD">
        <w:t>4</w:t>
      </w:r>
      <w:r w:rsidR="00263486" w:rsidRPr="00BD40CD">
        <w:t> mld.</w:t>
      </w:r>
    </w:p>
    <w:p w14:paraId="009C422D" w14:textId="152D65D5" w:rsidR="00C65FAA" w:rsidRPr="00BD40CD" w:rsidRDefault="00C65FAA" w:rsidP="000302A6">
      <w:pPr>
        <w:pStyle w:val="TabulkaGraf"/>
        <w:spacing w:after="120"/>
      </w:pPr>
      <w:r w:rsidRPr="00BD40CD">
        <w:t>G</w:t>
      </w:r>
      <w:r w:rsidR="002E6F00" w:rsidRPr="00BD40CD">
        <w:t>raf </w:t>
      </w:r>
      <w:r w:rsidRPr="00BD40CD">
        <w:t xml:space="preserve">4: Dluh sektoru vládních institucí </w:t>
      </w:r>
      <w:r w:rsidR="00F03815" w:rsidRPr="00BD40CD">
        <w:t>a </w:t>
      </w:r>
      <w:r w:rsidRPr="00BD40CD">
        <w:t>jeho struktura (meziroční změna v mld. korun)</w:t>
      </w:r>
    </w:p>
    <w:p w14:paraId="05A35859" w14:textId="278DE160" w:rsidR="00656A12" w:rsidRPr="00BD40CD" w:rsidRDefault="00674BE6" w:rsidP="000302A6">
      <w:pPr>
        <w:spacing w:after="120"/>
        <w:jc w:val="center"/>
      </w:pPr>
      <w:r w:rsidRPr="00BD40CD">
        <w:rPr>
          <w:noProof/>
        </w:rPr>
        <w:drawing>
          <wp:inline distT="0" distB="0" distL="0" distR="0" wp14:anchorId="2A75DE3A" wp14:editId="7C0D1E07">
            <wp:extent cx="4743950" cy="2910775"/>
            <wp:effectExtent l="0" t="0" r="0" b="44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BD40CD" w:rsidRDefault="00941335" w:rsidP="000302A6">
      <w:pPr>
        <w:spacing w:after="120"/>
      </w:pPr>
      <w:r w:rsidRPr="00BD40CD">
        <w:t>Zdroj: ČSÚ, národní účty</w:t>
      </w:r>
    </w:p>
    <w:p w14:paraId="636E52CB" w14:textId="77777777" w:rsidR="00CE3CED" w:rsidRPr="00BD40CD" w:rsidRDefault="00CE3CED">
      <w:pPr>
        <w:spacing w:line="240" w:lineRule="auto"/>
        <w:jc w:val="left"/>
        <w:rPr>
          <w:rFonts w:eastAsia="Times New Roman"/>
          <w:b/>
          <w:bCs/>
          <w:szCs w:val="28"/>
        </w:rPr>
      </w:pPr>
      <w:r w:rsidRPr="00BD40CD">
        <w:br w:type="page"/>
      </w:r>
    </w:p>
    <w:p w14:paraId="7F1AAFC6" w14:textId="036F647A" w:rsidR="00F50CEF" w:rsidRPr="00BD40CD" w:rsidRDefault="00F50CEF" w:rsidP="000302A6">
      <w:pPr>
        <w:pStyle w:val="Nadpis1"/>
        <w:spacing w:after="120"/>
      </w:pPr>
      <w:r w:rsidRPr="00BD40CD">
        <w:lastRenderedPageBreak/>
        <w:t>Domácnosti</w:t>
      </w:r>
    </w:p>
    <w:p w14:paraId="3F50171C" w14:textId="2D760129" w:rsidR="00BE1CA4" w:rsidRPr="00BD40CD" w:rsidRDefault="008E68EB" w:rsidP="00BE206D">
      <w:pPr>
        <w:spacing w:after="120"/>
      </w:pPr>
      <w:r w:rsidRPr="00BD40CD">
        <w:t>Hrubý disponibilní důchod (HDD) domácností ve 3.</w:t>
      </w:r>
      <w:r w:rsidR="003D21DB">
        <w:t> čtvrtlet</w:t>
      </w:r>
      <w:r w:rsidRPr="00BD40CD">
        <w:t>í 2021 dosáhl 847,6</w:t>
      </w:r>
      <w:r w:rsidR="003D21DB">
        <w:t> mld</w:t>
      </w:r>
      <w:r w:rsidRPr="00BD40CD">
        <w:t xml:space="preserve">. korun </w:t>
      </w:r>
      <w:r w:rsidR="000F6E26" w:rsidRPr="00BD40CD">
        <w:t>a</w:t>
      </w:r>
      <w:r w:rsidR="000F6E26">
        <w:t> </w:t>
      </w:r>
      <w:r w:rsidRPr="00BD40CD">
        <w:t xml:space="preserve">meziročně byl vyšší </w:t>
      </w:r>
      <w:r w:rsidR="000F6E26" w:rsidRPr="00BD40CD">
        <w:t>o</w:t>
      </w:r>
      <w:r w:rsidR="000F6E26">
        <w:t> </w:t>
      </w:r>
      <w:r w:rsidR="00074BF6" w:rsidRPr="00BD40CD">
        <w:t>47,7</w:t>
      </w:r>
      <w:r w:rsidR="003D21DB">
        <w:t> mld</w:t>
      </w:r>
      <w:r w:rsidR="00074BF6" w:rsidRPr="00BD40CD">
        <w:t>. (6,0</w:t>
      </w:r>
      <w:r w:rsidR="00BD40CD">
        <w:t> %</w:t>
      </w:r>
      <w:r w:rsidR="00074BF6" w:rsidRPr="00BD40CD">
        <w:t>). Poměrně výrazný meziroční růst příjmů si přitom domácnosti udržely v průběhu celého krizového období</w:t>
      </w:r>
      <w:r w:rsidR="002F0636" w:rsidRPr="00BD40CD">
        <w:t xml:space="preserve">, takže nejde </w:t>
      </w:r>
      <w:r w:rsidR="000F6E26" w:rsidRPr="00BD40CD">
        <w:t>o</w:t>
      </w:r>
      <w:r w:rsidR="000F6E26">
        <w:t> </w:t>
      </w:r>
      <w:r w:rsidR="002F0636" w:rsidRPr="00BD40CD">
        <w:t>vliv slabé srovnávací základny</w:t>
      </w:r>
      <w:r w:rsidR="00074BF6" w:rsidRPr="00BD40CD">
        <w:t xml:space="preserve">. Výrazné zrychlení růstu cenové hladiny </w:t>
      </w:r>
      <w:r w:rsidR="00485A84" w:rsidRPr="00BD40CD">
        <w:t>ale vedlo k propadu reálného růstu HDD na 2,3</w:t>
      </w:r>
      <w:r w:rsidR="002F0636" w:rsidRPr="00BD40CD">
        <w:t> </w:t>
      </w:r>
      <w:r w:rsidR="00485A84" w:rsidRPr="00BD40CD">
        <w:t>%</w:t>
      </w:r>
      <w:r w:rsidR="002F0636" w:rsidRPr="00BD40CD">
        <w:rPr>
          <w:rStyle w:val="Znakapoznpodarou"/>
        </w:rPr>
        <w:footnoteReference w:id="12"/>
      </w:r>
      <w:r w:rsidR="00485A84" w:rsidRPr="00BD40CD">
        <w:t>, což bylo</w:t>
      </w:r>
      <w:r w:rsidR="002F0636" w:rsidRPr="00BD40CD">
        <w:t xml:space="preserve"> s výjimkou krizového 2.</w:t>
      </w:r>
      <w:r w:rsidR="003D21DB">
        <w:t> čtvrtlet</w:t>
      </w:r>
      <w:r w:rsidR="002F0636" w:rsidRPr="00BD40CD">
        <w:t>í 2020</w:t>
      </w:r>
      <w:r w:rsidR="00485A84" w:rsidRPr="00BD40CD">
        <w:t xml:space="preserve"> nejméně od</w:t>
      </w:r>
      <w:r w:rsidR="002F0636" w:rsidRPr="00BD40CD">
        <w:t xml:space="preserve"> 3.</w:t>
      </w:r>
      <w:r w:rsidR="003D21DB">
        <w:t> čtvrtlet</w:t>
      </w:r>
      <w:r w:rsidR="002F0636" w:rsidRPr="00BD40CD">
        <w:t>í 2016.</w:t>
      </w:r>
      <w:r w:rsidR="008514B8" w:rsidRPr="00BD40CD">
        <w:t xml:space="preserve"> Podle sezónně očištěných údajů</w:t>
      </w:r>
      <w:r w:rsidR="00BE1CA4" w:rsidRPr="00BD40CD">
        <w:t xml:space="preserve"> byl HDD domácností oproti 2.</w:t>
      </w:r>
      <w:r w:rsidR="003D21DB">
        <w:t> čtvrtlet</w:t>
      </w:r>
      <w:r w:rsidR="00BE1CA4" w:rsidRPr="00BD40CD">
        <w:t xml:space="preserve">í 2021 nižší </w:t>
      </w:r>
      <w:r w:rsidR="000F6E26" w:rsidRPr="00BD40CD">
        <w:t>o</w:t>
      </w:r>
      <w:r w:rsidR="000F6E26">
        <w:t> </w:t>
      </w:r>
      <w:r w:rsidR="00BE1CA4" w:rsidRPr="00BD40CD">
        <w:t>0,7</w:t>
      </w:r>
      <w:r w:rsidR="003D21DB">
        <w:t> mld</w:t>
      </w:r>
      <w:r w:rsidR="00BE1CA4" w:rsidRPr="00BD40CD">
        <w:t>. korun.</w:t>
      </w:r>
    </w:p>
    <w:p w14:paraId="6EE8C2F6" w14:textId="507CBED3" w:rsidR="00385470" w:rsidRPr="00BD40CD" w:rsidRDefault="004409C1" w:rsidP="00BE206D">
      <w:pPr>
        <w:spacing w:after="120"/>
      </w:pPr>
      <w:r w:rsidRPr="00BD40CD">
        <w:t xml:space="preserve">Ve formě mezd </w:t>
      </w:r>
      <w:r w:rsidR="000F6E26" w:rsidRPr="00BD40CD">
        <w:t>a</w:t>
      </w:r>
      <w:r w:rsidR="000F6E26">
        <w:t> </w:t>
      </w:r>
      <w:r w:rsidRPr="00BD40CD">
        <w:t>platů domácnosti obdržely 537,9</w:t>
      </w:r>
      <w:r w:rsidR="003D21DB">
        <w:t> mld</w:t>
      </w:r>
      <w:r w:rsidRPr="00BD40CD">
        <w:t xml:space="preserve">. korun. To bylo meziročně </w:t>
      </w:r>
      <w:r w:rsidR="000F6E26" w:rsidRPr="00BD40CD">
        <w:t>o</w:t>
      </w:r>
      <w:r w:rsidR="000F6E26">
        <w:t> </w:t>
      </w:r>
      <w:r w:rsidRPr="00BD40CD">
        <w:t>35,4</w:t>
      </w:r>
      <w:r w:rsidR="003D21DB">
        <w:t> mld</w:t>
      </w:r>
      <w:r w:rsidRPr="00BD40CD">
        <w:t>. (7,0 %) více.</w:t>
      </w:r>
      <w:r w:rsidR="00FB1415" w:rsidRPr="00BD40CD">
        <w:t xml:space="preserve"> Reálný přírůstek mezd </w:t>
      </w:r>
      <w:r w:rsidR="000F6E26" w:rsidRPr="00BD40CD">
        <w:t>a</w:t>
      </w:r>
      <w:r w:rsidR="000F6E26">
        <w:t> </w:t>
      </w:r>
      <w:r w:rsidR="00FB1415" w:rsidRPr="00BD40CD">
        <w:t>platů se zmírnil na 3,3</w:t>
      </w:r>
      <w:r w:rsidR="00BD40CD">
        <w:t> %</w:t>
      </w:r>
      <w:r w:rsidR="00FB1415" w:rsidRPr="00BD40CD">
        <w:t xml:space="preserve">. </w:t>
      </w:r>
      <w:r w:rsidR="003460CB" w:rsidRPr="00BD40CD">
        <w:t>Ve 3.</w:t>
      </w:r>
      <w:r w:rsidR="003D21DB">
        <w:t> čtvrtlet</w:t>
      </w:r>
      <w:r w:rsidR="003460CB" w:rsidRPr="00BD40CD">
        <w:t xml:space="preserve">í 2020 ještě byla dynamika </w:t>
      </w:r>
      <w:r w:rsidR="00C054BF">
        <w:t xml:space="preserve">růstu </w:t>
      </w:r>
      <w:r w:rsidR="003460CB" w:rsidRPr="00BD40CD">
        <w:t>mezd utlumena, což přispělo k výraznějšímu přírůstku v roce 2021. Mimořádně výrazná byla meziroční dynamika sociálních příspěvků zaměstnavatelů (</w:t>
      </w:r>
      <w:r w:rsidR="00463075" w:rsidRPr="00BD40CD">
        <w:t>+18,7</w:t>
      </w:r>
      <w:r w:rsidR="003D21DB">
        <w:t> mld</w:t>
      </w:r>
      <w:r w:rsidR="00463075" w:rsidRPr="00BD40CD">
        <w:t xml:space="preserve">. korun, </w:t>
      </w:r>
      <w:r w:rsidR="003460CB" w:rsidRPr="00BD40CD">
        <w:t>13,1</w:t>
      </w:r>
      <w:r w:rsidR="00463075" w:rsidRPr="00BD40CD">
        <w:t> </w:t>
      </w:r>
      <w:r w:rsidR="003460CB" w:rsidRPr="00BD40CD">
        <w:t xml:space="preserve">%). </w:t>
      </w:r>
      <w:r w:rsidR="00463075" w:rsidRPr="00BD40CD">
        <w:t xml:space="preserve">Šlo zejména </w:t>
      </w:r>
      <w:r w:rsidR="000F6E26" w:rsidRPr="00BD40CD">
        <w:t>o</w:t>
      </w:r>
      <w:r w:rsidR="000F6E26">
        <w:t> </w:t>
      </w:r>
      <w:r w:rsidR="00463075" w:rsidRPr="00BD40CD">
        <w:t>vliv nízké srovnávací základny (odpuštění plateb v roce 2020)</w:t>
      </w:r>
      <w:r w:rsidR="00C054BF">
        <w:t>. P</w:t>
      </w:r>
      <w:r w:rsidR="00463075" w:rsidRPr="00BD40CD">
        <w:t>odpůrn</w:t>
      </w:r>
      <w:r w:rsidR="006047C1" w:rsidRPr="00BD40CD">
        <w:t xml:space="preserve">é </w:t>
      </w:r>
      <w:r w:rsidR="00463075" w:rsidRPr="00BD40CD">
        <w:t>program</w:t>
      </w:r>
      <w:r w:rsidR="006047C1" w:rsidRPr="00BD40CD">
        <w:t>y, které položku sociálních příspěvků ovlivňovaly v krizovém období, byly ve 3.</w:t>
      </w:r>
      <w:r w:rsidR="003D21DB">
        <w:t> čtvrtlet</w:t>
      </w:r>
      <w:r w:rsidR="00385470" w:rsidRPr="00BD40CD">
        <w:t>í</w:t>
      </w:r>
      <w:r w:rsidR="006047C1" w:rsidRPr="00BD40CD">
        <w:t xml:space="preserve"> 2021 omezeny.</w:t>
      </w:r>
    </w:p>
    <w:p w14:paraId="20171104" w14:textId="7ACC5056" w:rsidR="00AB594C" w:rsidRPr="00BD40CD" w:rsidRDefault="0029071A" w:rsidP="00BE206D">
      <w:pPr>
        <w:spacing w:after="120"/>
      </w:pPr>
      <w:r w:rsidRPr="00BD40CD">
        <w:t>Hrubý smíšený důchod</w:t>
      </w:r>
      <w:r w:rsidR="00A15BC6" w:rsidRPr="00BD40CD">
        <w:rPr>
          <w:rStyle w:val="Znakapoznpodarou"/>
        </w:rPr>
        <w:footnoteReference w:id="13"/>
      </w:r>
      <w:r w:rsidRPr="00BD40CD">
        <w:t xml:space="preserve"> podnikatelů zařazených do sektoru domácností ve 3.</w:t>
      </w:r>
      <w:r w:rsidR="003D21DB">
        <w:t> čtvrtlet</w:t>
      </w:r>
      <w:r w:rsidRPr="00BD40CD">
        <w:t>í dosáhl 153,6</w:t>
      </w:r>
      <w:r w:rsidR="003D21DB">
        <w:t> mld</w:t>
      </w:r>
      <w:r w:rsidRPr="00BD40CD">
        <w:t xml:space="preserve">. korun, což bylo meziročně </w:t>
      </w:r>
      <w:r w:rsidR="000F6E26" w:rsidRPr="00BD40CD">
        <w:t>o</w:t>
      </w:r>
      <w:r w:rsidR="000F6E26">
        <w:t> </w:t>
      </w:r>
      <w:r w:rsidRPr="00BD40CD">
        <w:t>15,3</w:t>
      </w:r>
      <w:r w:rsidR="003D21DB">
        <w:t> mld</w:t>
      </w:r>
      <w:r w:rsidRPr="00BD40CD">
        <w:t>. více.</w:t>
      </w:r>
      <w:r w:rsidR="009A5C79" w:rsidRPr="00BD40CD">
        <w:t xml:space="preserve"> Mezičtvrtletně hrubý smíšený důchod stagnoval (</w:t>
      </w:r>
      <w:r w:rsidR="003F43E5">
        <w:t>–</w:t>
      </w:r>
      <w:r w:rsidR="009A5C79" w:rsidRPr="00BD40CD">
        <w:t>0,2</w:t>
      </w:r>
      <w:r w:rsidR="003D21DB">
        <w:t> mld</w:t>
      </w:r>
      <w:r w:rsidR="009A5C79" w:rsidRPr="00BD40CD">
        <w:t>. korun, sezónně očištěno).</w:t>
      </w:r>
      <w:r w:rsidR="00434936" w:rsidRPr="00BD40CD">
        <w:t xml:space="preserve"> Hrubý provozní přebytek</w:t>
      </w:r>
      <w:r w:rsidR="00F12768" w:rsidRPr="00BD40CD">
        <w:rPr>
          <w:rStyle w:val="Znakapoznpodarou"/>
        </w:rPr>
        <w:footnoteReference w:id="14"/>
      </w:r>
      <w:r w:rsidR="00434936" w:rsidRPr="00BD40CD">
        <w:t xml:space="preserve"> dosáhl 82,1</w:t>
      </w:r>
      <w:r w:rsidR="003D21DB">
        <w:t> mld</w:t>
      </w:r>
      <w:r w:rsidR="00434936" w:rsidRPr="00BD40CD">
        <w:t xml:space="preserve">. korun </w:t>
      </w:r>
      <w:r w:rsidR="000F6E26" w:rsidRPr="00BD40CD">
        <w:t>a</w:t>
      </w:r>
      <w:r w:rsidR="000F6E26">
        <w:t> </w:t>
      </w:r>
      <w:r w:rsidR="00434936" w:rsidRPr="00BD40CD">
        <w:t xml:space="preserve">meziročně vzrostl </w:t>
      </w:r>
      <w:r w:rsidR="000F6E26" w:rsidRPr="00BD40CD">
        <w:t>o</w:t>
      </w:r>
      <w:r w:rsidR="000F6E26">
        <w:t> </w:t>
      </w:r>
      <w:r w:rsidR="00434936" w:rsidRPr="00BD40CD">
        <w:t>3,0</w:t>
      </w:r>
      <w:r w:rsidR="003D21DB">
        <w:t> mld</w:t>
      </w:r>
      <w:r w:rsidR="00434936" w:rsidRPr="00BD40CD">
        <w:t>.</w:t>
      </w:r>
      <w:r w:rsidR="00120DF6" w:rsidRPr="00BD40CD">
        <w:t xml:space="preserve"> Kladné saldo důchodů z vlastnictví ve 3.</w:t>
      </w:r>
      <w:r w:rsidR="003D21DB">
        <w:t> čtvrtlet</w:t>
      </w:r>
      <w:r w:rsidR="00120DF6" w:rsidRPr="00BD40CD">
        <w:t>í dosáhlo 34,5</w:t>
      </w:r>
      <w:r w:rsidR="003D21DB">
        <w:t> mld</w:t>
      </w:r>
      <w:r w:rsidR="00120DF6" w:rsidRPr="00BD40CD">
        <w:t xml:space="preserve">. korun </w:t>
      </w:r>
      <w:r w:rsidR="000F6E26" w:rsidRPr="00BD40CD">
        <w:t>a</w:t>
      </w:r>
      <w:r w:rsidR="000F6E26">
        <w:t> </w:t>
      </w:r>
      <w:r w:rsidR="00120DF6" w:rsidRPr="00BD40CD">
        <w:t xml:space="preserve">meziročně se snížilo </w:t>
      </w:r>
      <w:r w:rsidR="000F6E26" w:rsidRPr="00BD40CD">
        <w:t>o</w:t>
      </w:r>
      <w:r w:rsidR="000F6E26">
        <w:t> </w:t>
      </w:r>
      <w:r w:rsidR="00120DF6" w:rsidRPr="00BD40CD">
        <w:t>7,5</w:t>
      </w:r>
      <w:r w:rsidR="003D21DB">
        <w:t> mld</w:t>
      </w:r>
      <w:r w:rsidR="00120DF6" w:rsidRPr="00BD40CD">
        <w:t>.</w:t>
      </w:r>
      <w:r w:rsidR="007326B5" w:rsidRPr="00BD40CD">
        <w:t xml:space="preserve"> Na tomto poklesu se projevil zejména výrazný meziroční propad objemu reinvestovaných zisků z přímých zahraničních investic.</w:t>
      </w:r>
      <w:r w:rsidR="00F068AE" w:rsidRPr="00BD40CD">
        <w:t xml:space="preserve"> Naopak rostl objem úroků náležejících domácnostem.</w:t>
      </w:r>
    </w:p>
    <w:p w14:paraId="33946CFF" w14:textId="51753D62" w:rsidR="00336825" w:rsidRPr="00BD40CD" w:rsidRDefault="00AB594C" w:rsidP="00BE206D">
      <w:pPr>
        <w:spacing w:after="120"/>
      </w:pPr>
      <w:r w:rsidRPr="00BD40CD">
        <w:t>Saldo sociálních důchodů ve 3.</w:t>
      </w:r>
      <w:r w:rsidR="003D21DB">
        <w:t> čtvrtlet</w:t>
      </w:r>
      <w:r w:rsidRPr="00BD40CD">
        <w:t>í 2021 dosáhl</w:t>
      </w:r>
      <w:r w:rsidR="00661C54" w:rsidRPr="00BD40CD">
        <w:t>o</w:t>
      </w:r>
      <w:r w:rsidRPr="00BD40CD">
        <w:t xml:space="preserve"> přebytku 109,2</w:t>
      </w:r>
      <w:r w:rsidR="003D21DB">
        <w:t> mld</w:t>
      </w:r>
      <w:r w:rsidRPr="00BD40CD">
        <w:t>. korun.</w:t>
      </w:r>
      <w:r w:rsidR="00661C54" w:rsidRPr="00BD40CD">
        <w:t xml:space="preserve"> To znamenalo meziroční pokles přebytku </w:t>
      </w:r>
      <w:r w:rsidR="000F6E26" w:rsidRPr="00BD40CD">
        <w:t>o</w:t>
      </w:r>
      <w:r w:rsidR="000F6E26">
        <w:t> </w:t>
      </w:r>
      <w:r w:rsidR="00661C54" w:rsidRPr="00BD40CD">
        <w:t>8,8</w:t>
      </w:r>
      <w:r w:rsidR="003D21DB">
        <w:t> mld</w:t>
      </w:r>
      <w:r w:rsidR="00661C54" w:rsidRPr="00BD40CD">
        <w:t xml:space="preserve">. korun, saldo ale </w:t>
      </w:r>
      <w:r w:rsidR="000F6E26" w:rsidRPr="00BD40CD">
        <w:t>i</w:t>
      </w:r>
      <w:r w:rsidR="000F6E26">
        <w:t> </w:t>
      </w:r>
      <w:r w:rsidR="00661C54" w:rsidRPr="00BD40CD">
        <w:t>tak zůstávalo výrazně nad úrovní, kterou mělo před rokem 2020.</w:t>
      </w:r>
      <w:r w:rsidR="00C743A0" w:rsidRPr="00BD40CD">
        <w:t xml:space="preserve"> Domácnosti obdržely 219,8</w:t>
      </w:r>
      <w:r w:rsidR="003D21DB">
        <w:t> mld</w:t>
      </w:r>
      <w:r w:rsidR="00C743A0" w:rsidRPr="00BD40CD">
        <w:t xml:space="preserve">. korun ve formě sociálních dávek (meziroční nárůst </w:t>
      </w:r>
      <w:r w:rsidR="000F6E26" w:rsidRPr="00BD40CD">
        <w:t>o</w:t>
      </w:r>
      <w:r w:rsidR="000F6E26">
        <w:t> </w:t>
      </w:r>
      <w:r w:rsidR="00C743A0" w:rsidRPr="00BD40CD">
        <w:t>4,9</w:t>
      </w:r>
      <w:r w:rsidR="003D21DB">
        <w:t> mld</w:t>
      </w:r>
      <w:r w:rsidR="00C743A0" w:rsidRPr="00BD40CD">
        <w:t>. korun)</w:t>
      </w:r>
      <w:r w:rsidR="00403019" w:rsidRPr="00BD40CD">
        <w:t>. Naopak odvedly</w:t>
      </w:r>
      <w:r w:rsidR="0073435F" w:rsidRPr="00BD40CD">
        <w:t xml:space="preserve"> 110,6</w:t>
      </w:r>
      <w:r w:rsidR="003D21DB">
        <w:t> mld</w:t>
      </w:r>
      <w:r w:rsidR="0073435F" w:rsidRPr="00BD40CD">
        <w:t>. korun jako sociální příspěvky (+13,8</w:t>
      </w:r>
      <w:r w:rsidR="003D21DB">
        <w:t> mld</w:t>
      </w:r>
      <w:r w:rsidR="0073435F" w:rsidRPr="00BD40CD">
        <w:t>.). Kladné saldo ostatních transferů dosáhlo 1,4</w:t>
      </w:r>
      <w:r w:rsidR="003D21DB">
        <w:t> mld</w:t>
      </w:r>
      <w:r w:rsidR="0073435F" w:rsidRPr="00BD40CD">
        <w:t>. korun (+0,1</w:t>
      </w:r>
      <w:r w:rsidR="003D21DB">
        <w:t> mld</w:t>
      </w:r>
      <w:r w:rsidR="0073435F" w:rsidRPr="00BD40CD">
        <w:t>.).</w:t>
      </w:r>
      <w:r w:rsidR="00EF3A5B" w:rsidRPr="00BD40CD">
        <w:t xml:space="preserve"> Objem běžných daní z důchodů </w:t>
      </w:r>
      <w:r w:rsidR="000F6E26" w:rsidRPr="00BD40CD">
        <w:t>a</w:t>
      </w:r>
      <w:r w:rsidR="000F6E26">
        <w:t> </w:t>
      </w:r>
      <w:r w:rsidR="00EF3A5B" w:rsidRPr="00BD40CD">
        <w:t>jmění</w:t>
      </w:r>
      <w:r w:rsidR="00FD63F3" w:rsidRPr="00BD40CD">
        <w:t xml:space="preserve"> odvedených domácnostmi ve 3.</w:t>
      </w:r>
      <w:r w:rsidR="003D21DB">
        <w:t> čtvrtlet</w:t>
      </w:r>
      <w:r w:rsidR="00FD63F3" w:rsidRPr="00BD40CD">
        <w:t xml:space="preserve">í klesl </w:t>
      </w:r>
      <w:r w:rsidR="000F6E26" w:rsidRPr="00BD40CD">
        <w:t>o</w:t>
      </w:r>
      <w:r w:rsidR="000F6E26">
        <w:t> </w:t>
      </w:r>
      <w:r w:rsidR="00FD63F3" w:rsidRPr="00BD40CD">
        <w:t>10,2</w:t>
      </w:r>
      <w:r w:rsidR="003D21DB">
        <w:t> mld</w:t>
      </w:r>
      <w:r w:rsidR="00FD63F3" w:rsidRPr="00BD40CD">
        <w:t>. korun na 71,1</w:t>
      </w:r>
      <w:r w:rsidR="006B6B22" w:rsidRPr="00BD40CD">
        <w:t> </w:t>
      </w:r>
      <w:r w:rsidR="00FD63F3" w:rsidRPr="00BD40CD">
        <w:t>mld</w:t>
      </w:r>
      <w:r w:rsidR="006B6B22" w:rsidRPr="00BD40CD">
        <w:t>. Ve srovnání se stejným obdobím minulých let ale objem běžných daní zaostáv</w:t>
      </w:r>
      <w:r w:rsidR="003E3B40">
        <w:t>al</w:t>
      </w:r>
      <w:r w:rsidR="006B6B22" w:rsidRPr="00BD40CD">
        <w:t xml:space="preserve"> </w:t>
      </w:r>
      <w:r w:rsidR="000F6E26" w:rsidRPr="00BD40CD">
        <w:t>i</w:t>
      </w:r>
      <w:r w:rsidR="000F6E26">
        <w:t> </w:t>
      </w:r>
      <w:r w:rsidR="006B6B22" w:rsidRPr="00BD40CD">
        <w:t xml:space="preserve">za lety 2019 </w:t>
      </w:r>
      <w:r w:rsidR="00F45237">
        <w:t>a</w:t>
      </w:r>
      <w:r w:rsidR="000F6E26">
        <w:t> </w:t>
      </w:r>
      <w:r w:rsidR="006B6B22" w:rsidRPr="00BD40CD">
        <w:t>2018. Proje</w:t>
      </w:r>
      <w:r w:rsidR="004D21CF" w:rsidRPr="00BD40CD">
        <w:t xml:space="preserve">vilo </w:t>
      </w:r>
      <w:r w:rsidR="006B6B22" w:rsidRPr="00BD40CD">
        <w:t xml:space="preserve">se tak </w:t>
      </w:r>
      <w:r w:rsidR="004D21CF" w:rsidRPr="00BD40CD">
        <w:t>zrušení superhrubé mzdy.</w:t>
      </w:r>
    </w:p>
    <w:p w14:paraId="0D06325B" w14:textId="5CB173B3" w:rsidR="00F42BCA" w:rsidRPr="00BD40CD" w:rsidRDefault="00F6357F" w:rsidP="00BE206D">
      <w:pPr>
        <w:spacing w:after="120"/>
        <w:rPr>
          <w:highlight w:val="yellow"/>
        </w:rPr>
      </w:pPr>
      <w:r w:rsidRPr="00BD40CD">
        <w:t>Ve 3.</w:t>
      </w:r>
      <w:r w:rsidR="003D21DB">
        <w:t> čtvrtlet</w:t>
      </w:r>
      <w:r w:rsidRPr="00BD40CD">
        <w:t xml:space="preserve">í 2021 nebyla spotřeba domácností ničím omezena, což přispělo k jejímu mohutnému meziročnímu </w:t>
      </w:r>
      <w:r w:rsidR="000F6E26" w:rsidRPr="00BD40CD">
        <w:t>i</w:t>
      </w:r>
      <w:r w:rsidR="000F6E26">
        <w:t> </w:t>
      </w:r>
      <w:r w:rsidRPr="00BD40CD">
        <w:t>mezičtvrtletnímu nárůstu. Výdaje na konečnou spotřebu domácností ve 3.</w:t>
      </w:r>
      <w:r w:rsidR="003D21DB">
        <w:t> čtvrtlet</w:t>
      </w:r>
      <w:r w:rsidRPr="00BD40CD">
        <w:t>í dosáhly 721,6</w:t>
      </w:r>
      <w:r w:rsidR="003D21DB">
        <w:t> mld</w:t>
      </w:r>
      <w:r w:rsidRPr="00BD40CD">
        <w:t xml:space="preserve">. korun </w:t>
      </w:r>
      <w:r w:rsidR="000F6E26" w:rsidRPr="00BD40CD">
        <w:t>a</w:t>
      </w:r>
      <w:r w:rsidR="000F6E26">
        <w:t> </w:t>
      </w:r>
      <w:r w:rsidRPr="00BD40CD">
        <w:t xml:space="preserve">meziročně byly vyšší </w:t>
      </w:r>
      <w:r w:rsidR="000F6E26" w:rsidRPr="00BD40CD">
        <w:t>o</w:t>
      </w:r>
      <w:r w:rsidR="000F6E26">
        <w:t> </w:t>
      </w:r>
      <w:r w:rsidRPr="00BD40CD">
        <w:t>63,7</w:t>
      </w:r>
      <w:r w:rsidR="003D21DB">
        <w:t> mld</w:t>
      </w:r>
      <w:r w:rsidRPr="00BD40CD">
        <w:t xml:space="preserve">. Nominálně šlo </w:t>
      </w:r>
      <w:r w:rsidR="000F6E26" w:rsidRPr="00BD40CD">
        <w:t>o</w:t>
      </w:r>
      <w:r w:rsidR="000F6E26">
        <w:t> </w:t>
      </w:r>
      <w:r w:rsidRPr="00BD40CD">
        <w:t>nejvyšší zaznamenanou hodnotu spotřeby za jedno</w:t>
      </w:r>
      <w:r w:rsidR="003F43E5">
        <w:t xml:space="preserve"> </w:t>
      </w:r>
      <w:r w:rsidR="003D21DB">
        <w:t>čtvrtlet</w:t>
      </w:r>
      <w:r w:rsidRPr="00BD40CD">
        <w:t xml:space="preserve">í. </w:t>
      </w:r>
      <w:r w:rsidR="005E519B" w:rsidRPr="00BD40CD">
        <w:t xml:space="preserve">Silný meziroční nárůst nelze vysvětlit restrikcemi prodeje v maloobchodě </w:t>
      </w:r>
      <w:r w:rsidR="000F6E26" w:rsidRPr="00BD40CD">
        <w:t>a</w:t>
      </w:r>
      <w:r w:rsidR="000F6E26">
        <w:t> </w:t>
      </w:r>
      <w:r w:rsidR="005E519B" w:rsidRPr="00BD40CD">
        <w:t xml:space="preserve">službách, protože loni ani předloni ve </w:t>
      </w:r>
      <w:r w:rsidR="005859A8" w:rsidRPr="00BD40CD">
        <w:t>3.</w:t>
      </w:r>
      <w:r w:rsidR="003D21DB">
        <w:t> čtvrtlet</w:t>
      </w:r>
      <w:r w:rsidR="005859A8" w:rsidRPr="00BD40CD">
        <w:t>í</w:t>
      </w:r>
      <w:r w:rsidR="005E519B" w:rsidRPr="00BD40CD">
        <w:t xml:space="preserve"> </w:t>
      </w:r>
      <w:r w:rsidR="00F45237" w:rsidRPr="00BD40CD">
        <w:t>žádn</w:t>
      </w:r>
      <w:r w:rsidR="00F45237">
        <w:t>é</w:t>
      </w:r>
      <w:r w:rsidR="00F45237" w:rsidRPr="00BD40CD">
        <w:t xml:space="preserve"> </w:t>
      </w:r>
      <w:r w:rsidR="005E519B" w:rsidRPr="00BD40CD">
        <w:t>neplatily</w:t>
      </w:r>
      <w:r w:rsidR="005859A8" w:rsidRPr="00BD40CD">
        <w:t>. Spotřební chování domácností ale ve 3.</w:t>
      </w:r>
      <w:r w:rsidR="003D21DB">
        <w:t> čtvrtlet</w:t>
      </w:r>
      <w:r w:rsidR="005859A8" w:rsidRPr="00BD40CD">
        <w:t>í 2021</w:t>
      </w:r>
      <w:r w:rsidR="005E519B" w:rsidRPr="00BD40CD">
        <w:t xml:space="preserve"> patrně </w:t>
      </w:r>
      <w:r w:rsidR="005859A8" w:rsidRPr="00BD40CD">
        <w:t xml:space="preserve">ovlivňoval efekt </w:t>
      </w:r>
      <w:r w:rsidR="005E519B" w:rsidRPr="00BD40CD">
        <w:t xml:space="preserve">dlouhého období </w:t>
      </w:r>
      <w:r w:rsidR="005859A8" w:rsidRPr="00BD40CD">
        <w:t>od</w:t>
      </w:r>
      <w:r w:rsidR="005E519B" w:rsidRPr="00BD40CD">
        <w:t>kládané</w:t>
      </w:r>
      <w:r w:rsidR="005859A8" w:rsidRPr="00BD40CD">
        <w:t xml:space="preserve"> spotřeby</w:t>
      </w:r>
      <w:r w:rsidR="005859A8" w:rsidRPr="00BD40CD">
        <w:rPr>
          <w:rStyle w:val="Znakapoznpodarou"/>
        </w:rPr>
        <w:footnoteReference w:id="15"/>
      </w:r>
      <w:r w:rsidR="005859A8" w:rsidRPr="00BD40CD">
        <w:t xml:space="preserve">. </w:t>
      </w:r>
      <w:r w:rsidRPr="00BD40CD">
        <w:t>Oproti 2.</w:t>
      </w:r>
      <w:r w:rsidR="003F43E5">
        <w:t> kvartál</w:t>
      </w:r>
      <w:r w:rsidRPr="00BD40CD">
        <w:t xml:space="preserve">u se (sezónně očištěná) spotřeba zvýšila </w:t>
      </w:r>
      <w:r w:rsidR="000F6E26" w:rsidRPr="00BD40CD">
        <w:t>o</w:t>
      </w:r>
      <w:r w:rsidR="000F6E26">
        <w:t> </w:t>
      </w:r>
      <w:r w:rsidRPr="00BD40CD">
        <w:t>44,9</w:t>
      </w:r>
      <w:r w:rsidR="001453D8" w:rsidRPr="00BD40CD">
        <w:t> </w:t>
      </w:r>
      <w:r w:rsidRPr="00BD40CD">
        <w:t>mld. korun</w:t>
      </w:r>
      <w:r w:rsidR="001453D8" w:rsidRPr="00BD40CD">
        <w:t xml:space="preserve">. Domácnosti spotřebovaly také statky </w:t>
      </w:r>
      <w:r w:rsidR="000F6E26" w:rsidRPr="00BD40CD">
        <w:t>a</w:t>
      </w:r>
      <w:r w:rsidR="000F6E26">
        <w:t> </w:t>
      </w:r>
      <w:r w:rsidR="001453D8" w:rsidRPr="00BD40CD">
        <w:t xml:space="preserve">služby ve formě naturálních sociálních </w:t>
      </w:r>
      <w:r w:rsidR="001453D8" w:rsidRPr="00BD40CD">
        <w:lastRenderedPageBreak/>
        <w:t>transferů, jejichž hodnota ve 3.</w:t>
      </w:r>
      <w:r w:rsidR="003D21DB">
        <w:t> čtvrtlet</w:t>
      </w:r>
      <w:r w:rsidR="001453D8" w:rsidRPr="00BD40CD">
        <w:t xml:space="preserve">í meziročně stoupla </w:t>
      </w:r>
      <w:r w:rsidR="000F6E26" w:rsidRPr="00BD40CD">
        <w:t>o</w:t>
      </w:r>
      <w:r w:rsidR="000F6E26">
        <w:t> </w:t>
      </w:r>
      <w:r w:rsidR="001453D8" w:rsidRPr="00BD40CD">
        <w:t>14,8</w:t>
      </w:r>
      <w:r w:rsidR="003D21DB">
        <w:t> mld</w:t>
      </w:r>
      <w:r w:rsidR="001453D8" w:rsidRPr="00BD40CD">
        <w:t>. korun na 193,3</w:t>
      </w:r>
      <w:r w:rsidR="003D21DB">
        <w:t> mld</w:t>
      </w:r>
      <w:r w:rsidR="001453D8" w:rsidRPr="00BD40CD">
        <w:t>.</w:t>
      </w:r>
      <w:r w:rsidR="004065C6" w:rsidRPr="00BD40CD">
        <w:t xml:space="preserve"> Hrubé úspory domácností</w:t>
      </w:r>
      <w:r w:rsidR="005878E1" w:rsidRPr="00BD40CD">
        <w:rPr>
          <w:rStyle w:val="Znakapoznpodarou"/>
        </w:rPr>
        <w:footnoteReference w:id="16"/>
      </w:r>
      <w:r w:rsidR="004065C6" w:rsidRPr="00BD40CD">
        <w:t xml:space="preserve"> ve 3.</w:t>
      </w:r>
      <w:r w:rsidR="003D21DB">
        <w:t> čtvrtlet</w:t>
      </w:r>
      <w:r w:rsidR="004065C6" w:rsidRPr="00BD40CD">
        <w:t>í dosáhly 134,8</w:t>
      </w:r>
      <w:r w:rsidR="003D21DB">
        <w:t> mld</w:t>
      </w:r>
      <w:r w:rsidR="004065C6" w:rsidRPr="00BD40CD">
        <w:t xml:space="preserve">. korun, což bylo meziročně </w:t>
      </w:r>
      <w:r w:rsidR="000F6E26" w:rsidRPr="00BD40CD">
        <w:t>o</w:t>
      </w:r>
      <w:r w:rsidR="000F6E26">
        <w:t> </w:t>
      </w:r>
      <w:r w:rsidR="004065C6" w:rsidRPr="00BD40CD">
        <w:t>15,4</w:t>
      </w:r>
      <w:r w:rsidR="003D21DB">
        <w:t> mld</w:t>
      </w:r>
      <w:r w:rsidR="004065C6" w:rsidRPr="00BD40CD">
        <w:t>. méně.</w:t>
      </w:r>
      <w:r w:rsidR="005878E1" w:rsidRPr="00BD40CD">
        <w:t xml:space="preserve"> Stále jde </w:t>
      </w:r>
      <w:r w:rsidR="000F6E26" w:rsidRPr="00BD40CD">
        <w:t>o</w:t>
      </w:r>
      <w:r w:rsidR="000F6E26">
        <w:t> </w:t>
      </w:r>
      <w:r w:rsidR="005878E1" w:rsidRPr="00BD40CD">
        <w:t>mimořádně vysokou hodnotu ve srovnání s obdobím před rokem 2020</w:t>
      </w:r>
      <w:r w:rsidR="003A5965" w:rsidRPr="00BD40CD">
        <w:t xml:space="preserve"> (oproti 3.</w:t>
      </w:r>
      <w:r w:rsidR="003D21DB">
        <w:t> čtvrtlet</w:t>
      </w:r>
      <w:r w:rsidR="003A5965" w:rsidRPr="00BD40CD">
        <w:t xml:space="preserve">í 2019 byly úspory vyšší </w:t>
      </w:r>
      <w:r w:rsidR="000F6E26" w:rsidRPr="00BD40CD">
        <w:t>o</w:t>
      </w:r>
      <w:r w:rsidR="000F6E26">
        <w:t> </w:t>
      </w:r>
      <w:r w:rsidR="003A5965" w:rsidRPr="00BD40CD">
        <w:t>43,1</w:t>
      </w:r>
      <w:r w:rsidR="003D21DB">
        <w:t> mld</w:t>
      </w:r>
      <w:r w:rsidR="003A5965" w:rsidRPr="00BD40CD">
        <w:t>. korun). Míra úspor</w:t>
      </w:r>
      <w:r w:rsidR="003A5965" w:rsidRPr="00BD40CD">
        <w:rPr>
          <w:rStyle w:val="Znakapoznpodarou"/>
        </w:rPr>
        <w:footnoteReference w:id="17"/>
      </w:r>
      <w:r w:rsidR="003A5965" w:rsidRPr="00BD40CD">
        <w:t xml:space="preserve"> </w:t>
      </w:r>
      <w:r w:rsidR="00C10B92" w:rsidRPr="00BD40CD">
        <w:t xml:space="preserve">mezičtvrtletně klesla </w:t>
      </w:r>
      <w:r w:rsidR="00EF788F" w:rsidRPr="00BD40CD">
        <w:t>o </w:t>
      </w:r>
      <w:r w:rsidR="003A5965" w:rsidRPr="00BD40CD">
        <w:t>5,2</w:t>
      </w:r>
      <w:r w:rsidR="00B13907" w:rsidRPr="00BD40CD">
        <w:t> p. b.</w:t>
      </w:r>
      <w:r w:rsidR="00C10B92" w:rsidRPr="00BD40CD">
        <w:t xml:space="preserve"> na </w:t>
      </w:r>
      <w:r w:rsidR="003A5965" w:rsidRPr="00BD40CD">
        <w:t>15,9</w:t>
      </w:r>
      <w:r w:rsidR="00B13907" w:rsidRPr="00BD40CD">
        <w:t> %</w:t>
      </w:r>
      <w:r w:rsidR="00C10B92" w:rsidRPr="00BD40CD">
        <w:t xml:space="preserve"> (sezónně očištěno). Meziročně byla </w:t>
      </w:r>
      <w:r w:rsidR="0099050D" w:rsidRPr="00BD40CD">
        <w:t xml:space="preserve">nižší </w:t>
      </w:r>
      <w:r w:rsidR="008C00A5" w:rsidRPr="00BD40CD">
        <w:t>o </w:t>
      </w:r>
      <w:r w:rsidR="0099050D" w:rsidRPr="00BD40CD">
        <w:t>2,</w:t>
      </w:r>
      <w:r w:rsidR="003A5965" w:rsidRPr="00BD40CD">
        <w:t>8</w:t>
      </w:r>
      <w:r w:rsidR="00B13907" w:rsidRPr="00BD40CD">
        <w:t> p. b.</w:t>
      </w:r>
      <w:r w:rsidR="00C10B92" w:rsidRPr="00BD40CD">
        <w:t xml:space="preserve"> (sezónně neočištěno).</w:t>
      </w:r>
    </w:p>
    <w:p w14:paraId="5FBE90A3" w14:textId="77777777" w:rsidR="004C26A0" w:rsidRPr="00BD40CD" w:rsidRDefault="00F81F79" w:rsidP="004C26A0">
      <w:pPr>
        <w:pStyle w:val="TabulkaGraf"/>
      </w:pPr>
      <w:r w:rsidRPr="00BD40CD">
        <w:t>G</w:t>
      </w:r>
      <w:r w:rsidR="002E6F00" w:rsidRPr="00BD40CD">
        <w:t>raf </w:t>
      </w:r>
      <w:r w:rsidR="004C52C6" w:rsidRPr="00BD40CD">
        <w:t xml:space="preserve">5: Meziroční změna výdajů na tvorbu hrubého fixního kapitálu (mld. korun) </w:t>
      </w:r>
      <w:r w:rsidR="00F03815" w:rsidRPr="00BD40CD">
        <w:t>a </w:t>
      </w:r>
      <w:r w:rsidR="004C52C6" w:rsidRPr="00BD40CD">
        <w:t xml:space="preserve">míra úspor </w:t>
      </w:r>
      <w:r w:rsidR="00F03815" w:rsidRPr="00BD40CD">
        <w:t>a </w:t>
      </w:r>
      <w:r w:rsidR="004C52C6" w:rsidRPr="00BD40CD">
        <w:t>míra investic sektoru domácností (v</w:t>
      </w:r>
      <w:r w:rsidR="00840938" w:rsidRPr="00BD40CD">
        <w:t> %</w:t>
      </w:r>
      <w:r w:rsidR="004C52C6" w:rsidRPr="00BD40CD">
        <w:t>, sezónně očištěno)</w:t>
      </w:r>
    </w:p>
    <w:p w14:paraId="598D7247" w14:textId="75FD0CB9" w:rsidR="004C52C6" w:rsidRPr="00BD40CD" w:rsidRDefault="008E68EB" w:rsidP="004C26A0">
      <w:pPr>
        <w:pStyle w:val="TabulkaGraf"/>
        <w:jc w:val="center"/>
      </w:pPr>
      <w:r w:rsidRPr="00BD40CD">
        <w:rPr>
          <w:noProof/>
        </w:rPr>
        <w:drawing>
          <wp:inline distT="0" distB="0" distL="0" distR="0" wp14:anchorId="01EDCD41" wp14:editId="1AE7EFC9">
            <wp:extent cx="4734425" cy="290442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065A032" w:rsidR="00197A07" w:rsidRPr="00BD40CD" w:rsidRDefault="00941335" w:rsidP="00DA1298">
      <w:pPr>
        <w:spacing w:after="120"/>
      </w:pPr>
      <w:r w:rsidRPr="00BD40CD">
        <w:t>Zdroj: ČSÚ, národní účty</w:t>
      </w:r>
    </w:p>
    <w:p w14:paraId="16DAC40B" w14:textId="37B3591D" w:rsidR="003057B2" w:rsidRPr="00BD40CD" w:rsidRDefault="00142A45" w:rsidP="00EA0A2C">
      <w:pPr>
        <w:spacing w:after="240"/>
      </w:pPr>
      <w:r w:rsidRPr="00BD40CD">
        <w:t xml:space="preserve">Domácnosti (zejména drobní podnikatelé) obdržely </w:t>
      </w:r>
      <w:r w:rsidR="00F91A68" w:rsidRPr="00BD40CD">
        <w:t>ve 3.</w:t>
      </w:r>
      <w:r w:rsidR="003D21DB">
        <w:t> čtvrtlet</w:t>
      </w:r>
      <w:r w:rsidR="00F91A68" w:rsidRPr="00BD40CD">
        <w:t>í 3,9</w:t>
      </w:r>
      <w:r w:rsidR="003D21DB">
        <w:t> mld</w:t>
      </w:r>
      <w:r w:rsidR="00B13907" w:rsidRPr="00BD40CD">
        <w:t>.</w:t>
      </w:r>
      <w:r w:rsidRPr="00BD40CD">
        <w:t xml:space="preserve"> korun ve formě kapitálových transferů.</w:t>
      </w:r>
      <w:r w:rsidR="00F91A68" w:rsidRPr="00BD40CD">
        <w:t xml:space="preserve"> To bylo téměř </w:t>
      </w:r>
      <w:r w:rsidR="00A662D0">
        <w:t>totéž</w:t>
      </w:r>
      <w:r w:rsidR="00A662D0" w:rsidRPr="00BD40CD">
        <w:t xml:space="preserve"> </w:t>
      </w:r>
      <w:r w:rsidR="00F91A68" w:rsidRPr="00BD40CD">
        <w:t>jako ve stejném období roku 2020. Z toho investiční dotace tvořily 1,9</w:t>
      </w:r>
      <w:r w:rsidR="003D21DB">
        <w:t> mld</w:t>
      </w:r>
      <w:r w:rsidR="00F91A68" w:rsidRPr="00BD40CD">
        <w:t>. korun</w:t>
      </w:r>
      <w:r w:rsidR="00335604" w:rsidRPr="00BD40CD">
        <w:t>.</w:t>
      </w:r>
      <w:r w:rsidR="00F91A68" w:rsidRPr="00BD40CD">
        <w:t xml:space="preserve"> </w:t>
      </w:r>
      <w:r w:rsidR="00335604" w:rsidRPr="00BD40CD">
        <w:t>O</w:t>
      </w:r>
      <w:r w:rsidR="00F91A68" w:rsidRPr="00BD40CD">
        <w:t xml:space="preserve">statní kapitálové transfery </w:t>
      </w:r>
      <w:r w:rsidR="00335604" w:rsidRPr="00BD40CD">
        <w:t xml:space="preserve">(zahrnovaly výplatu kompenzačních bonusů) </w:t>
      </w:r>
      <w:r w:rsidR="00F91A68" w:rsidRPr="00BD40CD">
        <w:t>dos</w:t>
      </w:r>
      <w:r w:rsidR="00335604" w:rsidRPr="00BD40CD">
        <w:t>áhly</w:t>
      </w:r>
      <w:r w:rsidR="00F91A68" w:rsidRPr="00BD40CD">
        <w:t xml:space="preserve"> 2,0</w:t>
      </w:r>
      <w:r w:rsidR="003D21DB">
        <w:t> mld</w:t>
      </w:r>
      <w:r w:rsidR="00F91A68" w:rsidRPr="00BD40CD">
        <w:t xml:space="preserve">., což bylo </w:t>
      </w:r>
      <w:r w:rsidR="00335604" w:rsidRPr="00BD40CD">
        <w:t xml:space="preserve">stále </w:t>
      </w:r>
      <w:r w:rsidR="00F91A68" w:rsidRPr="00BD40CD">
        <w:t>výrazně více ve srovnání se</w:t>
      </w:r>
      <w:r w:rsidR="00335604" w:rsidRPr="00BD40CD">
        <w:t xml:space="preserve"> stejným obdobím </w:t>
      </w:r>
      <w:r w:rsidR="008945F2">
        <w:t>v letech před pandemií.</w:t>
      </w:r>
      <w:r w:rsidR="00335604" w:rsidRPr="00BD40CD">
        <w:t xml:space="preserve"> </w:t>
      </w:r>
      <w:r w:rsidR="006F7CA8" w:rsidRPr="00BD40CD">
        <w:t>Investice domácností</w:t>
      </w:r>
      <w:r w:rsidR="00335604" w:rsidRPr="00BD40CD">
        <w:t xml:space="preserve"> dosáhly 86,9</w:t>
      </w:r>
      <w:r w:rsidR="003D21DB">
        <w:t> mld</w:t>
      </w:r>
      <w:r w:rsidR="00335604" w:rsidRPr="00BD40CD">
        <w:t xml:space="preserve">. korun </w:t>
      </w:r>
      <w:r w:rsidR="000F6E26" w:rsidRPr="00BD40CD">
        <w:t>a</w:t>
      </w:r>
      <w:r w:rsidR="000F6E26">
        <w:t> </w:t>
      </w:r>
      <w:r w:rsidR="00335604" w:rsidRPr="00BD40CD">
        <w:t xml:space="preserve">meziročně se zvýšily </w:t>
      </w:r>
      <w:r w:rsidR="000F6E26" w:rsidRPr="00BD40CD">
        <w:t>o</w:t>
      </w:r>
      <w:r w:rsidR="000F6E26">
        <w:t> </w:t>
      </w:r>
      <w:r w:rsidR="00335604" w:rsidRPr="00BD40CD">
        <w:t>11,3</w:t>
      </w:r>
      <w:r w:rsidR="003D21DB">
        <w:t> mld</w:t>
      </w:r>
      <w:r w:rsidR="00335604" w:rsidRPr="00BD40CD">
        <w:t>.</w:t>
      </w:r>
      <w:r w:rsidR="003057B2" w:rsidRPr="00BD40CD">
        <w:t xml:space="preserve"> Mezičtvrtletní přírůstek investic dosáhl 2,7</w:t>
      </w:r>
      <w:r w:rsidR="003D21DB">
        <w:t> mld</w:t>
      </w:r>
      <w:r w:rsidR="003057B2" w:rsidRPr="00BD40CD">
        <w:t xml:space="preserve">. korun. </w:t>
      </w:r>
      <w:r w:rsidR="00020D9A" w:rsidRPr="00BD40CD">
        <w:t>Výsledná míra investic</w:t>
      </w:r>
      <w:r w:rsidR="00020D9A" w:rsidRPr="00BD40CD">
        <w:rPr>
          <w:rStyle w:val="Znakapoznpodarou"/>
        </w:rPr>
        <w:footnoteReference w:id="18"/>
      </w:r>
      <w:r w:rsidR="00020D9A" w:rsidRPr="00BD40CD">
        <w:t xml:space="preserve"> (sezónně očištěná) mezičtvrtletně vzrostla </w:t>
      </w:r>
      <w:r w:rsidR="00EF788F" w:rsidRPr="00BD40CD">
        <w:t>o </w:t>
      </w:r>
      <w:r w:rsidR="006F7CA8" w:rsidRPr="00BD40CD">
        <w:t>0,</w:t>
      </w:r>
      <w:r w:rsidR="003057B2" w:rsidRPr="00BD40CD">
        <w:t>3</w:t>
      </w:r>
      <w:r w:rsidR="00020D9A" w:rsidRPr="00BD40CD">
        <w:t xml:space="preserve"> p. b. na </w:t>
      </w:r>
      <w:r w:rsidR="003057B2" w:rsidRPr="00BD40CD">
        <w:t>9,8</w:t>
      </w:r>
      <w:r w:rsidR="00B13907" w:rsidRPr="00BD40CD">
        <w:t> %</w:t>
      </w:r>
      <w:r w:rsidR="00020D9A" w:rsidRPr="00BD40CD">
        <w:t xml:space="preserve">. Meziročně se (neočištěná) míra investic </w:t>
      </w:r>
      <w:r w:rsidR="006F7CA8" w:rsidRPr="00BD40CD">
        <w:t xml:space="preserve">zvýšila </w:t>
      </w:r>
      <w:r w:rsidR="000F6E26" w:rsidRPr="00BD40CD">
        <w:t>o</w:t>
      </w:r>
      <w:r w:rsidR="000F6E26">
        <w:t> </w:t>
      </w:r>
      <w:r w:rsidR="003057B2" w:rsidRPr="00BD40CD">
        <w:t>0,8</w:t>
      </w:r>
      <w:r w:rsidR="00B342F4" w:rsidRPr="00BD40CD">
        <w:t> p. b</w:t>
      </w:r>
      <w:r w:rsidR="006F7CA8" w:rsidRPr="00BD40CD">
        <w:t>.</w:t>
      </w:r>
    </w:p>
    <w:p w14:paraId="298037DA" w14:textId="77777777" w:rsidR="003057B2" w:rsidRPr="00BD40CD" w:rsidRDefault="003057B2">
      <w:pPr>
        <w:spacing w:line="240" w:lineRule="auto"/>
        <w:jc w:val="left"/>
      </w:pPr>
      <w:r w:rsidRPr="00BD40CD">
        <w:br w:type="page"/>
      </w:r>
    </w:p>
    <w:p w14:paraId="71BB4AD3" w14:textId="18B05A5F" w:rsidR="00F50CEF" w:rsidRPr="00BD40CD" w:rsidRDefault="00F50CEF" w:rsidP="000302A6">
      <w:pPr>
        <w:pStyle w:val="Nadpis1"/>
        <w:spacing w:after="120"/>
      </w:pPr>
      <w:r w:rsidRPr="00BD40CD">
        <w:lastRenderedPageBreak/>
        <w:t>Finanční vztahy s</w:t>
      </w:r>
      <w:r w:rsidR="000D19F9" w:rsidRPr="00BD40CD">
        <w:t> </w:t>
      </w:r>
      <w:r w:rsidRPr="00BD40CD">
        <w:t>nerezidenty</w:t>
      </w:r>
    </w:p>
    <w:p w14:paraId="450807C8" w14:textId="4FA807D2" w:rsidR="00441FA9" w:rsidRPr="00BD40CD" w:rsidRDefault="00041D8C" w:rsidP="00060DD8">
      <w:pPr>
        <w:spacing w:after="120"/>
      </w:pPr>
      <w:r w:rsidRPr="00BD40CD">
        <w:t>Ve 3.</w:t>
      </w:r>
      <w:r w:rsidR="003D21DB">
        <w:t> čtvrtlet</w:t>
      </w:r>
      <w:r w:rsidRPr="00BD40CD">
        <w:t xml:space="preserve">í </w:t>
      </w:r>
      <w:r w:rsidR="00742725" w:rsidRPr="00BD40CD">
        <w:t>2021 dál výrazně rostla hodnota dovozu, ale v případě vývozu přírůstek výrazně zpomalil. Přitom se zahraniční obchod ve stejném období roku 2020 ještě zotavoval z</w:t>
      </w:r>
      <w:r w:rsidR="00EC7AEF">
        <w:t xml:space="preserve">e </w:t>
      </w:r>
      <w:r w:rsidR="00742725" w:rsidRPr="00BD40CD">
        <w:t>šokového propadu, takže</w:t>
      </w:r>
      <w:r w:rsidR="00441FA9" w:rsidRPr="00BD40CD">
        <w:t xml:space="preserve"> srovnávací základna vývozu byla poměrně nízká. Vývoz meziročně vzrostl </w:t>
      </w:r>
      <w:r w:rsidR="000F6E26" w:rsidRPr="00BD40CD">
        <w:t>o</w:t>
      </w:r>
      <w:r w:rsidR="000F6E26">
        <w:t> </w:t>
      </w:r>
      <w:r w:rsidR="00441FA9" w:rsidRPr="00BD40CD">
        <w:t>33,1 mld. korun na 1 034,8</w:t>
      </w:r>
      <w:r w:rsidR="003D21DB">
        <w:t> mld</w:t>
      </w:r>
      <w:r w:rsidR="00441FA9" w:rsidRPr="00BD40CD">
        <w:t xml:space="preserve">. Dovoz byl vyšší </w:t>
      </w:r>
      <w:r w:rsidR="000F6E26" w:rsidRPr="00BD40CD">
        <w:t>o</w:t>
      </w:r>
      <w:r w:rsidR="000F6E26">
        <w:t> </w:t>
      </w:r>
      <w:r w:rsidR="00441FA9" w:rsidRPr="00BD40CD">
        <w:t>140,9</w:t>
      </w:r>
      <w:r w:rsidR="003D21DB">
        <w:t> mld</w:t>
      </w:r>
      <w:r w:rsidR="00171121">
        <w:t>.</w:t>
      </w:r>
      <w:r w:rsidR="00742725" w:rsidRPr="00BD40CD">
        <w:t xml:space="preserve"> </w:t>
      </w:r>
      <w:r w:rsidR="00441FA9" w:rsidRPr="00BD40CD">
        <w:t xml:space="preserve">korun </w:t>
      </w:r>
      <w:r w:rsidR="000F6E26" w:rsidRPr="00BD40CD">
        <w:t>a</w:t>
      </w:r>
      <w:r w:rsidR="000F6E26">
        <w:t> </w:t>
      </w:r>
      <w:r w:rsidR="00441FA9" w:rsidRPr="00BD40CD">
        <w:t>dosáhl 1 034,0</w:t>
      </w:r>
      <w:r w:rsidR="003D21DB">
        <w:t> mld</w:t>
      </w:r>
      <w:r w:rsidR="00441FA9" w:rsidRPr="00BD40CD">
        <w:t>. Bilance zahraničního obchodu si tak ve 3.</w:t>
      </w:r>
      <w:r w:rsidR="003D21DB">
        <w:t> čtvrtlet</w:t>
      </w:r>
      <w:r w:rsidR="00441FA9" w:rsidRPr="00BD40CD">
        <w:t>í udržela jen drobný přebytek ve výši 0,8</w:t>
      </w:r>
      <w:r w:rsidR="003D21DB">
        <w:t> mld</w:t>
      </w:r>
      <w:r w:rsidR="00441FA9" w:rsidRPr="00BD40CD">
        <w:t xml:space="preserve">. korun, což byl meziročně </w:t>
      </w:r>
      <w:r w:rsidR="000F6E26" w:rsidRPr="00BD40CD">
        <w:t>o</w:t>
      </w:r>
      <w:r w:rsidR="000F6E26">
        <w:t> </w:t>
      </w:r>
      <w:r w:rsidR="00441FA9" w:rsidRPr="00BD40CD">
        <w:t>107,8</w:t>
      </w:r>
      <w:r w:rsidR="003D21DB">
        <w:t> mld</w:t>
      </w:r>
      <w:r w:rsidR="00441FA9" w:rsidRPr="00BD40CD">
        <w:t>. horší výsledek.</w:t>
      </w:r>
    </w:p>
    <w:p w14:paraId="5559317E" w14:textId="2EC79A23" w:rsidR="00B8043F" w:rsidRPr="00BD40CD" w:rsidRDefault="00726E4F" w:rsidP="00060DD8">
      <w:pPr>
        <w:spacing w:after="120"/>
      </w:pPr>
      <w:r w:rsidRPr="00BD40CD">
        <w:t>Nerezidentům</w:t>
      </w:r>
      <w:r w:rsidRPr="00BD40CD">
        <w:rPr>
          <w:rStyle w:val="Znakapoznpodarou"/>
        </w:rPr>
        <w:footnoteReference w:id="19"/>
      </w:r>
      <w:r w:rsidRPr="00BD40CD">
        <w:t xml:space="preserve"> bylo z domácí ekonomiky vyplaceno 1</w:t>
      </w:r>
      <w:r w:rsidR="00FB109A" w:rsidRPr="00BD40CD">
        <w:t>15,6</w:t>
      </w:r>
      <w:r w:rsidR="008C00A5" w:rsidRPr="00BD40CD">
        <w:t> mld.</w:t>
      </w:r>
      <w:r w:rsidRPr="00BD40CD">
        <w:t xml:space="preserve"> korun ve formě důchodů z</w:t>
      </w:r>
      <w:r w:rsidR="00C17B2C" w:rsidRPr="00BD40CD">
        <w:t> </w:t>
      </w:r>
      <w:r w:rsidRPr="00BD40CD">
        <w:t>vlastnictví</w:t>
      </w:r>
      <w:r w:rsidR="00C17B2C" w:rsidRPr="00BD40CD">
        <w:t xml:space="preserve"> (jejich největší </w:t>
      </w:r>
      <w:r w:rsidR="00F41E59" w:rsidRPr="00BD40CD">
        <w:t>příjem</w:t>
      </w:r>
      <w:r w:rsidR="00C17B2C" w:rsidRPr="00BD40CD">
        <w:t>)</w:t>
      </w:r>
      <w:r w:rsidRPr="00BD40CD">
        <w:t xml:space="preserve">. Meziročně to </w:t>
      </w:r>
      <w:r w:rsidR="00FB109A" w:rsidRPr="00BD40CD">
        <w:t>bylo</w:t>
      </w:r>
      <w:r w:rsidRPr="00BD40CD">
        <w:t xml:space="preserve"> </w:t>
      </w:r>
      <w:r w:rsidR="008C00A5" w:rsidRPr="00BD40CD">
        <w:t>o </w:t>
      </w:r>
      <w:r w:rsidRPr="00BD40CD">
        <w:t>3,</w:t>
      </w:r>
      <w:r w:rsidR="00FB109A" w:rsidRPr="00BD40CD">
        <w:t>4</w:t>
      </w:r>
      <w:r w:rsidR="008C00A5" w:rsidRPr="00BD40CD">
        <w:t> mld.</w:t>
      </w:r>
      <w:r w:rsidRPr="00BD40CD">
        <w:t xml:space="preserve"> méně.</w:t>
      </w:r>
      <w:r w:rsidR="00FB109A" w:rsidRPr="00BD40CD">
        <w:t xml:space="preserve"> Reinvestované zisky z přímých zahraničních investic se totiž meziročně propadly </w:t>
      </w:r>
      <w:r w:rsidR="000F6E26" w:rsidRPr="00BD40CD">
        <w:t>o</w:t>
      </w:r>
      <w:r w:rsidR="000F6E26">
        <w:t> </w:t>
      </w:r>
      <w:r w:rsidR="00FB109A" w:rsidRPr="00BD40CD">
        <w:t>38,0</w:t>
      </w:r>
      <w:r w:rsidR="003D21DB">
        <w:t> mld</w:t>
      </w:r>
      <w:r w:rsidR="00FB109A" w:rsidRPr="00BD40CD">
        <w:t xml:space="preserve">. korun </w:t>
      </w:r>
      <w:r w:rsidR="000F6E26" w:rsidRPr="00BD40CD">
        <w:t>a</w:t>
      </w:r>
      <w:r w:rsidR="000F6E26">
        <w:t> </w:t>
      </w:r>
      <w:r w:rsidR="00FB109A" w:rsidRPr="00BD40CD">
        <w:t xml:space="preserve">naproti tomu se objem rozdělovaných důchodů společností zvýšil </w:t>
      </w:r>
      <w:r w:rsidR="000F6E26" w:rsidRPr="00BD40CD">
        <w:t>o</w:t>
      </w:r>
      <w:r w:rsidR="000F6E26">
        <w:t> </w:t>
      </w:r>
      <w:r w:rsidR="00FB109A" w:rsidRPr="00BD40CD">
        <w:t>34,4</w:t>
      </w:r>
      <w:r w:rsidR="003D21DB">
        <w:t> mld</w:t>
      </w:r>
      <w:r w:rsidR="005566EC" w:rsidRPr="00BD40CD">
        <w:t>.</w:t>
      </w:r>
      <w:r w:rsidR="00FB109A" w:rsidRPr="00BD40CD">
        <w:t xml:space="preserve"> Výrazný přírůstek rozdělovaných důchodů byl ale dán nízkou srovnávací základnou. </w:t>
      </w:r>
      <w:r w:rsidR="00B54C52" w:rsidRPr="00BD40CD">
        <w:t xml:space="preserve">S výjimkou roku 2020 </w:t>
      </w:r>
      <w:r w:rsidR="005566EC" w:rsidRPr="00BD40CD">
        <w:t>byla částka 70,9</w:t>
      </w:r>
      <w:r w:rsidR="003D21DB">
        <w:t> mld</w:t>
      </w:r>
      <w:r w:rsidR="005566EC" w:rsidRPr="00BD40CD">
        <w:t xml:space="preserve">. korun </w:t>
      </w:r>
      <w:r w:rsidR="00B54C52" w:rsidRPr="00BD40CD">
        <w:t xml:space="preserve">v rámci </w:t>
      </w:r>
      <w:r w:rsidR="00FB109A" w:rsidRPr="00BD40CD">
        <w:t>3.</w:t>
      </w:r>
      <w:r w:rsidR="003D21DB">
        <w:t> čtvrtlet</w:t>
      </w:r>
      <w:r w:rsidR="00FB109A" w:rsidRPr="00BD40CD">
        <w:t>í nejnižší</w:t>
      </w:r>
      <w:r w:rsidR="00B54C52" w:rsidRPr="00BD40CD">
        <w:t xml:space="preserve"> </w:t>
      </w:r>
      <w:r w:rsidR="00FB109A" w:rsidRPr="00BD40CD">
        <w:t xml:space="preserve">od roku </w:t>
      </w:r>
      <w:r w:rsidR="00B54C52" w:rsidRPr="00BD40CD">
        <w:t>2013.</w:t>
      </w:r>
      <w:r w:rsidR="005566EC" w:rsidRPr="00BD40CD">
        <w:t xml:space="preserve"> </w:t>
      </w:r>
      <w:r w:rsidR="007640A3" w:rsidRPr="00BD40CD">
        <w:t>Objem důchodů z vlastnictví domácích investorů v zahraničí klesl</w:t>
      </w:r>
      <w:r w:rsidR="00B06174" w:rsidRPr="00BD40CD">
        <w:t xml:space="preserve"> </w:t>
      </w:r>
      <w:r w:rsidR="008C00A5" w:rsidRPr="00BD40CD">
        <w:t>o </w:t>
      </w:r>
      <w:r w:rsidR="005566EC" w:rsidRPr="00BD40CD">
        <w:t>10,6</w:t>
      </w:r>
      <w:r w:rsidR="008C00A5" w:rsidRPr="00BD40CD">
        <w:t> mld.</w:t>
      </w:r>
      <w:r w:rsidR="00B06174" w:rsidRPr="00BD40CD">
        <w:t xml:space="preserve"> korun, </w:t>
      </w:r>
      <w:r w:rsidR="005566EC" w:rsidRPr="00BD40CD">
        <w:t xml:space="preserve">přičemž </w:t>
      </w:r>
      <w:r w:rsidR="006D7932" w:rsidRPr="00BD40CD">
        <w:t>propad</w:t>
      </w:r>
      <w:r w:rsidR="00B06174" w:rsidRPr="00BD40CD">
        <w:t xml:space="preserve"> rozdělovaných důchodů společností</w:t>
      </w:r>
      <w:r w:rsidR="005566EC" w:rsidRPr="00BD40CD">
        <w:t xml:space="preserve"> činil 8,1</w:t>
      </w:r>
      <w:r w:rsidR="006D7932" w:rsidRPr="00BD40CD">
        <w:t> </w:t>
      </w:r>
      <w:r w:rsidR="005566EC" w:rsidRPr="00BD40CD">
        <w:t xml:space="preserve">mld. </w:t>
      </w:r>
      <w:r w:rsidR="003E3B40">
        <w:t>a</w:t>
      </w:r>
      <w:r w:rsidR="000F6E26">
        <w:t> </w:t>
      </w:r>
      <w:r w:rsidR="005566EC" w:rsidRPr="00BD40CD">
        <w:t>v případě reinvestovaných zisků to bylo 3,3</w:t>
      </w:r>
      <w:r w:rsidR="003D21DB">
        <w:t> mld</w:t>
      </w:r>
      <w:r w:rsidR="005566EC" w:rsidRPr="00BD40CD">
        <w:t>.</w:t>
      </w:r>
      <w:r w:rsidR="007640A3" w:rsidRPr="00BD40CD">
        <w:t xml:space="preserve"> Čistý odliv důchodů z vlastnictví do zahraničí v</w:t>
      </w:r>
      <w:r w:rsidR="00B06174" w:rsidRPr="00BD40CD">
        <w:t>e</w:t>
      </w:r>
      <w:r w:rsidR="00131E21" w:rsidRPr="00BD40CD">
        <w:t xml:space="preserve"> </w:t>
      </w:r>
      <w:r w:rsidR="005566EC" w:rsidRPr="00BD40CD">
        <w:t>3</w:t>
      </w:r>
      <w:r w:rsidR="007640A3" w:rsidRPr="00BD40CD">
        <w:t>.</w:t>
      </w:r>
      <w:r w:rsidR="00B13907" w:rsidRPr="00BD40CD">
        <w:t> čtvrtlet</w:t>
      </w:r>
      <w:r w:rsidR="007640A3" w:rsidRPr="00BD40CD">
        <w:t xml:space="preserve">í 2021 </w:t>
      </w:r>
      <w:r w:rsidR="00B06174" w:rsidRPr="00BD40CD">
        <w:t xml:space="preserve">meziročně vzrostl </w:t>
      </w:r>
      <w:r w:rsidR="008C00A5" w:rsidRPr="00BD40CD">
        <w:t>o </w:t>
      </w:r>
      <w:r w:rsidR="002002A3" w:rsidRPr="00BD40CD">
        <w:t>7,2</w:t>
      </w:r>
      <w:r w:rsidR="008C00A5" w:rsidRPr="00BD40CD">
        <w:t> mld.</w:t>
      </w:r>
      <w:r w:rsidR="00B06174" w:rsidRPr="00BD40CD">
        <w:t xml:space="preserve"> korun </w:t>
      </w:r>
      <w:r w:rsidR="002002A3" w:rsidRPr="00BD40CD">
        <w:t>na 67,0</w:t>
      </w:r>
      <w:r w:rsidR="00B13907" w:rsidRPr="00BD40CD">
        <w:t> mld.</w:t>
      </w:r>
    </w:p>
    <w:p w14:paraId="48344937" w14:textId="053F5FE1" w:rsidR="00B26AFC" w:rsidRPr="00BD40CD" w:rsidRDefault="004124F0" w:rsidP="007909AA">
      <w:pPr>
        <w:spacing w:after="120"/>
      </w:pPr>
      <w:r w:rsidRPr="00BD40CD">
        <w:t>Domácí ekonomika si ve 3.</w:t>
      </w:r>
      <w:r w:rsidR="003D21DB">
        <w:t> čtvrtlet</w:t>
      </w:r>
      <w:r w:rsidR="00C17B2C" w:rsidRPr="00BD40CD">
        <w:t xml:space="preserve">í připsala </w:t>
      </w:r>
      <w:r w:rsidRPr="00BD40CD">
        <w:t>18,0</w:t>
      </w:r>
      <w:r w:rsidR="008C00A5" w:rsidRPr="00BD40CD">
        <w:t> mld.</w:t>
      </w:r>
      <w:r w:rsidR="00C17B2C" w:rsidRPr="00BD40CD">
        <w:t xml:space="preserve"> korun ve formě náhrad zaměstnancům (meziročně </w:t>
      </w:r>
      <w:r w:rsidR="008C00A5" w:rsidRPr="00BD40CD">
        <w:t>o </w:t>
      </w:r>
      <w:r w:rsidR="00C17B2C" w:rsidRPr="00BD40CD">
        <w:t>0,</w:t>
      </w:r>
      <w:r w:rsidRPr="00BD40CD">
        <w:t>4</w:t>
      </w:r>
      <w:r w:rsidR="008C00A5" w:rsidRPr="00BD40CD">
        <w:t> mld.</w:t>
      </w:r>
      <w:r w:rsidR="00C17B2C" w:rsidRPr="00BD40CD">
        <w:t xml:space="preserve"> </w:t>
      </w:r>
      <w:r w:rsidRPr="00BD40CD">
        <w:t>méně</w:t>
      </w:r>
      <w:r w:rsidR="00C17B2C" w:rsidRPr="00BD40CD">
        <w:t xml:space="preserve">). Naopak </w:t>
      </w:r>
      <w:r w:rsidR="00B8043F" w:rsidRPr="00BD40CD">
        <w:t>do zahraničí bylo vyplaceno 1</w:t>
      </w:r>
      <w:r w:rsidRPr="00BD40CD">
        <w:t>5,3</w:t>
      </w:r>
      <w:r w:rsidR="00B13907" w:rsidRPr="00BD40CD">
        <w:t> mld.</w:t>
      </w:r>
      <w:r w:rsidR="00B8043F" w:rsidRPr="00BD40CD">
        <w:t xml:space="preserve"> korun </w:t>
      </w:r>
      <w:r w:rsidR="00733AC3" w:rsidRPr="00BD40CD">
        <w:t>(+</w:t>
      </w:r>
      <w:r w:rsidRPr="00BD40CD">
        <w:t>2,5</w:t>
      </w:r>
      <w:r w:rsidR="00B13907" w:rsidRPr="00BD40CD">
        <w:t> mld.</w:t>
      </w:r>
      <w:r w:rsidR="00733AC3" w:rsidRPr="00BD40CD">
        <w:t>)</w:t>
      </w:r>
      <w:r w:rsidR="0000403F">
        <w:t>.</w:t>
      </w:r>
      <w:r w:rsidR="00B8043F" w:rsidRPr="00BD40CD">
        <w:t xml:space="preserve"> </w:t>
      </w:r>
      <w:r w:rsidRPr="00BD40CD">
        <w:t>K</w:t>
      </w:r>
      <w:r w:rsidR="00C17B2C" w:rsidRPr="00BD40CD">
        <w:t xml:space="preserve">ladné saldo </w:t>
      </w:r>
      <w:r w:rsidRPr="00BD40CD">
        <w:t xml:space="preserve">tak poměrně výrazně </w:t>
      </w:r>
      <w:r w:rsidR="00C17B2C" w:rsidRPr="00BD40CD">
        <w:t xml:space="preserve">meziročně kleslo </w:t>
      </w:r>
      <w:r w:rsidR="008C00A5" w:rsidRPr="00BD40CD">
        <w:t>o </w:t>
      </w:r>
      <w:r w:rsidRPr="00BD40CD">
        <w:t>2,8</w:t>
      </w:r>
      <w:r w:rsidR="008C00A5" w:rsidRPr="00BD40CD">
        <w:t> mld.</w:t>
      </w:r>
      <w:r w:rsidR="00C17B2C" w:rsidRPr="00BD40CD">
        <w:t xml:space="preserve"> korun na </w:t>
      </w:r>
      <w:r w:rsidRPr="00BD40CD">
        <w:t>2,7</w:t>
      </w:r>
      <w:r w:rsidR="008C00A5" w:rsidRPr="00BD40CD">
        <w:t> mld.</w:t>
      </w:r>
      <w:r w:rsidR="00C17B2C" w:rsidRPr="00BD40CD">
        <w:t xml:space="preserve"> </w:t>
      </w:r>
      <w:r w:rsidRPr="00BD40CD">
        <w:t>Objem d</w:t>
      </w:r>
      <w:r w:rsidR="00F77F8B" w:rsidRPr="00BD40CD">
        <w:t>an</w:t>
      </w:r>
      <w:r w:rsidRPr="00BD40CD">
        <w:t>í</w:t>
      </w:r>
      <w:r w:rsidR="00F77F8B" w:rsidRPr="00BD40CD">
        <w:t xml:space="preserve"> z výroby </w:t>
      </w:r>
      <w:r w:rsidR="00EF788F" w:rsidRPr="00BD40CD">
        <w:t>a </w:t>
      </w:r>
      <w:r w:rsidR="00F77F8B" w:rsidRPr="00BD40CD">
        <w:t>dovozu zaplacen</w:t>
      </w:r>
      <w:r w:rsidRPr="00BD40CD">
        <w:t>ých</w:t>
      </w:r>
      <w:r w:rsidR="00F77F8B" w:rsidRPr="00BD40CD">
        <w:t xml:space="preserve"> do zahraničí </w:t>
      </w:r>
      <w:r w:rsidRPr="00BD40CD">
        <w:t>dosáhl</w:t>
      </w:r>
      <w:r w:rsidR="00F77F8B" w:rsidRPr="00BD40CD">
        <w:t xml:space="preserve"> 2,</w:t>
      </w:r>
      <w:r w:rsidRPr="00BD40CD">
        <w:t>3</w:t>
      </w:r>
      <w:r w:rsidR="00B13907" w:rsidRPr="00BD40CD">
        <w:t> mld</w:t>
      </w:r>
      <w:r w:rsidR="00AA6E75">
        <w:t>.</w:t>
      </w:r>
      <w:r w:rsidRPr="00BD40CD">
        <w:t xml:space="preserve"> </w:t>
      </w:r>
      <w:r w:rsidR="000F6E26" w:rsidRPr="00BD40CD">
        <w:t>a</w:t>
      </w:r>
      <w:r w:rsidR="000F6E26">
        <w:t> </w:t>
      </w:r>
      <w:r w:rsidRPr="00BD40CD">
        <w:t>d</w:t>
      </w:r>
      <w:r w:rsidR="00F77F8B" w:rsidRPr="00BD40CD">
        <w:t xml:space="preserve">otace ze zahraničí </w:t>
      </w:r>
      <w:r w:rsidR="003E3B40">
        <w:t>činily</w:t>
      </w:r>
      <w:r w:rsidR="00C17B2C" w:rsidRPr="00BD40CD">
        <w:t xml:space="preserve"> </w:t>
      </w:r>
      <w:r w:rsidRPr="00BD40CD">
        <w:t>2,0</w:t>
      </w:r>
      <w:r w:rsidR="00B13907" w:rsidRPr="00BD40CD">
        <w:t> mld.</w:t>
      </w:r>
      <w:r w:rsidR="00F77F8B" w:rsidRPr="00BD40CD">
        <w:t xml:space="preserve"> </w:t>
      </w:r>
      <w:r w:rsidR="00733AC3" w:rsidRPr="00BD40CD">
        <w:t>D</w:t>
      </w:r>
      <w:r w:rsidR="00C17B2C" w:rsidRPr="00BD40CD">
        <w:t>eficit</w:t>
      </w:r>
      <w:r w:rsidR="00F77F8B" w:rsidRPr="00BD40CD">
        <w:t xml:space="preserve"> sald</w:t>
      </w:r>
      <w:r w:rsidR="00C17B2C" w:rsidRPr="00BD40CD">
        <w:t>a</w:t>
      </w:r>
      <w:r w:rsidR="00F77F8B" w:rsidRPr="00BD40CD">
        <w:t xml:space="preserve"> prvotních důchodů</w:t>
      </w:r>
      <w:r w:rsidR="00C17B2C" w:rsidRPr="00BD40CD">
        <w:t xml:space="preserve"> </w:t>
      </w:r>
      <w:r w:rsidR="009D4881">
        <w:t>dosáhl úrovně</w:t>
      </w:r>
      <w:r w:rsidR="00733AC3" w:rsidRPr="00BD40CD">
        <w:t xml:space="preserve"> 64,6</w:t>
      </w:r>
      <w:r w:rsidR="003D21DB">
        <w:t> mld</w:t>
      </w:r>
      <w:r w:rsidR="00733AC3" w:rsidRPr="00BD40CD">
        <w:t xml:space="preserve">. korun </w:t>
      </w:r>
      <w:r w:rsidR="000F6E26" w:rsidRPr="00BD40CD">
        <w:t>a</w:t>
      </w:r>
      <w:r w:rsidR="000F6E26">
        <w:t> </w:t>
      </w:r>
      <w:r w:rsidR="00733AC3" w:rsidRPr="00BD40CD">
        <w:t xml:space="preserve">meziročně byl hlubší </w:t>
      </w:r>
      <w:r w:rsidR="000F6E26" w:rsidRPr="00BD40CD">
        <w:t>o</w:t>
      </w:r>
      <w:r w:rsidR="000F6E26">
        <w:t> </w:t>
      </w:r>
      <w:r w:rsidR="00733AC3" w:rsidRPr="00BD40CD">
        <w:t>10,4</w:t>
      </w:r>
      <w:r w:rsidR="003D21DB">
        <w:t> mld</w:t>
      </w:r>
      <w:r w:rsidR="00733AC3" w:rsidRPr="00BD40CD">
        <w:t>.</w:t>
      </w:r>
    </w:p>
    <w:p w14:paraId="4421CAD6" w14:textId="2DFAE7CC" w:rsidR="008A6342" w:rsidRPr="00BD40CD" w:rsidRDefault="00BC6921" w:rsidP="007909AA">
      <w:pPr>
        <w:spacing w:after="120"/>
      </w:pPr>
      <w:r w:rsidRPr="00BD40CD">
        <w:t xml:space="preserve">Deficit salda druhotných důchodů se meziročně prohloubil </w:t>
      </w:r>
      <w:r w:rsidR="000F6E26" w:rsidRPr="00BD40CD">
        <w:t>o</w:t>
      </w:r>
      <w:r w:rsidR="000F6E26">
        <w:t> </w:t>
      </w:r>
      <w:r w:rsidRPr="00BD40CD">
        <w:t>6,2</w:t>
      </w:r>
      <w:r w:rsidR="003D21DB">
        <w:t> mld</w:t>
      </w:r>
      <w:r w:rsidRPr="00BD40CD">
        <w:t>. korun na 14,9</w:t>
      </w:r>
      <w:r w:rsidR="003D21DB">
        <w:t> mld</w:t>
      </w:r>
      <w:r w:rsidRPr="00BD40CD">
        <w:t>.</w:t>
      </w:r>
      <w:r w:rsidR="0068614B" w:rsidRPr="00BD40CD">
        <w:t xml:space="preserve"> Největší vliv na to měl nárůst objemu ostatních běžných transferů vyplacených do zahraničí </w:t>
      </w:r>
      <w:r w:rsidR="000F6E26" w:rsidRPr="00BD40CD">
        <w:t>o</w:t>
      </w:r>
      <w:r w:rsidR="000F6E26">
        <w:t> </w:t>
      </w:r>
      <w:r w:rsidR="0068614B" w:rsidRPr="00BD40CD">
        <w:t>7,2</w:t>
      </w:r>
      <w:r w:rsidR="003D21DB">
        <w:t> mld</w:t>
      </w:r>
      <w:r w:rsidR="0068614B" w:rsidRPr="00BD40CD">
        <w:t xml:space="preserve">. korun. </w:t>
      </w:r>
      <w:r w:rsidR="008A6342" w:rsidRPr="00BD40CD">
        <w:t>Výsledkem v</w:t>
      </w:r>
      <w:r w:rsidR="0068614B" w:rsidRPr="00BD40CD">
        <w:t>elké</w:t>
      </w:r>
      <w:r w:rsidR="008A6342" w:rsidRPr="00BD40CD">
        <w:t>ho</w:t>
      </w:r>
      <w:r w:rsidR="0068614B" w:rsidRPr="00BD40CD">
        <w:t xml:space="preserve"> zh</w:t>
      </w:r>
      <w:r w:rsidR="00F96F6C" w:rsidRPr="00BD40CD">
        <w:t xml:space="preserve">oršení bilance zahraničního obchodu </w:t>
      </w:r>
      <w:r w:rsidR="000F6E26" w:rsidRPr="00BD40CD">
        <w:t>a</w:t>
      </w:r>
      <w:r w:rsidR="000F6E26">
        <w:t> </w:t>
      </w:r>
      <w:r w:rsidR="00F96F6C" w:rsidRPr="00BD40CD">
        <w:t xml:space="preserve">prohloubení deficitu prvotních </w:t>
      </w:r>
      <w:r w:rsidR="000F6E26" w:rsidRPr="00BD40CD">
        <w:t>i</w:t>
      </w:r>
      <w:r w:rsidR="000F6E26">
        <w:t> </w:t>
      </w:r>
      <w:r w:rsidR="00F96F6C" w:rsidRPr="00BD40CD">
        <w:t xml:space="preserve">druhotných důchodů </w:t>
      </w:r>
      <w:r w:rsidR="008A6342" w:rsidRPr="00BD40CD">
        <w:t xml:space="preserve">byl </w:t>
      </w:r>
      <w:r w:rsidR="00F96F6C" w:rsidRPr="00BD40CD">
        <w:t>deficit salda běžných transakcí</w:t>
      </w:r>
      <w:r w:rsidR="008A6342" w:rsidRPr="00BD40CD">
        <w:t xml:space="preserve"> domácí ekonomiky se zahraničím ve výši 78,8</w:t>
      </w:r>
      <w:r w:rsidR="003D21DB">
        <w:t> mld</w:t>
      </w:r>
      <w:r w:rsidR="008A6342" w:rsidRPr="00BD40CD">
        <w:t xml:space="preserve">. korun. </w:t>
      </w:r>
      <w:r w:rsidR="00613EF0" w:rsidRPr="00BD40CD">
        <w:t>Deficit je v rámci 3.</w:t>
      </w:r>
      <w:r w:rsidR="003F43E5">
        <w:t> kvartál</w:t>
      </w:r>
      <w:r w:rsidR="00613EF0" w:rsidRPr="00BD40CD">
        <w:t>u poměrně obvyklý</w:t>
      </w:r>
      <w:r w:rsidR="00E754BF" w:rsidRPr="00BD40CD">
        <w:rPr>
          <w:rStyle w:val="Znakapoznpodarou"/>
        </w:rPr>
        <w:footnoteReference w:id="20"/>
      </w:r>
      <w:r w:rsidR="00613EF0" w:rsidRPr="00BD40CD">
        <w:t xml:space="preserve">, šlo ale </w:t>
      </w:r>
      <w:r w:rsidR="000F6E26" w:rsidRPr="00BD40CD">
        <w:t>o</w:t>
      </w:r>
      <w:r w:rsidR="000F6E26">
        <w:t> </w:t>
      </w:r>
      <w:r w:rsidR="008A6342" w:rsidRPr="00BD40CD">
        <w:t>nejhorší výsledek od roku 2010.</w:t>
      </w:r>
    </w:p>
    <w:p w14:paraId="238ABB20" w14:textId="1BDED29F" w:rsidR="002461C3" w:rsidRPr="00BD40CD" w:rsidRDefault="008A6342" w:rsidP="00FD6D15">
      <w:pPr>
        <w:spacing w:after="120"/>
        <w:rPr>
          <w:bCs/>
        </w:rPr>
      </w:pPr>
      <w:r w:rsidRPr="00BD40CD">
        <w:t xml:space="preserve">Ze </w:t>
      </w:r>
      <w:r w:rsidR="006724D0" w:rsidRPr="00BD40CD">
        <w:t xml:space="preserve">zahraničí </w:t>
      </w:r>
      <w:r w:rsidRPr="00BD40CD">
        <w:t>přiteklo 26,6</w:t>
      </w:r>
      <w:r w:rsidR="003D21DB">
        <w:t> mld</w:t>
      </w:r>
      <w:r w:rsidRPr="00BD40CD">
        <w:t xml:space="preserve">. korun </w:t>
      </w:r>
      <w:r w:rsidR="006724D0" w:rsidRPr="00BD40CD">
        <w:t xml:space="preserve">v podobě kapitálových transferů, meziročně </w:t>
      </w:r>
      <w:r w:rsidR="008C00A5" w:rsidRPr="00BD40CD">
        <w:t>o </w:t>
      </w:r>
      <w:r w:rsidRPr="00BD40CD">
        <w:t>7,2</w:t>
      </w:r>
      <w:r w:rsidR="008C00A5" w:rsidRPr="00BD40CD">
        <w:t> mld.</w:t>
      </w:r>
      <w:r w:rsidR="006724D0" w:rsidRPr="00BD40CD">
        <w:t xml:space="preserve"> </w:t>
      </w:r>
      <w:r w:rsidRPr="00BD40CD">
        <w:t>více</w:t>
      </w:r>
      <w:r w:rsidR="006724D0" w:rsidRPr="00BD40CD">
        <w:t xml:space="preserve">. Z toho </w:t>
      </w:r>
      <w:r w:rsidRPr="00BD40CD">
        <w:t>19,5</w:t>
      </w:r>
      <w:r w:rsidR="008C00A5" w:rsidRPr="00BD40CD">
        <w:t> mld.</w:t>
      </w:r>
      <w:r w:rsidR="006724D0" w:rsidRPr="00BD40CD">
        <w:t xml:space="preserve"> korun (</w:t>
      </w:r>
      <w:r w:rsidR="003F43E5">
        <w:t>–</w:t>
      </w:r>
      <w:r w:rsidRPr="00BD40CD">
        <w:t>0,8</w:t>
      </w:r>
      <w:r w:rsidR="008C00A5" w:rsidRPr="00BD40CD">
        <w:t> mld.</w:t>
      </w:r>
      <w:r w:rsidR="006724D0" w:rsidRPr="00BD40CD">
        <w:t xml:space="preserve">) představovaly investiční dotace. </w:t>
      </w:r>
      <w:r w:rsidRPr="00BD40CD">
        <w:t xml:space="preserve">Výrazně </w:t>
      </w:r>
      <w:proofErr w:type="gramStart"/>
      <w:r w:rsidRPr="00BD40CD">
        <w:t>v</w:t>
      </w:r>
      <w:r w:rsidR="006724D0" w:rsidRPr="00BD40CD">
        <w:t>yšší</w:t>
      </w:r>
      <w:proofErr w:type="gramEnd"/>
      <w:r w:rsidR="006724D0" w:rsidRPr="00BD40CD">
        <w:t xml:space="preserve"> než obvykle byl</w:t>
      </w:r>
      <w:r w:rsidRPr="00BD40CD">
        <w:t xml:space="preserve"> ale </w:t>
      </w:r>
      <w:r w:rsidR="006724D0" w:rsidRPr="00BD40CD">
        <w:t>objem přijatých ostatních kapitálových transferů (</w:t>
      </w:r>
      <w:r w:rsidRPr="00BD40CD">
        <w:t>7,2</w:t>
      </w:r>
      <w:r w:rsidR="008C00A5" w:rsidRPr="00BD40CD">
        <w:t> mld.</w:t>
      </w:r>
      <w:r w:rsidR="006724D0" w:rsidRPr="00BD40CD">
        <w:t xml:space="preserve"> korun).</w:t>
      </w:r>
      <w:r w:rsidR="00FD6D15" w:rsidRPr="00BD40CD">
        <w:t xml:space="preserve"> Celkové saldo kapitálových transferů mezi domácí ekonomikou </w:t>
      </w:r>
      <w:r w:rsidR="008C00A5" w:rsidRPr="00BD40CD">
        <w:t>a </w:t>
      </w:r>
      <w:r w:rsidR="00FD6D15" w:rsidRPr="00BD40CD">
        <w:t xml:space="preserve">zahraničím činilo </w:t>
      </w:r>
      <w:r w:rsidRPr="00BD40CD">
        <w:t>20,8</w:t>
      </w:r>
      <w:r w:rsidR="008C00A5" w:rsidRPr="00BD40CD">
        <w:t> mld.</w:t>
      </w:r>
      <w:r w:rsidR="00FD6D15" w:rsidRPr="00BD40CD">
        <w:t xml:space="preserve"> korun,</w:t>
      </w:r>
      <w:r w:rsidR="00613EF0" w:rsidRPr="00BD40CD">
        <w:t xml:space="preserve"> meziročně</w:t>
      </w:r>
      <w:r w:rsidR="00FD6D15" w:rsidRPr="00BD40CD">
        <w:t xml:space="preserve"> </w:t>
      </w:r>
      <w:r w:rsidR="000F6E26" w:rsidRPr="00BD40CD">
        <w:t>o</w:t>
      </w:r>
      <w:r w:rsidR="000F6E26">
        <w:t> </w:t>
      </w:r>
      <w:r w:rsidR="00613EF0" w:rsidRPr="00BD40CD">
        <w:t>6,4</w:t>
      </w:r>
      <w:r w:rsidR="003D21DB">
        <w:t> mld</w:t>
      </w:r>
      <w:r w:rsidR="00613EF0" w:rsidRPr="00BD40CD">
        <w:t>. více.</w:t>
      </w:r>
      <w:r w:rsidR="00FD6D15" w:rsidRPr="00BD40CD">
        <w:t xml:space="preserve"> Domácí ekonomika </w:t>
      </w:r>
      <w:r w:rsidR="00CD0981">
        <w:t xml:space="preserve">se ve 3. čtvrtletí dostala vůči zahraničí </w:t>
      </w:r>
      <w:r w:rsidR="00613EF0" w:rsidRPr="00BD40CD">
        <w:t>do č</w:t>
      </w:r>
      <w:r w:rsidR="00FD6D15" w:rsidRPr="00BD40CD">
        <w:t xml:space="preserve">isté </w:t>
      </w:r>
      <w:r w:rsidR="00613EF0" w:rsidRPr="00BD40CD">
        <w:t xml:space="preserve">záporné </w:t>
      </w:r>
      <w:r w:rsidR="00FD6D15" w:rsidRPr="00BD40CD">
        <w:t>pozic</w:t>
      </w:r>
      <w:r w:rsidR="00613EF0" w:rsidRPr="00BD40CD">
        <w:t>e</w:t>
      </w:r>
      <w:r w:rsidR="00FD6D15" w:rsidRPr="00BD40CD">
        <w:t xml:space="preserve"> </w:t>
      </w:r>
      <w:r w:rsidR="008C00A5" w:rsidRPr="00BD40CD">
        <w:t>a </w:t>
      </w:r>
      <w:r w:rsidR="00FD6D15" w:rsidRPr="00BD40CD">
        <w:t>č</w:t>
      </w:r>
      <w:r w:rsidR="00B70ECD" w:rsidRPr="00BD40CD">
        <w:t xml:space="preserve">isté </w:t>
      </w:r>
      <w:r w:rsidR="00613EF0" w:rsidRPr="00BD40CD">
        <w:t>vý</w:t>
      </w:r>
      <w:r w:rsidR="00B70ECD" w:rsidRPr="00BD40CD">
        <w:t xml:space="preserve">půjčky </w:t>
      </w:r>
      <w:r w:rsidR="00FD6D15" w:rsidRPr="00BD40CD">
        <w:t xml:space="preserve">činily </w:t>
      </w:r>
      <w:r w:rsidR="00613EF0" w:rsidRPr="00BD40CD">
        <w:t>54,8</w:t>
      </w:r>
      <w:r w:rsidR="008C00A5" w:rsidRPr="00BD40CD">
        <w:t> mld.</w:t>
      </w:r>
      <w:r w:rsidR="00FD6D15" w:rsidRPr="00BD40CD">
        <w:t xml:space="preserve"> korun (meziročně </w:t>
      </w:r>
      <w:r w:rsidR="008C00A5" w:rsidRPr="00BD40CD">
        <w:t>o </w:t>
      </w:r>
      <w:r w:rsidR="00613EF0" w:rsidRPr="00BD40CD">
        <w:t>118,1</w:t>
      </w:r>
      <w:r w:rsidR="00CD547F" w:rsidRPr="00BD40CD">
        <w:t> </w:t>
      </w:r>
      <w:r w:rsidR="00FD6D15" w:rsidRPr="00BD40CD">
        <w:t xml:space="preserve">mld. </w:t>
      </w:r>
      <w:r w:rsidR="00613EF0" w:rsidRPr="00BD40CD">
        <w:t>horší</w:t>
      </w:r>
      <w:r w:rsidR="00FD6D15" w:rsidRPr="00BD40CD">
        <w:t xml:space="preserve"> výsledek).</w:t>
      </w:r>
    </w:p>
    <w:p w14:paraId="40794951" w14:textId="49A6EACE"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14:paraId="07FE70A9" w14:textId="77777777" w:rsidR="007B1333" w:rsidRPr="00BD40CD" w:rsidRDefault="00656A12" w:rsidP="00E42E00">
      <w:r w:rsidRPr="00BD40CD">
        <w:t>Karolína Zábojníková</w:t>
      </w:r>
    </w:p>
    <w:p w14:paraId="4734BAC4" w14:textId="77777777" w:rsidR="007B1333" w:rsidRPr="00BD40CD" w:rsidRDefault="00656A12" w:rsidP="00E42E00">
      <w:r w:rsidRPr="00BD40CD">
        <w:t>Odbor Kancelář předsedy</w:t>
      </w:r>
    </w:p>
    <w:p w14:paraId="4CEDD3F5" w14:textId="3D4E0FEB"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14:paraId="5AE94747" w14:textId="77777777"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9807" w14:textId="77777777" w:rsidR="00101C34" w:rsidRDefault="00101C34" w:rsidP="00BA6370">
      <w:r>
        <w:separator/>
      </w:r>
    </w:p>
  </w:endnote>
  <w:endnote w:type="continuationSeparator" w:id="0">
    <w:p w14:paraId="22B091A3" w14:textId="77777777" w:rsidR="00101C34" w:rsidRDefault="00101C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3E8C253E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A3">
          <w:rPr>
            <w:noProof/>
          </w:rPr>
          <w:t>9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163C" w14:textId="77777777" w:rsidR="00101C34" w:rsidRDefault="00101C34" w:rsidP="00BA6370">
      <w:r>
        <w:separator/>
      </w:r>
    </w:p>
  </w:footnote>
  <w:footnote w:type="continuationSeparator" w:id="0">
    <w:p w14:paraId="4BC52373" w14:textId="77777777" w:rsidR="00101C34" w:rsidRDefault="00101C34" w:rsidP="00BA6370">
      <w:r>
        <w:continuationSeparator/>
      </w:r>
    </w:p>
  </w:footnote>
  <w:footnote w:id="1">
    <w:p w14:paraId="59D03184" w14:textId="77777777" w:rsidR="00B66166" w:rsidRPr="00F5750C" w:rsidRDefault="00B66166" w:rsidP="00B66166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505069BF" w14:textId="4B091D27" w:rsidR="00B66166" w:rsidRPr="0006237B" w:rsidRDefault="00B66166" w:rsidP="00B66166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</w:t>
      </w:r>
      <w:r w:rsidR="00600E0E">
        <w:rPr>
          <w:sz w:val="16"/>
          <w:szCs w:val="16"/>
        </w:rPr>
        <w:t xml:space="preserve"> </w:t>
      </w:r>
      <w:r w:rsidR="00A0276F">
        <w:rPr>
          <w:sz w:val="16"/>
          <w:szCs w:val="16"/>
        </w:rPr>
        <w:t>3</w:t>
      </w:r>
      <w:r>
        <w:rPr>
          <w:sz w:val="16"/>
          <w:szCs w:val="16"/>
        </w:rPr>
        <w:t>. čtvrtletí 2021 dosahoval meziroční deflátor HPH 4,</w:t>
      </w:r>
      <w:r w:rsidR="00A0276F">
        <w:rPr>
          <w:sz w:val="16"/>
          <w:szCs w:val="16"/>
        </w:rPr>
        <w:t>5</w:t>
      </w:r>
      <w:r>
        <w:rPr>
          <w:sz w:val="16"/>
          <w:szCs w:val="16"/>
        </w:rPr>
        <w:t> %.</w:t>
      </w:r>
    </w:p>
  </w:footnote>
  <w:footnote w:id="3">
    <w:p w14:paraId="0F4BF56A" w14:textId="77777777" w:rsidR="00A0276F" w:rsidRPr="000F11C8" w:rsidRDefault="00A0276F" w:rsidP="00A0276F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5D7DB393" w14:textId="62058CAC" w:rsidR="00497031" w:rsidRPr="00EE227D" w:rsidRDefault="00497031" w:rsidP="00497031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 w:rsidR="0086334D">
        <w:rPr>
          <w:sz w:val="16"/>
          <w:szCs w:val="16"/>
        </w:rPr>
        <w:t>Dotace zahrn</w:t>
      </w:r>
      <w:r w:rsidR="00DB0771">
        <w:rPr>
          <w:sz w:val="16"/>
          <w:szCs w:val="16"/>
        </w:rPr>
        <w:t>ovaly</w:t>
      </w:r>
      <w:r w:rsidR="0086334D">
        <w:rPr>
          <w:sz w:val="16"/>
          <w:szCs w:val="16"/>
        </w:rPr>
        <w:t xml:space="preserve"> prostředky </w:t>
      </w:r>
      <w:r w:rsidR="000F6E26">
        <w:rPr>
          <w:sz w:val="16"/>
          <w:szCs w:val="16"/>
        </w:rPr>
        <w:t>v </w:t>
      </w:r>
      <w:r>
        <w:rPr>
          <w:sz w:val="16"/>
          <w:szCs w:val="16"/>
        </w:rPr>
        <w:t xml:space="preserve">rámci </w:t>
      </w:r>
      <w:r w:rsidRPr="005D0714">
        <w:rPr>
          <w:sz w:val="16"/>
          <w:szCs w:val="16"/>
        </w:rPr>
        <w:t>program</w:t>
      </w:r>
      <w:r>
        <w:rPr>
          <w:sz w:val="16"/>
          <w:szCs w:val="16"/>
        </w:rPr>
        <w:t>ů</w:t>
      </w:r>
      <w:r w:rsidRPr="005D0714">
        <w:rPr>
          <w:sz w:val="16"/>
          <w:szCs w:val="16"/>
        </w:rPr>
        <w:t xml:space="preserve"> COVID nájemné pro podnikatele</w:t>
      </w:r>
      <w:r>
        <w:rPr>
          <w:sz w:val="16"/>
          <w:szCs w:val="16"/>
        </w:rPr>
        <w:t xml:space="preserve">, COVID ubytování a dalších. </w:t>
      </w:r>
      <w:r w:rsidR="0086334D">
        <w:rPr>
          <w:sz w:val="16"/>
          <w:szCs w:val="16"/>
        </w:rPr>
        <w:t>I</w:t>
      </w:r>
      <w:r>
        <w:rPr>
          <w:sz w:val="16"/>
          <w:szCs w:val="16"/>
        </w:rPr>
        <w:t xml:space="preserve">nformace o pohybech ve statistice výdajů a příjmů vládních institucí jsou obsaženy v metodické poznámce zveřejněné na </w:t>
      </w:r>
      <w:hyperlink r:id="rId1" w:history="1">
        <w:r>
          <w:rPr>
            <w:rStyle w:val="Hypertextovodkaz"/>
            <w:sz w:val="16"/>
            <w:szCs w:val="16"/>
          </w:rPr>
          <w:t>https://www.czso.cz/csu/czso/metodicka-poznamka-k-vladni-financni-statistice-2020-covid-19-01042021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5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</w:t>
      </w:r>
      <w:proofErr w:type="gramStart"/>
      <w:r w:rsidRPr="0006237B">
        <w:rPr>
          <w:rFonts w:eastAsiaTheme="minorHAnsi" w:cs="Arial"/>
          <w:iCs/>
          <w:sz w:val="16"/>
          <w:szCs w:val="16"/>
          <w:lang w:eastAsia="en-US"/>
        </w:rPr>
        <w:t>2g</w:t>
      </w:r>
      <w:proofErr w:type="gramEnd"/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6">
    <w:p w14:paraId="2849467B" w14:textId="4E42CC24" w:rsidR="004153B8" w:rsidRPr="00FB11E5" w:rsidRDefault="004153B8" w:rsidP="004153B8">
      <w:pPr>
        <w:pStyle w:val="Textpoznpodarou"/>
        <w:rPr>
          <w:sz w:val="16"/>
          <w:szCs w:val="16"/>
        </w:rPr>
      </w:pPr>
      <w:r w:rsidRPr="00FB11E5">
        <w:rPr>
          <w:rStyle w:val="Znakapoznpodarou"/>
          <w:sz w:val="16"/>
          <w:szCs w:val="16"/>
        </w:rPr>
        <w:footnoteRef/>
      </w:r>
      <w:r w:rsidRPr="00FB11E5">
        <w:rPr>
          <w:sz w:val="16"/>
          <w:szCs w:val="16"/>
        </w:rPr>
        <w:t xml:space="preserve"> Na straně zdrojů </w:t>
      </w:r>
      <w:r w:rsidR="00047A6C">
        <w:rPr>
          <w:sz w:val="16"/>
          <w:szCs w:val="16"/>
        </w:rPr>
        <w:t xml:space="preserve">obdržely </w:t>
      </w:r>
      <w:r w:rsidR="00DC5E7F">
        <w:rPr>
          <w:sz w:val="16"/>
          <w:szCs w:val="16"/>
        </w:rPr>
        <w:t>nefinanční podniky</w:t>
      </w:r>
      <w:r w:rsidR="00047A6C">
        <w:rPr>
          <w:sz w:val="16"/>
          <w:szCs w:val="16"/>
        </w:rPr>
        <w:t xml:space="preserve"> </w:t>
      </w:r>
      <w:r w:rsidRPr="00FB11E5">
        <w:rPr>
          <w:sz w:val="16"/>
          <w:szCs w:val="16"/>
        </w:rPr>
        <w:t>sociální příspěvky</w:t>
      </w:r>
      <w:r>
        <w:rPr>
          <w:sz w:val="16"/>
          <w:szCs w:val="16"/>
        </w:rPr>
        <w:t xml:space="preserve"> ve výši 9,3 mld. korun (meziročně o 6,0 mld. více)</w:t>
      </w:r>
      <w:r w:rsidRPr="00FB11E5">
        <w:rPr>
          <w:sz w:val="16"/>
          <w:szCs w:val="16"/>
        </w:rPr>
        <w:t>, které pak</w:t>
      </w:r>
      <w:r w:rsidR="0023363B" w:rsidRPr="00FB11E5">
        <w:rPr>
          <w:sz w:val="16"/>
          <w:szCs w:val="16"/>
        </w:rPr>
        <w:t xml:space="preserve"> ve stejné výši</w:t>
      </w:r>
      <w:r w:rsidRPr="00FB11E5">
        <w:rPr>
          <w:sz w:val="16"/>
          <w:szCs w:val="16"/>
        </w:rPr>
        <w:t xml:space="preserve"> vyplatily jako sociální dávky. Na celkové saldo tak</w:t>
      </w:r>
      <w:r>
        <w:rPr>
          <w:sz w:val="16"/>
          <w:szCs w:val="16"/>
        </w:rPr>
        <w:t xml:space="preserve"> tento</w:t>
      </w:r>
      <w:r w:rsidRPr="00FB11E5">
        <w:rPr>
          <w:sz w:val="16"/>
          <w:szCs w:val="16"/>
        </w:rPr>
        <w:t xml:space="preserve"> pohyb neměl vliv.</w:t>
      </w:r>
    </w:p>
  </w:footnote>
  <w:footnote w:id="7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</w:t>
      </w:r>
      <w:proofErr w:type="gramStart"/>
      <w:r w:rsidRPr="00984434">
        <w:rPr>
          <w:rFonts w:eastAsiaTheme="minorHAnsi" w:cs="Arial"/>
          <w:iCs/>
          <w:sz w:val="16"/>
          <w:szCs w:val="16"/>
          <w:lang w:eastAsia="en-US"/>
        </w:rPr>
        <w:t>8g</w:t>
      </w:r>
      <w:proofErr w:type="gramEnd"/>
      <w:r w:rsidRPr="00984434">
        <w:rPr>
          <w:rFonts w:eastAsiaTheme="minorHAnsi" w:cs="Arial"/>
          <w:iCs/>
          <w:sz w:val="16"/>
          <w:szCs w:val="16"/>
          <w:lang w:eastAsia="en-US"/>
        </w:rPr>
        <w:t> / B.1g).</w:t>
      </w:r>
    </w:p>
  </w:footnote>
  <w:footnote w:id="8">
    <w:p w14:paraId="129F9990" w14:textId="77777777" w:rsidR="006A79D4" w:rsidRPr="00AB3D8D" w:rsidRDefault="006A79D4" w:rsidP="00850AAD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</w:t>
      </w:r>
      <w:proofErr w:type="gramStart"/>
      <w:r w:rsidRPr="00AB3D8D">
        <w:rPr>
          <w:rFonts w:eastAsiaTheme="minorHAnsi" w:cs="Arial"/>
          <w:iCs/>
          <w:sz w:val="16"/>
          <w:szCs w:val="16"/>
          <w:lang w:eastAsia="en-US"/>
        </w:rPr>
        <w:t>51g</w:t>
      </w:r>
      <w:proofErr w:type="gramEnd"/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9">
    <w:p w14:paraId="680859F6" w14:textId="5E16EC09" w:rsidR="00DB2214" w:rsidRPr="00222B76" w:rsidRDefault="00DB2214" w:rsidP="00DB2214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Položka zahrnovala k</w:t>
      </w:r>
      <w:r w:rsidRPr="00222B76">
        <w:rPr>
          <w:sz w:val="16"/>
          <w:szCs w:val="16"/>
        </w:rPr>
        <w:t>ompenzační bonus pro OSVČ</w:t>
      </w:r>
      <w:r>
        <w:rPr>
          <w:sz w:val="16"/>
          <w:szCs w:val="16"/>
        </w:rPr>
        <w:t>, jehož vyplácení se snížilo spolu s tím, jak byl</w:t>
      </w:r>
      <w:r w:rsidR="0096328A">
        <w:rPr>
          <w:sz w:val="16"/>
          <w:szCs w:val="16"/>
        </w:rPr>
        <w:t>a</w:t>
      </w:r>
      <w:r>
        <w:rPr>
          <w:sz w:val="16"/>
          <w:szCs w:val="16"/>
        </w:rPr>
        <w:t xml:space="preserve"> rušen</w:t>
      </w:r>
      <w:r w:rsidR="0096328A">
        <w:rPr>
          <w:sz w:val="16"/>
          <w:szCs w:val="16"/>
        </w:rPr>
        <w:t>a</w:t>
      </w:r>
      <w:r>
        <w:rPr>
          <w:sz w:val="16"/>
          <w:szCs w:val="16"/>
        </w:rPr>
        <w:t xml:space="preserve"> omezující opatření.</w:t>
      </w:r>
    </w:p>
  </w:footnote>
  <w:footnote w:id="10">
    <w:p w14:paraId="7A052C0B" w14:textId="44F07410" w:rsidR="0096328A" w:rsidRPr="000B544B" w:rsidRDefault="0096328A" w:rsidP="0096328A">
      <w:pPr>
        <w:spacing w:after="120"/>
        <w:jc w:val="left"/>
        <w:rPr>
          <w:sz w:val="16"/>
          <w:szCs w:val="16"/>
        </w:rPr>
      </w:pPr>
      <w:r w:rsidRPr="000B544B">
        <w:rPr>
          <w:rStyle w:val="Znakapoznpodarou"/>
          <w:sz w:val="16"/>
          <w:szCs w:val="16"/>
        </w:rPr>
        <w:footnoteRef/>
      </w:r>
      <w:r w:rsidRPr="000B544B">
        <w:rPr>
          <w:sz w:val="16"/>
          <w:szCs w:val="16"/>
        </w:rPr>
        <w:t xml:space="preserve"> </w:t>
      </w:r>
      <w:r>
        <w:rPr>
          <w:sz w:val="16"/>
          <w:szCs w:val="16"/>
        </w:rPr>
        <w:t>Položka v předchozích čtvrtletích zahrnovala zejména transfer</w:t>
      </w:r>
      <w:r w:rsidRPr="000B544B">
        <w:rPr>
          <w:sz w:val="16"/>
          <w:szCs w:val="16"/>
        </w:rPr>
        <w:t xml:space="preserve">y </w:t>
      </w:r>
      <w:proofErr w:type="spellStart"/>
      <w:r w:rsidRPr="000B544B">
        <w:rPr>
          <w:sz w:val="16"/>
          <w:szCs w:val="16"/>
        </w:rPr>
        <w:t>subsektoru</w:t>
      </w:r>
      <w:proofErr w:type="spellEnd"/>
      <w:r w:rsidRPr="000B544B">
        <w:rPr>
          <w:sz w:val="16"/>
          <w:szCs w:val="16"/>
        </w:rPr>
        <w:t xml:space="preserve"> místních vládních institucí jako kompenzace za propad vzniklý vyplácením kompenzačního bonusu.</w:t>
      </w:r>
    </w:p>
    <w:p w14:paraId="3377AE6A" w14:textId="77777777" w:rsidR="0096328A" w:rsidRDefault="0096328A" w:rsidP="0096328A">
      <w:pPr>
        <w:pStyle w:val="Textpoznpodarou"/>
      </w:pPr>
    </w:p>
  </w:footnote>
  <w:footnote w:id="11">
    <w:p w14:paraId="1767CD6E" w14:textId="77777777" w:rsidR="00756FB7" w:rsidRPr="00337C71" w:rsidRDefault="00756FB7" w:rsidP="00756FB7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https://doi.org/10.18267/j.polek.1290</w:t>
      </w:r>
      <w:r>
        <w:rPr>
          <w:sz w:val="16"/>
          <w:szCs w:val="16"/>
        </w:rPr>
        <w:t>.</w:t>
      </w:r>
    </w:p>
  </w:footnote>
  <w:footnote w:id="12">
    <w:p w14:paraId="3E043B5F" w14:textId="5BB62250" w:rsidR="002F0636" w:rsidRPr="009E0C2A" w:rsidRDefault="002F0636" w:rsidP="002F0636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3. čtvrtletí 2021 činil cenový nárůst 3,6 %.</w:t>
      </w:r>
    </w:p>
  </w:footnote>
  <w:footnote w:id="13">
    <w:p w14:paraId="50F2BE0B" w14:textId="77777777" w:rsidR="00A15BC6" w:rsidRPr="00EB5544" w:rsidRDefault="00A15BC6" w:rsidP="00A15BC6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4">
    <w:p w14:paraId="30342BFD" w14:textId="77777777" w:rsidR="00F12768" w:rsidRPr="00EB5544" w:rsidRDefault="00F12768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5">
    <w:p w14:paraId="73ED4826" w14:textId="47112B7B" w:rsidR="005859A8" w:rsidRPr="005E519B" w:rsidRDefault="005859A8">
      <w:pPr>
        <w:pStyle w:val="Textpoznpodarou"/>
        <w:rPr>
          <w:sz w:val="16"/>
          <w:szCs w:val="16"/>
        </w:rPr>
      </w:pPr>
      <w:r w:rsidRPr="005E519B">
        <w:rPr>
          <w:rStyle w:val="Znakapoznpodarou"/>
          <w:sz w:val="16"/>
          <w:szCs w:val="16"/>
        </w:rPr>
        <w:footnoteRef/>
      </w:r>
      <w:r w:rsidRPr="005E519B">
        <w:rPr>
          <w:sz w:val="16"/>
          <w:szCs w:val="16"/>
        </w:rPr>
        <w:t xml:space="preserve"> </w:t>
      </w:r>
      <w:r w:rsidR="00FC0B20">
        <w:rPr>
          <w:sz w:val="16"/>
          <w:szCs w:val="16"/>
        </w:rPr>
        <w:t>Maloobchod</w:t>
      </w:r>
      <w:r w:rsidRPr="005E519B">
        <w:rPr>
          <w:sz w:val="16"/>
          <w:szCs w:val="16"/>
        </w:rPr>
        <w:t xml:space="preserve"> </w:t>
      </w:r>
      <w:r w:rsidR="00FC0B20">
        <w:rPr>
          <w:sz w:val="16"/>
          <w:szCs w:val="16"/>
        </w:rPr>
        <w:t>byl omezen</w:t>
      </w:r>
      <w:r w:rsidRPr="005E519B">
        <w:rPr>
          <w:sz w:val="16"/>
          <w:szCs w:val="16"/>
        </w:rPr>
        <w:t xml:space="preserve"> </w:t>
      </w:r>
      <w:r w:rsidR="005E519B" w:rsidRPr="005E519B">
        <w:rPr>
          <w:sz w:val="16"/>
          <w:szCs w:val="16"/>
        </w:rPr>
        <w:t xml:space="preserve">od </w:t>
      </w:r>
      <w:r w:rsidR="001453D8">
        <w:rPr>
          <w:sz w:val="16"/>
          <w:szCs w:val="16"/>
        </w:rPr>
        <w:t>2</w:t>
      </w:r>
      <w:r w:rsidR="003F43E5">
        <w:rPr>
          <w:sz w:val="16"/>
          <w:szCs w:val="16"/>
        </w:rPr>
        <w:t>2. </w:t>
      </w:r>
      <w:r w:rsidR="005E519B" w:rsidRPr="005E519B">
        <w:rPr>
          <w:sz w:val="16"/>
          <w:szCs w:val="16"/>
        </w:rPr>
        <w:t xml:space="preserve">října 2020 až do </w:t>
      </w:r>
      <w:r w:rsidR="001453D8">
        <w:rPr>
          <w:sz w:val="16"/>
          <w:szCs w:val="16"/>
        </w:rPr>
        <w:t>1</w:t>
      </w:r>
      <w:r w:rsidR="003F43E5">
        <w:rPr>
          <w:sz w:val="16"/>
          <w:szCs w:val="16"/>
        </w:rPr>
        <w:t>0. </w:t>
      </w:r>
      <w:r w:rsidR="00FC0B20">
        <w:rPr>
          <w:sz w:val="16"/>
          <w:szCs w:val="16"/>
        </w:rPr>
        <w:t>května</w:t>
      </w:r>
      <w:r w:rsidR="005E519B" w:rsidRPr="005E519B">
        <w:rPr>
          <w:sz w:val="16"/>
          <w:szCs w:val="16"/>
        </w:rPr>
        <w:t xml:space="preserve"> 2021.</w:t>
      </w:r>
      <w:r w:rsidR="00FC0B20">
        <w:rPr>
          <w:sz w:val="16"/>
          <w:szCs w:val="16"/>
        </w:rPr>
        <w:t xml:space="preserve"> </w:t>
      </w:r>
      <w:r w:rsidR="00123E91">
        <w:rPr>
          <w:sz w:val="16"/>
          <w:szCs w:val="16"/>
        </w:rPr>
        <w:t>Omezení neplatil</w:t>
      </w:r>
      <w:r w:rsidR="004065C6">
        <w:rPr>
          <w:sz w:val="16"/>
          <w:szCs w:val="16"/>
        </w:rPr>
        <w:t>a</w:t>
      </w:r>
      <w:r w:rsidR="00123E91">
        <w:rPr>
          <w:sz w:val="16"/>
          <w:szCs w:val="16"/>
        </w:rPr>
        <w:t xml:space="preserve"> </w:t>
      </w:r>
      <w:r w:rsidR="000F6E26">
        <w:rPr>
          <w:sz w:val="16"/>
          <w:szCs w:val="16"/>
        </w:rPr>
        <w:t>v </w:t>
      </w:r>
      <w:r w:rsidR="00123E91">
        <w:rPr>
          <w:sz w:val="16"/>
          <w:szCs w:val="16"/>
        </w:rPr>
        <w:t>průběhu</w:t>
      </w:r>
      <w:r w:rsidR="00FC0B20">
        <w:rPr>
          <w:sz w:val="16"/>
          <w:szCs w:val="16"/>
        </w:rPr>
        <w:t xml:space="preserve"> prosince 2020.</w:t>
      </w:r>
    </w:p>
  </w:footnote>
  <w:footnote w:id="16">
    <w:p w14:paraId="627F0B3F" w14:textId="508A45EA" w:rsidR="005878E1" w:rsidRPr="005878E1" w:rsidRDefault="005878E1">
      <w:pPr>
        <w:pStyle w:val="Textpoznpodarou"/>
        <w:rPr>
          <w:sz w:val="16"/>
          <w:szCs w:val="16"/>
        </w:rPr>
      </w:pPr>
      <w:r w:rsidRPr="005878E1">
        <w:rPr>
          <w:rStyle w:val="Znakapoznpodarou"/>
          <w:sz w:val="16"/>
          <w:szCs w:val="16"/>
        </w:rPr>
        <w:footnoteRef/>
      </w:r>
      <w:r w:rsidRPr="005878E1">
        <w:rPr>
          <w:sz w:val="16"/>
          <w:szCs w:val="16"/>
        </w:rPr>
        <w:t xml:space="preserve"> Rozdíl mezi hrubým disponibilním důchodem upraveným </w:t>
      </w:r>
      <w:r w:rsidR="000F6E26" w:rsidRPr="005878E1">
        <w:rPr>
          <w:sz w:val="16"/>
          <w:szCs w:val="16"/>
        </w:rPr>
        <w:t>o</w:t>
      </w:r>
      <w:r w:rsidR="000F6E26">
        <w:rPr>
          <w:sz w:val="16"/>
          <w:szCs w:val="16"/>
        </w:rPr>
        <w:t> </w:t>
      </w:r>
      <w:r w:rsidRPr="005878E1">
        <w:rPr>
          <w:sz w:val="16"/>
          <w:szCs w:val="16"/>
        </w:rPr>
        <w:t xml:space="preserve">čistý podíl domácností na rezervách penzijních fondů </w:t>
      </w:r>
      <w:r w:rsidR="000F6E26" w:rsidRPr="005878E1">
        <w:rPr>
          <w:sz w:val="16"/>
          <w:szCs w:val="16"/>
        </w:rPr>
        <w:t>a</w:t>
      </w:r>
      <w:r w:rsidR="000F6E26">
        <w:rPr>
          <w:sz w:val="16"/>
          <w:szCs w:val="16"/>
        </w:rPr>
        <w:t> </w:t>
      </w:r>
      <w:r w:rsidRPr="005878E1">
        <w:rPr>
          <w:sz w:val="16"/>
          <w:szCs w:val="16"/>
        </w:rPr>
        <w:t>výdaji na konečnou spotřebu (B.</w:t>
      </w:r>
      <w:proofErr w:type="gramStart"/>
      <w:r w:rsidRPr="005878E1">
        <w:rPr>
          <w:sz w:val="16"/>
          <w:szCs w:val="16"/>
        </w:rPr>
        <w:t>6g</w:t>
      </w:r>
      <w:proofErr w:type="gramEnd"/>
      <w:r w:rsidR="001D02CC">
        <w:rPr>
          <w:sz w:val="16"/>
          <w:szCs w:val="16"/>
        </w:rPr>
        <w:t> </w:t>
      </w:r>
      <w:r w:rsidRPr="005878E1">
        <w:rPr>
          <w:sz w:val="16"/>
          <w:szCs w:val="16"/>
        </w:rPr>
        <w:t>+</w:t>
      </w:r>
      <w:r w:rsidR="001D02CC">
        <w:rPr>
          <w:sz w:val="16"/>
          <w:szCs w:val="16"/>
        </w:rPr>
        <w:t> </w:t>
      </w:r>
      <w:r w:rsidRPr="005878E1">
        <w:rPr>
          <w:sz w:val="16"/>
          <w:szCs w:val="16"/>
        </w:rPr>
        <w:t>D.</w:t>
      </w:r>
      <w:r w:rsidR="000F6E26" w:rsidRPr="005878E1">
        <w:rPr>
          <w:sz w:val="16"/>
          <w:szCs w:val="16"/>
        </w:rPr>
        <w:t>8</w:t>
      </w:r>
      <w:r w:rsidR="000F6E26">
        <w:rPr>
          <w:sz w:val="16"/>
          <w:szCs w:val="16"/>
        </w:rPr>
        <w:t> </w:t>
      </w:r>
      <w:r w:rsidRPr="005878E1">
        <w:rPr>
          <w:sz w:val="16"/>
          <w:szCs w:val="16"/>
        </w:rPr>
        <w:t>–</w:t>
      </w:r>
      <w:r w:rsidR="001D02CC">
        <w:rPr>
          <w:sz w:val="16"/>
          <w:szCs w:val="16"/>
        </w:rPr>
        <w:t> </w:t>
      </w:r>
      <w:r w:rsidRPr="005878E1">
        <w:rPr>
          <w:sz w:val="16"/>
          <w:szCs w:val="16"/>
        </w:rPr>
        <w:t>P.3).</w:t>
      </w:r>
    </w:p>
  </w:footnote>
  <w:footnote w:id="17">
    <w:p w14:paraId="7E1F7E4C" w14:textId="06E6F900" w:rsidR="003A5965" w:rsidRPr="00E9501D" w:rsidRDefault="003A5965" w:rsidP="003A5965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</w:t>
      </w:r>
      <w:proofErr w:type="gramStart"/>
      <w:r w:rsidRPr="00E9501D">
        <w:rPr>
          <w:rFonts w:cs="Arial"/>
          <w:iCs/>
          <w:sz w:val="16"/>
          <w:szCs w:val="16"/>
        </w:rPr>
        <w:t>8g</w:t>
      </w:r>
      <w:proofErr w:type="gramEnd"/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 Hrubé úspory představují část hrubého disponibilního důchodu</w:t>
      </w:r>
      <w:r w:rsidRPr="005F1821">
        <w:rPr>
          <w:rFonts w:cs="Arial"/>
          <w:iCs/>
          <w:sz w:val="16"/>
          <w:szCs w:val="16"/>
        </w:rPr>
        <w:t>, kter</w:t>
      </w:r>
      <w:r w:rsidR="005F1821" w:rsidRPr="005F1821">
        <w:rPr>
          <w:rFonts w:cs="Arial"/>
          <w:iCs/>
          <w:sz w:val="16"/>
          <w:szCs w:val="16"/>
        </w:rPr>
        <w:t>á</w:t>
      </w:r>
      <w:r w:rsidRPr="005F1821">
        <w:rPr>
          <w:rFonts w:cs="Arial"/>
          <w:iCs/>
          <w:sz w:val="16"/>
          <w:szCs w:val="16"/>
        </w:rPr>
        <w:t xml:space="preserve"> nebyl</w:t>
      </w:r>
      <w:r w:rsidR="005F1821" w:rsidRPr="005F1821">
        <w:rPr>
          <w:rFonts w:cs="Arial"/>
          <w:iCs/>
          <w:sz w:val="16"/>
          <w:szCs w:val="16"/>
        </w:rPr>
        <w:t>a</w:t>
      </w:r>
      <w:r w:rsidRPr="005F1821">
        <w:rPr>
          <w:rFonts w:cs="Arial"/>
          <w:iCs/>
          <w:sz w:val="16"/>
          <w:szCs w:val="16"/>
        </w:rPr>
        <w:t xml:space="preserve"> spotřebován</w:t>
      </w:r>
      <w:r w:rsidR="005F1821" w:rsidRPr="005F1821">
        <w:rPr>
          <w:rFonts w:cs="Arial"/>
          <w:iCs/>
          <w:sz w:val="16"/>
          <w:szCs w:val="16"/>
        </w:rPr>
        <w:t>a</w:t>
      </w:r>
      <w:r w:rsidRPr="005F1821">
        <w:rPr>
          <w:rFonts w:cs="Arial"/>
          <w:iCs/>
          <w:sz w:val="16"/>
          <w:szCs w:val="16"/>
        </w:rPr>
        <w:t xml:space="preserve"> ve formě</w:t>
      </w:r>
      <w:r w:rsidRPr="00E9501D">
        <w:rPr>
          <w:rFonts w:cs="Arial"/>
          <w:iCs/>
          <w:sz w:val="16"/>
          <w:szCs w:val="16"/>
        </w:rPr>
        <w:t xml:space="preserve"> výdajů na konečnou spotřebu.</w:t>
      </w:r>
    </w:p>
  </w:footnote>
  <w:footnote w:id="18">
    <w:p w14:paraId="3ED52B0C" w14:textId="77777777" w:rsidR="006A79D4" w:rsidRPr="00D20875" w:rsidRDefault="006A79D4" w:rsidP="00020D9A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</w:t>
      </w:r>
      <w:proofErr w:type="gramStart"/>
      <w:r w:rsidRPr="00D20875">
        <w:rPr>
          <w:rFonts w:cs="Arial"/>
          <w:iCs/>
          <w:sz w:val="16"/>
          <w:szCs w:val="16"/>
        </w:rPr>
        <w:t>51g</w:t>
      </w:r>
      <w:proofErr w:type="gramEnd"/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</w:p>
  </w:footnote>
  <w:footnote w:id="19">
    <w:p w14:paraId="5CDA2667" w14:textId="120C2E2B" w:rsidR="00726E4F" w:rsidRPr="00B342F4" w:rsidRDefault="00726E4F" w:rsidP="00726E4F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  <w:footnote w:id="20">
    <w:p w14:paraId="71EFC0E6" w14:textId="145E7EA9" w:rsidR="00E754BF" w:rsidRPr="00E754BF" w:rsidRDefault="00E754BF">
      <w:pPr>
        <w:pStyle w:val="Textpoznpodarou"/>
        <w:rPr>
          <w:sz w:val="16"/>
          <w:szCs w:val="16"/>
        </w:rPr>
      </w:pPr>
      <w:r w:rsidRPr="00E754BF">
        <w:rPr>
          <w:rStyle w:val="Znakapoznpodarou"/>
          <w:sz w:val="16"/>
          <w:szCs w:val="16"/>
        </w:rPr>
        <w:footnoteRef/>
      </w:r>
      <w:r w:rsidRPr="00E754BF">
        <w:rPr>
          <w:sz w:val="16"/>
          <w:szCs w:val="16"/>
        </w:rPr>
        <w:t xml:space="preserve"> Výjimkou </w:t>
      </w:r>
      <w:r w:rsidR="0012777D">
        <w:rPr>
          <w:sz w:val="16"/>
          <w:szCs w:val="16"/>
        </w:rPr>
        <w:t xml:space="preserve">za posledních dvacet let </w:t>
      </w:r>
      <w:r w:rsidRPr="00E754BF">
        <w:rPr>
          <w:sz w:val="16"/>
          <w:szCs w:val="16"/>
        </w:rPr>
        <w:t>bylo jen 3.</w:t>
      </w:r>
      <w:r w:rsidR="003F43E5">
        <w:rPr>
          <w:sz w:val="16"/>
          <w:szCs w:val="16"/>
        </w:rPr>
        <w:t> čtvrtlet</w:t>
      </w:r>
      <w:r w:rsidRPr="00E754BF">
        <w:rPr>
          <w:sz w:val="16"/>
          <w:szCs w:val="16"/>
        </w:rPr>
        <w:t>í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39"/>
    <w:rsid w:val="0000044B"/>
    <w:rsid w:val="00002857"/>
    <w:rsid w:val="0000403F"/>
    <w:rsid w:val="00006A93"/>
    <w:rsid w:val="00012BC2"/>
    <w:rsid w:val="00013757"/>
    <w:rsid w:val="00016AA5"/>
    <w:rsid w:val="000171C5"/>
    <w:rsid w:val="000207B9"/>
    <w:rsid w:val="00020D9A"/>
    <w:rsid w:val="00026950"/>
    <w:rsid w:val="00026DC4"/>
    <w:rsid w:val="000302A6"/>
    <w:rsid w:val="00035A2B"/>
    <w:rsid w:val="00036709"/>
    <w:rsid w:val="000370D3"/>
    <w:rsid w:val="000408A4"/>
    <w:rsid w:val="00040CEA"/>
    <w:rsid w:val="00041D8C"/>
    <w:rsid w:val="00042640"/>
    <w:rsid w:val="00043BF4"/>
    <w:rsid w:val="00047A6C"/>
    <w:rsid w:val="000507CF"/>
    <w:rsid w:val="00055EBE"/>
    <w:rsid w:val="00060DD8"/>
    <w:rsid w:val="00061682"/>
    <w:rsid w:val="000633FC"/>
    <w:rsid w:val="000657C6"/>
    <w:rsid w:val="00066E38"/>
    <w:rsid w:val="00067394"/>
    <w:rsid w:val="0007050D"/>
    <w:rsid w:val="00073558"/>
    <w:rsid w:val="00073A99"/>
    <w:rsid w:val="00074BF6"/>
    <w:rsid w:val="0007692E"/>
    <w:rsid w:val="000771E3"/>
    <w:rsid w:val="00082045"/>
    <w:rsid w:val="00082547"/>
    <w:rsid w:val="00082749"/>
    <w:rsid w:val="000843A5"/>
    <w:rsid w:val="0008507E"/>
    <w:rsid w:val="00087487"/>
    <w:rsid w:val="00087A80"/>
    <w:rsid w:val="00090B9E"/>
    <w:rsid w:val="00092C15"/>
    <w:rsid w:val="0009303F"/>
    <w:rsid w:val="00093BCB"/>
    <w:rsid w:val="000A5AAC"/>
    <w:rsid w:val="000B090E"/>
    <w:rsid w:val="000B470E"/>
    <w:rsid w:val="000B544B"/>
    <w:rsid w:val="000B5EAC"/>
    <w:rsid w:val="000B6F63"/>
    <w:rsid w:val="000B7488"/>
    <w:rsid w:val="000B7652"/>
    <w:rsid w:val="000C07E9"/>
    <w:rsid w:val="000C2CA9"/>
    <w:rsid w:val="000C6700"/>
    <w:rsid w:val="000D19F9"/>
    <w:rsid w:val="000D3E4F"/>
    <w:rsid w:val="000F11C8"/>
    <w:rsid w:val="000F53DF"/>
    <w:rsid w:val="000F5B28"/>
    <w:rsid w:val="000F6917"/>
    <w:rsid w:val="000F6E26"/>
    <w:rsid w:val="000F6F36"/>
    <w:rsid w:val="000F7F50"/>
    <w:rsid w:val="00101622"/>
    <w:rsid w:val="00101C34"/>
    <w:rsid w:val="00102EAC"/>
    <w:rsid w:val="00106C6F"/>
    <w:rsid w:val="00107529"/>
    <w:rsid w:val="0010766F"/>
    <w:rsid w:val="0010796E"/>
    <w:rsid w:val="00117984"/>
    <w:rsid w:val="00120DF6"/>
    <w:rsid w:val="00121123"/>
    <w:rsid w:val="00121D14"/>
    <w:rsid w:val="0012377A"/>
    <w:rsid w:val="00123848"/>
    <w:rsid w:val="00123E91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78BA"/>
    <w:rsid w:val="00165362"/>
    <w:rsid w:val="001658A9"/>
    <w:rsid w:val="00170938"/>
    <w:rsid w:val="00170C0F"/>
    <w:rsid w:val="00171121"/>
    <w:rsid w:val="0017143B"/>
    <w:rsid w:val="0017231D"/>
    <w:rsid w:val="00174391"/>
    <w:rsid w:val="00175ABA"/>
    <w:rsid w:val="00176CFE"/>
    <w:rsid w:val="001810DC"/>
    <w:rsid w:val="00182418"/>
    <w:rsid w:val="00183259"/>
    <w:rsid w:val="00185D0B"/>
    <w:rsid w:val="00186D8E"/>
    <w:rsid w:val="001876AB"/>
    <w:rsid w:val="00191EB3"/>
    <w:rsid w:val="00197A07"/>
    <w:rsid w:val="001A1D88"/>
    <w:rsid w:val="001A532E"/>
    <w:rsid w:val="001A5571"/>
    <w:rsid w:val="001A5758"/>
    <w:rsid w:val="001A59BF"/>
    <w:rsid w:val="001A6821"/>
    <w:rsid w:val="001B1CC6"/>
    <w:rsid w:val="001B5506"/>
    <w:rsid w:val="001B579F"/>
    <w:rsid w:val="001B5D69"/>
    <w:rsid w:val="001B607F"/>
    <w:rsid w:val="001C0063"/>
    <w:rsid w:val="001C1F2F"/>
    <w:rsid w:val="001C21F4"/>
    <w:rsid w:val="001C3B2C"/>
    <w:rsid w:val="001C6AAC"/>
    <w:rsid w:val="001C7758"/>
    <w:rsid w:val="001C7FEF"/>
    <w:rsid w:val="001D02CC"/>
    <w:rsid w:val="001D11FD"/>
    <w:rsid w:val="001D1530"/>
    <w:rsid w:val="001D2496"/>
    <w:rsid w:val="001D369A"/>
    <w:rsid w:val="001D5F9E"/>
    <w:rsid w:val="001D5FDB"/>
    <w:rsid w:val="001D7686"/>
    <w:rsid w:val="001E11DD"/>
    <w:rsid w:val="001E249C"/>
    <w:rsid w:val="001E4EFB"/>
    <w:rsid w:val="001F1D88"/>
    <w:rsid w:val="001F691A"/>
    <w:rsid w:val="001F6C45"/>
    <w:rsid w:val="002002A3"/>
    <w:rsid w:val="00203B05"/>
    <w:rsid w:val="00203B48"/>
    <w:rsid w:val="00203B5E"/>
    <w:rsid w:val="002070FB"/>
    <w:rsid w:val="00210E73"/>
    <w:rsid w:val="00212AE2"/>
    <w:rsid w:val="00213729"/>
    <w:rsid w:val="00213ECF"/>
    <w:rsid w:val="00214968"/>
    <w:rsid w:val="00222071"/>
    <w:rsid w:val="00222B76"/>
    <w:rsid w:val="00223B39"/>
    <w:rsid w:val="00225A5C"/>
    <w:rsid w:val="0022766F"/>
    <w:rsid w:val="00227AD7"/>
    <w:rsid w:val="00233086"/>
    <w:rsid w:val="0023363B"/>
    <w:rsid w:val="00236EE0"/>
    <w:rsid w:val="002406FA"/>
    <w:rsid w:val="002461C3"/>
    <w:rsid w:val="002464F8"/>
    <w:rsid w:val="00246917"/>
    <w:rsid w:val="002472F5"/>
    <w:rsid w:val="00247354"/>
    <w:rsid w:val="00247E8D"/>
    <w:rsid w:val="00251388"/>
    <w:rsid w:val="00254D66"/>
    <w:rsid w:val="00263486"/>
    <w:rsid w:val="002636CE"/>
    <w:rsid w:val="00265A44"/>
    <w:rsid w:val="00270064"/>
    <w:rsid w:val="00270CE3"/>
    <w:rsid w:val="002733A3"/>
    <w:rsid w:val="00274A90"/>
    <w:rsid w:val="002805A9"/>
    <w:rsid w:val="0028179A"/>
    <w:rsid w:val="0028701D"/>
    <w:rsid w:val="0029071A"/>
    <w:rsid w:val="00293514"/>
    <w:rsid w:val="002956A8"/>
    <w:rsid w:val="002A27D9"/>
    <w:rsid w:val="002A3A03"/>
    <w:rsid w:val="002A6710"/>
    <w:rsid w:val="002B2E47"/>
    <w:rsid w:val="002B56A8"/>
    <w:rsid w:val="002B5926"/>
    <w:rsid w:val="002B5CC3"/>
    <w:rsid w:val="002B6288"/>
    <w:rsid w:val="002B67E8"/>
    <w:rsid w:val="002C2BAC"/>
    <w:rsid w:val="002C363D"/>
    <w:rsid w:val="002C4EAA"/>
    <w:rsid w:val="002D4DB4"/>
    <w:rsid w:val="002D6A6C"/>
    <w:rsid w:val="002D6AA2"/>
    <w:rsid w:val="002E4CA7"/>
    <w:rsid w:val="002E5E99"/>
    <w:rsid w:val="002E6F00"/>
    <w:rsid w:val="002F0636"/>
    <w:rsid w:val="002F0CAA"/>
    <w:rsid w:val="002F19E2"/>
    <w:rsid w:val="002F510A"/>
    <w:rsid w:val="003047BF"/>
    <w:rsid w:val="003057B2"/>
    <w:rsid w:val="00306DD9"/>
    <w:rsid w:val="00312162"/>
    <w:rsid w:val="00312165"/>
    <w:rsid w:val="003175B7"/>
    <w:rsid w:val="0032007F"/>
    <w:rsid w:val="00321E61"/>
    <w:rsid w:val="0032577C"/>
    <w:rsid w:val="00327644"/>
    <w:rsid w:val="003276BE"/>
    <w:rsid w:val="003301A3"/>
    <w:rsid w:val="00335604"/>
    <w:rsid w:val="00336825"/>
    <w:rsid w:val="00337C71"/>
    <w:rsid w:val="00340993"/>
    <w:rsid w:val="00341577"/>
    <w:rsid w:val="00342F7F"/>
    <w:rsid w:val="003460CB"/>
    <w:rsid w:val="00346D76"/>
    <w:rsid w:val="00354A44"/>
    <w:rsid w:val="00355C29"/>
    <w:rsid w:val="00357702"/>
    <w:rsid w:val="00361733"/>
    <w:rsid w:val="0036199B"/>
    <w:rsid w:val="003634AF"/>
    <w:rsid w:val="0036370A"/>
    <w:rsid w:val="00366A08"/>
    <w:rsid w:val="0036777B"/>
    <w:rsid w:val="00371845"/>
    <w:rsid w:val="0037363B"/>
    <w:rsid w:val="00374EF6"/>
    <w:rsid w:val="003757F0"/>
    <w:rsid w:val="00376CF4"/>
    <w:rsid w:val="00377ED2"/>
    <w:rsid w:val="0038007D"/>
    <w:rsid w:val="00380823"/>
    <w:rsid w:val="0038282A"/>
    <w:rsid w:val="00385470"/>
    <w:rsid w:val="00391917"/>
    <w:rsid w:val="00391D8D"/>
    <w:rsid w:val="00391E86"/>
    <w:rsid w:val="00393900"/>
    <w:rsid w:val="00393979"/>
    <w:rsid w:val="00397580"/>
    <w:rsid w:val="003A1794"/>
    <w:rsid w:val="003A34B3"/>
    <w:rsid w:val="003A45C8"/>
    <w:rsid w:val="003A5771"/>
    <w:rsid w:val="003A5965"/>
    <w:rsid w:val="003A5DC7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7FE7"/>
    <w:rsid w:val="003D0499"/>
    <w:rsid w:val="003D21DB"/>
    <w:rsid w:val="003D388F"/>
    <w:rsid w:val="003D6494"/>
    <w:rsid w:val="003D7C0D"/>
    <w:rsid w:val="003E183B"/>
    <w:rsid w:val="003E2AD7"/>
    <w:rsid w:val="003E3B40"/>
    <w:rsid w:val="003E47F3"/>
    <w:rsid w:val="003E7D31"/>
    <w:rsid w:val="003F06AA"/>
    <w:rsid w:val="003F432E"/>
    <w:rsid w:val="003F43E5"/>
    <w:rsid w:val="003F526A"/>
    <w:rsid w:val="003F5C51"/>
    <w:rsid w:val="003F5CC1"/>
    <w:rsid w:val="003F5D15"/>
    <w:rsid w:val="00401D42"/>
    <w:rsid w:val="00402910"/>
    <w:rsid w:val="00403019"/>
    <w:rsid w:val="00403938"/>
    <w:rsid w:val="00405244"/>
    <w:rsid w:val="004065C6"/>
    <w:rsid w:val="004124F0"/>
    <w:rsid w:val="00412FFB"/>
    <w:rsid w:val="00413AF7"/>
    <w:rsid w:val="004153B8"/>
    <w:rsid w:val="00415ADE"/>
    <w:rsid w:val="00416817"/>
    <w:rsid w:val="00417433"/>
    <w:rsid w:val="00417D45"/>
    <w:rsid w:val="004222A3"/>
    <w:rsid w:val="00426019"/>
    <w:rsid w:val="0042770B"/>
    <w:rsid w:val="00433C60"/>
    <w:rsid w:val="00434936"/>
    <w:rsid w:val="0043790B"/>
    <w:rsid w:val="00437B90"/>
    <w:rsid w:val="004403B3"/>
    <w:rsid w:val="004409C1"/>
    <w:rsid w:val="00441FA9"/>
    <w:rsid w:val="004436EE"/>
    <w:rsid w:val="0045547F"/>
    <w:rsid w:val="00456CCF"/>
    <w:rsid w:val="00457776"/>
    <w:rsid w:val="0045777C"/>
    <w:rsid w:val="00461AA0"/>
    <w:rsid w:val="00462BD9"/>
    <w:rsid w:val="00463075"/>
    <w:rsid w:val="00471810"/>
    <w:rsid w:val="00474248"/>
    <w:rsid w:val="00485A84"/>
    <w:rsid w:val="00487F69"/>
    <w:rsid w:val="00491236"/>
    <w:rsid w:val="0049203F"/>
    <w:rsid w:val="004920AD"/>
    <w:rsid w:val="004942F4"/>
    <w:rsid w:val="004943E1"/>
    <w:rsid w:val="00495108"/>
    <w:rsid w:val="00495989"/>
    <w:rsid w:val="00497031"/>
    <w:rsid w:val="004A1FAE"/>
    <w:rsid w:val="004A492E"/>
    <w:rsid w:val="004B13D2"/>
    <w:rsid w:val="004B4671"/>
    <w:rsid w:val="004B6B61"/>
    <w:rsid w:val="004C0099"/>
    <w:rsid w:val="004C26A0"/>
    <w:rsid w:val="004C3F2E"/>
    <w:rsid w:val="004C52C6"/>
    <w:rsid w:val="004C63CF"/>
    <w:rsid w:val="004D05B3"/>
    <w:rsid w:val="004D21CF"/>
    <w:rsid w:val="004D6743"/>
    <w:rsid w:val="004E479E"/>
    <w:rsid w:val="004E759A"/>
    <w:rsid w:val="004E75C9"/>
    <w:rsid w:val="004E7E1E"/>
    <w:rsid w:val="004F3483"/>
    <w:rsid w:val="004F78E6"/>
    <w:rsid w:val="00500130"/>
    <w:rsid w:val="00501608"/>
    <w:rsid w:val="005019A7"/>
    <w:rsid w:val="005024A7"/>
    <w:rsid w:val="0050484A"/>
    <w:rsid w:val="0050641C"/>
    <w:rsid w:val="00511C14"/>
    <w:rsid w:val="00512D99"/>
    <w:rsid w:val="0051469C"/>
    <w:rsid w:val="00514883"/>
    <w:rsid w:val="005237CD"/>
    <w:rsid w:val="00531DBB"/>
    <w:rsid w:val="005320B3"/>
    <w:rsid w:val="00532C1D"/>
    <w:rsid w:val="0053545A"/>
    <w:rsid w:val="005357DB"/>
    <w:rsid w:val="005374DA"/>
    <w:rsid w:val="00543277"/>
    <w:rsid w:val="00544B6D"/>
    <w:rsid w:val="005455AF"/>
    <w:rsid w:val="00545C39"/>
    <w:rsid w:val="00550D6E"/>
    <w:rsid w:val="005523EC"/>
    <w:rsid w:val="00553DAA"/>
    <w:rsid w:val="005566EC"/>
    <w:rsid w:val="00557B94"/>
    <w:rsid w:val="00560026"/>
    <w:rsid w:val="005646B3"/>
    <w:rsid w:val="005655D7"/>
    <w:rsid w:val="005670BE"/>
    <w:rsid w:val="00570ABA"/>
    <w:rsid w:val="0057104A"/>
    <w:rsid w:val="00572A70"/>
    <w:rsid w:val="00573D5F"/>
    <w:rsid w:val="0057433C"/>
    <w:rsid w:val="00574740"/>
    <w:rsid w:val="00576430"/>
    <w:rsid w:val="00576E3A"/>
    <w:rsid w:val="005859A8"/>
    <w:rsid w:val="005878E1"/>
    <w:rsid w:val="005900E3"/>
    <w:rsid w:val="00590723"/>
    <w:rsid w:val="00593318"/>
    <w:rsid w:val="005A0668"/>
    <w:rsid w:val="005A0817"/>
    <w:rsid w:val="005A37E0"/>
    <w:rsid w:val="005A65C5"/>
    <w:rsid w:val="005A7AC3"/>
    <w:rsid w:val="005B0A5A"/>
    <w:rsid w:val="005B4F27"/>
    <w:rsid w:val="005B6F95"/>
    <w:rsid w:val="005C1BB9"/>
    <w:rsid w:val="005C2AA4"/>
    <w:rsid w:val="005C4003"/>
    <w:rsid w:val="005C5354"/>
    <w:rsid w:val="005C69D6"/>
    <w:rsid w:val="005D0714"/>
    <w:rsid w:val="005D35F2"/>
    <w:rsid w:val="005E519B"/>
    <w:rsid w:val="005F1821"/>
    <w:rsid w:val="005F1E2F"/>
    <w:rsid w:val="005F3DE2"/>
    <w:rsid w:val="005F4667"/>
    <w:rsid w:val="005F603D"/>
    <w:rsid w:val="005F699D"/>
    <w:rsid w:val="005F7379"/>
    <w:rsid w:val="005F79FB"/>
    <w:rsid w:val="00600E0E"/>
    <w:rsid w:val="00604406"/>
    <w:rsid w:val="006047C1"/>
    <w:rsid w:val="006052D8"/>
    <w:rsid w:val="00605F4A"/>
    <w:rsid w:val="00607822"/>
    <w:rsid w:val="00610355"/>
    <w:rsid w:val="006103AA"/>
    <w:rsid w:val="00611583"/>
    <w:rsid w:val="006133FC"/>
    <w:rsid w:val="00613BBF"/>
    <w:rsid w:val="00613D4C"/>
    <w:rsid w:val="00613EF0"/>
    <w:rsid w:val="00614585"/>
    <w:rsid w:val="00614A9F"/>
    <w:rsid w:val="006171E2"/>
    <w:rsid w:val="006177EB"/>
    <w:rsid w:val="00622B80"/>
    <w:rsid w:val="00624989"/>
    <w:rsid w:val="006257C0"/>
    <w:rsid w:val="006303F0"/>
    <w:rsid w:val="0063068A"/>
    <w:rsid w:val="00630CF8"/>
    <w:rsid w:val="00631512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6AC"/>
    <w:rsid w:val="00661C54"/>
    <w:rsid w:val="006626A5"/>
    <w:rsid w:val="00666BE7"/>
    <w:rsid w:val="00666FF0"/>
    <w:rsid w:val="00667E3D"/>
    <w:rsid w:val="006724D0"/>
    <w:rsid w:val="00672CB6"/>
    <w:rsid w:val="0067442E"/>
    <w:rsid w:val="00674BE6"/>
    <w:rsid w:val="00674D43"/>
    <w:rsid w:val="00675702"/>
    <w:rsid w:val="00684E36"/>
    <w:rsid w:val="00685440"/>
    <w:rsid w:val="0068614B"/>
    <w:rsid w:val="006861E3"/>
    <w:rsid w:val="00686231"/>
    <w:rsid w:val="00687BBE"/>
    <w:rsid w:val="00690F0D"/>
    <w:rsid w:val="006929F3"/>
    <w:rsid w:val="00696C16"/>
    <w:rsid w:val="006A50B6"/>
    <w:rsid w:val="006A79D4"/>
    <w:rsid w:val="006B1345"/>
    <w:rsid w:val="006B1FB1"/>
    <w:rsid w:val="006B5A01"/>
    <w:rsid w:val="006B610C"/>
    <w:rsid w:val="006B6B22"/>
    <w:rsid w:val="006C09DD"/>
    <w:rsid w:val="006C2E9D"/>
    <w:rsid w:val="006C7A42"/>
    <w:rsid w:val="006D08B9"/>
    <w:rsid w:val="006D6521"/>
    <w:rsid w:val="006D7932"/>
    <w:rsid w:val="006E024F"/>
    <w:rsid w:val="006E0595"/>
    <w:rsid w:val="006E381E"/>
    <w:rsid w:val="006E4E81"/>
    <w:rsid w:val="006E5112"/>
    <w:rsid w:val="006F05E3"/>
    <w:rsid w:val="006F1B5E"/>
    <w:rsid w:val="006F7CA8"/>
    <w:rsid w:val="00701DA6"/>
    <w:rsid w:val="00702D2D"/>
    <w:rsid w:val="0070619B"/>
    <w:rsid w:val="00707F7D"/>
    <w:rsid w:val="007146C8"/>
    <w:rsid w:val="0071669A"/>
    <w:rsid w:val="00717EC5"/>
    <w:rsid w:val="00722FE7"/>
    <w:rsid w:val="007243C8"/>
    <w:rsid w:val="00726E4F"/>
    <w:rsid w:val="007318A9"/>
    <w:rsid w:val="007326B5"/>
    <w:rsid w:val="00732745"/>
    <w:rsid w:val="00733AC3"/>
    <w:rsid w:val="0073435F"/>
    <w:rsid w:val="00737B80"/>
    <w:rsid w:val="00741D13"/>
    <w:rsid w:val="00742725"/>
    <w:rsid w:val="00743982"/>
    <w:rsid w:val="00746BD9"/>
    <w:rsid w:val="00750C6C"/>
    <w:rsid w:val="0075439D"/>
    <w:rsid w:val="00754742"/>
    <w:rsid w:val="00756FB7"/>
    <w:rsid w:val="0076005F"/>
    <w:rsid w:val="007608AF"/>
    <w:rsid w:val="00763254"/>
    <w:rsid w:val="007640A3"/>
    <w:rsid w:val="00766670"/>
    <w:rsid w:val="0076719B"/>
    <w:rsid w:val="007764C0"/>
    <w:rsid w:val="00777139"/>
    <w:rsid w:val="0078195F"/>
    <w:rsid w:val="00783F7F"/>
    <w:rsid w:val="007909AA"/>
    <w:rsid w:val="0079299A"/>
    <w:rsid w:val="00793148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CFC"/>
    <w:rsid w:val="007D0ACE"/>
    <w:rsid w:val="007D3631"/>
    <w:rsid w:val="007D6250"/>
    <w:rsid w:val="007E23A3"/>
    <w:rsid w:val="007E257D"/>
    <w:rsid w:val="007E2D9F"/>
    <w:rsid w:val="007E39B1"/>
    <w:rsid w:val="007F1FEE"/>
    <w:rsid w:val="007F4AEB"/>
    <w:rsid w:val="007F6239"/>
    <w:rsid w:val="007F75B2"/>
    <w:rsid w:val="007F7F00"/>
    <w:rsid w:val="008043C4"/>
    <w:rsid w:val="00807E1E"/>
    <w:rsid w:val="00807EB8"/>
    <w:rsid w:val="008124B8"/>
    <w:rsid w:val="00813976"/>
    <w:rsid w:val="00813DFB"/>
    <w:rsid w:val="00815588"/>
    <w:rsid w:val="008157C0"/>
    <w:rsid w:val="00820E8E"/>
    <w:rsid w:val="008221FB"/>
    <w:rsid w:val="008242CC"/>
    <w:rsid w:val="00825070"/>
    <w:rsid w:val="00827A91"/>
    <w:rsid w:val="00830309"/>
    <w:rsid w:val="00831B1B"/>
    <w:rsid w:val="008358E0"/>
    <w:rsid w:val="00840938"/>
    <w:rsid w:val="00840F99"/>
    <w:rsid w:val="00841D76"/>
    <w:rsid w:val="00846BC4"/>
    <w:rsid w:val="00847A8C"/>
    <w:rsid w:val="00850AAD"/>
    <w:rsid w:val="008514B8"/>
    <w:rsid w:val="0085193E"/>
    <w:rsid w:val="00852098"/>
    <w:rsid w:val="0085235F"/>
    <w:rsid w:val="00852368"/>
    <w:rsid w:val="008538A7"/>
    <w:rsid w:val="00856098"/>
    <w:rsid w:val="00861D0E"/>
    <w:rsid w:val="00861F45"/>
    <w:rsid w:val="0086334D"/>
    <w:rsid w:val="00863D68"/>
    <w:rsid w:val="00866BA8"/>
    <w:rsid w:val="00867569"/>
    <w:rsid w:val="0087060D"/>
    <w:rsid w:val="00872B8E"/>
    <w:rsid w:val="008804D0"/>
    <w:rsid w:val="0088129D"/>
    <w:rsid w:val="008914B7"/>
    <w:rsid w:val="00891D95"/>
    <w:rsid w:val="008945F2"/>
    <w:rsid w:val="008A1027"/>
    <w:rsid w:val="008A18A9"/>
    <w:rsid w:val="008A6342"/>
    <w:rsid w:val="008A6A3B"/>
    <w:rsid w:val="008A750A"/>
    <w:rsid w:val="008B225C"/>
    <w:rsid w:val="008B7891"/>
    <w:rsid w:val="008C00A5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E68EB"/>
    <w:rsid w:val="008F0222"/>
    <w:rsid w:val="008F35E4"/>
    <w:rsid w:val="008F73B4"/>
    <w:rsid w:val="008F7E5F"/>
    <w:rsid w:val="009015C7"/>
    <w:rsid w:val="00906ECF"/>
    <w:rsid w:val="0090741A"/>
    <w:rsid w:val="00911AC8"/>
    <w:rsid w:val="009168C2"/>
    <w:rsid w:val="00917CA6"/>
    <w:rsid w:val="0092081A"/>
    <w:rsid w:val="00920D32"/>
    <w:rsid w:val="00927ADE"/>
    <w:rsid w:val="00927DD9"/>
    <w:rsid w:val="00930B3C"/>
    <w:rsid w:val="00931A52"/>
    <w:rsid w:val="00931B1D"/>
    <w:rsid w:val="00933883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544CC"/>
    <w:rsid w:val="00960BF2"/>
    <w:rsid w:val="00961ECD"/>
    <w:rsid w:val="0096328A"/>
    <w:rsid w:val="009678FC"/>
    <w:rsid w:val="009701AB"/>
    <w:rsid w:val="00971D38"/>
    <w:rsid w:val="00973287"/>
    <w:rsid w:val="009740BF"/>
    <w:rsid w:val="00976B5B"/>
    <w:rsid w:val="00976D97"/>
    <w:rsid w:val="0098149A"/>
    <w:rsid w:val="00982C53"/>
    <w:rsid w:val="00984434"/>
    <w:rsid w:val="00984499"/>
    <w:rsid w:val="00987FFE"/>
    <w:rsid w:val="0099050D"/>
    <w:rsid w:val="00991E8D"/>
    <w:rsid w:val="00992601"/>
    <w:rsid w:val="009950AF"/>
    <w:rsid w:val="00995DA7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55B1"/>
    <w:rsid w:val="009B68A7"/>
    <w:rsid w:val="009C4150"/>
    <w:rsid w:val="009C6103"/>
    <w:rsid w:val="009C7BF5"/>
    <w:rsid w:val="009D055A"/>
    <w:rsid w:val="009D0BD5"/>
    <w:rsid w:val="009D4881"/>
    <w:rsid w:val="009E0621"/>
    <w:rsid w:val="009E52CF"/>
    <w:rsid w:val="009E617C"/>
    <w:rsid w:val="009F116F"/>
    <w:rsid w:val="009F276D"/>
    <w:rsid w:val="009F491A"/>
    <w:rsid w:val="009F5F23"/>
    <w:rsid w:val="009F7FD8"/>
    <w:rsid w:val="00A001F0"/>
    <w:rsid w:val="00A01EEF"/>
    <w:rsid w:val="00A0276F"/>
    <w:rsid w:val="00A02E15"/>
    <w:rsid w:val="00A041BC"/>
    <w:rsid w:val="00A0458C"/>
    <w:rsid w:val="00A05534"/>
    <w:rsid w:val="00A1071A"/>
    <w:rsid w:val="00A10F29"/>
    <w:rsid w:val="00A13C0B"/>
    <w:rsid w:val="00A14819"/>
    <w:rsid w:val="00A15B50"/>
    <w:rsid w:val="00A15BC6"/>
    <w:rsid w:val="00A15C6C"/>
    <w:rsid w:val="00A2003A"/>
    <w:rsid w:val="00A2262B"/>
    <w:rsid w:val="00A23096"/>
    <w:rsid w:val="00A233AA"/>
    <w:rsid w:val="00A33E60"/>
    <w:rsid w:val="00A35F83"/>
    <w:rsid w:val="00A37A32"/>
    <w:rsid w:val="00A40856"/>
    <w:rsid w:val="00A431FA"/>
    <w:rsid w:val="00A4343D"/>
    <w:rsid w:val="00A448C7"/>
    <w:rsid w:val="00A45C7B"/>
    <w:rsid w:val="00A46E13"/>
    <w:rsid w:val="00A502F1"/>
    <w:rsid w:val="00A53140"/>
    <w:rsid w:val="00A55C4E"/>
    <w:rsid w:val="00A56C80"/>
    <w:rsid w:val="00A63DD4"/>
    <w:rsid w:val="00A65A70"/>
    <w:rsid w:val="00A662D0"/>
    <w:rsid w:val="00A70A83"/>
    <w:rsid w:val="00A73918"/>
    <w:rsid w:val="00A74120"/>
    <w:rsid w:val="00A75F37"/>
    <w:rsid w:val="00A761CF"/>
    <w:rsid w:val="00A7683E"/>
    <w:rsid w:val="00A774B2"/>
    <w:rsid w:val="00A7774A"/>
    <w:rsid w:val="00A81EB3"/>
    <w:rsid w:val="00A826E6"/>
    <w:rsid w:val="00A8291E"/>
    <w:rsid w:val="00A860F4"/>
    <w:rsid w:val="00A904D9"/>
    <w:rsid w:val="00A92693"/>
    <w:rsid w:val="00A93025"/>
    <w:rsid w:val="00A9504A"/>
    <w:rsid w:val="00A961DA"/>
    <w:rsid w:val="00A97AD4"/>
    <w:rsid w:val="00A97CA2"/>
    <w:rsid w:val="00AA3711"/>
    <w:rsid w:val="00AA4ECF"/>
    <w:rsid w:val="00AA6E75"/>
    <w:rsid w:val="00AB22E1"/>
    <w:rsid w:val="00AB2399"/>
    <w:rsid w:val="00AB410C"/>
    <w:rsid w:val="00AB594C"/>
    <w:rsid w:val="00AB5CFD"/>
    <w:rsid w:val="00AB7ADF"/>
    <w:rsid w:val="00AC60CC"/>
    <w:rsid w:val="00AC6A14"/>
    <w:rsid w:val="00AC72CC"/>
    <w:rsid w:val="00AD5C35"/>
    <w:rsid w:val="00AD6519"/>
    <w:rsid w:val="00AD6CA9"/>
    <w:rsid w:val="00AD6D62"/>
    <w:rsid w:val="00AE3964"/>
    <w:rsid w:val="00AE59AB"/>
    <w:rsid w:val="00AE5C88"/>
    <w:rsid w:val="00AE63EF"/>
    <w:rsid w:val="00AF40A6"/>
    <w:rsid w:val="00AF63B0"/>
    <w:rsid w:val="00AF66FA"/>
    <w:rsid w:val="00AF78C1"/>
    <w:rsid w:val="00B00C1D"/>
    <w:rsid w:val="00B01408"/>
    <w:rsid w:val="00B06174"/>
    <w:rsid w:val="00B07CA2"/>
    <w:rsid w:val="00B10B53"/>
    <w:rsid w:val="00B1299C"/>
    <w:rsid w:val="00B13907"/>
    <w:rsid w:val="00B15E58"/>
    <w:rsid w:val="00B16369"/>
    <w:rsid w:val="00B1677F"/>
    <w:rsid w:val="00B16FC6"/>
    <w:rsid w:val="00B20F58"/>
    <w:rsid w:val="00B26AFC"/>
    <w:rsid w:val="00B26BED"/>
    <w:rsid w:val="00B31464"/>
    <w:rsid w:val="00B328D3"/>
    <w:rsid w:val="00B33194"/>
    <w:rsid w:val="00B33880"/>
    <w:rsid w:val="00B342F4"/>
    <w:rsid w:val="00B351F5"/>
    <w:rsid w:val="00B365F7"/>
    <w:rsid w:val="00B403FC"/>
    <w:rsid w:val="00B435ED"/>
    <w:rsid w:val="00B4790F"/>
    <w:rsid w:val="00B54330"/>
    <w:rsid w:val="00B54C52"/>
    <w:rsid w:val="00B57649"/>
    <w:rsid w:val="00B60120"/>
    <w:rsid w:val="00B60BBA"/>
    <w:rsid w:val="00B61E39"/>
    <w:rsid w:val="00B66166"/>
    <w:rsid w:val="00B70ECD"/>
    <w:rsid w:val="00B70FF6"/>
    <w:rsid w:val="00B7235B"/>
    <w:rsid w:val="00B72D2F"/>
    <w:rsid w:val="00B8043F"/>
    <w:rsid w:val="00B80695"/>
    <w:rsid w:val="00B817AE"/>
    <w:rsid w:val="00B83EC6"/>
    <w:rsid w:val="00B868B8"/>
    <w:rsid w:val="00B920DD"/>
    <w:rsid w:val="00BA0F08"/>
    <w:rsid w:val="00BA439F"/>
    <w:rsid w:val="00BA5834"/>
    <w:rsid w:val="00BA6370"/>
    <w:rsid w:val="00BA6BD0"/>
    <w:rsid w:val="00BB06CA"/>
    <w:rsid w:val="00BC1564"/>
    <w:rsid w:val="00BC6747"/>
    <w:rsid w:val="00BC6921"/>
    <w:rsid w:val="00BC748B"/>
    <w:rsid w:val="00BD40CD"/>
    <w:rsid w:val="00BD6F1C"/>
    <w:rsid w:val="00BD71CC"/>
    <w:rsid w:val="00BE0028"/>
    <w:rsid w:val="00BE1CA4"/>
    <w:rsid w:val="00BE1D3B"/>
    <w:rsid w:val="00BE206D"/>
    <w:rsid w:val="00BE210B"/>
    <w:rsid w:val="00BE3335"/>
    <w:rsid w:val="00BE7C44"/>
    <w:rsid w:val="00BF029D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7B2C"/>
    <w:rsid w:val="00C2278C"/>
    <w:rsid w:val="00C2354F"/>
    <w:rsid w:val="00C24B18"/>
    <w:rsid w:val="00C26525"/>
    <w:rsid w:val="00C269D4"/>
    <w:rsid w:val="00C26D85"/>
    <w:rsid w:val="00C30A81"/>
    <w:rsid w:val="00C3197B"/>
    <w:rsid w:val="00C35652"/>
    <w:rsid w:val="00C36AD6"/>
    <w:rsid w:val="00C4160D"/>
    <w:rsid w:val="00C42CB8"/>
    <w:rsid w:val="00C439CF"/>
    <w:rsid w:val="00C45B06"/>
    <w:rsid w:val="00C50BEB"/>
    <w:rsid w:val="00C510FD"/>
    <w:rsid w:val="00C51B65"/>
    <w:rsid w:val="00C52C3F"/>
    <w:rsid w:val="00C54720"/>
    <w:rsid w:val="00C558B2"/>
    <w:rsid w:val="00C5698F"/>
    <w:rsid w:val="00C576EC"/>
    <w:rsid w:val="00C60451"/>
    <w:rsid w:val="00C60AE0"/>
    <w:rsid w:val="00C63561"/>
    <w:rsid w:val="00C63A88"/>
    <w:rsid w:val="00C65FAA"/>
    <w:rsid w:val="00C6637E"/>
    <w:rsid w:val="00C67D2D"/>
    <w:rsid w:val="00C743A0"/>
    <w:rsid w:val="00C7577F"/>
    <w:rsid w:val="00C8406E"/>
    <w:rsid w:val="00C86BDB"/>
    <w:rsid w:val="00C874BC"/>
    <w:rsid w:val="00C91009"/>
    <w:rsid w:val="00C91BB8"/>
    <w:rsid w:val="00C950A2"/>
    <w:rsid w:val="00C95A4D"/>
    <w:rsid w:val="00C96221"/>
    <w:rsid w:val="00C969E1"/>
    <w:rsid w:val="00CA1B47"/>
    <w:rsid w:val="00CA2A0A"/>
    <w:rsid w:val="00CA2CFD"/>
    <w:rsid w:val="00CB19EA"/>
    <w:rsid w:val="00CB1D8D"/>
    <w:rsid w:val="00CB2709"/>
    <w:rsid w:val="00CB5EA3"/>
    <w:rsid w:val="00CB6F89"/>
    <w:rsid w:val="00CC2897"/>
    <w:rsid w:val="00CC410E"/>
    <w:rsid w:val="00CD07B7"/>
    <w:rsid w:val="00CD0981"/>
    <w:rsid w:val="00CD547F"/>
    <w:rsid w:val="00CD64C4"/>
    <w:rsid w:val="00CD7418"/>
    <w:rsid w:val="00CE07E7"/>
    <w:rsid w:val="00CE1C49"/>
    <w:rsid w:val="00CE1CC5"/>
    <w:rsid w:val="00CE1E87"/>
    <w:rsid w:val="00CE228C"/>
    <w:rsid w:val="00CE3027"/>
    <w:rsid w:val="00CE3CED"/>
    <w:rsid w:val="00CE75DD"/>
    <w:rsid w:val="00CF1CFF"/>
    <w:rsid w:val="00CF1E81"/>
    <w:rsid w:val="00CF27B5"/>
    <w:rsid w:val="00CF344C"/>
    <w:rsid w:val="00CF3C2E"/>
    <w:rsid w:val="00CF4669"/>
    <w:rsid w:val="00CF545B"/>
    <w:rsid w:val="00CF5795"/>
    <w:rsid w:val="00CF707A"/>
    <w:rsid w:val="00D03A5E"/>
    <w:rsid w:val="00D0656D"/>
    <w:rsid w:val="00D11FF5"/>
    <w:rsid w:val="00D16B34"/>
    <w:rsid w:val="00D175AA"/>
    <w:rsid w:val="00D20BD0"/>
    <w:rsid w:val="00D21345"/>
    <w:rsid w:val="00D26769"/>
    <w:rsid w:val="00D27B3D"/>
    <w:rsid w:val="00D27D69"/>
    <w:rsid w:val="00D33DFC"/>
    <w:rsid w:val="00D432E3"/>
    <w:rsid w:val="00D43488"/>
    <w:rsid w:val="00D448C2"/>
    <w:rsid w:val="00D573FE"/>
    <w:rsid w:val="00D60BAF"/>
    <w:rsid w:val="00D62931"/>
    <w:rsid w:val="00D657AC"/>
    <w:rsid w:val="00D666C3"/>
    <w:rsid w:val="00D718B9"/>
    <w:rsid w:val="00D71C1C"/>
    <w:rsid w:val="00D74DBA"/>
    <w:rsid w:val="00D806A3"/>
    <w:rsid w:val="00D80F3C"/>
    <w:rsid w:val="00D819D0"/>
    <w:rsid w:val="00D83BC6"/>
    <w:rsid w:val="00D83EE9"/>
    <w:rsid w:val="00D85B40"/>
    <w:rsid w:val="00D86734"/>
    <w:rsid w:val="00D875B2"/>
    <w:rsid w:val="00D9542B"/>
    <w:rsid w:val="00D97040"/>
    <w:rsid w:val="00DA0096"/>
    <w:rsid w:val="00DA05BA"/>
    <w:rsid w:val="00DA1298"/>
    <w:rsid w:val="00DA3ED4"/>
    <w:rsid w:val="00DA56DA"/>
    <w:rsid w:val="00DA6EE0"/>
    <w:rsid w:val="00DA7A94"/>
    <w:rsid w:val="00DB0771"/>
    <w:rsid w:val="00DB0CC6"/>
    <w:rsid w:val="00DB2214"/>
    <w:rsid w:val="00DB3CBA"/>
    <w:rsid w:val="00DB4709"/>
    <w:rsid w:val="00DB4E76"/>
    <w:rsid w:val="00DB60A2"/>
    <w:rsid w:val="00DC4BEF"/>
    <w:rsid w:val="00DC4DBF"/>
    <w:rsid w:val="00DC5E7F"/>
    <w:rsid w:val="00DC6E28"/>
    <w:rsid w:val="00DD1DC3"/>
    <w:rsid w:val="00DD1EAE"/>
    <w:rsid w:val="00DD2662"/>
    <w:rsid w:val="00DD4CB4"/>
    <w:rsid w:val="00DD6C3A"/>
    <w:rsid w:val="00DE0ACA"/>
    <w:rsid w:val="00DE3DA2"/>
    <w:rsid w:val="00DF091E"/>
    <w:rsid w:val="00DF1DE4"/>
    <w:rsid w:val="00DF47FE"/>
    <w:rsid w:val="00E00CD4"/>
    <w:rsid w:val="00E014D6"/>
    <w:rsid w:val="00E017FD"/>
    <w:rsid w:val="00E0186F"/>
    <w:rsid w:val="00E1074D"/>
    <w:rsid w:val="00E11D10"/>
    <w:rsid w:val="00E12C71"/>
    <w:rsid w:val="00E13EE8"/>
    <w:rsid w:val="00E20705"/>
    <w:rsid w:val="00E21F33"/>
    <w:rsid w:val="00E2204B"/>
    <w:rsid w:val="00E23803"/>
    <w:rsid w:val="00E2448E"/>
    <w:rsid w:val="00E26081"/>
    <w:rsid w:val="00E260AC"/>
    <w:rsid w:val="00E26704"/>
    <w:rsid w:val="00E26A5C"/>
    <w:rsid w:val="00E2757D"/>
    <w:rsid w:val="00E309BB"/>
    <w:rsid w:val="00E316C8"/>
    <w:rsid w:val="00E3189B"/>
    <w:rsid w:val="00E31980"/>
    <w:rsid w:val="00E3719D"/>
    <w:rsid w:val="00E41272"/>
    <w:rsid w:val="00E41331"/>
    <w:rsid w:val="00E4152F"/>
    <w:rsid w:val="00E41970"/>
    <w:rsid w:val="00E421D3"/>
    <w:rsid w:val="00E424B7"/>
    <w:rsid w:val="00E42E00"/>
    <w:rsid w:val="00E52B7F"/>
    <w:rsid w:val="00E564C0"/>
    <w:rsid w:val="00E571BD"/>
    <w:rsid w:val="00E620E4"/>
    <w:rsid w:val="00E63873"/>
    <w:rsid w:val="00E6423C"/>
    <w:rsid w:val="00E64284"/>
    <w:rsid w:val="00E64DE8"/>
    <w:rsid w:val="00E70818"/>
    <w:rsid w:val="00E754BF"/>
    <w:rsid w:val="00E77C6D"/>
    <w:rsid w:val="00E83BCC"/>
    <w:rsid w:val="00E843B7"/>
    <w:rsid w:val="00E910B6"/>
    <w:rsid w:val="00E92F26"/>
    <w:rsid w:val="00E9349A"/>
    <w:rsid w:val="00E93830"/>
    <w:rsid w:val="00E93E0E"/>
    <w:rsid w:val="00EA0A2C"/>
    <w:rsid w:val="00EA1DBD"/>
    <w:rsid w:val="00EA3AFD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F45"/>
    <w:rsid w:val="00EC12DA"/>
    <w:rsid w:val="00EC2D51"/>
    <w:rsid w:val="00EC6D60"/>
    <w:rsid w:val="00EC7AEF"/>
    <w:rsid w:val="00ED01DB"/>
    <w:rsid w:val="00ED3B49"/>
    <w:rsid w:val="00ED7B69"/>
    <w:rsid w:val="00EE227D"/>
    <w:rsid w:val="00EE3D9D"/>
    <w:rsid w:val="00EE484C"/>
    <w:rsid w:val="00EE4F33"/>
    <w:rsid w:val="00EF0152"/>
    <w:rsid w:val="00EF05BD"/>
    <w:rsid w:val="00EF3A5B"/>
    <w:rsid w:val="00EF788F"/>
    <w:rsid w:val="00F0005E"/>
    <w:rsid w:val="00F00922"/>
    <w:rsid w:val="00F00AEE"/>
    <w:rsid w:val="00F03815"/>
    <w:rsid w:val="00F0500E"/>
    <w:rsid w:val="00F068AE"/>
    <w:rsid w:val="00F12768"/>
    <w:rsid w:val="00F12A9A"/>
    <w:rsid w:val="00F13564"/>
    <w:rsid w:val="00F169B0"/>
    <w:rsid w:val="00F174C2"/>
    <w:rsid w:val="00F220C4"/>
    <w:rsid w:val="00F23E34"/>
    <w:rsid w:val="00F26395"/>
    <w:rsid w:val="00F271A0"/>
    <w:rsid w:val="00F32DA4"/>
    <w:rsid w:val="00F3675B"/>
    <w:rsid w:val="00F40D9B"/>
    <w:rsid w:val="00F41E59"/>
    <w:rsid w:val="00F42BCA"/>
    <w:rsid w:val="00F4347E"/>
    <w:rsid w:val="00F45237"/>
    <w:rsid w:val="00F46655"/>
    <w:rsid w:val="00F50BF2"/>
    <w:rsid w:val="00F50CEF"/>
    <w:rsid w:val="00F515A6"/>
    <w:rsid w:val="00F51BBA"/>
    <w:rsid w:val="00F5305C"/>
    <w:rsid w:val="00F55946"/>
    <w:rsid w:val="00F578B6"/>
    <w:rsid w:val="00F61E35"/>
    <w:rsid w:val="00F62444"/>
    <w:rsid w:val="00F6357F"/>
    <w:rsid w:val="00F6479D"/>
    <w:rsid w:val="00F70CF6"/>
    <w:rsid w:val="00F72354"/>
    <w:rsid w:val="00F73A45"/>
    <w:rsid w:val="00F74BE5"/>
    <w:rsid w:val="00F74C26"/>
    <w:rsid w:val="00F77F8B"/>
    <w:rsid w:val="00F81280"/>
    <w:rsid w:val="00F81F79"/>
    <w:rsid w:val="00F82B3B"/>
    <w:rsid w:val="00F84060"/>
    <w:rsid w:val="00F90C0B"/>
    <w:rsid w:val="00F91278"/>
    <w:rsid w:val="00F91A68"/>
    <w:rsid w:val="00F91C80"/>
    <w:rsid w:val="00F92017"/>
    <w:rsid w:val="00F92950"/>
    <w:rsid w:val="00F96F6C"/>
    <w:rsid w:val="00F97CCA"/>
    <w:rsid w:val="00FA3ABC"/>
    <w:rsid w:val="00FA3D9D"/>
    <w:rsid w:val="00FB0388"/>
    <w:rsid w:val="00FB109A"/>
    <w:rsid w:val="00FB11E5"/>
    <w:rsid w:val="00FB1415"/>
    <w:rsid w:val="00FB5889"/>
    <w:rsid w:val="00FB6173"/>
    <w:rsid w:val="00FB687C"/>
    <w:rsid w:val="00FB6BCB"/>
    <w:rsid w:val="00FB7E0F"/>
    <w:rsid w:val="00FC0B20"/>
    <w:rsid w:val="00FC5D0B"/>
    <w:rsid w:val="00FD3187"/>
    <w:rsid w:val="00FD5E47"/>
    <w:rsid w:val="00FD63F3"/>
    <w:rsid w:val="00FD6D15"/>
    <w:rsid w:val="00FD6DEA"/>
    <w:rsid w:val="00FE0B91"/>
    <w:rsid w:val="00FE0C2F"/>
    <w:rsid w:val="00FE4662"/>
    <w:rsid w:val="00FF04D9"/>
    <w:rsid w:val="00FF2D6A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020-covid-19-0104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3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3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3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3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3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NP!$A$12:$B$38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NP!$C$12:$C$38</c:f>
              <c:numCache>
                <c:formatCode>0.0</c:formatCode>
                <c:ptCount val="27"/>
                <c:pt idx="0">
                  <c:v>46.219000000000001</c:v>
                </c:pt>
                <c:pt idx="1">
                  <c:v>41.719000000000001</c:v>
                </c:pt>
                <c:pt idx="2">
                  <c:v>43.966000000000001</c:v>
                </c:pt>
                <c:pt idx="3">
                  <c:v>44.445999999999998</c:v>
                </c:pt>
                <c:pt idx="4">
                  <c:v>35.908999999999999</c:v>
                </c:pt>
                <c:pt idx="5">
                  <c:v>38.994999999999997</c:v>
                </c:pt>
                <c:pt idx="6">
                  <c:v>17.914999999999999</c:v>
                </c:pt>
                <c:pt idx="7">
                  <c:v>15.045999999999999</c:v>
                </c:pt>
                <c:pt idx="8">
                  <c:v>30.613</c:v>
                </c:pt>
                <c:pt idx="9">
                  <c:v>40.911000000000001</c:v>
                </c:pt>
                <c:pt idx="10">
                  <c:v>61.198999999999998</c:v>
                </c:pt>
                <c:pt idx="11">
                  <c:v>49.415999999999997</c:v>
                </c:pt>
                <c:pt idx="12">
                  <c:v>37.04</c:v>
                </c:pt>
                <c:pt idx="13">
                  <c:v>30.673999999999999</c:v>
                </c:pt>
                <c:pt idx="14">
                  <c:v>28.23</c:v>
                </c:pt>
                <c:pt idx="15">
                  <c:v>35.655000000000001</c:v>
                </c:pt>
                <c:pt idx="16">
                  <c:v>45.645000000000003</c:v>
                </c:pt>
                <c:pt idx="17">
                  <c:v>56.261000000000003</c:v>
                </c:pt>
                <c:pt idx="18">
                  <c:v>69.802000000000007</c:v>
                </c:pt>
                <c:pt idx="19">
                  <c:v>64.924999999999997</c:v>
                </c:pt>
                <c:pt idx="20">
                  <c:v>29.85</c:v>
                </c:pt>
                <c:pt idx="21">
                  <c:v>-83.007999999999996</c:v>
                </c:pt>
                <c:pt idx="22">
                  <c:v>-23.879000000000001</c:v>
                </c:pt>
                <c:pt idx="23">
                  <c:v>-20.170999999999999</c:v>
                </c:pt>
                <c:pt idx="24" formatCode="General">
                  <c:v>2.8069999999999999</c:v>
                </c:pt>
                <c:pt idx="25" formatCode="General">
                  <c:v>116.16</c:v>
                </c:pt>
                <c:pt idx="26" formatCode="General">
                  <c:v>58.146999999999998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2-425D-9A67-1B2E7AE473B8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NP!$A$12:$B$38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NP!$D$12:$D$38</c:f>
              <c:numCache>
                <c:formatCode>0.0</c:formatCode>
                <c:ptCount val="27"/>
                <c:pt idx="0">
                  <c:v>16.056999999999999</c:v>
                </c:pt>
                <c:pt idx="1">
                  <c:v>18.773</c:v>
                </c:pt>
                <c:pt idx="2">
                  <c:v>17.21</c:v>
                </c:pt>
                <c:pt idx="3">
                  <c:v>22.323</c:v>
                </c:pt>
                <c:pt idx="4">
                  <c:v>21.411999999999999</c:v>
                </c:pt>
                <c:pt idx="5">
                  <c:v>19.292000000000002</c:v>
                </c:pt>
                <c:pt idx="6">
                  <c:v>22.242999999999999</c:v>
                </c:pt>
                <c:pt idx="7">
                  <c:v>19.733000000000001</c:v>
                </c:pt>
                <c:pt idx="8">
                  <c:v>27.047000000000001</c:v>
                </c:pt>
                <c:pt idx="9">
                  <c:v>37.268999999999998</c:v>
                </c:pt>
                <c:pt idx="10">
                  <c:v>35.341999999999999</c:v>
                </c:pt>
                <c:pt idx="11">
                  <c:v>32.363999999999997</c:v>
                </c:pt>
                <c:pt idx="12">
                  <c:v>35.039000000000001</c:v>
                </c:pt>
                <c:pt idx="13">
                  <c:v>36.268000000000001</c:v>
                </c:pt>
                <c:pt idx="14">
                  <c:v>33.268999999999998</c:v>
                </c:pt>
                <c:pt idx="15">
                  <c:v>40.823</c:v>
                </c:pt>
                <c:pt idx="16">
                  <c:v>32.991</c:v>
                </c:pt>
                <c:pt idx="17">
                  <c:v>32.084000000000003</c:v>
                </c:pt>
                <c:pt idx="18">
                  <c:v>27.997</c:v>
                </c:pt>
                <c:pt idx="19">
                  <c:v>27.196000000000002</c:v>
                </c:pt>
                <c:pt idx="20">
                  <c:v>14.134</c:v>
                </c:pt>
                <c:pt idx="21">
                  <c:v>-23.033999999999999</c:v>
                </c:pt>
                <c:pt idx="22">
                  <c:v>-9.5709999999999997</c:v>
                </c:pt>
                <c:pt idx="23">
                  <c:v>1.4470000000000001</c:v>
                </c:pt>
                <c:pt idx="24" formatCode="General">
                  <c:v>-0.32900000000000001</c:v>
                </c:pt>
                <c:pt idx="25" formatCode="General">
                  <c:v>45.915999999999997</c:v>
                </c:pt>
                <c:pt idx="26" formatCode="General">
                  <c:v>44.567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82-425D-9A67-1B2E7AE4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NP!$A$12:$B$38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NP!$E$12:$E$38</c:f>
              <c:numCache>
                <c:formatCode>0.0</c:formatCode>
                <c:ptCount val="27"/>
                <c:pt idx="0">
                  <c:v>49.676691006160297</c:v>
                </c:pt>
                <c:pt idx="1">
                  <c:v>49.503375000776217</c:v>
                </c:pt>
                <c:pt idx="2">
                  <c:v>50.210773261558273</c:v>
                </c:pt>
                <c:pt idx="3">
                  <c:v>49.60515449857094</c:v>
                </c:pt>
                <c:pt idx="4">
                  <c:v>49.433741367556834</c:v>
                </c:pt>
                <c:pt idx="5">
                  <c:v>49.234973491392147</c:v>
                </c:pt>
                <c:pt idx="6">
                  <c:v>48.012237850261073</c:v>
                </c:pt>
                <c:pt idx="7">
                  <c:v>48.013753631864041</c:v>
                </c:pt>
                <c:pt idx="8">
                  <c:v>47.278508778217748</c:v>
                </c:pt>
                <c:pt idx="9">
                  <c:v>47.600319902380306</c:v>
                </c:pt>
                <c:pt idx="10">
                  <c:v>47.475915064735261</c:v>
                </c:pt>
                <c:pt idx="11">
                  <c:v>47.074867503183185</c:v>
                </c:pt>
                <c:pt idx="12">
                  <c:v>45.678376484795344</c:v>
                </c:pt>
                <c:pt idx="13">
                  <c:v>45.194795935611978</c:v>
                </c:pt>
                <c:pt idx="14">
                  <c:v>44.971088413075115</c:v>
                </c:pt>
                <c:pt idx="15">
                  <c:v>44.232401282022785</c:v>
                </c:pt>
                <c:pt idx="16">
                  <c:v>44.585006541008454</c:v>
                </c:pt>
                <c:pt idx="17">
                  <c:v>45.166494407424175</c:v>
                </c:pt>
                <c:pt idx="18">
                  <c:v>45.124343827603973</c:v>
                </c:pt>
                <c:pt idx="19">
                  <c:v>45.285862421533771</c:v>
                </c:pt>
                <c:pt idx="20">
                  <c:v>44.44264218875761</c:v>
                </c:pt>
                <c:pt idx="21" formatCode="General">
                  <c:v>43.957018308747628</c:v>
                </c:pt>
                <c:pt idx="22" formatCode="General">
                  <c:v>45.807762226077692</c:v>
                </c:pt>
                <c:pt idx="23" formatCode="General">
                  <c:v>45.671922495469005</c:v>
                </c:pt>
                <c:pt idx="24" formatCode="General">
                  <c:v>46.932794180270562</c:v>
                </c:pt>
                <c:pt idx="25" formatCode="General">
                  <c:v>46.120262234883128</c:v>
                </c:pt>
                <c:pt idx="26" formatCode="General">
                  <c:v>45.107284613588604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82-425D-9A67-1B2E7AE4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120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'NP2'!$C$11:$C$37</c:f>
              <c:numCache>
                <c:formatCode>General</c:formatCode>
                <c:ptCount val="27"/>
                <c:pt idx="0">
                  <c:v>14.896000000000001</c:v>
                </c:pt>
                <c:pt idx="1">
                  <c:v>19.86</c:v>
                </c:pt>
                <c:pt idx="2">
                  <c:v>15.653</c:v>
                </c:pt>
                <c:pt idx="3">
                  <c:v>5.8860000000000001</c:v>
                </c:pt>
                <c:pt idx="4">
                  <c:v>3.5840000000000001</c:v>
                </c:pt>
                <c:pt idx="5">
                  <c:v>4.2910000000000004</c:v>
                </c:pt>
                <c:pt idx="6">
                  <c:v>5.6639999999999997</c:v>
                </c:pt>
                <c:pt idx="7">
                  <c:v>13.547000000000001</c:v>
                </c:pt>
                <c:pt idx="8">
                  <c:v>8.5790000000000006</c:v>
                </c:pt>
                <c:pt idx="9">
                  <c:v>16.106000000000002</c:v>
                </c:pt>
                <c:pt idx="10">
                  <c:v>18.687000000000001</c:v>
                </c:pt>
                <c:pt idx="11">
                  <c:v>26.071999999999999</c:v>
                </c:pt>
                <c:pt idx="12">
                  <c:v>6.3949999999999996</c:v>
                </c:pt>
                <c:pt idx="13">
                  <c:v>8.6140000000000008</c:v>
                </c:pt>
                <c:pt idx="14">
                  <c:v>7.9569999999999999</c:v>
                </c:pt>
                <c:pt idx="15">
                  <c:v>16.013000000000002</c:v>
                </c:pt>
                <c:pt idx="16">
                  <c:v>17.695</c:v>
                </c:pt>
                <c:pt idx="17">
                  <c:v>13.617000000000001</c:v>
                </c:pt>
                <c:pt idx="18">
                  <c:v>25.163</c:v>
                </c:pt>
                <c:pt idx="19">
                  <c:v>32.338999999999999</c:v>
                </c:pt>
                <c:pt idx="20">
                  <c:v>-5.85</c:v>
                </c:pt>
                <c:pt idx="21">
                  <c:v>-9.8729999999999993</c:v>
                </c:pt>
                <c:pt idx="22">
                  <c:v>-23.033000000000001</c:v>
                </c:pt>
                <c:pt idx="23">
                  <c:v>-44.615000000000002</c:v>
                </c:pt>
                <c:pt idx="24">
                  <c:v>-8.8190000000000008</c:v>
                </c:pt>
                <c:pt idx="25">
                  <c:v>5.0510000000000002</c:v>
                </c:pt>
                <c:pt idx="26">
                  <c:v>-1.415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1-49D7-AD2A-CFD6CC7BE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'NP2'!$D$11:$D$37</c:f>
              <c:numCache>
                <c:formatCode>General</c:formatCode>
                <c:ptCount val="27"/>
                <c:pt idx="0">
                  <c:v>29.51122870031519</c:v>
                </c:pt>
                <c:pt idx="1">
                  <c:v>29.170625384228472</c:v>
                </c:pt>
                <c:pt idx="2">
                  <c:v>28.678712737890621</c:v>
                </c:pt>
                <c:pt idx="3">
                  <c:v>26.854739719703907</c:v>
                </c:pt>
                <c:pt idx="4">
                  <c:v>28.449272355434363</c:v>
                </c:pt>
                <c:pt idx="5">
                  <c:v>28.646869601477331</c:v>
                </c:pt>
                <c:pt idx="6">
                  <c:v>28.718076299975419</c:v>
                </c:pt>
                <c:pt idx="7">
                  <c:v>27.954183761370103</c:v>
                </c:pt>
                <c:pt idx="8">
                  <c:v>29.100587508350991</c:v>
                </c:pt>
                <c:pt idx="9">
                  <c:v>28.74957744853117</c:v>
                </c:pt>
                <c:pt idx="10">
                  <c:v>28.823776013154628</c:v>
                </c:pt>
                <c:pt idx="11">
                  <c:v>29.180179346820623</c:v>
                </c:pt>
                <c:pt idx="12">
                  <c:v>28.432225555760262</c:v>
                </c:pt>
                <c:pt idx="13">
                  <c:v>28.830696269381896</c:v>
                </c:pt>
                <c:pt idx="14">
                  <c:v>28.876184981708995</c:v>
                </c:pt>
                <c:pt idx="15">
                  <c:v>29.829652072825795</c:v>
                </c:pt>
                <c:pt idx="16">
                  <c:v>29.452377156824788</c:v>
                </c:pt>
                <c:pt idx="17">
                  <c:v>28.185928638684022</c:v>
                </c:pt>
                <c:pt idx="18">
                  <c:v>29.989755816358628</c:v>
                </c:pt>
                <c:pt idx="19">
                  <c:v>30.968207428821433</c:v>
                </c:pt>
                <c:pt idx="20">
                  <c:v>27.772104768399902</c:v>
                </c:pt>
                <c:pt idx="21">
                  <c:v>29.571611893541931</c:v>
                </c:pt>
                <c:pt idx="22">
                  <c:v>27.775718828165928</c:v>
                </c:pt>
                <c:pt idx="23">
                  <c:v>26.711436241243909</c:v>
                </c:pt>
                <c:pt idx="24">
                  <c:v>26.349112996411478</c:v>
                </c:pt>
                <c:pt idx="25">
                  <c:v>26.41001472822856</c:v>
                </c:pt>
                <c:pt idx="26">
                  <c:v>25.670674760681766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61-49D7-AD2A-CFD6CC7BE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4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Přírůstek t</a:t>
                </a:r>
                <a:r>
                  <a:rPr lang="en-US"/>
                  <a:t>vorb</a:t>
                </a:r>
                <a:r>
                  <a:rPr lang="cs-CZ"/>
                  <a:t>y</a:t>
                </a:r>
                <a:r>
                  <a:rPr lang="en-US"/>
                  <a:t>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ax val="31"/>
          <c:min val="2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22905748821522E-2"/>
          <c:y val="2.397572078907435E-2"/>
          <c:w val="0.9050896163063229"/>
          <c:h val="0.6667132086486155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VI!$F$11:$F$37</c:f>
              <c:numCache>
                <c:formatCode>General</c:formatCode>
                <c:ptCount val="27"/>
                <c:pt idx="0">
                  <c:v>2.39</c:v>
                </c:pt>
                <c:pt idx="1">
                  <c:v>0.93700000000000006</c:v>
                </c:pt>
                <c:pt idx="2">
                  <c:v>1.048</c:v>
                </c:pt>
                <c:pt idx="3">
                  <c:v>-2.4620000000000002</c:v>
                </c:pt>
                <c:pt idx="4">
                  <c:v>1.337</c:v>
                </c:pt>
                <c:pt idx="5">
                  <c:v>1.087</c:v>
                </c:pt>
                <c:pt idx="6">
                  <c:v>3.8919999999999999</c:v>
                </c:pt>
                <c:pt idx="7">
                  <c:v>-1.43</c:v>
                </c:pt>
                <c:pt idx="8">
                  <c:v>0.34899999999999998</c:v>
                </c:pt>
                <c:pt idx="9">
                  <c:v>4.6449999999999996</c:v>
                </c:pt>
                <c:pt idx="10">
                  <c:v>6.37</c:v>
                </c:pt>
                <c:pt idx="11">
                  <c:v>-3.1819999999999999</c:v>
                </c:pt>
                <c:pt idx="12">
                  <c:v>3.45</c:v>
                </c:pt>
                <c:pt idx="13">
                  <c:v>4.9660000000000002</c:v>
                </c:pt>
                <c:pt idx="14">
                  <c:v>6.6139999999999999</c:v>
                </c:pt>
                <c:pt idx="15">
                  <c:v>1.6160000000000001</c:v>
                </c:pt>
                <c:pt idx="16">
                  <c:v>3.3359999999999999</c:v>
                </c:pt>
                <c:pt idx="17">
                  <c:v>4.9089999999999998</c:v>
                </c:pt>
                <c:pt idx="18">
                  <c:v>5.3339999999999996</c:v>
                </c:pt>
                <c:pt idx="19">
                  <c:v>-2.1880000000000002</c:v>
                </c:pt>
                <c:pt idx="20">
                  <c:v>-1.669</c:v>
                </c:pt>
                <c:pt idx="21">
                  <c:v>0.92300000000000004</c:v>
                </c:pt>
                <c:pt idx="22">
                  <c:v>6.9480000000000004</c:v>
                </c:pt>
                <c:pt idx="23">
                  <c:v>-7.5780000000000003</c:v>
                </c:pt>
                <c:pt idx="24">
                  <c:v>4.0620000000000003</c:v>
                </c:pt>
                <c:pt idx="25">
                  <c:v>9.2200000000000006</c:v>
                </c:pt>
                <c:pt idx="26">
                  <c:v>2.1219999999999999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2-4C45-AA69-5209A60AB417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VI!$E$11:$E$37</c:f>
              <c:numCache>
                <c:formatCode>General</c:formatCode>
                <c:ptCount val="27"/>
                <c:pt idx="0">
                  <c:v>12.942</c:v>
                </c:pt>
                <c:pt idx="1">
                  <c:v>19.292000000000002</c:v>
                </c:pt>
                <c:pt idx="2">
                  <c:v>-2.6890000000000001</c:v>
                </c:pt>
                <c:pt idx="3">
                  <c:v>-3.556</c:v>
                </c:pt>
                <c:pt idx="4">
                  <c:v>17.620999999999999</c:v>
                </c:pt>
                <c:pt idx="5">
                  <c:v>26.577999999999999</c:v>
                </c:pt>
                <c:pt idx="6">
                  <c:v>9.0079999999999991</c:v>
                </c:pt>
                <c:pt idx="7">
                  <c:v>-3.5289999999999999</c:v>
                </c:pt>
                <c:pt idx="8">
                  <c:v>16.695</c:v>
                </c:pt>
                <c:pt idx="9">
                  <c:v>26.521000000000001</c:v>
                </c:pt>
                <c:pt idx="10">
                  <c:v>5.6349999999999998</c:v>
                </c:pt>
                <c:pt idx="11">
                  <c:v>-6.9260000000000002</c:v>
                </c:pt>
                <c:pt idx="12">
                  <c:v>15.24</c:v>
                </c:pt>
                <c:pt idx="13">
                  <c:v>24.675000000000001</c:v>
                </c:pt>
                <c:pt idx="14">
                  <c:v>-5.1619999999999999</c:v>
                </c:pt>
                <c:pt idx="15">
                  <c:v>-11.194000000000001</c:v>
                </c:pt>
                <c:pt idx="16">
                  <c:v>20.981000000000002</c:v>
                </c:pt>
                <c:pt idx="17">
                  <c:v>28.152000000000001</c:v>
                </c:pt>
                <c:pt idx="18">
                  <c:v>-1.296</c:v>
                </c:pt>
                <c:pt idx="19">
                  <c:v>-10.241</c:v>
                </c:pt>
                <c:pt idx="20">
                  <c:v>14.404999999999999</c:v>
                </c:pt>
                <c:pt idx="21">
                  <c:v>14.298</c:v>
                </c:pt>
                <c:pt idx="22">
                  <c:v>14.808</c:v>
                </c:pt>
                <c:pt idx="23">
                  <c:v>-17.359000000000002</c:v>
                </c:pt>
                <c:pt idx="24">
                  <c:v>10.599</c:v>
                </c:pt>
                <c:pt idx="25">
                  <c:v>33.04</c:v>
                </c:pt>
                <c:pt idx="26">
                  <c:v>9.4960000000000004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2-4C45-AA69-5209A60AB417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VI!$D$11:$D$37</c:f>
              <c:numCache>
                <c:formatCode>General</c:formatCode>
                <c:ptCount val="27"/>
                <c:pt idx="0">
                  <c:v>-32.365000000000002</c:v>
                </c:pt>
                <c:pt idx="1">
                  <c:v>-9.8119999999999994</c:v>
                </c:pt>
                <c:pt idx="2">
                  <c:v>10.430999999999999</c:v>
                </c:pt>
                <c:pt idx="3">
                  <c:v>-25.934999999999999</c:v>
                </c:pt>
                <c:pt idx="4">
                  <c:v>-21.896999999999998</c:v>
                </c:pt>
                <c:pt idx="5">
                  <c:v>2.395</c:v>
                </c:pt>
                <c:pt idx="6">
                  <c:v>13.132</c:v>
                </c:pt>
                <c:pt idx="7">
                  <c:v>-14.051</c:v>
                </c:pt>
                <c:pt idx="8">
                  <c:v>-15.212999999999999</c:v>
                </c:pt>
                <c:pt idx="9">
                  <c:v>10.332000000000001</c:v>
                </c:pt>
                <c:pt idx="10">
                  <c:v>20.634</c:v>
                </c:pt>
                <c:pt idx="11">
                  <c:v>10.872999999999999</c:v>
                </c:pt>
                <c:pt idx="12">
                  <c:v>-16.407</c:v>
                </c:pt>
                <c:pt idx="13">
                  <c:v>11.964</c:v>
                </c:pt>
                <c:pt idx="14">
                  <c:v>14.834</c:v>
                </c:pt>
                <c:pt idx="15">
                  <c:v>-1.208</c:v>
                </c:pt>
                <c:pt idx="16">
                  <c:v>-26.007000000000001</c:v>
                </c:pt>
                <c:pt idx="17">
                  <c:v>-5.7880000000000003</c:v>
                </c:pt>
                <c:pt idx="18">
                  <c:v>12.332000000000001</c:v>
                </c:pt>
                <c:pt idx="19">
                  <c:v>-11.664999999999999</c:v>
                </c:pt>
                <c:pt idx="20">
                  <c:v>-60.424999999999997</c:v>
                </c:pt>
                <c:pt idx="21">
                  <c:v>-111.114</c:v>
                </c:pt>
                <c:pt idx="22">
                  <c:v>-62.411999999999999</c:v>
                </c:pt>
                <c:pt idx="23">
                  <c:v>-108.84</c:v>
                </c:pt>
                <c:pt idx="24">
                  <c:v>-158.68799999999999</c:v>
                </c:pt>
                <c:pt idx="25">
                  <c:v>-101.504</c:v>
                </c:pt>
                <c:pt idx="26">
                  <c:v>-54.314999999999998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92-4C45-AA69-5209A60AB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VI!$A$11:$B$37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VI!$C$11:$C$37</c:f>
              <c:numCache>
                <c:formatCode>General</c:formatCode>
                <c:ptCount val="27"/>
                <c:pt idx="0">
                  <c:v>-17.033000000000001</c:v>
                </c:pt>
                <c:pt idx="1">
                  <c:v>10.417</c:v>
                </c:pt>
                <c:pt idx="2">
                  <c:v>8.7899999999999991</c:v>
                </c:pt>
                <c:pt idx="3">
                  <c:v>-31.952999999999999</c:v>
                </c:pt>
                <c:pt idx="4">
                  <c:v>-2.9390000000000001</c:v>
                </c:pt>
                <c:pt idx="5">
                  <c:v>30.06</c:v>
                </c:pt>
                <c:pt idx="6">
                  <c:v>26.032</c:v>
                </c:pt>
                <c:pt idx="7">
                  <c:v>-19.010000000000002</c:v>
                </c:pt>
                <c:pt idx="8">
                  <c:v>1.831</c:v>
                </c:pt>
                <c:pt idx="9">
                  <c:v>41.497999999999998</c:v>
                </c:pt>
                <c:pt idx="10">
                  <c:v>32.639000000000003</c:v>
                </c:pt>
                <c:pt idx="11">
                  <c:v>0.76500000000000001</c:v>
                </c:pt>
                <c:pt idx="12">
                  <c:v>2.2829999999999999</c:v>
                </c:pt>
                <c:pt idx="13">
                  <c:v>41.604999999999997</c:v>
                </c:pt>
                <c:pt idx="14">
                  <c:v>16.286000000000001</c:v>
                </c:pt>
                <c:pt idx="15">
                  <c:v>-10.786</c:v>
                </c:pt>
                <c:pt idx="16">
                  <c:v>-1.69</c:v>
                </c:pt>
                <c:pt idx="17">
                  <c:v>27.273</c:v>
                </c:pt>
                <c:pt idx="18">
                  <c:v>16.37</c:v>
                </c:pt>
                <c:pt idx="19">
                  <c:v>-24.094000000000001</c:v>
                </c:pt>
                <c:pt idx="20">
                  <c:v>-47.689</c:v>
                </c:pt>
                <c:pt idx="21">
                  <c:v>-95.893000000000001</c:v>
                </c:pt>
                <c:pt idx="22">
                  <c:v>-40.655999999999999</c:v>
                </c:pt>
                <c:pt idx="23">
                  <c:v>-133.77699999999999</c:v>
                </c:pt>
                <c:pt idx="24">
                  <c:v>-144.02699999999999</c:v>
                </c:pt>
                <c:pt idx="25">
                  <c:v>-59.244</c:v>
                </c:pt>
                <c:pt idx="26">
                  <c:v>-42.697000000000003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92-4C45-AA69-5209A60AB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3715859493284128"/>
          <c:w val="1"/>
          <c:h val="0.150390457641960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17316510135044E-2"/>
          <c:y val="4.5653594771241833E-2"/>
          <c:w val="0.89169507426029582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'VI2'!$C$10:$C$36</c:f>
              <c:numCache>
                <c:formatCode>General</c:formatCode>
                <c:ptCount val="27"/>
                <c:pt idx="0">
                  <c:v>18.847999999999999</c:v>
                </c:pt>
                <c:pt idx="1">
                  <c:v>17.466999999999999</c:v>
                </c:pt>
                <c:pt idx="2">
                  <c:v>-6.7460000000000004</c:v>
                </c:pt>
                <c:pt idx="3">
                  <c:v>48.031999999999996</c:v>
                </c:pt>
                <c:pt idx="4">
                  <c:v>37.271000000000001</c:v>
                </c:pt>
                <c:pt idx="5">
                  <c:v>69.44</c:v>
                </c:pt>
                <c:pt idx="6">
                  <c:v>83.290999999999997</c:v>
                </c:pt>
                <c:pt idx="7">
                  <c:v>24.291</c:v>
                </c:pt>
                <c:pt idx="8">
                  <c:v>101.614</c:v>
                </c:pt>
                <c:pt idx="9">
                  <c:v>9.9260000000000002</c:v>
                </c:pt>
                <c:pt idx="10">
                  <c:v>-29.707000000000001</c:v>
                </c:pt>
                <c:pt idx="11">
                  <c:v>-30.15</c:v>
                </c:pt>
                <c:pt idx="12">
                  <c:v>-187.25800000000001</c:v>
                </c:pt>
                <c:pt idx="13">
                  <c:v>-61.563000000000002</c:v>
                </c:pt>
                <c:pt idx="14">
                  <c:v>-37.698</c:v>
                </c:pt>
                <c:pt idx="15">
                  <c:v>-8.4459999999999997</c:v>
                </c:pt>
                <c:pt idx="16">
                  <c:v>159.285</c:v>
                </c:pt>
                <c:pt idx="17">
                  <c:v>100.34699999999999</c:v>
                </c:pt>
                <c:pt idx="18">
                  <c:v>88.245999999999995</c:v>
                </c:pt>
                <c:pt idx="19">
                  <c:v>41.860999999999997</c:v>
                </c:pt>
                <c:pt idx="20">
                  <c:v>-24.57</c:v>
                </c:pt>
                <c:pt idx="21">
                  <c:v>303.31900000000002</c:v>
                </c:pt>
                <c:pt idx="22">
                  <c:v>288.69200000000001</c:v>
                </c:pt>
                <c:pt idx="23">
                  <c:v>396.11200000000002</c:v>
                </c:pt>
                <c:pt idx="24">
                  <c:v>541.13699999999994</c:v>
                </c:pt>
                <c:pt idx="25">
                  <c:v>311.64600000000002</c:v>
                </c:pt>
                <c:pt idx="26">
                  <c:v>297.89699999999999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B-45BE-9365-611CCD66654B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'VI2'!$D$10:$D$36</c:f>
              <c:numCache>
                <c:formatCode>General</c:formatCode>
                <c:ptCount val="27"/>
                <c:pt idx="0">
                  <c:v>-16.446999999999999</c:v>
                </c:pt>
                <c:pt idx="1">
                  <c:v>-9.6340000000000003</c:v>
                </c:pt>
                <c:pt idx="2">
                  <c:v>13.411</c:v>
                </c:pt>
                <c:pt idx="3">
                  <c:v>-22.658000000000001</c:v>
                </c:pt>
                <c:pt idx="4">
                  <c:v>-2.016</c:v>
                </c:pt>
                <c:pt idx="5">
                  <c:v>-30.206</c:v>
                </c:pt>
                <c:pt idx="6">
                  <c:v>-86.369</c:v>
                </c:pt>
                <c:pt idx="7">
                  <c:v>-79.730999999999995</c:v>
                </c:pt>
                <c:pt idx="8">
                  <c:v>-8.9580000000000002</c:v>
                </c:pt>
                <c:pt idx="9">
                  <c:v>89.825000000000003</c:v>
                </c:pt>
                <c:pt idx="10">
                  <c:v>-17.864999999999998</c:v>
                </c:pt>
                <c:pt idx="11">
                  <c:v>39.607999999999997</c:v>
                </c:pt>
                <c:pt idx="12">
                  <c:v>110.06399999999999</c:v>
                </c:pt>
                <c:pt idx="13">
                  <c:v>-73.570999999999998</c:v>
                </c:pt>
                <c:pt idx="14">
                  <c:v>42.71</c:v>
                </c:pt>
                <c:pt idx="15">
                  <c:v>-40.204999999999998</c:v>
                </c:pt>
                <c:pt idx="16">
                  <c:v>-178.68899999999999</c:v>
                </c:pt>
                <c:pt idx="17">
                  <c:v>-72.613</c:v>
                </c:pt>
                <c:pt idx="18">
                  <c:v>-42.478000000000002</c:v>
                </c:pt>
                <c:pt idx="19">
                  <c:v>0.13200000000000001</c:v>
                </c:pt>
                <c:pt idx="20">
                  <c:v>65.55</c:v>
                </c:pt>
                <c:pt idx="21">
                  <c:v>130.24100000000001</c:v>
                </c:pt>
                <c:pt idx="22">
                  <c:v>100.735</c:v>
                </c:pt>
                <c:pt idx="23">
                  <c:v>19.954000000000001</c:v>
                </c:pt>
                <c:pt idx="24">
                  <c:v>-43.771000000000001</c:v>
                </c:pt>
                <c:pt idx="25">
                  <c:v>-112.06699999999999</c:v>
                </c:pt>
                <c:pt idx="26">
                  <c:v>-85.448999999999998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0B-45BE-9365-611CCD66654B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'VI2'!$E$10:$E$36</c:f>
              <c:numCache>
                <c:formatCode>General</c:formatCode>
                <c:ptCount val="27"/>
                <c:pt idx="0">
                  <c:v>-16.625</c:v>
                </c:pt>
                <c:pt idx="1">
                  <c:v>-18.791</c:v>
                </c:pt>
                <c:pt idx="2">
                  <c:v>-15.385999999999999</c:v>
                </c:pt>
                <c:pt idx="3">
                  <c:v>-3.4649999999999999</c:v>
                </c:pt>
                <c:pt idx="4">
                  <c:v>-6.1390000000000002</c:v>
                </c:pt>
                <c:pt idx="5">
                  <c:v>-4.306</c:v>
                </c:pt>
                <c:pt idx="6">
                  <c:v>-5.09</c:v>
                </c:pt>
                <c:pt idx="7">
                  <c:v>-22.616</c:v>
                </c:pt>
                <c:pt idx="8">
                  <c:v>-22.443000000000001</c:v>
                </c:pt>
                <c:pt idx="9">
                  <c:v>-21.582999999999998</c:v>
                </c:pt>
                <c:pt idx="10">
                  <c:v>-23.733000000000001</c:v>
                </c:pt>
                <c:pt idx="11">
                  <c:v>-12.262</c:v>
                </c:pt>
                <c:pt idx="12">
                  <c:v>-12.497999999999999</c:v>
                </c:pt>
                <c:pt idx="13">
                  <c:v>-10.695</c:v>
                </c:pt>
                <c:pt idx="14">
                  <c:v>-8.8230000000000004</c:v>
                </c:pt>
                <c:pt idx="15">
                  <c:v>-11.949</c:v>
                </c:pt>
                <c:pt idx="16">
                  <c:v>-9.83</c:v>
                </c:pt>
                <c:pt idx="17">
                  <c:v>-9.6769999999999996</c:v>
                </c:pt>
                <c:pt idx="18">
                  <c:v>-6.806</c:v>
                </c:pt>
                <c:pt idx="19">
                  <c:v>-2.8660000000000001</c:v>
                </c:pt>
                <c:pt idx="20">
                  <c:v>0.86</c:v>
                </c:pt>
                <c:pt idx="21">
                  <c:v>1.927</c:v>
                </c:pt>
                <c:pt idx="22">
                  <c:v>8.5609999999999999</c:v>
                </c:pt>
                <c:pt idx="23">
                  <c:v>1.9890000000000001</c:v>
                </c:pt>
                <c:pt idx="24">
                  <c:v>51.024000000000001</c:v>
                </c:pt>
                <c:pt idx="25">
                  <c:v>47.982999999999997</c:v>
                </c:pt>
                <c:pt idx="26">
                  <c:v>46.415999999999997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0B-45BE-9365-611CCD66654B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'VI2'!$F$10:$F$36</c:f>
              <c:numCache>
                <c:formatCode>General</c:formatCode>
                <c:ptCount val="27"/>
                <c:pt idx="0">
                  <c:v>5.234</c:v>
                </c:pt>
                <c:pt idx="1">
                  <c:v>12.789</c:v>
                </c:pt>
                <c:pt idx="2">
                  <c:v>11.449</c:v>
                </c:pt>
                <c:pt idx="3">
                  <c:v>1.895</c:v>
                </c:pt>
                <c:pt idx="4">
                  <c:v>-3.3530000000000002</c:v>
                </c:pt>
                <c:pt idx="5">
                  <c:v>-12.811</c:v>
                </c:pt>
                <c:pt idx="6">
                  <c:v>-10.784000000000001</c:v>
                </c:pt>
                <c:pt idx="7">
                  <c:v>-5.4210000000000003</c:v>
                </c:pt>
                <c:pt idx="8">
                  <c:v>-2.968</c:v>
                </c:pt>
                <c:pt idx="9">
                  <c:v>-1.4670000000000001</c:v>
                </c:pt>
                <c:pt idx="10">
                  <c:v>0.63</c:v>
                </c:pt>
                <c:pt idx="11">
                  <c:v>1.002</c:v>
                </c:pt>
                <c:pt idx="12">
                  <c:v>1.8140000000000001</c:v>
                </c:pt>
                <c:pt idx="13">
                  <c:v>53.356999999999999</c:v>
                </c:pt>
                <c:pt idx="14">
                  <c:v>50.372</c:v>
                </c:pt>
                <c:pt idx="15">
                  <c:v>42.76</c:v>
                </c:pt>
                <c:pt idx="16">
                  <c:v>34.055</c:v>
                </c:pt>
                <c:pt idx="17">
                  <c:v>-27.446000000000002</c:v>
                </c:pt>
                <c:pt idx="18">
                  <c:v>-33.340000000000003</c:v>
                </c:pt>
                <c:pt idx="19">
                  <c:v>-30.263000000000002</c:v>
                </c:pt>
                <c:pt idx="20">
                  <c:v>5.109</c:v>
                </c:pt>
                <c:pt idx="21">
                  <c:v>7.7960000000000003</c:v>
                </c:pt>
                <c:pt idx="22">
                  <c:v>-13.034000000000001</c:v>
                </c:pt>
                <c:pt idx="23">
                  <c:v>-14.349</c:v>
                </c:pt>
                <c:pt idx="24">
                  <c:v>76.912000000000006</c:v>
                </c:pt>
                <c:pt idx="25">
                  <c:v>0.82799999999999996</c:v>
                </c:pt>
                <c:pt idx="26">
                  <c:v>-4.3040000000000003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0B-45BE-9365-611CCD66654B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'VI2'!$G$10:$G$36</c:f>
              <c:numCache>
                <c:formatCode>General</c:formatCode>
                <c:ptCount val="27"/>
                <c:pt idx="0">
                  <c:v>5.4</c:v>
                </c:pt>
                <c:pt idx="1">
                  <c:v>8.2270000000000003</c:v>
                </c:pt>
                <c:pt idx="2">
                  <c:v>-1.0999999999999999E-2</c:v>
                </c:pt>
                <c:pt idx="3">
                  <c:v>-6.6449999999999996</c:v>
                </c:pt>
                <c:pt idx="4">
                  <c:v>-2.9249999999999998</c:v>
                </c:pt>
                <c:pt idx="5">
                  <c:v>0.24399999999999999</c:v>
                </c:pt>
                <c:pt idx="6">
                  <c:v>3.173</c:v>
                </c:pt>
                <c:pt idx="7">
                  <c:v>2.1669999999999998</c:v>
                </c:pt>
                <c:pt idx="8">
                  <c:v>-0.40899999999999997</c:v>
                </c:pt>
                <c:pt idx="9">
                  <c:v>-3.468</c:v>
                </c:pt>
                <c:pt idx="10">
                  <c:v>-1.865</c:v>
                </c:pt>
                <c:pt idx="11">
                  <c:v>-3.258</c:v>
                </c:pt>
                <c:pt idx="12">
                  <c:v>-2.6560000000000001</c:v>
                </c:pt>
                <c:pt idx="13">
                  <c:v>-1.3320000000000001</c:v>
                </c:pt>
                <c:pt idx="14">
                  <c:v>-7.0730000000000004</c:v>
                </c:pt>
                <c:pt idx="15">
                  <c:v>2.7650000000000001</c:v>
                </c:pt>
                <c:pt idx="16">
                  <c:v>-2.7530000000000001</c:v>
                </c:pt>
                <c:pt idx="17">
                  <c:v>-3.827</c:v>
                </c:pt>
                <c:pt idx="18">
                  <c:v>0.35099999999999998</c:v>
                </c:pt>
                <c:pt idx="19">
                  <c:v>-3.5339999999999998</c:v>
                </c:pt>
                <c:pt idx="20">
                  <c:v>6.2709999999999999</c:v>
                </c:pt>
                <c:pt idx="21">
                  <c:v>4.931</c:v>
                </c:pt>
                <c:pt idx="22">
                  <c:v>3.0760000000000001</c:v>
                </c:pt>
                <c:pt idx="23">
                  <c:v>5.7610000000000001</c:v>
                </c:pt>
                <c:pt idx="24">
                  <c:v>-1.653</c:v>
                </c:pt>
                <c:pt idx="25">
                  <c:v>3.8149999999999999</c:v>
                </c:pt>
                <c:pt idx="26">
                  <c:v>5.4320000000000004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0B-45BE-9365-611CCD666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'VI2'!$A$10:$B$36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'VI2'!$H$10:$H$36</c:f>
              <c:numCache>
                <c:formatCode>General</c:formatCode>
                <c:ptCount val="27"/>
                <c:pt idx="0">
                  <c:v>-3.59</c:v>
                </c:pt>
                <c:pt idx="1">
                  <c:v>10.058</c:v>
                </c:pt>
                <c:pt idx="2">
                  <c:v>2.7170000000000001</c:v>
                </c:pt>
                <c:pt idx="3">
                  <c:v>17.158999999999999</c:v>
                </c:pt>
                <c:pt idx="4">
                  <c:v>22.838000000000001</c:v>
                </c:pt>
                <c:pt idx="5">
                  <c:v>22.361000000000001</c:v>
                </c:pt>
                <c:pt idx="6">
                  <c:v>-15.779</c:v>
                </c:pt>
                <c:pt idx="7">
                  <c:v>-81.31</c:v>
                </c:pt>
                <c:pt idx="8">
                  <c:v>66.835999999999999</c:v>
                </c:pt>
                <c:pt idx="9">
                  <c:v>73.233000000000004</c:v>
                </c:pt>
                <c:pt idx="10">
                  <c:v>-72.540000000000006</c:v>
                </c:pt>
                <c:pt idx="11">
                  <c:v>-5.0599999999999996</c:v>
                </c:pt>
                <c:pt idx="12">
                  <c:v>-90.534000000000006</c:v>
                </c:pt>
                <c:pt idx="13">
                  <c:v>-93.804000000000002</c:v>
                </c:pt>
                <c:pt idx="14">
                  <c:v>39.488</c:v>
                </c:pt>
                <c:pt idx="15">
                  <c:v>-15.074999999999999</c:v>
                </c:pt>
                <c:pt idx="16">
                  <c:v>2.0680000000000001</c:v>
                </c:pt>
                <c:pt idx="17">
                  <c:v>-13.215999999999999</c:v>
                </c:pt>
                <c:pt idx="18">
                  <c:v>5.9729999999999999</c:v>
                </c:pt>
                <c:pt idx="19">
                  <c:v>5.33</c:v>
                </c:pt>
                <c:pt idx="20">
                  <c:v>53.22</c:v>
                </c:pt>
                <c:pt idx="21">
                  <c:v>448.214</c:v>
                </c:pt>
                <c:pt idx="22">
                  <c:v>388.03</c:v>
                </c:pt>
                <c:pt idx="23">
                  <c:v>409.46699999999998</c:v>
                </c:pt>
                <c:pt idx="24">
                  <c:v>623.649</c:v>
                </c:pt>
                <c:pt idx="25">
                  <c:v>252.20500000000001</c:v>
                </c:pt>
                <c:pt idx="26">
                  <c:v>259.99200000000002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C0B-45BE-9365-611CCD666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Dom!$A$9:$B$35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Dom!$C$9:$C$35</c:f>
              <c:numCache>
                <c:formatCode>General</c:formatCode>
                <c:ptCount val="27"/>
                <c:pt idx="0">
                  <c:v>1.768</c:v>
                </c:pt>
                <c:pt idx="1">
                  <c:v>1.7310000000000001</c:v>
                </c:pt>
                <c:pt idx="2">
                  <c:v>1.1080000000000001</c:v>
                </c:pt>
                <c:pt idx="3">
                  <c:v>0.75900000000000001</c:v>
                </c:pt>
                <c:pt idx="4">
                  <c:v>0.42799999999999999</c:v>
                </c:pt>
                <c:pt idx="5">
                  <c:v>4.4530000000000003</c:v>
                </c:pt>
                <c:pt idx="6">
                  <c:v>2.6150000000000002</c:v>
                </c:pt>
                <c:pt idx="7">
                  <c:v>10.651999999999999</c:v>
                </c:pt>
                <c:pt idx="8">
                  <c:v>-3.9460000000000002</c:v>
                </c:pt>
                <c:pt idx="9">
                  <c:v>-5.0069999999999997</c:v>
                </c:pt>
                <c:pt idx="10">
                  <c:v>-2.9910000000000001</c:v>
                </c:pt>
                <c:pt idx="11">
                  <c:v>-9.234</c:v>
                </c:pt>
                <c:pt idx="12">
                  <c:v>9.016</c:v>
                </c:pt>
                <c:pt idx="13">
                  <c:v>10.769</c:v>
                </c:pt>
                <c:pt idx="14">
                  <c:v>14.337999999999999</c:v>
                </c:pt>
                <c:pt idx="15">
                  <c:v>14.686</c:v>
                </c:pt>
                <c:pt idx="16">
                  <c:v>7.1550000000000002</c:v>
                </c:pt>
                <c:pt idx="17">
                  <c:v>7.4320000000000004</c:v>
                </c:pt>
                <c:pt idx="18">
                  <c:v>8.4429999999999996</c:v>
                </c:pt>
                <c:pt idx="19">
                  <c:v>8.8279999999999994</c:v>
                </c:pt>
                <c:pt idx="20">
                  <c:v>-0.67200000000000004</c:v>
                </c:pt>
                <c:pt idx="21">
                  <c:v>-2.8000000000000001E-2</c:v>
                </c:pt>
                <c:pt idx="22">
                  <c:v>-3.9</c:v>
                </c:pt>
                <c:pt idx="23">
                  <c:v>2.4790000000000001</c:v>
                </c:pt>
                <c:pt idx="24">
                  <c:v>1.86</c:v>
                </c:pt>
                <c:pt idx="25">
                  <c:v>14.218</c:v>
                </c:pt>
                <c:pt idx="26">
                  <c:v>11.308999999999999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E-4D73-BF67-3B664D85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Dom!$A$9:$B$35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Dom!$D$9:$D$35</c:f>
              <c:numCache>
                <c:formatCode>0.0</c:formatCode>
                <c:ptCount val="27"/>
                <c:pt idx="0">
                  <c:v>12.492435690972762</c:v>
                </c:pt>
                <c:pt idx="1">
                  <c:v>11.90247670386379</c:v>
                </c:pt>
                <c:pt idx="2">
                  <c:v>12.522764173682754</c:v>
                </c:pt>
                <c:pt idx="3">
                  <c:v>11.238812388935321</c:v>
                </c:pt>
                <c:pt idx="4">
                  <c:v>11.549271796321399</c:v>
                </c:pt>
                <c:pt idx="5">
                  <c:v>11.573197099286302</c:v>
                </c:pt>
                <c:pt idx="6">
                  <c:v>11.59512267153436</c:v>
                </c:pt>
                <c:pt idx="7">
                  <c:v>10.726697572267319</c:v>
                </c:pt>
                <c:pt idx="8">
                  <c:v>11.560740230451398</c:v>
                </c:pt>
                <c:pt idx="9">
                  <c:v>11.631670975744623</c:v>
                </c:pt>
                <c:pt idx="10">
                  <c:v>11.515277213916297</c:v>
                </c:pt>
                <c:pt idx="11">
                  <c:v>11.662400839387628</c:v>
                </c:pt>
                <c:pt idx="12">
                  <c:v>11.999170168112004</c:v>
                </c:pt>
                <c:pt idx="13">
                  <c:v>12.483553872067981</c:v>
                </c:pt>
                <c:pt idx="14">
                  <c:v>11.434720746856893</c:v>
                </c:pt>
                <c:pt idx="15">
                  <c:v>12.541911319736347</c:v>
                </c:pt>
                <c:pt idx="16">
                  <c:v>12.914520068691134</c:v>
                </c:pt>
                <c:pt idx="17">
                  <c:v>13.269987151070438</c:v>
                </c:pt>
                <c:pt idx="18">
                  <c:v>12.872559495404278</c:v>
                </c:pt>
                <c:pt idx="19">
                  <c:v>13.47067740019255</c:v>
                </c:pt>
                <c:pt idx="20">
                  <c:v>16.992313707347613</c:v>
                </c:pt>
                <c:pt idx="21">
                  <c:v>22.28872703278855</c:v>
                </c:pt>
                <c:pt idx="22" formatCode="General">
                  <c:v>19.771314932989842</c:v>
                </c:pt>
                <c:pt idx="23" formatCode="General">
                  <c:v>25.638590508258329</c:v>
                </c:pt>
                <c:pt idx="24" formatCode="General">
                  <c:v>24.662162569384595</c:v>
                </c:pt>
                <c:pt idx="25" formatCode="General">
                  <c:v>21.12002372892044</c:v>
                </c:pt>
                <c:pt idx="26" formatCode="General">
                  <c:v>15.904219551147348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AE-4D73-BF67-3B664D858B18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Dom!$A$9:$B$35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Dom!$E$9:$E$35</c:f>
              <c:numCache>
                <c:formatCode>0.0</c:formatCode>
                <c:ptCount val="27"/>
                <c:pt idx="0">
                  <c:v>8.7459946363675449</c:v>
                </c:pt>
                <c:pt idx="1">
                  <c:v>8.6965667986917996</c:v>
                </c:pt>
                <c:pt idx="2">
                  <c:v>8.6496575458885268</c:v>
                </c:pt>
                <c:pt idx="3">
                  <c:v>8.7061725590113515</c:v>
                </c:pt>
                <c:pt idx="4">
                  <c:v>9.1152341365952054</c:v>
                </c:pt>
                <c:pt idx="5">
                  <c:v>9.2780743547060069</c:v>
                </c:pt>
                <c:pt idx="6">
                  <c:v>9.0999060602157158</c:v>
                </c:pt>
                <c:pt idx="7">
                  <c:v>9.0737366867781848</c:v>
                </c:pt>
                <c:pt idx="8">
                  <c:v>7.9949329282109076</c:v>
                </c:pt>
                <c:pt idx="9">
                  <c:v>7.6795241582353206</c:v>
                </c:pt>
                <c:pt idx="10">
                  <c:v>7.6774398531410517</c:v>
                </c:pt>
                <c:pt idx="11">
                  <c:v>7.7623122469950125</c:v>
                </c:pt>
                <c:pt idx="12">
                  <c:v>8.4998088828956586</c:v>
                </c:pt>
                <c:pt idx="13">
                  <c:v>8.8831438013112205</c:v>
                </c:pt>
                <c:pt idx="14">
                  <c:v>9.2059098435450188</c:v>
                </c:pt>
                <c:pt idx="15">
                  <c:v>9.3866363542194815</c:v>
                </c:pt>
                <c:pt idx="16">
                  <c:v>9.4718302347658216</c:v>
                </c:pt>
                <c:pt idx="17">
                  <c:v>9.4764126626069984</c:v>
                </c:pt>
                <c:pt idx="18">
                  <c:v>9.5582971969209698</c:v>
                </c:pt>
                <c:pt idx="19">
                  <c:v>9.3911950265265567</c:v>
                </c:pt>
                <c:pt idx="20">
                  <c:v>9.0461655280963278</c:v>
                </c:pt>
                <c:pt idx="21">
                  <c:v>8.9752309410212163</c:v>
                </c:pt>
                <c:pt idx="22" formatCode="General">
                  <c:v>8.8177599040324086</c:v>
                </c:pt>
                <c:pt idx="23" formatCode="General">
                  <c:v>8.8708381597849257</c:v>
                </c:pt>
                <c:pt idx="24" formatCode="General">
                  <c:v>9.2447701644738824</c:v>
                </c:pt>
                <c:pt idx="25" formatCode="General">
                  <c:v>9.4745188529309079</c:v>
                </c:pt>
                <c:pt idx="26" formatCode="General">
                  <c:v>9.7870144667656653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AE-4D73-BF67-3B664D85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06AD-E610-4887-A3DA-B3EB498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0</TotalTime>
  <Pages>9</Pages>
  <Words>2627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Karolína Zábojníková</cp:lastModifiedBy>
  <cp:revision>2</cp:revision>
  <dcterms:created xsi:type="dcterms:W3CDTF">2022-01-24T08:53:00Z</dcterms:created>
  <dcterms:modified xsi:type="dcterms:W3CDTF">2022-01-24T08:53:00Z</dcterms:modified>
</cp:coreProperties>
</file>