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75D7" w14:textId="59CDD83B" w:rsidR="00867569" w:rsidRPr="00AE6D5B" w:rsidRDefault="00513610" w:rsidP="00AE6D5B">
      <w:pPr>
        <w:pStyle w:val="Datum"/>
      </w:pPr>
      <w:r>
        <w:t>2</w:t>
      </w:r>
      <w:r w:rsidR="00B331D5">
        <w:t>2</w:t>
      </w:r>
      <w:r w:rsidR="00CC5069">
        <w:t>.</w:t>
      </w:r>
      <w:r>
        <w:t xml:space="preserve"> října</w:t>
      </w:r>
      <w:r w:rsidR="004A061A">
        <w:t xml:space="preserve"> 2020</w:t>
      </w:r>
    </w:p>
    <w:p w14:paraId="2AB16AF0" w14:textId="3130EA46" w:rsidR="00867569" w:rsidRPr="00AE6D5B" w:rsidRDefault="00B331D5" w:rsidP="00CC5069">
      <w:pPr>
        <w:pStyle w:val="Nzev"/>
      </w:pPr>
      <w:r>
        <w:t>Propad postihl</w:t>
      </w:r>
      <w:r w:rsidRPr="00B331D5">
        <w:t xml:space="preserve"> v</w:t>
      </w:r>
      <w:r w:rsidR="00AB4A87">
        <w:t>e 2. čtvrtletí</w:t>
      </w:r>
      <w:r w:rsidRPr="00B331D5">
        <w:t xml:space="preserve"> všechny sektory ekonomiky</w:t>
      </w:r>
    </w:p>
    <w:p w14:paraId="73603BA5" w14:textId="6AF66CC4" w:rsidR="00CC5069" w:rsidRPr="00CC5069" w:rsidRDefault="00B331D5" w:rsidP="00CC5069">
      <w:pPr>
        <w:pStyle w:val="Perex"/>
      </w:pPr>
      <w:r w:rsidRPr="00B331D5">
        <w:t xml:space="preserve">Většina 2. čtvrtletí </w:t>
      </w:r>
      <w:r>
        <w:t xml:space="preserve">letošního roku </w:t>
      </w:r>
      <w:r w:rsidRPr="00B331D5">
        <w:t xml:space="preserve">byla ovlivněna přísnými opatřeními proti šíření </w:t>
      </w:r>
      <w:proofErr w:type="spellStart"/>
      <w:r w:rsidRPr="00B331D5">
        <w:t>koronaviru</w:t>
      </w:r>
      <w:proofErr w:type="spellEnd"/>
      <w:r w:rsidRPr="00B331D5">
        <w:t>. Související ekonomický propad zanechal hluboké stopy v hospodaření vládních institucí. Propad mzdových příjmů domácností byl částečně kompenzován vládní podporou.</w:t>
      </w:r>
    </w:p>
    <w:p w14:paraId="51CE4792" w14:textId="510CA2B6" w:rsidR="00B331D5" w:rsidRDefault="00B331D5" w:rsidP="00B331D5">
      <w:pPr>
        <w:rPr>
          <w:rFonts w:cs="Arial"/>
          <w:szCs w:val="18"/>
        </w:rPr>
      </w:pPr>
      <w:r w:rsidRPr="00B331D5">
        <w:rPr>
          <w:rFonts w:cs="Arial"/>
          <w:szCs w:val="18"/>
        </w:rPr>
        <w:t xml:space="preserve">Meziroční propad hrubé přidané hodnoty </w:t>
      </w:r>
      <w:r>
        <w:rPr>
          <w:rFonts w:cs="Arial"/>
          <w:szCs w:val="18"/>
        </w:rPr>
        <w:t xml:space="preserve">(HPH) </w:t>
      </w:r>
      <w:r w:rsidRPr="00B331D5">
        <w:rPr>
          <w:rFonts w:cs="Arial"/>
          <w:szCs w:val="18"/>
        </w:rPr>
        <w:t xml:space="preserve">nefinančních podniků ve 2. čtvrtletí 2020 dosáhl </w:t>
      </w:r>
      <w:r>
        <w:rPr>
          <w:rFonts w:cs="Arial"/>
          <w:szCs w:val="18"/>
        </w:rPr>
        <w:br/>
      </w:r>
      <w:r w:rsidRPr="00B331D5">
        <w:rPr>
          <w:rFonts w:cs="Arial"/>
          <w:szCs w:val="18"/>
        </w:rPr>
        <w:t>77,6 mld. korun a šlo o první pokles od 1. čtvrtletí 2013. Reálně HPH klesla o 13,6 %. Objem vyplacených náhrad zaměstnancům se meziročně snížil o 4,9 %. Investiční výdaje nefinančních podniků meziročně klesly o 10,8 mld. korun.</w:t>
      </w:r>
    </w:p>
    <w:p w14:paraId="17970BC3" w14:textId="4D9B1700" w:rsidR="00B331D5" w:rsidRPr="00B331D5" w:rsidRDefault="00B331D5" w:rsidP="00B331D5">
      <w:pPr>
        <w:rPr>
          <w:rFonts w:cs="Arial"/>
          <w:szCs w:val="18"/>
        </w:rPr>
      </w:pPr>
      <w:r w:rsidRPr="00B331D5">
        <w:rPr>
          <w:rFonts w:cs="Arial"/>
          <w:szCs w:val="18"/>
        </w:rPr>
        <w:t xml:space="preserve"> </w:t>
      </w:r>
    </w:p>
    <w:p w14:paraId="18AAE553" w14:textId="4438612C" w:rsidR="00B331D5" w:rsidRDefault="00B331D5" w:rsidP="00B331D5">
      <w:pPr>
        <w:rPr>
          <w:rFonts w:cs="Arial"/>
          <w:szCs w:val="18"/>
        </w:rPr>
      </w:pPr>
      <w:r w:rsidRPr="00B331D5">
        <w:rPr>
          <w:rFonts w:cs="Arial"/>
          <w:szCs w:val="18"/>
        </w:rPr>
        <w:t xml:space="preserve">Navzdory probíhající krizi hrubý disponibilní důchod domácností nominálně meziročně vzrostl </w:t>
      </w:r>
      <w:r>
        <w:rPr>
          <w:rFonts w:cs="Arial"/>
          <w:szCs w:val="18"/>
        </w:rPr>
        <w:br/>
      </w:r>
      <w:r w:rsidRPr="00B331D5">
        <w:rPr>
          <w:rFonts w:cs="Arial"/>
          <w:szCs w:val="18"/>
        </w:rPr>
        <w:t xml:space="preserve">o 27,5 mld. korun. Ekonomický propad se ale v příjmech domácností projevil. </w:t>
      </w:r>
      <w:r w:rsidRPr="00B331D5">
        <w:rPr>
          <w:rFonts w:cs="Arial"/>
          <w:i/>
          <w:szCs w:val="18"/>
        </w:rPr>
        <w:t xml:space="preserve">„Mzdové příjmy domácností poprvé od začátku roku 2010 meziročně klesly. Propad jen zčásti kompenzovaly prostředky vládní podpory zaměstnanosti. Negativně byly zasaženy i příjmy drobných podnikatelů zařazených do sektoru domácností. K růstu disponibilního důchodu mohutně přispívaly sociální příspěvky a dávky,“ </w:t>
      </w:r>
      <w:r>
        <w:rPr>
          <w:rFonts w:cs="Arial"/>
          <w:szCs w:val="18"/>
        </w:rPr>
        <w:t>říká Karolína Zábojníková, analytička Českého statistického úřadu..</w:t>
      </w:r>
    </w:p>
    <w:p w14:paraId="4A3BA47A" w14:textId="77777777" w:rsidR="00B331D5" w:rsidRPr="00B331D5" w:rsidRDefault="00B331D5" w:rsidP="00B331D5">
      <w:pPr>
        <w:rPr>
          <w:rFonts w:cs="Arial"/>
          <w:szCs w:val="18"/>
        </w:rPr>
      </w:pPr>
    </w:p>
    <w:p w14:paraId="31CF232B" w14:textId="260F9588" w:rsidR="005E27C2" w:rsidRDefault="00B331D5" w:rsidP="00B331D5">
      <w:pPr>
        <w:rPr>
          <w:rFonts w:cs="Arial"/>
          <w:szCs w:val="18"/>
        </w:rPr>
      </w:pPr>
      <w:r w:rsidRPr="00B331D5">
        <w:rPr>
          <w:rFonts w:cs="Arial"/>
          <w:szCs w:val="18"/>
        </w:rPr>
        <w:t>Prudký růst výdajů vládních institucí a pokles jejich příjmů vedl ve 2. čtvrtletí k prohloubení deficitu na 100,4 mld. korun. S deficitem hospodařily zejména ústřední vládní instituce, které byly odpovědné za většinu výdajů v souvislosti se současnou krizí. Dluh vládních institucí ke konci 2. čtvrtletí činil 2 263,5 mld. korun, což je meziročně o 446,9 mld. více. Nárůst dluhu probíhal zejména prostřednictvím dlouhodobých dluhopisů.</w:t>
      </w:r>
    </w:p>
    <w:p w14:paraId="3EE839DB" w14:textId="7D3C7D0D" w:rsidR="00B331D5" w:rsidRDefault="00B331D5" w:rsidP="00B331D5">
      <w:pPr>
        <w:rPr>
          <w:rFonts w:cs="Arial"/>
          <w:szCs w:val="18"/>
        </w:rPr>
      </w:pPr>
    </w:p>
    <w:p w14:paraId="149653E9" w14:textId="4CD98AC6" w:rsidR="00B331D5" w:rsidRDefault="00B331D5" w:rsidP="00B331D5">
      <w:pPr>
        <w:rPr>
          <w:rFonts w:cs="Arial"/>
          <w:szCs w:val="18"/>
        </w:rPr>
      </w:pPr>
      <w:r w:rsidRPr="00B331D5">
        <w:rPr>
          <w:rFonts w:cs="Arial"/>
          <w:szCs w:val="18"/>
        </w:rPr>
        <w:t xml:space="preserve">Další detaily přináší aktuální </w:t>
      </w:r>
      <w:hyperlink r:id="rId7" w:history="1">
        <w:r w:rsidRPr="00B331D5">
          <w:rPr>
            <w:rStyle w:val="Hypertextovodkaz"/>
            <w:rFonts w:cs="Arial"/>
            <w:szCs w:val="18"/>
          </w:rPr>
          <w:t>Analýza sektorových účtů</w:t>
        </w:r>
      </w:hyperlink>
      <w:r>
        <w:rPr>
          <w:rFonts w:cs="Arial"/>
          <w:szCs w:val="18"/>
        </w:rPr>
        <w:t>.</w:t>
      </w:r>
    </w:p>
    <w:p w14:paraId="24D2C263" w14:textId="77777777" w:rsidR="00B331D5" w:rsidRPr="005E27C2" w:rsidRDefault="00B331D5" w:rsidP="00B331D5">
      <w:pPr>
        <w:rPr>
          <w:rFonts w:cs="Arial"/>
          <w:szCs w:val="18"/>
        </w:rPr>
      </w:pPr>
    </w:p>
    <w:p w14:paraId="60EEAEA7" w14:textId="77777777" w:rsidR="00B331D5" w:rsidRDefault="00B331D5" w:rsidP="00FE7928">
      <w:pPr>
        <w:rPr>
          <w:b/>
        </w:rPr>
      </w:pPr>
    </w:p>
    <w:p w14:paraId="728506CE" w14:textId="28F8840D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462F3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312972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B3EA3B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D1C764F" w14:textId="33845483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8C01F5" w:rsidRPr="005D68D7">
          <w:rPr>
            <w:rStyle w:val="Hypertextovodkaz"/>
            <w:rFonts w:cs="Arial"/>
          </w:rPr>
          <w:t>jan.cieslar@czso.cz</w:t>
        </w:r>
      </w:hyperlink>
      <w:r w:rsidR="008C01F5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9E560" w14:textId="77777777" w:rsidR="00701B2D" w:rsidRDefault="00701B2D" w:rsidP="00BA6370">
      <w:r>
        <w:separator/>
      </w:r>
    </w:p>
  </w:endnote>
  <w:endnote w:type="continuationSeparator" w:id="0">
    <w:p w14:paraId="40986942" w14:textId="77777777" w:rsidR="00701B2D" w:rsidRDefault="00701B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0FA0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1A25A2" wp14:editId="2E22851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ABA10" w14:textId="77AB07A2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041011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8D3537A" w14:textId="10FD7A5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C01F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A25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57ABA10" w14:textId="77AB07A2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041011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8D3537A" w14:textId="10FD7A5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C01F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91AB2" wp14:editId="5E62203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BDD17" w14:textId="77777777" w:rsidR="00701B2D" w:rsidRDefault="00701B2D" w:rsidP="00BA6370">
      <w:r>
        <w:separator/>
      </w:r>
    </w:p>
  </w:footnote>
  <w:footnote w:type="continuationSeparator" w:id="0">
    <w:p w14:paraId="579E90F7" w14:textId="77777777" w:rsidR="00701B2D" w:rsidRDefault="00701B2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4722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05DDCB1" wp14:editId="6BE8413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763A"/>
    <w:rsid w:val="00043BF4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56B7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A8C"/>
    <w:rsid w:val="002C261A"/>
    <w:rsid w:val="002D6A6C"/>
    <w:rsid w:val="00302BDE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1044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13610"/>
    <w:rsid w:val="0052753B"/>
    <w:rsid w:val="00531DBB"/>
    <w:rsid w:val="00544FE5"/>
    <w:rsid w:val="005515A2"/>
    <w:rsid w:val="00580128"/>
    <w:rsid w:val="00582FE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1B2D"/>
    <w:rsid w:val="007020EA"/>
    <w:rsid w:val="00702B03"/>
    <w:rsid w:val="00706DB3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35B3"/>
    <w:rsid w:val="007717EF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61D0E"/>
    <w:rsid w:val="00867569"/>
    <w:rsid w:val="00883708"/>
    <w:rsid w:val="008A750A"/>
    <w:rsid w:val="008C01F5"/>
    <w:rsid w:val="008C384C"/>
    <w:rsid w:val="008D0F11"/>
    <w:rsid w:val="008D24E4"/>
    <w:rsid w:val="008F35B4"/>
    <w:rsid w:val="008F73B4"/>
    <w:rsid w:val="00906A0E"/>
    <w:rsid w:val="00916BFD"/>
    <w:rsid w:val="0094402F"/>
    <w:rsid w:val="009510E2"/>
    <w:rsid w:val="00963BA3"/>
    <w:rsid w:val="009668FF"/>
    <w:rsid w:val="009A572A"/>
    <w:rsid w:val="009B55B1"/>
    <w:rsid w:val="009B6438"/>
    <w:rsid w:val="009C70A9"/>
    <w:rsid w:val="009F5037"/>
    <w:rsid w:val="00A00672"/>
    <w:rsid w:val="00A278C8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B4A87"/>
    <w:rsid w:val="00AE6D5B"/>
    <w:rsid w:val="00B00C1D"/>
    <w:rsid w:val="00B03E21"/>
    <w:rsid w:val="00B22916"/>
    <w:rsid w:val="00B31381"/>
    <w:rsid w:val="00B331D5"/>
    <w:rsid w:val="00B4271A"/>
    <w:rsid w:val="00B62CA1"/>
    <w:rsid w:val="00B633EC"/>
    <w:rsid w:val="00BA1697"/>
    <w:rsid w:val="00BA1D73"/>
    <w:rsid w:val="00BA439F"/>
    <w:rsid w:val="00BA6370"/>
    <w:rsid w:val="00BB6F70"/>
    <w:rsid w:val="00BC495A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7411B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818B6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analyza-ctvrtletnich-sektorovych-uctu-2-ctvrtleti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9DC5-4537-4054-9F6A-4C5CEA9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4</cp:revision>
  <cp:lastPrinted>2020-06-20T21:30:00Z</cp:lastPrinted>
  <dcterms:created xsi:type="dcterms:W3CDTF">2020-10-20T15:48:00Z</dcterms:created>
  <dcterms:modified xsi:type="dcterms:W3CDTF">2020-10-21T12:34:00Z</dcterms:modified>
</cp:coreProperties>
</file>