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DD" w:rsidRDefault="004D19DD" w:rsidP="004D19DD">
      <w:pPr>
        <w:pStyle w:val="Nadpis1"/>
      </w:pPr>
      <w:bookmarkStart w:id="0" w:name="_Toc58583193"/>
      <w:r>
        <w:t>Analytická část</w:t>
      </w:r>
      <w:bookmarkEnd w:id="0"/>
    </w:p>
    <w:p w:rsidR="004D19DD" w:rsidRDefault="004D19DD" w:rsidP="004D19DD">
      <w:pPr>
        <w:jc w:val="both"/>
      </w:pPr>
      <w:r>
        <w:t>V roce 2019 učitelé pracující v regionálním školství</w:t>
      </w:r>
      <w:r>
        <w:rPr>
          <w:rStyle w:val="Znakapoznpodarou"/>
        </w:rPr>
        <w:footnoteReference w:id="1"/>
      </w:r>
      <w:r>
        <w:t xml:space="preserve"> pobírali hrubou mzdu </w:t>
      </w:r>
      <w:r w:rsidRPr="00950202">
        <w:rPr>
          <w:b/>
        </w:rPr>
        <w:t>v průměru 39 656 Kč</w:t>
      </w:r>
      <w:r>
        <w:t xml:space="preserve"> měsíčně</w:t>
      </w:r>
      <w:r>
        <w:rPr>
          <w:rStyle w:val="Znakapoznpodarou"/>
        </w:rPr>
        <w:footnoteReference w:id="2"/>
      </w:r>
      <w:r>
        <w:t xml:space="preserve">. </w:t>
      </w:r>
      <w:r w:rsidRPr="00950202">
        <w:rPr>
          <w:b/>
        </w:rPr>
        <w:t>Meziročně</w:t>
      </w:r>
      <w:r>
        <w:t xml:space="preserve"> si tak polepšili </w:t>
      </w:r>
      <w:r w:rsidRPr="00950202">
        <w:rPr>
          <w:b/>
        </w:rPr>
        <w:t>o 15 %</w:t>
      </w:r>
      <w:r>
        <w:t xml:space="preserve"> (o více než 5 tis. Kč). Zatímco učitelé na středních školách vydělávali v průměru měsíčně 41,9 tis. Kč, jejich kolegové v mateřských školách o 8 tis. Kč méně. Dvouciferné meziroční tempo růstu průměrné mzdy učitelů vychází již druhý rok po sobě. Mezi rokem 2017 a 2018 vzrostla průměrná hrubá měsíční mzda učitelů na regionální úrovni o 11 %. Mezi lety 2012–2019 pak došlo k nárůstu o více než 50 %, z 25,7 tis. Kč na již zmíněných bezmála 40 tis. Kč. V </w:t>
      </w:r>
      <w:r w:rsidRPr="00356AFE">
        <w:rPr>
          <w:b/>
        </w:rPr>
        <w:t>relaci k průměrné hrubé měsíční mzdě v národním hospodářství</w:t>
      </w:r>
      <w:r>
        <w:t xml:space="preserve"> pobírali učitelé </w:t>
      </w:r>
      <w:r w:rsidRPr="00356AFE">
        <w:rPr>
          <w:b/>
        </w:rPr>
        <w:t>109 %</w:t>
      </w:r>
      <w:r>
        <w:t xml:space="preserve"> tohoto výdělku. Učitelé v mateřských školách však na tuto mzdu nedosáhli a vydělávali jen 93 % této mzdy. Při srovnání se </w:t>
      </w:r>
      <w:r w:rsidRPr="00356AFE">
        <w:rPr>
          <w:b/>
        </w:rPr>
        <w:t>mzdou zaměstnanců s</w:t>
      </w:r>
      <w:r>
        <w:t xml:space="preserve"> dokončeným </w:t>
      </w:r>
      <w:r w:rsidRPr="00FE52E7">
        <w:rPr>
          <w:b/>
        </w:rPr>
        <w:t>vysokoškolským</w:t>
      </w:r>
      <w:r w:rsidRPr="00356AFE">
        <w:rPr>
          <w:b/>
        </w:rPr>
        <w:t xml:space="preserve"> vzděláním</w:t>
      </w:r>
      <w:r>
        <w:rPr>
          <w:rStyle w:val="Znakapoznpodarou"/>
          <w:b/>
        </w:rPr>
        <w:footnoteReference w:id="3"/>
      </w:r>
      <w:r>
        <w:t xml:space="preserve"> lze zjistit, že učitelé v loňském roce pobírali </w:t>
      </w:r>
      <w:r w:rsidRPr="00356AFE">
        <w:rPr>
          <w:b/>
        </w:rPr>
        <w:t>7</w:t>
      </w:r>
      <w:r>
        <w:rPr>
          <w:b/>
        </w:rPr>
        <w:t>1</w:t>
      </w:r>
      <w:r w:rsidRPr="00356AFE">
        <w:rPr>
          <w:b/>
        </w:rPr>
        <w:t xml:space="preserve"> %</w:t>
      </w:r>
      <w:r>
        <w:t xml:space="preserve"> této částky. Takovou úrovní vzdělání se přitom mohly pochlubit dvě třetiny učitelů na regionální úrovni.</w:t>
      </w:r>
    </w:p>
    <w:p w:rsidR="004D19DD" w:rsidRDefault="004D19DD" w:rsidP="004D19DD">
      <w:pPr>
        <w:spacing w:after="0" w:line="240" w:lineRule="auto"/>
        <w:jc w:val="both"/>
        <w:rPr>
          <w:rFonts w:cs="Arial"/>
          <w:b/>
          <w:bCs/>
          <w:color w:val="000000"/>
          <w:szCs w:val="16"/>
        </w:rPr>
      </w:pPr>
      <w:r w:rsidRPr="00336090">
        <w:rPr>
          <w:rFonts w:cs="Arial"/>
          <w:b/>
          <w:bCs/>
          <w:color w:val="000000"/>
          <w:szCs w:val="16"/>
        </w:rPr>
        <w:t>Graf 1: Vývoj reálných mezd učitelů v regionálním školství v porovnání se zaměstnanci v platové sféře a zaměstnanci v Česku celkem, 2012–2019 (rok 2012=100)</w:t>
      </w:r>
    </w:p>
    <w:p w:rsidR="004D19DD" w:rsidRDefault="004D19DD" w:rsidP="004D19DD">
      <w:r>
        <w:rPr>
          <w:noProof/>
        </w:rPr>
        <w:drawing>
          <wp:inline distT="0" distB="0" distL="0" distR="0" wp14:anchorId="719F4DB1" wp14:editId="07747F82">
            <wp:extent cx="6120130" cy="2883980"/>
            <wp:effectExtent l="0" t="0" r="13970" b="12065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19DD" w:rsidRDefault="004D19DD" w:rsidP="004D19DD">
      <w:pPr>
        <w:spacing w:after="0"/>
        <w:jc w:val="both"/>
        <w:rPr>
          <w:rFonts w:cs="Arial"/>
          <w:sz w:val="16"/>
          <w:szCs w:val="16"/>
        </w:rPr>
      </w:pPr>
      <w:r w:rsidRPr="00222F63">
        <w:rPr>
          <w:rFonts w:cs="Arial"/>
          <w:sz w:val="16"/>
          <w:szCs w:val="16"/>
        </w:rPr>
        <w:t>Zdroj: ČSÚ podle údajů ze Strukturální mzdové statistiky</w:t>
      </w:r>
    </w:p>
    <w:p w:rsidR="004D19DD" w:rsidRDefault="004D19DD" w:rsidP="004D19DD">
      <w:pPr>
        <w:spacing w:after="0"/>
        <w:jc w:val="both"/>
        <w:rPr>
          <w:rFonts w:cs="Arial"/>
          <w:sz w:val="16"/>
          <w:szCs w:val="16"/>
        </w:rPr>
      </w:pPr>
    </w:p>
    <w:p w:rsidR="004D19DD" w:rsidRDefault="004D19DD" w:rsidP="004D19DD">
      <w:pPr>
        <w:jc w:val="both"/>
        <w:rPr>
          <w:szCs w:val="20"/>
        </w:rPr>
      </w:pPr>
      <w:r>
        <w:rPr>
          <w:szCs w:val="20"/>
        </w:rPr>
        <w:t>Mzdy učitelů v regionálním školství rostly mezi lety 2013 až 2017 pomaleji než mzdy všech zaměstnanců v platové sféře</w:t>
      </w:r>
      <w:r>
        <w:rPr>
          <w:sz w:val="13"/>
          <w:szCs w:val="13"/>
        </w:rPr>
        <w:t xml:space="preserve"> </w:t>
      </w:r>
      <w:r>
        <w:rPr>
          <w:szCs w:val="20"/>
        </w:rPr>
        <w:t>(drtivá většina učitelů v regionálním školství spadá do platové sféry). Naopak mezi rokem 2017 až 2019 byl nárůst dynamičtější u mezd učitelů. Během tohoto období vzrostla reálná mzda</w:t>
      </w:r>
      <w:r>
        <w:rPr>
          <w:rStyle w:val="Znakapoznpodarou"/>
          <w:szCs w:val="20"/>
        </w:rPr>
        <w:footnoteReference w:id="4"/>
      </w:r>
      <w:r>
        <w:rPr>
          <w:sz w:val="13"/>
          <w:szCs w:val="13"/>
        </w:rPr>
        <w:t xml:space="preserve"> </w:t>
      </w:r>
      <w:r>
        <w:rPr>
          <w:szCs w:val="20"/>
        </w:rPr>
        <w:t>učitelů v regionálním školství o 22 % (6,6 tis. Kč), v celé platové sféře byl nárůst 15% (4,7 tis. Kč). Mezi lety 2013 a 2017 bylo tempo růstu mezd učitelů v regionálním školství víceméně shodné s vývojem průměrné mzdy všech zaměstnanců. V roce 2019 však vzrostly reálné mzdy učitelů v regionálním školství meziročně o 12 % (o 3,9 tis. Kč), zatímco průměrná mzda zaměstnanců pouze o 5 % (o 1,6 tis. Kč).</w:t>
      </w:r>
    </w:p>
    <w:p w:rsidR="004D19DD" w:rsidRDefault="004D19DD">
      <w:pPr>
        <w:spacing w:after="0" w:line="240" w:lineRule="auto"/>
        <w:rPr>
          <w:szCs w:val="20"/>
        </w:rPr>
      </w:pPr>
      <w:r>
        <w:rPr>
          <w:szCs w:val="20"/>
        </w:rPr>
        <w:br w:type="page"/>
      </w:r>
    </w:p>
    <w:p w:rsidR="004D19DD" w:rsidRDefault="004D19DD" w:rsidP="004D19DD">
      <w:pPr>
        <w:spacing w:after="0" w:line="240" w:lineRule="auto"/>
        <w:jc w:val="both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lastRenderedPageBreak/>
        <w:t>G</w:t>
      </w:r>
      <w:r w:rsidRPr="00222F63">
        <w:rPr>
          <w:rFonts w:cs="Arial"/>
          <w:b/>
          <w:color w:val="000000"/>
          <w:szCs w:val="22"/>
        </w:rPr>
        <w:t>raf 2: Průměrná hrubá měsíční mzda učitelů v regionálním školství v porovnání k průměrné mzdě zaměstnanců s vysokoškolským vzděláním v Česku, 2019</w:t>
      </w:r>
    </w:p>
    <w:p w:rsidR="004D19DD" w:rsidRPr="00222F63" w:rsidRDefault="004D19DD" w:rsidP="004D19DD">
      <w:pPr>
        <w:spacing w:after="0" w:line="240" w:lineRule="auto"/>
        <w:jc w:val="both"/>
        <w:rPr>
          <w:rFonts w:cs="Arial"/>
          <w:b/>
          <w:color w:val="000000"/>
          <w:szCs w:val="22"/>
        </w:rPr>
      </w:pPr>
      <w:r>
        <w:rPr>
          <w:noProof/>
        </w:rPr>
        <w:drawing>
          <wp:inline distT="0" distB="0" distL="0" distR="0" wp14:anchorId="6CCDCC1D" wp14:editId="2E1C6647">
            <wp:extent cx="6120130" cy="3467757"/>
            <wp:effectExtent l="0" t="0" r="13970" b="18415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19DD" w:rsidRDefault="004D19DD" w:rsidP="004D19DD">
      <w:pPr>
        <w:spacing w:after="0"/>
        <w:jc w:val="both"/>
        <w:rPr>
          <w:rFonts w:cs="Arial"/>
          <w:color w:val="000000"/>
          <w:sz w:val="16"/>
          <w:szCs w:val="22"/>
        </w:rPr>
      </w:pPr>
    </w:p>
    <w:p w:rsidR="004D19DD" w:rsidRPr="00222F63" w:rsidRDefault="004D19DD" w:rsidP="004D19DD">
      <w:pPr>
        <w:spacing w:after="0"/>
        <w:jc w:val="both"/>
        <w:rPr>
          <w:rFonts w:cs="Arial"/>
          <w:color w:val="000000"/>
          <w:sz w:val="16"/>
          <w:szCs w:val="22"/>
        </w:rPr>
      </w:pPr>
      <w:r w:rsidRPr="00222F63">
        <w:rPr>
          <w:rFonts w:cs="Arial"/>
          <w:color w:val="000000"/>
          <w:sz w:val="16"/>
          <w:szCs w:val="22"/>
        </w:rPr>
        <w:t>Pozn.: vysokoškolské vzdělání zahrnuje magisterský a doktorský stupeň</w:t>
      </w:r>
    </w:p>
    <w:p w:rsidR="004D19DD" w:rsidRDefault="004D19DD" w:rsidP="004D19DD">
      <w:pPr>
        <w:spacing w:after="0"/>
        <w:jc w:val="both"/>
        <w:rPr>
          <w:rFonts w:cs="Arial"/>
          <w:sz w:val="16"/>
          <w:szCs w:val="16"/>
        </w:rPr>
      </w:pPr>
      <w:r w:rsidRPr="00222F63">
        <w:rPr>
          <w:rFonts w:cs="Arial"/>
          <w:sz w:val="16"/>
          <w:szCs w:val="16"/>
        </w:rPr>
        <w:t>Zdroj: ČSÚ podle údajů ze Strukturální mzdové statistiky</w:t>
      </w:r>
    </w:p>
    <w:p w:rsidR="004D19DD" w:rsidRDefault="004D19DD" w:rsidP="004D19DD">
      <w:pPr>
        <w:spacing w:after="0"/>
        <w:jc w:val="both"/>
        <w:rPr>
          <w:rFonts w:cs="Arial"/>
          <w:sz w:val="16"/>
          <w:szCs w:val="16"/>
        </w:rPr>
      </w:pPr>
    </w:p>
    <w:p w:rsidR="004D19DD" w:rsidRDefault="004D19DD" w:rsidP="004D19DD">
      <w:pPr>
        <w:jc w:val="both"/>
      </w:pPr>
      <w:r>
        <w:t xml:space="preserve">Naprostá </w:t>
      </w:r>
      <w:r w:rsidRPr="00356AFE">
        <w:rPr>
          <w:b/>
        </w:rPr>
        <w:t>většina</w:t>
      </w:r>
      <w:r>
        <w:t xml:space="preserve"> (více než 90 %) učitelů pobírá za odvedenou práci plat, jinými slovy </w:t>
      </w:r>
      <w:r w:rsidRPr="00356AFE">
        <w:rPr>
          <w:b/>
        </w:rPr>
        <w:t>pracuj</w:t>
      </w:r>
      <w:r>
        <w:rPr>
          <w:b/>
        </w:rPr>
        <w:t>e</w:t>
      </w:r>
      <w:r w:rsidRPr="00356AFE">
        <w:rPr>
          <w:b/>
        </w:rPr>
        <w:t xml:space="preserve"> ve veřejném sektoru</w:t>
      </w:r>
      <w:r>
        <w:t>. Učitelé v mateřských školách, kteří dostávají plat, jsou lépe finančně ohodnoceni ve srovnání s kolegy pracujícími za mzdu zpravidla v soukromých školkách (34,2 tis. Kč vs. 26,5 tis. Kč v roce 2019). Na středních školách je situace od roku 2016 opačná a více si vydělají učitelé pracující za mzdu.</w:t>
      </w:r>
    </w:p>
    <w:p w:rsidR="004D19DD" w:rsidRDefault="004D19DD" w:rsidP="004D19DD">
      <w:pPr>
        <w:jc w:val="both"/>
      </w:pPr>
      <w:r w:rsidRPr="00356AFE">
        <w:rPr>
          <w:b/>
        </w:rPr>
        <w:t>S rostoucím věkem</w:t>
      </w:r>
      <w:r>
        <w:t xml:space="preserve">, resp. </w:t>
      </w:r>
      <w:r w:rsidRPr="00356AFE">
        <w:rPr>
          <w:b/>
        </w:rPr>
        <w:t>delší dobou praxe</w:t>
      </w:r>
      <w:r>
        <w:t xml:space="preserve"> roste mzda, kterou učitelé pobírají. Učitelé v regionálním školství mladší 35 let v roce 2019 pobírali v průměru 34,6 tis. Kč. Jejich kolegové starší 55 let vydělávali o 8 tis. Kč více. Největší růst mezd mezi roky 2012–2019 zaznamenali učitelé na základních školách ve věkové kategorii 55 a více let. Polepšili si o 16,2 tis. Kč. Naopak nejmenšího absolutního progresu se dočkaly učitelky v mateřských školách ve věkové skupině do 34 let, a sice o 10,3 tis. Kč. Z nejmladších učitelů do 34 let vydělávali v roce 2019 nejvíce, a sice 37 tis. Kč, učitelé na středních školách. Učitelé v mateřské škole ve stejné věkové kategorii pobírali necelých 31 tis. Kč.</w:t>
      </w:r>
    </w:p>
    <w:p w:rsidR="004D19DD" w:rsidRDefault="004D19DD" w:rsidP="004D19DD">
      <w:pPr>
        <w:jc w:val="both"/>
      </w:pPr>
      <w:r>
        <w:t xml:space="preserve">Jak již bylo naznačeno výše – celkově učitelům v regionálním školství vzrostly za analyzované období </w:t>
      </w:r>
      <w:r>
        <w:br/>
        <w:t>2012–2019 mzdy v průměru o 54 %. Hrubá průměrná mzda v národním hospodářství zaznamenala nárůst o 40 %. Mzdy zaměstnanců s vysokoškolským vzděláním se zvýšily o 29 %. K citelnějšímu nárůstu mezd učitelů v regionálním školství přitom došlo až v posledních dvou letech. Mezi roky 2012–2017 byl zaznamenán pouze 20% nárůst.</w:t>
      </w:r>
    </w:p>
    <w:p w:rsidR="004D19DD" w:rsidRDefault="004D19DD" w:rsidP="004D19DD">
      <w:pPr>
        <w:jc w:val="both"/>
      </w:pPr>
      <w:r>
        <w:t xml:space="preserve">Co se týče </w:t>
      </w:r>
      <w:r w:rsidRPr="00AB52DA">
        <w:rPr>
          <w:b/>
        </w:rPr>
        <w:t>srovnání</w:t>
      </w:r>
      <w:r>
        <w:t xml:space="preserve"> mezd učitelů v regionálním školství </w:t>
      </w:r>
      <w:r w:rsidRPr="000F42E7">
        <w:rPr>
          <w:b/>
        </w:rPr>
        <w:t>v </w:t>
      </w:r>
      <w:r>
        <w:t xml:space="preserve">jednotlivých </w:t>
      </w:r>
      <w:r w:rsidRPr="000F42E7">
        <w:rPr>
          <w:b/>
        </w:rPr>
        <w:t>krajích</w:t>
      </w:r>
      <w:r>
        <w:t xml:space="preserve">, nejlépe si v roce 2019 vedla Praha s hrubou průměrnou měsíční mzdou 42,8 tis. Kč. Mezi roky 2012 a 2015 byli v závěsu za ní učitelé z Ústeckého kraje. Od té doby se na druhém místě vystřídal Středočeský a Liberecký kraj. Naopak nejnižší mzdu dlouhodobě vykazují Zlínský kraj (38,2 tis. Kč v roce 2019) a Olomoucký kraj (38,4 tis. Kč v témže roce). Rozdíly mezi kraji se od roku 2014 neustále zvětšují. Zatímco v tomto roce se mzdy učitelů ve všech krajích vešly do pásma 1,5 tis. Kč, v roce 2019 představoval rozdíl dvou extrémních hodnot již 4,6 tis. Kč. Ačkoliv učitelé v Praze pobírají v rámci České republiky nejvíce, v roce 2019 dosahovali pouze 93 % hrubé průměrné mzdy všech pražských zaměstnanců. Praha tak byla jediným krajem, kde učitelé pobírali nižší mzdu, než byl </w:t>
      </w:r>
      <w:r>
        <w:lastRenderedPageBreak/>
        <w:t xml:space="preserve">krajský průměr za všechna odvětví. V Karlovarském kraji průměrná hrubá měsíční mzda učitelů v regionálním školství představovala 124 % průměrné celokrajské mzdy v národním hospodářství. </w:t>
      </w:r>
    </w:p>
    <w:p w:rsidR="004D19DD" w:rsidRDefault="004D19DD" w:rsidP="004D19DD">
      <w:pPr>
        <w:spacing w:after="0" w:line="240" w:lineRule="auto"/>
        <w:jc w:val="both"/>
        <w:rPr>
          <w:rFonts w:cs="Arial"/>
          <w:b/>
          <w:color w:val="000000"/>
          <w:szCs w:val="22"/>
        </w:rPr>
      </w:pPr>
      <w:r w:rsidRPr="00222F63">
        <w:rPr>
          <w:rFonts w:cs="Arial"/>
          <w:b/>
          <w:color w:val="000000"/>
          <w:szCs w:val="22"/>
        </w:rPr>
        <w:t>Graf 3: Průměrná hrubá měsíční mzda učitelů v regionálním školství v porovnání k průměrné mzdě zaměstnanců s vysokoškolským vzděláním v Česku podle krajů, 2019</w:t>
      </w:r>
    </w:p>
    <w:p w:rsidR="004D19DD" w:rsidRDefault="004D19DD" w:rsidP="004D19DD">
      <w:pPr>
        <w:spacing w:after="0"/>
        <w:jc w:val="both"/>
        <w:rPr>
          <w:rFonts w:cs="Arial"/>
          <w:sz w:val="16"/>
          <w:szCs w:val="16"/>
        </w:rPr>
      </w:pPr>
      <w:r>
        <w:rPr>
          <w:noProof/>
        </w:rPr>
        <w:drawing>
          <wp:inline distT="0" distB="0" distL="0" distR="0" wp14:anchorId="2075184A" wp14:editId="4731905F">
            <wp:extent cx="6120130" cy="3075940"/>
            <wp:effectExtent l="0" t="0" r="13970" b="10160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19DD" w:rsidRDefault="004D19DD" w:rsidP="004D19DD">
      <w:pPr>
        <w:spacing w:after="0" w:line="240" w:lineRule="auto"/>
        <w:jc w:val="both"/>
        <w:rPr>
          <w:rFonts w:cs="Arial"/>
          <w:color w:val="000000"/>
          <w:sz w:val="16"/>
          <w:szCs w:val="22"/>
        </w:rPr>
      </w:pPr>
    </w:p>
    <w:p w:rsidR="004D19DD" w:rsidRPr="00222F63" w:rsidRDefault="004D19DD" w:rsidP="004D19DD">
      <w:pPr>
        <w:spacing w:after="0" w:line="240" w:lineRule="auto"/>
        <w:jc w:val="both"/>
        <w:rPr>
          <w:rFonts w:cs="Arial"/>
          <w:color w:val="000000"/>
          <w:sz w:val="16"/>
          <w:szCs w:val="22"/>
        </w:rPr>
      </w:pPr>
      <w:r w:rsidRPr="00222F63">
        <w:rPr>
          <w:rFonts w:cs="Arial"/>
          <w:color w:val="000000"/>
          <w:sz w:val="16"/>
          <w:szCs w:val="22"/>
        </w:rPr>
        <w:t>Pozn.: vysokoškolské vzdělání zahrnuje magisterský a doktorský stupeň</w:t>
      </w:r>
    </w:p>
    <w:p w:rsidR="004D19DD" w:rsidRDefault="004D19DD" w:rsidP="004D19DD">
      <w:pPr>
        <w:spacing w:after="0" w:line="240" w:lineRule="auto"/>
        <w:jc w:val="both"/>
        <w:rPr>
          <w:rFonts w:cs="Arial"/>
          <w:sz w:val="16"/>
          <w:szCs w:val="16"/>
        </w:rPr>
      </w:pPr>
      <w:r w:rsidRPr="00222F63">
        <w:rPr>
          <w:rFonts w:cs="Arial"/>
          <w:sz w:val="16"/>
          <w:szCs w:val="16"/>
        </w:rPr>
        <w:t>Zdroj: ČSÚ podle údajů ze Strukturální mzdové statistiky</w:t>
      </w:r>
    </w:p>
    <w:p w:rsidR="004D19DD" w:rsidRDefault="004D19DD" w:rsidP="004D19DD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4D19DD" w:rsidRDefault="004D19DD" w:rsidP="004D19DD">
      <w:pPr>
        <w:jc w:val="both"/>
      </w:pPr>
      <w:r>
        <w:t xml:space="preserve">Mzdy učitelů </w:t>
      </w:r>
      <w:r w:rsidRPr="00FA3DAF">
        <w:rPr>
          <w:b/>
        </w:rPr>
        <w:t>v mateřských školách</w:t>
      </w:r>
      <w:r>
        <w:t xml:space="preserve"> mezi jednotlivými kraji se liší daleko méně. Nejvíce pobírali učitelé v Ústeckém, Moravskoslezském (oba shodně 34,5 tis. Kč) a Plzeňském kraji (34,4 tis. Kč). Naopak nejméně (31,7 tis. Kč) v průměru vydělávali učitelé ve školkách v Olomouckém kraji. Průměrná hrubá měsíční mzda učitelů v pražských mateřských školách byla víceméně na hodnotě za celou republiku a činila 74% podíl průměrné hrubé měsíční mzdy zaměstnanců v Praze v roce 2019. Naproti tomu v krajích Karlovarském a Moravskoslezském představovala 105 % oproti krajskému průměru.</w:t>
      </w:r>
    </w:p>
    <w:p w:rsidR="004D19DD" w:rsidRDefault="004D19DD" w:rsidP="004D19DD">
      <w:pPr>
        <w:jc w:val="both"/>
      </w:pPr>
      <w:r>
        <w:t xml:space="preserve">Výsadní postavení ve mzdách učitelů </w:t>
      </w:r>
      <w:r w:rsidRPr="00F50F03">
        <w:rPr>
          <w:b/>
        </w:rPr>
        <w:t>na základních školách</w:t>
      </w:r>
      <w:r>
        <w:t xml:space="preserve"> má Praha. Zatímco průměrná hrubá mzda učitelů ve zbylých krajích se nachází na celorepublikovém průměru (41,2 tis. Kč v roce 2019) či v jeho blízkosti, výdělek pražských učitelů tuto hodnotu značně převyšuje. V roce 2015 to bylo o 2,2 tis. Kč, v roce 2019 dokonce o 4,6 tis. Kč. Průměrná hrubá měsíční mzda pražského učitele na základní škole v roce 2019 činila 45,8 tis. Kč. Naopak učitelé v Pardubickém kraji vydělávali v průměru 39,6 tis. Kč. V relaci ke krajské průměrné hrubé mzdě zaměstnanců s vysokoškolským vzděláním však pobírali nejvíce učitelé v Olomouckém, Moravskoslezském a Karlovarském kraji (shodně 86 %) a nejméně učitelé v Praze (70 %).</w:t>
      </w:r>
    </w:p>
    <w:p w:rsidR="004D19DD" w:rsidRDefault="004D19DD" w:rsidP="00A41DEF">
      <w:pPr>
        <w:jc w:val="both"/>
      </w:pPr>
      <w:r>
        <w:t xml:space="preserve">Obdobná situace je patrná u </w:t>
      </w:r>
      <w:r w:rsidRPr="0029694A">
        <w:rPr>
          <w:b/>
        </w:rPr>
        <w:t>středních škol</w:t>
      </w:r>
      <w:r>
        <w:t>. Mezi výdělky učitelů opět dominuje Praha, v roce 2019 s průměrnou mzdou ve výši 45,7 tis. Kč. Kromě Středočeského kraje, kde učitelé vydělávali v průměru 44,4 tis. Kč, žádný jiný kraj nepřekročil hranici 42 tis. Kč. Nejnižší průměrný výdělek učitelů na středních školách (39,5 tis. Kč) vykazoval Zlínský kraj. Učitelé v Karlovarském kraji pobírali 89 % toho, co tamní zaměstnanci s vysokoškolským vzděláním, naopak jejich kolegové v hlavním městě dosáhli jen na 69 % průměrné mzdy pražských zaměstnanců s vysokoškolským vzděláním.</w:t>
      </w:r>
    </w:p>
    <w:sectPr w:rsidR="004D19DD" w:rsidSect="00A41DEF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680" w:footer="680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0CA" w:rsidRDefault="009E20CA" w:rsidP="00E71A58">
      <w:r>
        <w:separator/>
      </w:r>
    </w:p>
  </w:endnote>
  <w:endnote w:type="continuationSeparator" w:id="0">
    <w:p w:rsidR="009E20CA" w:rsidRDefault="009E20C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1E9" w:rsidRPr="00932443" w:rsidRDefault="00016992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7BF" w:rsidRPr="00932443">
      <w:rPr>
        <w:szCs w:val="16"/>
      </w:rPr>
      <w:fldChar w:fldCharType="begin"/>
    </w:r>
    <w:r w:rsidR="005647BF" w:rsidRPr="00932443">
      <w:rPr>
        <w:szCs w:val="16"/>
      </w:rPr>
      <w:instrText>PAGE   \* MERGEFORMAT</w:instrText>
    </w:r>
    <w:r w:rsidR="005647BF" w:rsidRPr="00932443">
      <w:rPr>
        <w:szCs w:val="16"/>
      </w:rPr>
      <w:fldChar w:fldCharType="separate"/>
    </w:r>
    <w:r w:rsidR="00A41DEF">
      <w:rPr>
        <w:szCs w:val="16"/>
      </w:rPr>
      <w:t>6</w:t>
    </w:r>
    <w:r w:rsidR="005647BF" w:rsidRPr="00932443">
      <w:rPr>
        <w:szCs w:val="16"/>
      </w:rPr>
      <w:fldChar w:fldCharType="end"/>
    </w:r>
    <w:r w:rsidR="005647BF" w:rsidRPr="00932443">
      <w:rPr>
        <w:szCs w:val="16"/>
      </w:rPr>
      <w:tab/>
    </w:r>
    <w:r w:rsidR="007105D4">
      <w:rPr>
        <w:szCs w:val="16"/>
      </w:rPr>
      <w:t>2012–</w:t>
    </w:r>
    <w:r w:rsidR="009E20CA">
      <w:rPr>
        <w:szCs w:val="16"/>
      </w:rPr>
      <w:t>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EC6" w:rsidRPr="00932443" w:rsidRDefault="00016992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7BF" w:rsidRPr="00932443">
      <w:rPr>
        <w:szCs w:val="16"/>
      </w:rPr>
      <w:tab/>
    </w:r>
    <w:r w:rsidR="007105D4">
      <w:rPr>
        <w:szCs w:val="16"/>
      </w:rPr>
      <w:t>2012–</w:t>
    </w:r>
    <w:r w:rsidR="009E20CA">
      <w:rPr>
        <w:rStyle w:val="ZpatChar"/>
        <w:szCs w:val="16"/>
      </w:rPr>
      <w:t>2019</w:t>
    </w:r>
    <w:r w:rsidR="005647BF" w:rsidRPr="00932443">
      <w:rPr>
        <w:szCs w:val="16"/>
      </w:rPr>
      <w:tab/>
    </w:r>
    <w:r w:rsidR="005647BF" w:rsidRPr="00932443">
      <w:rPr>
        <w:rStyle w:val="ZpatChar"/>
        <w:szCs w:val="16"/>
      </w:rPr>
      <w:fldChar w:fldCharType="begin"/>
    </w:r>
    <w:r w:rsidR="005647BF" w:rsidRPr="00932443">
      <w:rPr>
        <w:rStyle w:val="ZpatChar"/>
        <w:szCs w:val="16"/>
      </w:rPr>
      <w:instrText>PAGE   \* MERGEFORMAT</w:instrText>
    </w:r>
    <w:r w:rsidR="005647BF" w:rsidRPr="00932443">
      <w:rPr>
        <w:rStyle w:val="ZpatChar"/>
        <w:szCs w:val="16"/>
      </w:rPr>
      <w:fldChar w:fldCharType="separate"/>
    </w:r>
    <w:r w:rsidR="00A41DEF">
      <w:rPr>
        <w:rStyle w:val="ZpatChar"/>
        <w:szCs w:val="16"/>
      </w:rPr>
      <w:t>7</w:t>
    </w:r>
    <w:r w:rsidR="005647BF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0CA" w:rsidRDefault="009E20CA" w:rsidP="00E71A58">
      <w:r>
        <w:separator/>
      </w:r>
    </w:p>
  </w:footnote>
  <w:footnote w:type="continuationSeparator" w:id="0">
    <w:p w:rsidR="009E20CA" w:rsidRDefault="009E20CA" w:rsidP="00E71A58">
      <w:r>
        <w:continuationSeparator/>
      </w:r>
    </w:p>
  </w:footnote>
  <w:footnote w:id="1">
    <w:p w:rsidR="004D19DD" w:rsidRPr="001C1508" w:rsidRDefault="004D19DD" w:rsidP="004D19DD">
      <w:pPr>
        <w:pStyle w:val="Textpoznpodarou"/>
        <w:jc w:val="both"/>
        <w:rPr>
          <w:sz w:val="18"/>
        </w:rPr>
      </w:pPr>
      <w:r w:rsidRPr="001C1508">
        <w:rPr>
          <w:rStyle w:val="Znakapoznpodarou"/>
          <w:sz w:val="18"/>
        </w:rPr>
        <w:footnoteRef/>
      </w:r>
      <w:r w:rsidRPr="001C1508">
        <w:rPr>
          <w:sz w:val="18"/>
        </w:rPr>
        <w:t xml:space="preserve"> Podle údajů MŠMT v České republice v roce 2019 v rámci regionálního školství působilo 126 183 učitelů. </w:t>
      </w:r>
      <w:r>
        <w:rPr>
          <w:sz w:val="18"/>
        </w:rPr>
        <w:t xml:space="preserve">31 242 učilo v mateřských školách, 61 777 na základních školách, 31 303 na středních školách, 940 na konzervatořích a 921 na VOŠ. </w:t>
      </w:r>
      <w:r w:rsidRPr="001C1508">
        <w:rPr>
          <w:sz w:val="18"/>
        </w:rPr>
        <w:t>Hodnot</w:t>
      </w:r>
      <w:r>
        <w:rPr>
          <w:sz w:val="18"/>
        </w:rPr>
        <w:t>y</w:t>
      </w:r>
      <w:r w:rsidRPr="001C1508">
        <w:rPr>
          <w:sz w:val="18"/>
        </w:rPr>
        <w:t xml:space="preserve"> j</w:t>
      </w:r>
      <w:r>
        <w:rPr>
          <w:sz w:val="18"/>
        </w:rPr>
        <w:t>sou vypočteny</w:t>
      </w:r>
      <w:r w:rsidRPr="001C1508">
        <w:rPr>
          <w:sz w:val="18"/>
        </w:rPr>
        <w:t xml:space="preserve"> jako</w:t>
      </w:r>
      <w:r>
        <w:rPr>
          <w:sz w:val="18"/>
        </w:rPr>
        <w:t xml:space="preserve"> průměr za 4 čtvrtletí a zahrnují</w:t>
      </w:r>
      <w:r w:rsidRPr="001C1508">
        <w:rPr>
          <w:sz w:val="18"/>
        </w:rPr>
        <w:t xml:space="preserve"> též vedoucí pracovníky.</w:t>
      </w:r>
    </w:p>
  </w:footnote>
  <w:footnote w:id="2">
    <w:p w:rsidR="004D19DD" w:rsidRDefault="004D19DD" w:rsidP="004D19DD">
      <w:pPr>
        <w:pStyle w:val="Textpoznpodarou"/>
        <w:spacing w:before="60"/>
        <w:jc w:val="both"/>
      </w:pPr>
      <w:r w:rsidRPr="001C1508">
        <w:rPr>
          <w:rStyle w:val="Znakapoznpodarou"/>
          <w:sz w:val="18"/>
        </w:rPr>
        <w:footnoteRef/>
      </w:r>
      <w:r w:rsidRPr="001C1508">
        <w:rPr>
          <w:sz w:val="18"/>
        </w:rPr>
        <w:t xml:space="preserve"> Medián hrubé měsíční mzdy v roce 2019 činil 39 247 Kč.</w:t>
      </w:r>
    </w:p>
  </w:footnote>
  <w:footnote w:id="3">
    <w:p w:rsidR="004D19DD" w:rsidRPr="00FE52E7" w:rsidRDefault="004D19DD" w:rsidP="004D19DD">
      <w:pPr>
        <w:pStyle w:val="Textpoznpodarou"/>
        <w:spacing w:before="60"/>
        <w:jc w:val="both"/>
        <w:rPr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FE52E7">
        <w:rPr>
          <w:sz w:val="18"/>
        </w:rPr>
        <w:t>Zahrnuje magisterský a doktorský stupeň.</w:t>
      </w:r>
    </w:p>
  </w:footnote>
  <w:footnote w:id="4">
    <w:p w:rsidR="004D19DD" w:rsidRDefault="004D19DD" w:rsidP="004D19DD">
      <w:pPr>
        <w:pStyle w:val="Textpoznpodarou"/>
        <w:spacing w:before="60"/>
      </w:pPr>
      <w:r>
        <w:rPr>
          <w:rStyle w:val="Znakapoznpodarou"/>
        </w:rPr>
        <w:footnoteRef/>
      </w:r>
      <w:r>
        <w:t xml:space="preserve"> </w:t>
      </w:r>
      <w:r w:rsidRPr="00FD1E79">
        <w:rPr>
          <w:sz w:val="18"/>
          <w:szCs w:val="16"/>
        </w:rPr>
        <w:t xml:space="preserve">Výpočet jako podíl nominální mzdy a indexu spotřebitelských cen, rok 2015=100. </w:t>
      </w:r>
      <w:r w:rsidRPr="00FD1E79">
        <w:rPr>
          <w:sz w:val="22"/>
        </w:rPr>
        <w:t xml:space="preserve"> 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74" w:rsidRPr="009E20CA" w:rsidRDefault="009E20CA" w:rsidP="009E20CA">
    <w:pPr>
      <w:pStyle w:val="Zhlav"/>
    </w:pPr>
    <w:r>
      <w:t>Mzdy učitelů v regionálním školství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52E" w:rsidRPr="006F5416" w:rsidRDefault="009E20CA" w:rsidP="00937AE2">
    <w:pPr>
      <w:pStyle w:val="Zhlav"/>
    </w:pPr>
    <w:r>
      <w:t>Mzdy učitelů v regionálním školství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CA"/>
    <w:rsid w:val="0000209D"/>
    <w:rsid w:val="00004D5A"/>
    <w:rsid w:val="000056D5"/>
    <w:rsid w:val="0000767A"/>
    <w:rsid w:val="00010702"/>
    <w:rsid w:val="00016992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B30FA"/>
    <w:rsid w:val="000C3408"/>
    <w:rsid w:val="000C6AFD"/>
    <w:rsid w:val="000D5637"/>
    <w:rsid w:val="000E6FBD"/>
    <w:rsid w:val="00100F5C"/>
    <w:rsid w:val="0010437D"/>
    <w:rsid w:val="00104C4C"/>
    <w:rsid w:val="0012192F"/>
    <w:rsid w:val="00125D69"/>
    <w:rsid w:val="001405FA"/>
    <w:rsid w:val="001425C3"/>
    <w:rsid w:val="0016256B"/>
    <w:rsid w:val="00163793"/>
    <w:rsid w:val="001706D6"/>
    <w:rsid w:val="001714F2"/>
    <w:rsid w:val="00184B08"/>
    <w:rsid w:val="00185010"/>
    <w:rsid w:val="001A0F8A"/>
    <w:rsid w:val="001A552F"/>
    <w:rsid w:val="001B2CA9"/>
    <w:rsid w:val="001B3110"/>
    <w:rsid w:val="001B4729"/>
    <w:rsid w:val="001B6C09"/>
    <w:rsid w:val="001C05CD"/>
    <w:rsid w:val="001D68B2"/>
    <w:rsid w:val="001F4597"/>
    <w:rsid w:val="001F4FE9"/>
    <w:rsid w:val="002118B9"/>
    <w:rsid w:val="00217C5B"/>
    <w:rsid w:val="0022139E"/>
    <w:rsid w:val="002252E0"/>
    <w:rsid w:val="002255F6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71465"/>
    <w:rsid w:val="00285412"/>
    <w:rsid w:val="002A00BE"/>
    <w:rsid w:val="002A16D4"/>
    <w:rsid w:val="002A230C"/>
    <w:rsid w:val="002C43BD"/>
    <w:rsid w:val="002D0E59"/>
    <w:rsid w:val="002E02A1"/>
    <w:rsid w:val="002E4E4C"/>
    <w:rsid w:val="00304771"/>
    <w:rsid w:val="003052D4"/>
    <w:rsid w:val="00306C5B"/>
    <w:rsid w:val="003209D6"/>
    <w:rsid w:val="00321924"/>
    <w:rsid w:val="0032656E"/>
    <w:rsid w:val="00332190"/>
    <w:rsid w:val="00343CBA"/>
    <w:rsid w:val="00344668"/>
    <w:rsid w:val="003462D9"/>
    <w:rsid w:val="00360C86"/>
    <w:rsid w:val="003657F3"/>
    <w:rsid w:val="003818DC"/>
    <w:rsid w:val="00384327"/>
    <w:rsid w:val="00385D98"/>
    <w:rsid w:val="003A2B4D"/>
    <w:rsid w:val="003A478C"/>
    <w:rsid w:val="003A5525"/>
    <w:rsid w:val="003A6B38"/>
    <w:rsid w:val="003B5A32"/>
    <w:rsid w:val="003C3490"/>
    <w:rsid w:val="003D5195"/>
    <w:rsid w:val="003D6920"/>
    <w:rsid w:val="003E4C91"/>
    <w:rsid w:val="003F313C"/>
    <w:rsid w:val="003F4B2C"/>
    <w:rsid w:val="003F551C"/>
    <w:rsid w:val="003F7D23"/>
    <w:rsid w:val="00407C13"/>
    <w:rsid w:val="00410638"/>
    <w:rsid w:val="0042716F"/>
    <w:rsid w:val="00432A58"/>
    <w:rsid w:val="00434617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19DD"/>
    <w:rsid w:val="004F06F5"/>
    <w:rsid w:val="004F33A0"/>
    <w:rsid w:val="00500A8A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5599F"/>
    <w:rsid w:val="00556D68"/>
    <w:rsid w:val="00556E51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5F5469"/>
    <w:rsid w:val="00604307"/>
    <w:rsid w:val="0060487F"/>
    <w:rsid w:val="00604EAD"/>
    <w:rsid w:val="006104FB"/>
    <w:rsid w:val="00612A2F"/>
    <w:rsid w:val="00616E05"/>
    <w:rsid w:val="00624093"/>
    <w:rsid w:val="006404A7"/>
    <w:rsid w:val="00643C88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C113F"/>
    <w:rsid w:val="006C123E"/>
    <w:rsid w:val="006C56D4"/>
    <w:rsid w:val="006C6924"/>
    <w:rsid w:val="006C7CA6"/>
    <w:rsid w:val="006D3E8A"/>
    <w:rsid w:val="006D5822"/>
    <w:rsid w:val="006D61F6"/>
    <w:rsid w:val="006E279A"/>
    <w:rsid w:val="006E313B"/>
    <w:rsid w:val="006F2056"/>
    <w:rsid w:val="006F5416"/>
    <w:rsid w:val="006F7137"/>
    <w:rsid w:val="00706AD4"/>
    <w:rsid w:val="007105D4"/>
    <w:rsid w:val="007140BE"/>
    <w:rsid w:val="007211F5"/>
    <w:rsid w:val="00725BB5"/>
    <w:rsid w:val="00730AE8"/>
    <w:rsid w:val="00741493"/>
    <w:rsid w:val="00742F44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D40DF"/>
    <w:rsid w:val="007E7E61"/>
    <w:rsid w:val="007F0845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73D4"/>
    <w:rsid w:val="00893E85"/>
    <w:rsid w:val="00894031"/>
    <w:rsid w:val="008B7C02"/>
    <w:rsid w:val="008B7D2B"/>
    <w:rsid w:val="008C0049"/>
    <w:rsid w:val="008C0E88"/>
    <w:rsid w:val="008D1E6A"/>
    <w:rsid w:val="008D2A16"/>
    <w:rsid w:val="008E08BE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06DE"/>
    <w:rsid w:val="0092180B"/>
    <w:rsid w:val="00921F14"/>
    <w:rsid w:val="00924AC8"/>
    <w:rsid w:val="0092597A"/>
    <w:rsid w:val="00932443"/>
    <w:rsid w:val="00937AE2"/>
    <w:rsid w:val="0094427A"/>
    <w:rsid w:val="00974923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0CA"/>
    <w:rsid w:val="009E5273"/>
    <w:rsid w:val="009E5DDB"/>
    <w:rsid w:val="009F4CA7"/>
    <w:rsid w:val="00A10D66"/>
    <w:rsid w:val="00A14114"/>
    <w:rsid w:val="00A16413"/>
    <w:rsid w:val="00A23E43"/>
    <w:rsid w:val="00A30F65"/>
    <w:rsid w:val="00A418BC"/>
    <w:rsid w:val="00A41DEF"/>
    <w:rsid w:val="00A46DE0"/>
    <w:rsid w:val="00A50D73"/>
    <w:rsid w:val="00A52CAD"/>
    <w:rsid w:val="00A53FC7"/>
    <w:rsid w:val="00A62CE1"/>
    <w:rsid w:val="00A6741E"/>
    <w:rsid w:val="00A75E40"/>
    <w:rsid w:val="00A77D1D"/>
    <w:rsid w:val="00A82ED7"/>
    <w:rsid w:val="00A857C0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46F3"/>
    <w:rsid w:val="00BB4CB1"/>
    <w:rsid w:val="00BB4F98"/>
    <w:rsid w:val="00BC61D5"/>
    <w:rsid w:val="00BC7154"/>
    <w:rsid w:val="00BD366B"/>
    <w:rsid w:val="00BD3C08"/>
    <w:rsid w:val="00BD6D50"/>
    <w:rsid w:val="00BE18B9"/>
    <w:rsid w:val="00BE2495"/>
    <w:rsid w:val="00BF1578"/>
    <w:rsid w:val="00C21F94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7B12"/>
    <w:rsid w:val="00CC2E7D"/>
    <w:rsid w:val="00CD10A5"/>
    <w:rsid w:val="00CD2076"/>
    <w:rsid w:val="00CE670B"/>
    <w:rsid w:val="00CF51EC"/>
    <w:rsid w:val="00CF73AE"/>
    <w:rsid w:val="00D040DD"/>
    <w:rsid w:val="00D13986"/>
    <w:rsid w:val="00D235B7"/>
    <w:rsid w:val="00D25F28"/>
    <w:rsid w:val="00D27973"/>
    <w:rsid w:val="00D50F46"/>
    <w:rsid w:val="00D66223"/>
    <w:rsid w:val="00D8084C"/>
    <w:rsid w:val="00DA7C0C"/>
    <w:rsid w:val="00DB2EC8"/>
    <w:rsid w:val="00DC5B3B"/>
    <w:rsid w:val="00DD129F"/>
    <w:rsid w:val="00DF42FF"/>
    <w:rsid w:val="00E01C0E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A0C68"/>
    <w:rsid w:val="00EA32BC"/>
    <w:rsid w:val="00EB4511"/>
    <w:rsid w:val="00EC03D7"/>
    <w:rsid w:val="00ED62C6"/>
    <w:rsid w:val="00ED64C1"/>
    <w:rsid w:val="00EE1D8E"/>
    <w:rsid w:val="00EE3446"/>
    <w:rsid w:val="00EE3E78"/>
    <w:rsid w:val="00EE4B1B"/>
    <w:rsid w:val="00EF150D"/>
    <w:rsid w:val="00EF1F5A"/>
    <w:rsid w:val="00EF47BF"/>
    <w:rsid w:val="00F04811"/>
    <w:rsid w:val="00F0488C"/>
    <w:rsid w:val="00F05F5E"/>
    <w:rsid w:val="00F10F11"/>
    <w:rsid w:val="00F15AAA"/>
    <w:rsid w:val="00F15BEF"/>
    <w:rsid w:val="00F24407"/>
    <w:rsid w:val="00F24FAA"/>
    <w:rsid w:val="00F3364D"/>
    <w:rsid w:val="00F437CC"/>
    <w:rsid w:val="00F47067"/>
    <w:rsid w:val="00F525EB"/>
    <w:rsid w:val="00F564BD"/>
    <w:rsid w:val="00F63DDE"/>
    <w:rsid w:val="00F63FB7"/>
    <w:rsid w:val="00F649D2"/>
    <w:rsid w:val="00F6602B"/>
    <w:rsid w:val="00F7260E"/>
    <w:rsid w:val="00F73A0C"/>
    <w:rsid w:val="00F756DB"/>
    <w:rsid w:val="00F85066"/>
    <w:rsid w:val="00FA5D4D"/>
    <w:rsid w:val="00FB0EE2"/>
    <w:rsid w:val="00FB542E"/>
    <w:rsid w:val="00FC0E5F"/>
    <w:rsid w:val="00FC1A95"/>
    <w:rsid w:val="00FC56DE"/>
    <w:rsid w:val="00FC684B"/>
    <w:rsid w:val="00FD2AC6"/>
    <w:rsid w:val="00FD3265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143DC4A"/>
  <w15:docId w15:val="{F5EAB12E-294B-48CA-BF70-39BC4620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19DD"/>
    <w:pPr>
      <w:spacing w:after="0" w:line="240" w:lineRule="auto"/>
    </w:pPr>
    <w:rPr>
      <w:rFonts w:eastAsia="Calibr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19DD"/>
    <w:rPr>
      <w:rFonts w:ascii="Arial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4D19DD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4D19DD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16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494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8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461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9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Publikace%20bar%20CZ_lide%20a%20spolecnost_2017-08-14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hykysova23070\Documents\trexima\u&#269;itel&#233;_nov&#237;\Grafy%20do%20textu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hykysova23070\Documents\trexima\u&#269;itel&#233;_nov&#237;\Grafy%20do%20textu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hykysova23070\Documents\trexima\u&#269;itel&#233;_nov&#237;\Grafy%20do%20textu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247594050743664E-2"/>
          <c:y val="5.0925925925925923E-2"/>
          <c:w val="0.86241907261592288"/>
          <c:h val="0.86482283464566934"/>
        </c:manualLayout>
      </c:layout>
      <c:lineChart>
        <c:grouping val="standard"/>
        <c:varyColors val="0"/>
        <c:ser>
          <c:idx val="0"/>
          <c:order val="0"/>
          <c:tx>
            <c:strRef>
              <c:f>'G1'!$A$29</c:f>
              <c:strCache>
                <c:ptCount val="1"/>
                <c:pt idx="0">
                  <c:v> mzdy učitelů v regionálním školství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'G1'!$B$19:$I$19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'G1'!$B$29:$I$29</c:f>
              <c:numCache>
                <c:formatCode>#\ ##0.0</c:formatCode>
                <c:ptCount val="8"/>
                <c:pt idx="0">
                  <c:v>100</c:v>
                </c:pt>
                <c:pt idx="1">
                  <c:v>100.24258710460121</c:v>
                </c:pt>
                <c:pt idx="2">
                  <c:v>102.39743894058691</c:v>
                </c:pt>
                <c:pt idx="3">
                  <c:v>104.94004961690526</c:v>
                </c:pt>
                <c:pt idx="4">
                  <c:v>109.36805841884205</c:v>
                </c:pt>
                <c:pt idx="5">
                  <c:v>114.41708926447258</c:v>
                </c:pt>
                <c:pt idx="6">
                  <c:v>124.65718587758128</c:v>
                </c:pt>
                <c:pt idx="7">
                  <c:v>139.33529771360546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118-4D6E-B535-2C467C0FD70C}"/>
            </c:ext>
          </c:extLst>
        </c:ser>
        <c:ser>
          <c:idx val="2"/>
          <c:order val="1"/>
          <c:tx>
            <c:strRef>
              <c:f>'G1'!$A$35</c:f>
              <c:strCache>
                <c:ptCount val="1"/>
                <c:pt idx="0">
                  <c:v> mzdy zaměstnanců v platové sféře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'G1'!$B$19:$I$19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'G1'!$B$35:$I$35</c:f>
              <c:numCache>
                <c:formatCode>#\ ##0.0</c:formatCode>
                <c:ptCount val="8"/>
                <c:pt idx="0">
                  <c:v>100</c:v>
                </c:pt>
                <c:pt idx="1">
                  <c:v>99.507915360079664</c:v>
                </c:pt>
                <c:pt idx="2">
                  <c:v>102.04258616653208</c:v>
                </c:pt>
                <c:pt idx="3">
                  <c:v>106.15717089425247</c:v>
                </c:pt>
                <c:pt idx="4">
                  <c:v>111.22496800219217</c:v>
                </c:pt>
                <c:pt idx="5">
                  <c:v>117.74130768463205</c:v>
                </c:pt>
                <c:pt idx="6">
                  <c:v>127.78070387699532</c:v>
                </c:pt>
                <c:pt idx="7">
                  <c:v>135.67477750044372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118-4D6E-B535-2C467C0FD70C}"/>
            </c:ext>
          </c:extLst>
        </c:ser>
        <c:ser>
          <c:idx val="1"/>
          <c:order val="2"/>
          <c:tx>
            <c:strRef>
              <c:f>'G1'!$A$33</c:f>
              <c:strCache>
                <c:ptCount val="1"/>
                <c:pt idx="0">
                  <c:v> mzdy zaměstnanců v ČR celkem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'G1'!$B$19:$I$19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'G1'!$B$33:$I$33</c:f>
              <c:numCache>
                <c:formatCode>#\ ##0.0</c:formatCode>
                <c:ptCount val="8"/>
                <c:pt idx="0">
                  <c:v>100</c:v>
                </c:pt>
                <c:pt idx="1">
                  <c:v>99.264238522266027</c:v>
                </c:pt>
                <c:pt idx="2">
                  <c:v>101.09519585530302</c:v>
                </c:pt>
                <c:pt idx="3">
                  <c:v>104.58636730303847</c:v>
                </c:pt>
                <c:pt idx="4">
                  <c:v>108.52577294588784</c:v>
                </c:pt>
                <c:pt idx="5">
                  <c:v>113.46984216593259</c:v>
                </c:pt>
                <c:pt idx="6">
                  <c:v>120.29672910768639</c:v>
                </c:pt>
                <c:pt idx="7">
                  <c:v>126.17263133172941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118-4D6E-B535-2C467C0FD7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01017824"/>
        <c:axId val="1601019488"/>
      </c:lineChart>
      <c:catAx>
        <c:axId val="1601017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01019488"/>
        <c:crosses val="autoZero"/>
        <c:auto val="1"/>
        <c:lblAlgn val="ctr"/>
        <c:lblOffset val="100"/>
        <c:noMultiLvlLbl val="0"/>
      </c:catAx>
      <c:valAx>
        <c:axId val="1601019488"/>
        <c:scaling>
          <c:orientation val="minMax"/>
          <c:min val="9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01017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"/>
          <c:y val="7.5808544765237684E-2"/>
          <c:w val="0.51944444444444449"/>
          <c:h val="0.38541994750656167"/>
        </c:manualLayout>
      </c:layout>
      <c:overlay val="0"/>
      <c:spPr>
        <a:solidFill>
          <a:schemeClr val="bg1"/>
        </a:solidFill>
        <a:ln>
          <a:solidFill>
            <a:schemeClr val="bg2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'G2'!$B$2</c:f>
              <c:strCache>
                <c:ptCount val="1"/>
                <c:pt idx="0">
                  <c:v> průměrná mzda učitelů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'G2'!$A$3:$A$7</c:f>
              <c:strCache>
                <c:ptCount val="5"/>
                <c:pt idx="0">
                  <c:v>učitelé v regionálním školství</c:v>
                </c:pt>
                <c:pt idx="2">
                  <c:v>učitelé v MŠ</c:v>
                </c:pt>
                <c:pt idx="3">
                  <c:v>učitelé na ZŠ</c:v>
                </c:pt>
                <c:pt idx="4">
                  <c:v>učitelé na SŠ</c:v>
                </c:pt>
              </c:strCache>
            </c:strRef>
          </c:cat>
          <c:val>
            <c:numRef>
              <c:f>'G2'!$B$3:$B$7</c:f>
              <c:numCache>
                <c:formatCode>General</c:formatCode>
                <c:ptCount val="5"/>
                <c:pt idx="0" formatCode="#,##0">
                  <c:v>39655.8796</c:v>
                </c:pt>
                <c:pt idx="2" formatCode="#,##0">
                  <c:v>33622.974900000001</c:v>
                </c:pt>
                <c:pt idx="3" formatCode="#,##0">
                  <c:v>41207.345099999999</c:v>
                </c:pt>
                <c:pt idx="4" formatCode="#,##0">
                  <c:v>41866.616499999996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41-4685-9794-6CCB99E643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3"/>
        <c:overlap val="-13"/>
        <c:axId val="1781659856"/>
        <c:axId val="1781660272"/>
      </c:barChart>
      <c:lineChart>
        <c:grouping val="stacked"/>
        <c:varyColors val="0"/>
        <c:ser>
          <c:idx val="1"/>
          <c:order val="1"/>
          <c:tx>
            <c:strRef>
              <c:f>'G2'!$C$2</c:f>
              <c:strCache>
                <c:ptCount val="1"/>
                <c:pt idx="0">
                  <c:v> průměrná mzda zaměstnanců s vysokoškolským vzděláním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341-4685-9794-6CCB99E64393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341-4685-9794-6CCB99E64393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341-4685-9794-6CCB99E64393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341-4685-9794-6CCB99E64393}"/>
                </c:ext>
              </c:extLst>
            </c:dLbl>
            <c:dLbl>
              <c:idx val="4"/>
              <c:layout>
                <c:manualLayout>
                  <c:x val="5.5555555555555558E-3"/>
                  <c:y val="-9.2592592592592587E-3"/>
                </c:manualLayout>
              </c:layout>
              <c:tx>
                <c:rich>
                  <a:bodyPr/>
                  <a:lstStyle/>
                  <a:p>
                    <a:fld id="{80BA927C-A574-4EBD-86FA-C6E0A152210E}" type="VALUE">
                      <a:rPr lang="en-US" b="1">
                        <a:solidFill>
                          <a:schemeClr val="accent2"/>
                        </a:solidFill>
                      </a:rPr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341-4685-9794-6CCB99E64393}"/>
                </c:ext>
              </c:extLst>
            </c:dLbl>
            <c:spPr>
              <a:noFill/>
              <a:ln>
                <a:solidFill>
                  <a:schemeClr val="accent2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'G2'!$A$3:$A$7</c:f>
              <c:strCache>
                <c:ptCount val="5"/>
                <c:pt idx="0">
                  <c:v>učitelé v regionálním školství</c:v>
                </c:pt>
                <c:pt idx="2">
                  <c:v>učitelé v MŠ</c:v>
                </c:pt>
                <c:pt idx="3">
                  <c:v>učitelé na ZŠ</c:v>
                </c:pt>
                <c:pt idx="4">
                  <c:v>učitelé na SŠ</c:v>
                </c:pt>
              </c:strCache>
            </c:strRef>
          </c:cat>
          <c:val>
            <c:numRef>
              <c:f>'G2'!$C$3:$C$7</c:f>
              <c:numCache>
                <c:formatCode>#,##0</c:formatCode>
                <c:ptCount val="5"/>
                <c:pt idx="0">
                  <c:v>55778</c:v>
                </c:pt>
                <c:pt idx="1">
                  <c:v>55778</c:v>
                </c:pt>
                <c:pt idx="2">
                  <c:v>55778</c:v>
                </c:pt>
                <c:pt idx="3">
                  <c:v>55778</c:v>
                </c:pt>
                <c:pt idx="4">
                  <c:v>55778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7341-4685-9794-6CCB99E643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81659856"/>
        <c:axId val="1781660272"/>
      </c:lineChart>
      <c:lineChart>
        <c:grouping val="stacked"/>
        <c:varyColors val="0"/>
        <c:ser>
          <c:idx val="2"/>
          <c:order val="2"/>
          <c:tx>
            <c:strRef>
              <c:f>'G2'!$D$2</c:f>
              <c:strCache>
                <c:ptCount val="1"/>
                <c:pt idx="0">
                  <c:v> průměrná mzda učitelů v regionálním školství – % průměrné mzdy zaměstnanců s vysokoškolským vzděláním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Pt>
            <c:idx val="1"/>
            <c:marker>
              <c:symbol val="circle"/>
              <c:size val="5"/>
              <c:spPr>
                <a:solidFill>
                  <a:schemeClr val="bg1"/>
                </a:solidFill>
                <a:ln w="9525">
                  <a:solidFill>
                    <a:schemeClr val="bg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7-7341-4685-9794-6CCB99E64393}"/>
              </c:ext>
            </c:extLst>
          </c:dPt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341-4685-9794-6CCB99E64393}"/>
                </c:ext>
              </c:extLst>
            </c:dLbl>
            <c:numFmt formatCode="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'G2'!$A$3:$A$7</c:f>
              <c:strCache>
                <c:ptCount val="5"/>
                <c:pt idx="0">
                  <c:v>učitelé v regionálním školství</c:v>
                </c:pt>
                <c:pt idx="2">
                  <c:v>učitelé v MŠ</c:v>
                </c:pt>
                <c:pt idx="3">
                  <c:v>učitelé na ZŠ</c:v>
                </c:pt>
                <c:pt idx="4">
                  <c:v>učitelé na SŠ</c:v>
                </c:pt>
              </c:strCache>
            </c:strRef>
          </c:cat>
          <c:val>
            <c:numRef>
              <c:f>'G2'!$D$3:$D$7</c:f>
              <c:numCache>
                <c:formatCode>General</c:formatCode>
                <c:ptCount val="5"/>
                <c:pt idx="0" formatCode="0%">
                  <c:v>0.71095915235397467</c:v>
                </c:pt>
                <c:pt idx="2" formatCode="0%">
                  <c:v>0.60279993725124603</c:v>
                </c:pt>
                <c:pt idx="3" formatCode="0%">
                  <c:v>0.73877416006310725</c:v>
                </c:pt>
                <c:pt idx="4" formatCode="0%">
                  <c:v>0.75059371974613642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7341-4685-9794-6CCB99E643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1954288"/>
        <c:axId val="1457369168"/>
      </c:lineChart>
      <c:catAx>
        <c:axId val="1781659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781660272"/>
        <c:crosses val="autoZero"/>
        <c:auto val="1"/>
        <c:lblAlgn val="ctr"/>
        <c:lblOffset val="100"/>
        <c:noMultiLvlLbl val="0"/>
      </c:catAx>
      <c:valAx>
        <c:axId val="1781660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Kč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781659856"/>
        <c:crosses val="autoZero"/>
        <c:crossBetween val="between"/>
      </c:valAx>
      <c:valAx>
        <c:axId val="1457369168"/>
        <c:scaling>
          <c:orientation val="minMax"/>
          <c:max val="1.2"/>
          <c:min val="0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bg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791954288"/>
        <c:crosses val="max"/>
        <c:crossBetween val="between"/>
      </c:valAx>
      <c:catAx>
        <c:axId val="17919542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5736916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1119138655643241"/>
          <c:w val="1"/>
          <c:h val="0.166555398196531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'G3'!$B$3</c:f>
              <c:strCache>
                <c:ptCount val="1"/>
                <c:pt idx="0">
                  <c:v> průměrná mzda učitelů v regionálním školství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'G3'!$A$4:$A$18</c:f>
              <c:strCache>
                <c:ptCount val="15"/>
                <c:pt idx="0">
                  <c:v>Česká republika</c:v>
                </c:pt>
                <c:pt idx="1">
                  <c:v>Hl. m. Praha</c:v>
                </c:pt>
                <c:pt idx="2">
                  <c:v>Středočeský</c:v>
                </c:pt>
                <c:pt idx="3">
                  <c:v>Jihočeský</c:v>
                </c:pt>
                <c:pt idx="4">
                  <c:v>Plzeňský</c:v>
                </c:pt>
                <c:pt idx="5">
                  <c:v>Karlovarský</c:v>
                </c:pt>
                <c:pt idx="6">
                  <c:v>Ústecký</c:v>
                </c:pt>
                <c:pt idx="7">
                  <c:v>Liberecký</c:v>
                </c:pt>
                <c:pt idx="8">
                  <c:v>Královéhradecký</c:v>
                </c:pt>
                <c:pt idx="9">
                  <c:v>Pardubický</c:v>
                </c:pt>
                <c:pt idx="10">
                  <c:v>Kraj Vysočina</c:v>
                </c:pt>
                <c:pt idx="11">
                  <c:v>Jihomoravský</c:v>
                </c:pt>
                <c:pt idx="12">
                  <c:v>Olomoucký</c:v>
                </c:pt>
                <c:pt idx="13">
                  <c:v>Zlínský</c:v>
                </c:pt>
                <c:pt idx="14">
                  <c:v>Moravskoslezský</c:v>
                </c:pt>
              </c:strCache>
            </c:strRef>
          </c:cat>
          <c:val>
            <c:numRef>
              <c:f>'G3'!$B$4:$B$18</c:f>
              <c:numCache>
                <c:formatCode>#,##0</c:formatCode>
                <c:ptCount val="15"/>
                <c:pt idx="0">
                  <c:v>39655.8796</c:v>
                </c:pt>
                <c:pt idx="1">
                  <c:v>42784.186800000003</c:v>
                </c:pt>
                <c:pt idx="2">
                  <c:v>40097.055399999997</c:v>
                </c:pt>
                <c:pt idx="3">
                  <c:v>38876.627699999997</c:v>
                </c:pt>
                <c:pt idx="4">
                  <c:v>40084.1181</c:v>
                </c:pt>
                <c:pt idx="5">
                  <c:v>39186.135600000001</c:v>
                </c:pt>
                <c:pt idx="6">
                  <c:v>39573.209199999998</c:v>
                </c:pt>
                <c:pt idx="7">
                  <c:v>39659.939599999998</c:v>
                </c:pt>
                <c:pt idx="8">
                  <c:v>38533.116000000002</c:v>
                </c:pt>
                <c:pt idx="9">
                  <c:v>38694.805800000002</c:v>
                </c:pt>
                <c:pt idx="10">
                  <c:v>38628.081599999998</c:v>
                </c:pt>
                <c:pt idx="11">
                  <c:v>39142.018199999999</c:v>
                </c:pt>
                <c:pt idx="12">
                  <c:v>38443.357400000001</c:v>
                </c:pt>
                <c:pt idx="13">
                  <c:v>38151.807200000003</c:v>
                </c:pt>
                <c:pt idx="14">
                  <c:v>39444.095500000003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97-47AF-AB4E-99E0D0C1643D}"/>
            </c:ext>
          </c:extLst>
        </c:ser>
        <c:ser>
          <c:idx val="1"/>
          <c:order val="1"/>
          <c:tx>
            <c:strRef>
              <c:f>'G3'!$C$3</c:f>
              <c:strCache>
                <c:ptCount val="1"/>
                <c:pt idx="0">
                  <c:v> průměrná mzda zaměstnanců s vysokoškolským vzděláním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'G3'!$A$4:$A$18</c:f>
              <c:strCache>
                <c:ptCount val="15"/>
                <c:pt idx="0">
                  <c:v>Česká republika</c:v>
                </c:pt>
                <c:pt idx="1">
                  <c:v>Hl. m. Praha</c:v>
                </c:pt>
                <c:pt idx="2">
                  <c:v>Středočeský</c:v>
                </c:pt>
                <c:pt idx="3">
                  <c:v>Jihočeský</c:v>
                </c:pt>
                <c:pt idx="4">
                  <c:v>Plzeňský</c:v>
                </c:pt>
                <c:pt idx="5">
                  <c:v>Karlovarský</c:v>
                </c:pt>
                <c:pt idx="6">
                  <c:v>Ústecký</c:v>
                </c:pt>
                <c:pt idx="7">
                  <c:v>Liberecký</c:v>
                </c:pt>
                <c:pt idx="8">
                  <c:v>Královéhradecký</c:v>
                </c:pt>
                <c:pt idx="9">
                  <c:v>Pardubický</c:v>
                </c:pt>
                <c:pt idx="10">
                  <c:v>Kraj Vysočina</c:v>
                </c:pt>
                <c:pt idx="11">
                  <c:v>Jihomoravský</c:v>
                </c:pt>
                <c:pt idx="12">
                  <c:v>Olomoucký</c:v>
                </c:pt>
                <c:pt idx="13">
                  <c:v>Zlínský</c:v>
                </c:pt>
                <c:pt idx="14">
                  <c:v>Moravskoslezský</c:v>
                </c:pt>
              </c:strCache>
            </c:strRef>
          </c:cat>
          <c:val>
            <c:numRef>
              <c:f>'G3'!$C$4:$C$18</c:f>
              <c:numCache>
                <c:formatCode>#,##0</c:formatCode>
                <c:ptCount val="15"/>
                <c:pt idx="0">
                  <c:v>55777.545899999997</c:v>
                </c:pt>
                <c:pt idx="1">
                  <c:v>65902.635999999999</c:v>
                </c:pt>
                <c:pt idx="2">
                  <c:v>57580.796199999997</c:v>
                </c:pt>
                <c:pt idx="3">
                  <c:v>47762.239500000003</c:v>
                </c:pt>
                <c:pt idx="4">
                  <c:v>51702.002500000002</c:v>
                </c:pt>
                <c:pt idx="5">
                  <c:v>46808.051200000002</c:v>
                </c:pt>
                <c:pt idx="6">
                  <c:v>51641.394800000002</c:v>
                </c:pt>
                <c:pt idx="7">
                  <c:v>51627.19</c:v>
                </c:pt>
                <c:pt idx="8">
                  <c:v>48943.001799999998</c:v>
                </c:pt>
                <c:pt idx="9">
                  <c:v>47191.786399999997</c:v>
                </c:pt>
                <c:pt idx="10">
                  <c:v>50679.916299999997</c:v>
                </c:pt>
                <c:pt idx="11">
                  <c:v>50023.398699999998</c:v>
                </c:pt>
                <c:pt idx="12">
                  <c:v>46672.405400000003</c:v>
                </c:pt>
                <c:pt idx="13">
                  <c:v>48038.731899999999</c:v>
                </c:pt>
                <c:pt idx="14">
                  <c:v>48170.05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97-47AF-AB4E-99E0D0C164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7904432"/>
        <c:axId val="1594647472"/>
      </c:barChart>
      <c:lineChart>
        <c:grouping val="standard"/>
        <c:varyColors val="0"/>
        <c:ser>
          <c:idx val="2"/>
          <c:order val="2"/>
          <c:tx>
            <c:strRef>
              <c:f>'G3'!$D$3</c:f>
              <c:strCache>
                <c:ptCount val="1"/>
                <c:pt idx="0">
                  <c:v> průměrná mzda učitelů v regionálním školství
– % průměrné mzdy zaměstnanců s vysokoškolským vzděláním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573130259722343E-2"/>
                  <c:y val="-8.71305169324269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D97-47AF-AB4E-99E0D0C1643D}"/>
                </c:ext>
              </c:extLst>
            </c:dLbl>
            <c:dLbl>
              <c:idx val="1"/>
              <c:layout>
                <c:manualLayout>
                  <c:x val="-4.1814952301631521E-2"/>
                  <c:y val="-0.1637820428314622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D97-47AF-AB4E-99E0D0C1643D}"/>
                </c:ext>
              </c:extLst>
            </c:dLbl>
            <c:dLbl>
              <c:idx val="2"/>
              <c:layout>
                <c:manualLayout>
                  <c:x val="-3.3703419362420738E-2"/>
                  <c:y val="-9.51990986060095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D97-47AF-AB4E-99E0D0C1643D}"/>
                </c:ext>
              </c:extLst>
            </c:dLbl>
            <c:numFmt formatCode="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'G3'!$A$4:$A$18</c:f>
              <c:strCache>
                <c:ptCount val="15"/>
                <c:pt idx="0">
                  <c:v>Česká republika</c:v>
                </c:pt>
                <c:pt idx="1">
                  <c:v>Hl. m. Praha</c:v>
                </c:pt>
                <c:pt idx="2">
                  <c:v>Středočeský</c:v>
                </c:pt>
                <c:pt idx="3">
                  <c:v>Jihočeský</c:v>
                </c:pt>
                <c:pt idx="4">
                  <c:v>Plzeňský</c:v>
                </c:pt>
                <c:pt idx="5">
                  <c:v>Karlovarský</c:v>
                </c:pt>
                <c:pt idx="6">
                  <c:v>Ústecký</c:v>
                </c:pt>
                <c:pt idx="7">
                  <c:v>Liberecký</c:v>
                </c:pt>
                <c:pt idx="8">
                  <c:v>Královéhradecký</c:v>
                </c:pt>
                <c:pt idx="9">
                  <c:v>Pardubický</c:v>
                </c:pt>
                <c:pt idx="10">
                  <c:v>Kraj Vysočina</c:v>
                </c:pt>
                <c:pt idx="11">
                  <c:v>Jihomoravský</c:v>
                </c:pt>
                <c:pt idx="12">
                  <c:v>Olomoucký</c:v>
                </c:pt>
                <c:pt idx="13">
                  <c:v>Zlínský</c:v>
                </c:pt>
                <c:pt idx="14">
                  <c:v>Moravskoslezský</c:v>
                </c:pt>
              </c:strCache>
            </c:strRef>
          </c:cat>
          <c:val>
            <c:numRef>
              <c:f>'G3'!$D$4:$D$18</c:f>
              <c:numCache>
                <c:formatCode>General</c:formatCode>
                <c:ptCount val="15"/>
                <c:pt idx="0">
                  <c:v>0.71096494046361414</c:v>
                </c:pt>
                <c:pt idx="1">
                  <c:v>0.64920296663095545</c:v>
                </c:pt>
                <c:pt idx="2">
                  <c:v>0.69636160050180063</c:v>
                </c:pt>
                <c:pt idx="3">
                  <c:v>0.81396157523141255</c:v>
                </c:pt>
                <c:pt idx="4">
                  <c:v>0.77529140384842921</c:v>
                </c:pt>
                <c:pt idx="5">
                  <c:v>0.83716656847273319</c:v>
                </c:pt>
                <c:pt idx="6">
                  <c:v>0.76630790770198165</c:v>
                </c:pt>
                <c:pt idx="7">
                  <c:v>0.76819868755204368</c:v>
                </c:pt>
                <c:pt idx="8">
                  <c:v>0.78730593921192638</c:v>
                </c:pt>
                <c:pt idx="9">
                  <c:v>0.81994789245782829</c:v>
                </c:pt>
                <c:pt idx="10">
                  <c:v>0.76219702833250336</c:v>
                </c:pt>
                <c:pt idx="11">
                  <c:v>0.78247418642508193</c:v>
                </c:pt>
                <c:pt idx="12">
                  <c:v>0.82368493910965213</c:v>
                </c:pt>
                <c:pt idx="13">
                  <c:v>0.79418847440475426</c:v>
                </c:pt>
                <c:pt idx="14">
                  <c:v>0.8188510391830609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D97-47AF-AB4E-99E0D0C164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1951376"/>
        <c:axId val="1791957200"/>
      </c:lineChart>
      <c:catAx>
        <c:axId val="1797904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594647472"/>
        <c:crosses val="autoZero"/>
        <c:auto val="1"/>
        <c:lblAlgn val="ctr"/>
        <c:lblOffset val="100"/>
        <c:noMultiLvlLbl val="0"/>
      </c:catAx>
      <c:valAx>
        <c:axId val="1594647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797904432"/>
        <c:crosses val="autoZero"/>
        <c:crossBetween val="between"/>
      </c:valAx>
      <c:valAx>
        <c:axId val="1791957200"/>
        <c:scaling>
          <c:orientation val="minMax"/>
          <c:max val="1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bg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791951376"/>
        <c:crosses val="max"/>
        <c:crossBetween val="between"/>
      </c:valAx>
      <c:catAx>
        <c:axId val="17919513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9195720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4463035870516178E-2"/>
          <c:y val="0.72738295553417343"/>
          <c:w val="0.9316292650918635"/>
          <c:h val="0.244839204920691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81780-CC3C-4377-8237-1D23BE8B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3</Pages>
  <Words>1010</Words>
  <Characters>5961</Characters>
  <Application>Microsoft Office Word</Application>
  <DocSecurity>0</DocSecurity>
  <Lines>49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6958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hykysova23070</dc:creator>
  <cp:keywords/>
  <dc:description/>
  <cp:lastModifiedBy>hykysova23070</cp:lastModifiedBy>
  <cp:revision>2</cp:revision>
  <cp:lastPrinted>2014-07-17T14:07:00Z</cp:lastPrinted>
  <dcterms:created xsi:type="dcterms:W3CDTF">2020-12-14T10:24:00Z</dcterms:created>
  <dcterms:modified xsi:type="dcterms:W3CDTF">2020-12-14T10:24:00Z</dcterms:modified>
  <cp:category/>
</cp:coreProperties>
</file>