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4545" w14:textId="7F87BA54" w:rsidR="00921A5C" w:rsidRPr="006A5A11" w:rsidRDefault="00307E77" w:rsidP="00921A5C">
      <w:pPr>
        <w:pStyle w:val="Nadpis110"/>
      </w:pPr>
      <w:bookmarkStart w:id="0" w:name="_Toc57061286"/>
      <w:bookmarkStart w:id="1" w:name="_GoBack"/>
      <w:bookmarkEnd w:id="1"/>
      <w:r>
        <w:t>2. </w:t>
      </w:r>
      <w:r w:rsidR="00921A5C" w:rsidRPr="006A5A11">
        <w:t xml:space="preserve">Role průmyslu </w:t>
      </w:r>
      <w:r w:rsidRPr="006A5A11">
        <w:t>v</w:t>
      </w:r>
      <w:r>
        <w:t> </w:t>
      </w:r>
      <w:r w:rsidR="00921A5C" w:rsidRPr="006A5A11">
        <w:t>ekonomice</w:t>
      </w:r>
      <w:bookmarkEnd w:id="0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2"/>
        <w:gridCol w:w="197"/>
        <w:gridCol w:w="7670"/>
      </w:tblGrid>
      <w:tr w:rsidR="00097078" w14:paraId="17495532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4D4B" w14:textId="77777777" w:rsidR="00097078" w:rsidRDefault="00097078" w:rsidP="00044059">
            <w:pPr>
              <w:pStyle w:val="Marginlie"/>
            </w:pPr>
            <w:r>
              <w:t>Na roli průmyslu v ekonomice lze nazírat z různých hledisek.</w:t>
            </w:r>
          </w:p>
          <w:p w14:paraId="67611F4B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736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63F5" w14:textId="6CA6F5B1" w:rsidR="00097078" w:rsidRDefault="00097078" w:rsidP="00044059">
            <w:pPr>
              <w:spacing w:after="220"/>
            </w:pPr>
            <w:r>
              <w:t>Průmysl</w:t>
            </w:r>
            <w:r>
              <w:rPr>
                <w:rStyle w:val="Znakapoznpodarou"/>
              </w:rPr>
              <w:footnoteReference w:id="1"/>
            </w:r>
            <w:r>
              <w:t xml:space="preserve"> představuje díky tradičně silnému ukotvení dlouhodobě nejvýznamnější segment tuzemské ekonom</w:t>
            </w:r>
            <w:r w:rsidR="00147081">
              <w:t>i</w:t>
            </w:r>
            <w:r>
              <w:t>ky. Tvoří páteř zahraničního obchodu ČR</w:t>
            </w:r>
            <w:r w:rsidR="00147081">
              <w:t>,</w:t>
            </w:r>
            <w:r>
              <w:t xml:space="preserve"> </w:t>
            </w:r>
            <w:r w:rsidR="00307E77">
              <w:t>a </w:t>
            </w:r>
            <w:r>
              <w:t>zprostředkovává tak nejvýznamnější hospodářské vazby zejména se státy EU. Plní funkci důležitého nositele</w:t>
            </w:r>
            <w:r w:rsidRPr="00F818C1">
              <w:t xml:space="preserve"> roz</w:t>
            </w:r>
            <w:r>
              <w:t xml:space="preserve">voje technologií, znalostí </w:t>
            </w:r>
            <w:r w:rsidR="00307E77">
              <w:t>i </w:t>
            </w:r>
            <w:r>
              <w:t xml:space="preserve">pracovních příležitostí </w:t>
            </w:r>
            <w:r w:rsidR="00307E77">
              <w:t>a </w:t>
            </w:r>
            <w:r>
              <w:t xml:space="preserve">zásadně tak přispívá </w:t>
            </w:r>
            <w:r w:rsidR="00147081">
              <w:t>k </w:t>
            </w:r>
            <w:r>
              <w:t xml:space="preserve">celkovému </w:t>
            </w:r>
            <w:r w:rsidR="00147081">
              <w:t xml:space="preserve">ekonomickému </w:t>
            </w:r>
            <w:r>
              <w:t xml:space="preserve">růstu. Význam průmyslu však překračuje úzce chápanou ekonomickou sféru. Vlivem své vysoké materiálové, resp. energetické náročnosti významně zasahuje </w:t>
            </w:r>
            <w:r w:rsidR="00307E77">
              <w:t>i </w:t>
            </w:r>
            <w:r>
              <w:t xml:space="preserve">do oblasti environmentální. Roli průmyslu v ekonomice lze posuzovat dle různých kritérií. Jedním z nejčastěji používaných, </w:t>
            </w:r>
            <w:r w:rsidR="00307E77">
              <w:t>a </w:t>
            </w:r>
            <w:r>
              <w:t>to nejen na národní úrovni, je podíl na zaměstnanosti či přidané hodnotě.</w:t>
            </w:r>
          </w:p>
        </w:tc>
      </w:tr>
      <w:tr w:rsidR="00097078" w14:paraId="5F4E487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129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0F6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D9D3" w14:textId="4BD9D538" w:rsidR="00097078" w:rsidRPr="00741856" w:rsidRDefault="00097078" w:rsidP="00044059">
            <w:pPr>
              <w:spacing w:after="40"/>
              <w:jc w:val="left"/>
              <w:rPr>
                <w:b/>
              </w:rPr>
            </w:pPr>
            <w:r>
              <w:rPr>
                <w:b/>
              </w:rPr>
              <w:t>Graf</w:t>
            </w:r>
            <w:r w:rsidR="006E33D0">
              <w:rPr>
                <w:b/>
              </w:rPr>
              <w:t xml:space="preserve"> č. </w:t>
            </w:r>
            <w:r w:rsidR="00307E77">
              <w:rPr>
                <w:b/>
              </w:rPr>
              <w:t xml:space="preserve">1  </w:t>
            </w:r>
            <w:r>
              <w:rPr>
                <w:b/>
              </w:rPr>
              <w:t xml:space="preserve">Podíl průmyslu na všech odvětvích ekonomiky ČR z pohledu zaměstnanosti, objemu vyplacených mezd </w:t>
            </w:r>
            <w:r w:rsidR="00307E77">
              <w:rPr>
                <w:b/>
              </w:rPr>
              <w:t>a </w:t>
            </w:r>
            <w:r>
              <w:rPr>
                <w:b/>
              </w:rPr>
              <w:t xml:space="preserve">platů, hrubé přidané hodnoty a investic* </w:t>
            </w:r>
            <w:r w:rsidRPr="00C8155D">
              <w:t>(v</w:t>
            </w:r>
            <w:r w:rsidR="006E33D0">
              <w:t> %</w:t>
            </w:r>
            <w:r w:rsidRPr="00C8155D">
              <w:t>)</w:t>
            </w:r>
          </w:p>
        </w:tc>
      </w:tr>
      <w:tr w:rsidR="00097078" w14:paraId="7316E6D7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151C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B42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317A" w14:textId="77777777" w:rsidR="00097078" w:rsidRDefault="00097078" w:rsidP="00044059">
            <w:pPr>
              <w:spacing w:after="40"/>
            </w:pPr>
            <w:r>
              <w:rPr>
                <w:noProof/>
              </w:rPr>
              <w:drawing>
                <wp:inline distT="0" distB="0" distL="0" distR="0" wp14:anchorId="455F2E9A" wp14:editId="2D0D8979">
                  <wp:extent cx="4753842" cy="3343275"/>
                  <wp:effectExtent l="0" t="0" r="889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97078" w14:paraId="570CC78C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B7EC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AF4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08C4" w14:textId="3BA89F3F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*Investice jsou </w:t>
            </w:r>
            <w:r w:rsidR="00147081">
              <w:rPr>
                <w:sz w:val="16"/>
                <w:szCs w:val="16"/>
              </w:rPr>
              <w:t xml:space="preserve">chápány </w:t>
            </w:r>
            <w:r>
              <w:rPr>
                <w:sz w:val="16"/>
                <w:szCs w:val="16"/>
              </w:rPr>
              <w:t>v užším pojetí, tj.</w:t>
            </w:r>
            <w:r w:rsidR="0014708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jako tvorba hrubého fixního kapitálu.</w:t>
            </w:r>
          </w:p>
          <w:p w14:paraId="3070161B" w14:textId="77777777" w:rsidR="00097078" w:rsidRPr="00DE574B" w:rsidRDefault="00097078" w:rsidP="00044059">
            <w:pPr>
              <w:spacing w:after="220"/>
            </w:pPr>
            <w:r w:rsidRPr="00741856">
              <w:rPr>
                <w:sz w:val="16"/>
                <w:szCs w:val="16"/>
              </w:rPr>
              <w:t>Zdroj</w:t>
            </w:r>
            <w:r>
              <w:rPr>
                <w:sz w:val="16"/>
                <w:szCs w:val="16"/>
              </w:rPr>
              <w:t>: ČSÚ (národní účty)</w:t>
            </w:r>
          </w:p>
        </w:tc>
      </w:tr>
      <w:tr w:rsidR="00097078" w14:paraId="039677DA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397A" w14:textId="7BA42FF6" w:rsidR="00097078" w:rsidRDefault="00097078" w:rsidP="00044059">
            <w:pPr>
              <w:pStyle w:val="Marginlie"/>
            </w:pPr>
            <w:r>
              <w:t>Průmysl vytvářel v roce 2019 necelých 42</w:t>
            </w:r>
            <w:r w:rsidR="006E33D0">
              <w:t xml:space="preserve"> % </w:t>
            </w:r>
            <w:r>
              <w:t>produkce celé ekonomiky, v případě přidaného hodnoty se podíl nacházel mírně pod 30</w:t>
            </w:r>
            <w:r w:rsidR="006E33D0">
              <w:t> %</w:t>
            </w:r>
            <w: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BB3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E1CE" w14:textId="0FEACCEE" w:rsidR="00097078" w:rsidRPr="00291534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291534">
              <w:rPr>
                <w:spacing w:val="-2"/>
                <w:szCs w:val="20"/>
              </w:rPr>
              <w:t>Celková hodnota produkce</w:t>
            </w:r>
            <w:r w:rsidRPr="00291534">
              <w:rPr>
                <w:rStyle w:val="Znakapoznpodarou"/>
                <w:spacing w:val="-2"/>
              </w:rPr>
              <w:footnoteReference w:id="2"/>
            </w:r>
            <w:r w:rsidRPr="00291534">
              <w:rPr>
                <w:spacing w:val="-2"/>
                <w:szCs w:val="20"/>
              </w:rPr>
              <w:t xml:space="preserve"> průmyslu dosáhla v roce 2019 v běžných cenách 5 370</w:t>
            </w:r>
            <w:r w:rsidR="006E33D0">
              <w:rPr>
                <w:spacing w:val="-2"/>
                <w:szCs w:val="20"/>
              </w:rPr>
              <w:t> mld.</w:t>
            </w:r>
            <w:r w:rsidRPr="00291534">
              <w:rPr>
                <w:spacing w:val="-2"/>
                <w:szCs w:val="20"/>
              </w:rPr>
              <w:t xml:space="preserve"> korun. Na úhrnné produkci národního hospodářství se </w:t>
            </w:r>
            <w:r w:rsidR="00147081">
              <w:rPr>
                <w:spacing w:val="-2"/>
                <w:szCs w:val="20"/>
              </w:rPr>
              <w:t xml:space="preserve">průmysl </w:t>
            </w:r>
            <w:r w:rsidRPr="00291534">
              <w:rPr>
                <w:spacing w:val="-2"/>
                <w:szCs w:val="20"/>
              </w:rPr>
              <w:t>podílel 41,7</w:t>
            </w:r>
            <w:r w:rsidR="006E33D0">
              <w:rPr>
                <w:spacing w:val="-2"/>
                <w:szCs w:val="20"/>
              </w:rPr>
              <w:t> %</w:t>
            </w:r>
            <w:r w:rsidRPr="00291534">
              <w:rPr>
                <w:spacing w:val="-2"/>
                <w:szCs w:val="20"/>
              </w:rPr>
              <w:t>. Šlo</w:t>
            </w:r>
            <w:r w:rsidR="00147081">
              <w:rPr>
                <w:spacing w:val="-2"/>
                <w:szCs w:val="20"/>
              </w:rPr>
              <w:t xml:space="preserve"> </w:t>
            </w:r>
            <w:r w:rsidRPr="00291534">
              <w:rPr>
                <w:spacing w:val="-2"/>
                <w:szCs w:val="20"/>
              </w:rPr>
              <w:t>fakticky o obdobnou hodnotu jako v prvním roce existence samostatné ČR. V uplynulém čtvrtstoletí váha průmyslu kolísala mezi extrémy akcentujícími důležité zlomy v hospodářském cyklu (39,3</w:t>
            </w:r>
            <w:r w:rsidR="006E33D0">
              <w:rPr>
                <w:spacing w:val="-2"/>
                <w:szCs w:val="20"/>
              </w:rPr>
              <w:t> %</w:t>
            </w:r>
            <w:r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roce 2009, resp. 44,5</w:t>
            </w:r>
            <w:r w:rsidR="006E33D0">
              <w:rPr>
                <w:spacing w:val="-2"/>
                <w:szCs w:val="20"/>
              </w:rPr>
              <w:t> %</w:t>
            </w:r>
            <w:r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roce 2014). Význam průmyslu lze posuzovat rovněž z pohledu přidané hodnoty. V tomto ohledu je váha t</w:t>
            </w:r>
            <w:r>
              <w:rPr>
                <w:spacing w:val="-2"/>
                <w:szCs w:val="20"/>
              </w:rPr>
              <w:t>uzemského průmyslu dlouhodobě o</w:t>
            </w:r>
            <w:r w:rsidRPr="00291534">
              <w:rPr>
                <w:spacing w:val="-2"/>
                <w:szCs w:val="20"/>
              </w:rPr>
              <w:t> více než 10</w:t>
            </w:r>
            <w:r w:rsidR="006E33D0">
              <w:rPr>
                <w:spacing w:val="-2"/>
                <w:szCs w:val="20"/>
              </w:rPr>
              <w:t> p. b.</w:t>
            </w:r>
            <w:r w:rsidRPr="00291534">
              <w:rPr>
                <w:spacing w:val="-2"/>
                <w:szCs w:val="20"/>
              </w:rPr>
              <w:t xml:space="preserve"> nižší nežli </w:t>
            </w:r>
            <w:r w:rsidR="00C25E4B">
              <w:rPr>
                <w:spacing w:val="-2"/>
                <w:szCs w:val="20"/>
              </w:rPr>
              <w:t>v </w:t>
            </w:r>
            <w:r w:rsidRPr="00291534">
              <w:rPr>
                <w:spacing w:val="-2"/>
                <w:szCs w:val="20"/>
              </w:rPr>
              <w:t>případě ukazatele produkce. Je tomu tak zejména proto, že průmysl ve srovnání s ostatními odvětvími ekonomiky tradičně vykazuje vyšší podíl mezispotřeby na celkové produkci</w:t>
            </w:r>
            <w:r w:rsidRPr="00291534">
              <w:rPr>
                <w:rStyle w:val="Znakapoznpodarou"/>
                <w:spacing w:val="-2"/>
              </w:rPr>
              <w:footnoteReference w:id="3"/>
            </w:r>
            <w:r w:rsidRPr="00291534">
              <w:rPr>
                <w:spacing w:val="-2"/>
                <w:szCs w:val="20"/>
              </w:rPr>
              <w:t xml:space="preserve">, což souvisí </w:t>
            </w:r>
            <w:r w:rsidR="00C25E4B">
              <w:rPr>
                <w:spacing w:val="-2"/>
                <w:szCs w:val="20"/>
              </w:rPr>
              <w:t>mimo jiné</w:t>
            </w:r>
            <w:r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 xml:space="preserve">vyšší </w:t>
            </w:r>
            <w:r w:rsidR="00343A8A" w:rsidRPr="00291534">
              <w:rPr>
                <w:spacing w:val="-2"/>
                <w:szCs w:val="20"/>
              </w:rPr>
              <w:t>materiál</w:t>
            </w:r>
            <w:r w:rsidR="00343A8A">
              <w:rPr>
                <w:spacing w:val="-2"/>
                <w:szCs w:val="20"/>
              </w:rPr>
              <w:t>ovou</w:t>
            </w:r>
            <w:r w:rsidR="00343A8A"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 xml:space="preserve">energetickou náročností řady průmyslových oborů (např. chemie, </w:t>
            </w:r>
            <w:r w:rsidRPr="00291534">
              <w:rPr>
                <w:spacing w:val="-2"/>
                <w:szCs w:val="20"/>
              </w:rPr>
              <w:lastRenderedPageBreak/>
              <w:t>petrochemie, hutnictví</w:t>
            </w:r>
            <w:r>
              <w:rPr>
                <w:spacing w:val="-2"/>
                <w:szCs w:val="20"/>
              </w:rPr>
              <w:t xml:space="preserve">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slévárenství, potravinářství), ale rovněž s</w:t>
            </w:r>
            <w:r w:rsidRPr="00291534">
              <w:rPr>
                <w:spacing w:val="-2"/>
                <w:szCs w:val="20"/>
              </w:rPr>
              <w:t xml:space="preserve"> náročností z hlediska pracovních nákladů (výroba dopravních prostředků). Na rozdíl od produkce lze </w:t>
            </w:r>
            <w:r w:rsidR="00307E77" w:rsidRPr="00291534">
              <w:rPr>
                <w:spacing w:val="-2"/>
                <w:szCs w:val="20"/>
              </w:rPr>
              <w:t>u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přidané hodnoty pozorovat velmi mírně sestupný trend role průmyslu v</w:t>
            </w:r>
            <w:r w:rsidR="00C25E4B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ekonomice</w:t>
            </w:r>
            <w:r w:rsidR="00C25E4B">
              <w:rPr>
                <w:spacing w:val="-2"/>
                <w:szCs w:val="20"/>
              </w:rPr>
              <w:t>,</w:t>
            </w:r>
            <w:r w:rsidRPr="00291534">
              <w:rPr>
                <w:spacing w:val="-2"/>
                <w:szCs w:val="20"/>
              </w:rPr>
              <w:t xml:space="preserve"> patrný např. v posledních čtyřech letech (podíl průmyslu </w:t>
            </w:r>
            <w:r w:rsidRPr="003D0492">
              <w:rPr>
                <w:spacing w:val="-3"/>
                <w:szCs w:val="20"/>
              </w:rPr>
              <w:t>na celkové HPH sestoupil v roce 2019 k 29</w:t>
            </w:r>
            <w:r w:rsidR="006E33D0">
              <w:rPr>
                <w:spacing w:val="-3"/>
                <w:szCs w:val="20"/>
              </w:rPr>
              <w:t> %</w:t>
            </w:r>
            <w:r w:rsidRPr="003D0492">
              <w:rPr>
                <w:spacing w:val="-3"/>
                <w:szCs w:val="20"/>
              </w:rPr>
              <w:t>, zatímco v roce 2015 dosahoval téměř 32</w:t>
            </w:r>
            <w:r w:rsidR="006E33D0">
              <w:rPr>
                <w:spacing w:val="-3"/>
                <w:szCs w:val="20"/>
              </w:rPr>
              <w:t> %</w:t>
            </w:r>
            <w:r w:rsidRPr="003D0492">
              <w:rPr>
                <w:spacing w:val="-3"/>
                <w:szCs w:val="20"/>
              </w:rPr>
              <w:t xml:space="preserve">). </w:t>
            </w:r>
          </w:p>
        </w:tc>
      </w:tr>
      <w:tr w:rsidR="00097078" w14:paraId="2195DAF9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9BC5" w14:textId="376B7AEA" w:rsidR="00097078" w:rsidRDefault="00097078" w:rsidP="00044059">
            <w:pPr>
              <w:pStyle w:val="Marginlie"/>
            </w:pPr>
            <w:r>
              <w:lastRenderedPageBreak/>
              <w:t>Průmysl soustřeďoval 28,5</w:t>
            </w:r>
            <w:r w:rsidR="006E33D0">
              <w:t> %</w:t>
            </w:r>
            <w:r>
              <w:t xml:space="preserve"> pracovníků z celé ekonomiky, u zaměstnaneckého segmentu šlo </w:t>
            </w:r>
            <w:r w:rsidR="00307E77">
              <w:t>o </w:t>
            </w:r>
            <w:r>
              <w:t>30,4</w:t>
            </w:r>
            <w:r w:rsidR="006E33D0">
              <w:t> %</w:t>
            </w:r>
            <w:r>
              <w:t>.</w:t>
            </w:r>
          </w:p>
          <w:p w14:paraId="66E4A988" w14:textId="77777777" w:rsidR="00097078" w:rsidRDefault="00097078" w:rsidP="00044059">
            <w:pPr>
              <w:pStyle w:val="Marginlie"/>
            </w:pPr>
          </w:p>
          <w:p w14:paraId="6D48C5DB" w14:textId="77777777" w:rsidR="00097078" w:rsidRDefault="00097078" w:rsidP="00044059">
            <w:pPr>
              <w:pStyle w:val="Marginlie"/>
            </w:pPr>
          </w:p>
          <w:p w14:paraId="1BDB61A4" w14:textId="77777777" w:rsidR="00097078" w:rsidRDefault="00097078" w:rsidP="00044059">
            <w:pPr>
              <w:pStyle w:val="Marginlie"/>
            </w:pPr>
          </w:p>
          <w:p w14:paraId="4A3D8674" w14:textId="77777777" w:rsidR="00097078" w:rsidRDefault="00097078" w:rsidP="00044059">
            <w:pPr>
              <w:pStyle w:val="Marginlie"/>
            </w:pPr>
          </w:p>
          <w:p w14:paraId="355BDA9F" w14:textId="77777777" w:rsidR="00097078" w:rsidRDefault="00097078" w:rsidP="00044059">
            <w:pPr>
              <w:pStyle w:val="Marginlie"/>
            </w:pPr>
            <w:r>
              <w:t>Po většinu poslední dekády váha průmyslu na celkové zaměstnanosti mírně rostla</w:t>
            </w:r>
          </w:p>
          <w:p w14:paraId="1FDECE5F" w14:textId="6B318902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C65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ABF0" w14:textId="3C96DDE5" w:rsidR="00097078" w:rsidRPr="002A19ED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Vzhledem k výše uvedenému není překvapivé, že průmysl plní roli jednoho ze stěžejních zaměstnavatelů v celé ekonomice. Přestože v Česku koncentruje v současnosti ve </w:t>
            </w:r>
            <w:r w:rsidR="00EC1470">
              <w:rPr>
                <w:szCs w:val="20"/>
              </w:rPr>
              <w:t>srovnání s terciárním</w:t>
            </w:r>
            <w:r>
              <w:rPr>
                <w:szCs w:val="20"/>
              </w:rPr>
              <w:t xml:space="preserve"> sektorem služeb ani ne polovinu pracovníků, má oproti nim výhodu v poměrně rovnoměrném rozmístění pracovních míst. Zejména v některých vyspělých segmentech tržních služeb (např. IT, finančnictví, profesní</w:t>
            </w:r>
            <w:r w:rsidR="0062148D">
              <w:rPr>
                <w:szCs w:val="20"/>
              </w:rPr>
              <w:t>,</w:t>
            </w:r>
            <w:r>
              <w:rPr>
                <w:szCs w:val="20"/>
              </w:rPr>
              <w:t xml:space="preserve"> vědecké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technické činnosti) je totiž pracovní síla tradičně soustředěna převážně v oblasti největších městských aglomerací. Celkem bylo v roce 2019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průmyslu zaměstnáno 1 517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 osob</w:t>
            </w:r>
            <w:r>
              <w:rPr>
                <w:rStyle w:val="Znakapoznpodarou"/>
              </w:rPr>
              <w:footnoteReference w:id="4"/>
            </w:r>
            <w:r>
              <w:rPr>
                <w:szCs w:val="20"/>
              </w:rPr>
              <w:t>, což tvořilo 28,5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z celého národního hospodářství. Zatímco za poslední dekádu váha průmyslu celkově mírně rostla, v předešlých dvou desetiletích docházelo zejména vlivem transformačních změn k jeho mírnému relativnímu oslabování. Vedle významných odvětvových posunů se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 xml:space="preserve">tomto období rovněž měnil poměr mezi počtem zaměstnanců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sebezaměstnaných (pokles počtu zaměstnanců byl zpravidla jen částečně kompenzován rozvojem drobného podnikání). Navzdory tomu, že podíl sebezaměstnaných dlouhodobě narůstal, tvořila tato</w:t>
            </w:r>
            <w:r w:rsidR="0062148D">
              <w:rPr>
                <w:szCs w:val="20"/>
              </w:rPr>
              <w:t xml:space="preserve"> skupina</w:t>
            </w:r>
            <w:r>
              <w:rPr>
                <w:szCs w:val="20"/>
              </w:rPr>
              <w:t xml:space="preserve"> v roce 2019 pouze 8,0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všech pracovníků průmyslu</w:t>
            </w:r>
            <w:r w:rsidR="0062148D">
              <w:rPr>
                <w:szCs w:val="20"/>
              </w:rPr>
              <w:t> </w:t>
            </w:r>
            <w:r>
              <w:rPr>
                <w:szCs w:val="20"/>
              </w:rPr>
              <w:t xml:space="preserve">– téměř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polovinu méně než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celé ekonomice (13,9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). Není tedy překvapivé, že váha průmyslu v ekonomice je zvýrazněna právě v počtu zaměstnanců (30,4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roce 2019).</w:t>
            </w:r>
          </w:p>
        </w:tc>
      </w:tr>
      <w:tr w:rsidR="00097078" w14:paraId="4523AEBA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528F" w14:textId="4BD20CDA" w:rsidR="00097078" w:rsidRDefault="00097078" w:rsidP="00044059">
            <w:pPr>
              <w:pStyle w:val="Marginlie"/>
            </w:pPr>
            <w:r>
              <w:t xml:space="preserve">Průměrná výše mezd v průmyslu se pohybovala mírně pod úrovní celé ekonomiky. </w:t>
            </w:r>
            <w:r w:rsidR="00642FB8">
              <w:t xml:space="preserve">Obdobně to </w:t>
            </w:r>
            <w:r>
              <w:t xml:space="preserve">platilo v posledních dvou letech </w:t>
            </w:r>
            <w:r w:rsidR="00307E77">
              <w:t>i </w:t>
            </w:r>
            <w:r>
              <w:t>pro mzdovou dynamiku.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F21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5AC3" w14:textId="75D3F46B" w:rsidR="00097078" w:rsidRDefault="00307E77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V </w:t>
            </w:r>
            <w:r w:rsidR="00097078">
              <w:rPr>
                <w:szCs w:val="20"/>
              </w:rPr>
              <w:t>roce 2019 připadalo na průmysl 29,7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 xml:space="preserve"> objemu mezd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>platů</w:t>
            </w:r>
            <w:r w:rsidR="00097078">
              <w:rPr>
                <w:rStyle w:val="Znakapoznpodarou"/>
              </w:rPr>
              <w:footnoteReference w:id="5"/>
            </w:r>
            <w:r w:rsidR="00097078">
              <w:rPr>
                <w:szCs w:val="20"/>
              </w:rPr>
              <w:t xml:space="preserve"> vyplacených v celém národním hospodářství</w:t>
            </w:r>
            <w:r w:rsidR="00642FB8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šlo tedy </w:t>
            </w:r>
            <w:r>
              <w:rPr>
                <w:szCs w:val="20"/>
              </w:rPr>
              <w:t>o </w:t>
            </w:r>
            <w:r w:rsidR="00097078">
              <w:rPr>
                <w:szCs w:val="20"/>
              </w:rPr>
              <w:t>nepatrně nižší podíl než v případě počtu samotných zaměstnanců. Tento vztah platí v historii samostatné ČR dlouhodobě, pouze v </w:t>
            </w:r>
            <w:r w:rsidR="00642FB8">
              <w:rPr>
                <w:szCs w:val="20"/>
              </w:rPr>
              <w:t>letech</w:t>
            </w:r>
            <w:r w:rsidR="00097078">
              <w:rPr>
                <w:szCs w:val="20"/>
              </w:rPr>
              <w:t xml:space="preserve"> 2011 až 2017 byly váhy počtu zaměstnanců </w:t>
            </w:r>
            <w:r>
              <w:rPr>
                <w:szCs w:val="20"/>
              </w:rPr>
              <w:t>s </w:t>
            </w:r>
            <w:r w:rsidR="00097078">
              <w:rPr>
                <w:szCs w:val="20"/>
              </w:rPr>
              <w:t xml:space="preserve">váhami objemu vyplacených mezd v celé ekonomice prakticky totožné. V letech 2018 </w:t>
            </w:r>
            <w:r w:rsidR="00642FB8"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2019 je mezi těmito ukazateli patrné jisté rozevírání nůžek, což potvrzují </w:t>
            </w: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>údaje z podnikových stati</w:t>
            </w:r>
            <w:r w:rsidR="00642FB8">
              <w:rPr>
                <w:szCs w:val="20"/>
              </w:rPr>
              <w:t>sti</w:t>
            </w:r>
            <w:r w:rsidR="00097078">
              <w:rPr>
                <w:szCs w:val="20"/>
              </w:rPr>
              <w:t>k, neboť růstová tempa průměrných mezd v průmyslu za tempy v celé ekonomice zaostávala. To platilo rovněž pro dosaženou úroveň průměrných výdělků.</w:t>
            </w:r>
          </w:p>
        </w:tc>
      </w:tr>
      <w:tr w:rsidR="00097078" w14:paraId="23251E60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DEC7" w14:textId="77777777" w:rsidR="00097078" w:rsidRDefault="00097078" w:rsidP="00044059">
            <w:pPr>
              <w:pStyle w:val="Marginlie"/>
            </w:pPr>
            <w:r>
              <w:t>Výdaje na tvorbu hrubého fixního kapitálu v průmyslu představovaly téměř polovinu investiční aktivity sektoru nefinančních podniků.</w:t>
            </w:r>
          </w:p>
          <w:p w14:paraId="74593D86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379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63B7" w14:textId="0B5F6FA8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Průmysl je také jedním z nejvýznamnějších odvětví přispívajících k technologickému rozvoji celé ekonomiky. Výdaje na tvorbu hrubého fixního kapitálu, představující v užším slova smyslu investiční aktivitu, čítaly v roce 2019 v průmyslu v běžných cenách 446</w:t>
            </w:r>
            <w:r w:rsidR="006E33D0">
              <w:rPr>
                <w:szCs w:val="20"/>
              </w:rPr>
              <w:t> mld.</w:t>
            </w:r>
            <w:r>
              <w:rPr>
                <w:szCs w:val="20"/>
              </w:rPr>
              <w:t xml:space="preserve"> korun. To představovalo bezmála polovinu objemu investiční aktivity nefinančních podniků </w:t>
            </w:r>
            <w:r w:rsidR="00307E77">
              <w:rPr>
                <w:szCs w:val="20"/>
              </w:rPr>
              <w:t>a o </w:t>
            </w:r>
            <w:r>
              <w:rPr>
                <w:szCs w:val="20"/>
              </w:rPr>
              <w:t>80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vyšší objem investic než v celém sektoru vládních institucí. Průmysl se v roce 2019 podílel na investiční aktivitě národního hospodářství 29,6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, což byla druhá nejnižší hodnota v celé poslední dekádě. Naopak nejvyšší podíl vykázal v této dekádě průmysl v roce 2013 (32,3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), což souviselo s citelným oslabením investiční aktivity ostatních sektorů ekonomiky v době recese</w:t>
            </w:r>
            <w:r w:rsidR="004528F0">
              <w:rPr>
                <w:szCs w:val="20"/>
              </w:rPr>
              <w:t> </w:t>
            </w:r>
            <w:r>
              <w:rPr>
                <w:szCs w:val="20"/>
              </w:rPr>
              <w:t xml:space="preserve">– zejména vládního sektoru (vlivem fiskální konsolidace), zčásti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sektoru domácností (pokles investic do obydlí). Investiční aktivita je obecně spojena s výraznou cykličností. Při pohledu na dlouhodobý vývoj průmyslu k tomu přistupuje ještě faktor hluboké transformace v 9</w:t>
            </w:r>
            <w:r w:rsidR="00307E77">
              <w:rPr>
                <w:szCs w:val="20"/>
              </w:rPr>
              <w:t>0. </w:t>
            </w:r>
            <w:r>
              <w:rPr>
                <w:szCs w:val="20"/>
              </w:rPr>
              <w:t xml:space="preserve">letech </w:t>
            </w:r>
            <w:r w:rsidR="004528F0">
              <w:rPr>
                <w:szCs w:val="20"/>
              </w:rPr>
              <w:t xml:space="preserve">spojené </w:t>
            </w:r>
            <w:r>
              <w:rPr>
                <w:szCs w:val="20"/>
              </w:rPr>
              <w:t xml:space="preserve">se zásadní proměnou vlastnické struktury podniků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postupným přílivem zahraničního kapitálu. Průmysl v této dekádě koncentroval až 40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veškerých fixních investic v ekonomice. Míra investic, vyjádřená jako podíl tvorby hrubého fixního kapitálu na vytvořené hrubé přidané hodnotě, převyšovala v průmyslu v letech 1993 až 2000 úroveň celé ekonomiky bezmála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pětinu.</w:t>
            </w:r>
          </w:p>
        </w:tc>
      </w:tr>
      <w:tr w:rsidR="00097078" w14:paraId="1F2BE940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19DF" w14:textId="32CD8C1A" w:rsidR="00097078" w:rsidRDefault="00097078" w:rsidP="00044059">
            <w:pPr>
              <w:pStyle w:val="Marginlie"/>
            </w:pPr>
            <w:r>
              <w:lastRenderedPageBreak/>
              <w:t xml:space="preserve">Silný význam průmyslových investic je dlouhodobě patrný především v oblasti strojů </w:t>
            </w:r>
            <w:r w:rsidR="00307E77">
              <w:t>a </w:t>
            </w:r>
            <w:r>
              <w:t>zařízení, ICT a také ve vědě a výzkumu.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676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1A76" w14:textId="76DF1D46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Zvláště silný význam nabývá investiční aktivita odvětví průmyslu v oblasti </w:t>
            </w:r>
            <w:r w:rsidRPr="0049682F">
              <w:rPr>
                <w:szCs w:val="20"/>
              </w:rPr>
              <w:t>informační</w:t>
            </w:r>
            <w:r>
              <w:rPr>
                <w:szCs w:val="20"/>
              </w:rPr>
              <w:t>ch</w:t>
            </w:r>
            <w:r w:rsidRPr="0049682F">
              <w:rPr>
                <w:szCs w:val="20"/>
              </w:rPr>
              <w:t xml:space="preserve"> </w:t>
            </w:r>
            <w:r w:rsidR="00307E77" w:rsidRPr="0049682F">
              <w:rPr>
                <w:szCs w:val="20"/>
              </w:rPr>
              <w:t>a</w:t>
            </w:r>
            <w:r w:rsidR="00307E77">
              <w:rPr>
                <w:szCs w:val="20"/>
              </w:rPr>
              <w:t> </w:t>
            </w:r>
            <w:r w:rsidRPr="0049682F">
              <w:rPr>
                <w:szCs w:val="20"/>
              </w:rPr>
              <w:t>komunikační</w:t>
            </w:r>
            <w:r>
              <w:rPr>
                <w:szCs w:val="20"/>
              </w:rPr>
              <w:t xml:space="preserve">ch technologií (ICT), ostatních strojů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zařízení (mimo d</w:t>
            </w:r>
            <w:r w:rsidRPr="0049682F">
              <w:rPr>
                <w:szCs w:val="20"/>
              </w:rPr>
              <w:t xml:space="preserve">opravní prostředky </w:t>
            </w:r>
            <w:r w:rsidR="00307E77" w:rsidRPr="0049682F">
              <w:rPr>
                <w:szCs w:val="20"/>
              </w:rPr>
              <w:t>a</w:t>
            </w:r>
            <w:r w:rsidR="00307E77">
              <w:rPr>
                <w:szCs w:val="20"/>
              </w:rPr>
              <w:t> </w:t>
            </w:r>
            <w:r w:rsidRPr="0049682F">
              <w:rPr>
                <w:szCs w:val="20"/>
              </w:rPr>
              <w:t>zařízení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také ve sféře vědy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výzkumu. Ve všech těchto oblastech převyšoval v roce 2018 podíl průmyslu na celé ekonom</w:t>
            </w:r>
            <w:r w:rsidR="00642FB8">
              <w:rPr>
                <w:szCs w:val="20"/>
              </w:rPr>
              <w:t>i</w:t>
            </w:r>
            <w:r>
              <w:rPr>
                <w:szCs w:val="20"/>
              </w:rPr>
              <w:t xml:space="preserve">ce 50% úroveň. Na celkových výdajích na vědu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výzkum realizovaných v podnikatelském sektoru se průmysl podílel takřka 55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. Tento podíl zůstává v posledních deseti letech stabilní. Naproti tomu investiční aktivita v oblasti ICT rostla v posledních letech v průmyslových podnicích mnohem dynamičtěji než v ostatních odvětvích, zvláště patrné to bylo v letech 2017 </w:t>
            </w:r>
            <w:r w:rsidR="00D873CC">
              <w:rPr>
                <w:szCs w:val="20"/>
              </w:rPr>
              <w:t>a </w:t>
            </w:r>
            <w:r>
              <w:rPr>
                <w:szCs w:val="20"/>
              </w:rPr>
              <w:t>2018.</w:t>
            </w:r>
          </w:p>
        </w:tc>
      </w:tr>
      <w:tr w:rsidR="00097078" w:rsidRPr="00741856" w14:paraId="65D6CA90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018E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A57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89E3" w14:textId="02810E8C" w:rsidR="00097078" w:rsidRPr="00F00A85" w:rsidRDefault="00097078" w:rsidP="00044059">
            <w:pPr>
              <w:spacing w:after="4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2  </w:t>
            </w:r>
            <w:r>
              <w:rPr>
                <w:b/>
                <w:szCs w:val="20"/>
              </w:rPr>
              <w:t>H</w:t>
            </w:r>
            <w:r w:rsidRPr="000E201C">
              <w:rPr>
                <w:b/>
                <w:szCs w:val="20"/>
              </w:rPr>
              <w:t xml:space="preserve">odnota vývozu </w:t>
            </w:r>
            <w:r w:rsidRPr="00653B94">
              <w:rPr>
                <w:b/>
                <w:szCs w:val="20"/>
              </w:rPr>
              <w:t>průmyslovéh</w:t>
            </w:r>
            <w:r>
              <w:rPr>
                <w:b/>
                <w:szCs w:val="20"/>
              </w:rPr>
              <w:t xml:space="preserve">o zboží </w:t>
            </w:r>
            <w:r w:rsidR="006E33D0">
              <w:rPr>
                <w:b/>
                <w:szCs w:val="20"/>
              </w:rPr>
              <w:t xml:space="preserve">včetně </w:t>
            </w:r>
            <w:r>
              <w:rPr>
                <w:b/>
                <w:szCs w:val="20"/>
              </w:rPr>
              <w:t xml:space="preserve">dopravních prostředků* </w:t>
            </w:r>
            <w:r>
              <w:rPr>
                <w:szCs w:val="20"/>
              </w:rPr>
              <w:t>(v</w:t>
            </w:r>
            <w:r w:rsidR="00307E77">
              <w:rPr>
                <w:b/>
              </w:rPr>
              <w:t> </w:t>
            </w:r>
            <w:r w:rsidR="006E33D0">
              <w:rPr>
                <w:szCs w:val="20"/>
              </w:rPr>
              <w:t>mld.</w:t>
            </w:r>
            <w:r w:rsidRPr="000E201C">
              <w:rPr>
                <w:szCs w:val="20"/>
              </w:rPr>
              <w:t xml:space="preserve"> korun)</w:t>
            </w:r>
            <w:r>
              <w:rPr>
                <w:szCs w:val="20"/>
              </w:rPr>
              <w:t xml:space="preserve"> </w:t>
            </w:r>
            <w:r w:rsidR="00307E77" w:rsidRPr="000E201C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Pr="00870947">
              <w:rPr>
                <w:b/>
                <w:szCs w:val="20"/>
              </w:rPr>
              <w:t>podíl, resp.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poměr vývozu zboží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 xml:space="preserve">služeb </w:t>
            </w:r>
            <w:r w:rsidR="00307E77">
              <w:rPr>
                <w:b/>
                <w:szCs w:val="20"/>
              </w:rPr>
              <w:t>k </w:t>
            </w:r>
            <w:r>
              <w:rPr>
                <w:b/>
                <w:szCs w:val="20"/>
              </w:rPr>
              <w:t xml:space="preserve">celkové produkci </w:t>
            </w:r>
            <w:r w:rsidR="00307E77">
              <w:rPr>
                <w:b/>
                <w:szCs w:val="20"/>
              </w:rPr>
              <w:t>a k </w:t>
            </w:r>
            <w:r>
              <w:rPr>
                <w:b/>
                <w:szCs w:val="20"/>
              </w:rPr>
              <w:t xml:space="preserve">HDP </w:t>
            </w:r>
            <w:r w:rsidR="00307E77">
              <w:rPr>
                <w:b/>
                <w:szCs w:val="20"/>
              </w:rPr>
              <w:t>v </w:t>
            </w:r>
            <w:r w:rsidRPr="00653B94">
              <w:rPr>
                <w:b/>
                <w:szCs w:val="20"/>
              </w:rPr>
              <w:t>ČR</w:t>
            </w:r>
            <w:r w:rsidRPr="00653B94">
              <w:rPr>
                <w:szCs w:val="20"/>
              </w:rPr>
              <w:t xml:space="preserve"> (v</w:t>
            </w:r>
            <w:r w:rsidR="006E33D0">
              <w:rPr>
                <w:sz w:val="16"/>
                <w:szCs w:val="16"/>
              </w:rPr>
              <w:t> %</w:t>
            </w:r>
            <w:r w:rsidRPr="00653B94">
              <w:rPr>
                <w:sz w:val="16"/>
                <w:szCs w:val="16"/>
              </w:rPr>
              <w:t>)</w:t>
            </w:r>
          </w:p>
        </w:tc>
      </w:tr>
      <w:tr w:rsidR="00097078" w14:paraId="158EE8AE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F55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F9B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F069" w14:textId="4CE71DDE" w:rsidR="00097078" w:rsidRPr="00F00A85" w:rsidRDefault="00654CAC" w:rsidP="00044059">
            <w:pPr>
              <w:spacing w:after="40"/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71AB62" wp14:editId="4D927D7F">
                  <wp:extent cx="4696358" cy="3338830"/>
                  <wp:effectExtent l="0" t="0" r="0" b="0"/>
                  <wp:docPr id="14" name="Graf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97078" w:rsidRPr="00DE574B" w14:paraId="1EE12B2F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0A7E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4ED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DB30" w14:textId="0EF15823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07E77">
              <w:rPr>
                <w:sz w:val="16"/>
                <w:szCs w:val="16"/>
              </w:rPr>
              <w:t>V </w:t>
            </w:r>
            <w:r>
              <w:rPr>
                <w:sz w:val="16"/>
                <w:szCs w:val="16"/>
              </w:rPr>
              <w:t>hodnotách FOB (</w:t>
            </w:r>
            <w:r w:rsidRPr="000E201C">
              <w:rPr>
                <w:sz w:val="16"/>
                <w:szCs w:val="16"/>
              </w:rPr>
              <w:t xml:space="preserve">vlastní hodnota zboží </w:t>
            </w:r>
            <w:r w:rsidR="00307E77" w:rsidRPr="000E201C">
              <w:rPr>
                <w:sz w:val="16"/>
                <w:szCs w:val="16"/>
              </w:rPr>
              <w:t>a</w:t>
            </w:r>
            <w:r w:rsidR="00307E77">
              <w:rPr>
                <w:sz w:val="16"/>
                <w:szCs w:val="16"/>
              </w:rPr>
              <w:t> </w:t>
            </w:r>
            <w:r w:rsidRPr="000E201C">
              <w:rPr>
                <w:sz w:val="16"/>
                <w:szCs w:val="16"/>
              </w:rPr>
              <w:t>přímé obchodní náklady s</w:t>
            </w:r>
            <w:r>
              <w:rPr>
                <w:sz w:val="16"/>
                <w:szCs w:val="16"/>
              </w:rPr>
              <w:t xml:space="preserve">pojené </w:t>
            </w:r>
            <w:r w:rsidR="00307E77">
              <w:rPr>
                <w:sz w:val="16"/>
                <w:szCs w:val="16"/>
              </w:rPr>
              <w:t>s </w:t>
            </w:r>
            <w:r>
              <w:rPr>
                <w:sz w:val="16"/>
                <w:szCs w:val="16"/>
              </w:rPr>
              <w:t>dopravou na hranice ČR).</w:t>
            </w:r>
          </w:p>
          <w:p w14:paraId="0C8A79B0" w14:textId="44AEBDF0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Poznámka: </w:t>
            </w:r>
            <w:r w:rsidR="00D873CC">
              <w:rPr>
                <w:sz w:val="16"/>
                <w:szCs w:val="16"/>
              </w:rPr>
              <w:t xml:space="preserve">Čísla </w:t>
            </w:r>
            <w:r w:rsidR="00307E77">
              <w:rPr>
                <w:sz w:val="16"/>
                <w:szCs w:val="16"/>
              </w:rPr>
              <w:t>u </w:t>
            </w:r>
            <w:r>
              <w:rPr>
                <w:sz w:val="16"/>
                <w:szCs w:val="16"/>
              </w:rPr>
              <w:t>sloupců udávají podíl dopravních prostředků na hodnotě vývozu veškerého průmyslového zboží z ČR.</w:t>
            </w:r>
          </w:p>
          <w:p w14:paraId="376AFFB9" w14:textId="77777777" w:rsidR="00097078" w:rsidRPr="000E201C" w:rsidRDefault="00097078" w:rsidP="00044059">
            <w:pPr>
              <w:spacing w:after="220"/>
              <w:rPr>
                <w:sz w:val="16"/>
                <w:szCs w:val="16"/>
              </w:rPr>
            </w:pPr>
            <w:r w:rsidRPr="00741856">
              <w:rPr>
                <w:sz w:val="16"/>
                <w:szCs w:val="16"/>
              </w:rPr>
              <w:t>Zdroj</w:t>
            </w:r>
            <w:r>
              <w:rPr>
                <w:sz w:val="16"/>
                <w:szCs w:val="16"/>
              </w:rPr>
              <w:t>: ČSÚ (národní účty), statistika zahraničního obchodu (vývoz zboží v absolutním vyjádření)</w:t>
            </w:r>
          </w:p>
        </w:tc>
      </w:tr>
      <w:tr w:rsidR="00097078" w:rsidRPr="00F00A85" w14:paraId="19564611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6EC9" w14:textId="3D840829" w:rsidR="00097078" w:rsidRDefault="00097078" w:rsidP="00044059">
            <w:pPr>
              <w:pStyle w:val="Marginlie"/>
            </w:pPr>
            <w:r>
              <w:t>Poměr exportu k HDP v roce 2019 dosáhl v Česku 75</w:t>
            </w:r>
            <w:r w:rsidR="006E33D0">
              <w:t> %</w:t>
            </w:r>
            <w:r>
              <w:t>. Nejvyšší byl před pěti lety v době počínajícího hospodářského oživení.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DE2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3C70" w14:textId="3D206BE1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Vzhledem </w:t>
            </w:r>
            <w:r w:rsidR="00307E77">
              <w:rPr>
                <w:szCs w:val="20"/>
              </w:rPr>
              <w:t>k </w:t>
            </w:r>
            <w:r>
              <w:rPr>
                <w:szCs w:val="20"/>
              </w:rPr>
              <w:t xml:space="preserve">výhodné geografické poloze Česka vůči významným odbytištím v rámci EU, menší velikosti tuzemského trhu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silnému zastoupení podniků pod zahraniční kontrolou je přirozené, že průmysl v ČR vykazuje výraznou proexportní orientaci. To ostatně souvisí s celkovou otevřeností celé české ekonomiky. Tu lze jednoduše hrubě vyjádřit např. poměrem hodnoty celkového vývozu zboží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služeb k vytvořenému HDP. Tato relace činila v roce 2019 necelých 75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v posledních pěti letech se vcelku plynule snižovala. Nejvyšší míry otevřenosti tak bylo dosaženo v roce 2014 (81,9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což s přehledem představuje absolutní maximum v éře samostatné ČR. Tento vrchol souvisel s poměrně rychlým oživením tuzemského průmyslu (po předchozí recesi) </w:t>
            </w:r>
            <w:r w:rsidR="005367E8">
              <w:rPr>
                <w:szCs w:val="20"/>
              </w:rPr>
              <w:t xml:space="preserve">taženým </w:t>
            </w:r>
            <w:r>
              <w:rPr>
                <w:szCs w:val="20"/>
              </w:rPr>
              <w:t xml:space="preserve">rostoucí zahraniční poptávkou, především v zemích </w:t>
            </w:r>
            <w:r w:rsidR="005367E8">
              <w:rPr>
                <w:szCs w:val="20"/>
              </w:rPr>
              <w:t>eurozóny</w:t>
            </w:r>
            <w:r>
              <w:rPr>
                <w:szCs w:val="20"/>
              </w:rPr>
              <w:t>.</w:t>
            </w:r>
          </w:p>
        </w:tc>
      </w:tr>
      <w:tr w:rsidR="00097078" w:rsidRPr="00F00A85" w14:paraId="577690A7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C88E" w14:textId="39255EC5" w:rsidR="00097078" w:rsidRDefault="00307E77" w:rsidP="00044059">
            <w:pPr>
              <w:pStyle w:val="Marginlie"/>
            </w:pPr>
            <w:r>
              <w:t>V </w:t>
            </w:r>
            <w:r w:rsidR="00097078">
              <w:t xml:space="preserve">roce 2019 byla k vývozu z ČR určena třetina veškeré domácí produkce. To bylo zhruba </w:t>
            </w:r>
            <w:r>
              <w:t>o </w:t>
            </w:r>
            <w:r w:rsidR="00097078">
              <w:t>6</w:t>
            </w:r>
            <w:r w:rsidR="006E33D0">
              <w:t> p. b.</w:t>
            </w:r>
            <w:r w:rsidR="00097078">
              <w:t xml:space="preserve"> více než na vrcholu konjunktury předchozí dekády.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A2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AEBE" w14:textId="0D1065A5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Výše uvedený pohled na otevřenost ekonomiky zároveň omezuje možnosti hlubší interpretace, neboť poměřuje celkovou hodnotu produktu (vývoz) s hodnotu přidanou (jež vystupuje jako klíčová složka HDP). Vhodnější alternativu představuje v tomto ohledu poměření vývozu s celkovou hodnotou vytvořenou v ekonomice neočištěnou o hodnotu vstupů (tedy ukazatelem produkce). Podíl celkového vývozu z ČR k celkové produkci čítal v roce 2019 právě 33,3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, rovná třetina domácí produkce byla tedy </w:t>
            </w:r>
            <w:r>
              <w:rPr>
                <w:szCs w:val="20"/>
              </w:rPr>
              <w:lastRenderedPageBreak/>
              <w:t xml:space="preserve">určena k vývozu. Takto zachycená míra otevřenosti české ekonomiky nedoznala v posledních šesti letech výraznějších změn, byť roky 2018 </w:t>
            </w:r>
            <w:r w:rsidR="00352945">
              <w:rPr>
                <w:szCs w:val="20"/>
              </w:rPr>
              <w:t>a </w:t>
            </w:r>
            <w:r>
              <w:rPr>
                <w:szCs w:val="20"/>
              </w:rPr>
              <w:t>2019 naznačovaly mírný pokles. V jeho pozadí stálo citelné zvolnění růstu tuzemského průmyslu (opět</w:t>
            </w:r>
            <w:r w:rsidR="00352945">
              <w:rPr>
                <w:szCs w:val="20"/>
              </w:rPr>
              <w:t xml:space="preserve"> primárně</w:t>
            </w:r>
            <w:r>
              <w:rPr>
                <w:szCs w:val="20"/>
              </w:rPr>
              <w:t xml:space="preserve"> vázané na ochlazení poptávky v </w:t>
            </w:r>
            <w:r w:rsidR="00352945">
              <w:rPr>
                <w:szCs w:val="20"/>
              </w:rPr>
              <w:t>eurozóně</w:t>
            </w:r>
            <w:r>
              <w:rPr>
                <w:szCs w:val="20"/>
              </w:rPr>
              <w:t xml:space="preserve">).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přes tuto dílčí korekci zůstala otevřenost ekonomiky ČR poměrně vysoká, neboť např. na vrcholu konju</w:t>
            </w:r>
            <w:r w:rsidR="00352945">
              <w:rPr>
                <w:szCs w:val="20"/>
              </w:rPr>
              <w:t>n</w:t>
            </w:r>
            <w:r>
              <w:rPr>
                <w:szCs w:val="20"/>
              </w:rPr>
              <w:t>kturního období minulé dekády (2005–2007) bylo vyvezeno jen 27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domácí produkce.</w:t>
            </w:r>
          </w:p>
        </w:tc>
      </w:tr>
      <w:tr w:rsidR="00097078" w:rsidRPr="00F00A85" w14:paraId="2CA5545F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4A81" w14:textId="019EA6A7" w:rsidR="00097078" w:rsidRDefault="00307E77" w:rsidP="00044059">
            <w:pPr>
              <w:pStyle w:val="Marginlie"/>
            </w:pPr>
            <w:r>
              <w:lastRenderedPageBreak/>
              <w:t>V </w:t>
            </w:r>
            <w:r w:rsidR="00097078">
              <w:t>posledních šesti letech putovaly na vývoz stabilně dvě třetiny průmyslové produkce ČR. Dlouhodobý růst exportní orientace tuzemského průmyslu se tak zastavil.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300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2515" w14:textId="5E0CC0A7" w:rsidR="00097078" w:rsidRDefault="00307E77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>přes nezanedbatelnou roli např. příjezdového cestovního ruchu je patrné, že páteří celkového vývozu z ČR je zbožový export (téměř výhradně spojený s produkcí průmyslu</w:t>
            </w:r>
            <w:r w:rsidR="00097078">
              <w:rPr>
                <w:rStyle w:val="Znakapoznpodarou"/>
              </w:rPr>
              <w:footnoteReference w:id="6"/>
            </w:r>
            <w:r w:rsidR="00097078">
              <w:rPr>
                <w:szCs w:val="20"/>
              </w:rPr>
              <w:t>)</w:t>
            </w:r>
            <w:r w:rsidR="00486917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>vývoz služeb tak přestavuje spíše jen doplňkovou složku (v roce 2019 činil podíl vývozu služeb na celkovém exportu 16,3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). Pokud bychom chtěli kvantifikovat exportní orientaci samotného průmyslu, je možné poměřit celkovou hodnotu vývozu zboží s produkcí průmyslu. V tomto případě směřovaly v posledních šesti letech stabilně rovné dvě třetiny tuzemské průmyslové produkce na vývoz. Pro předchozí období</w:t>
            </w:r>
            <w:r w:rsidR="00486917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ohraničené </w:t>
            </w:r>
            <w:r w:rsidR="00486917">
              <w:rPr>
                <w:szCs w:val="20"/>
              </w:rPr>
              <w:t xml:space="preserve">polovinou </w:t>
            </w:r>
            <w:r w:rsidR="00097078">
              <w:rPr>
                <w:szCs w:val="20"/>
              </w:rPr>
              <w:t>9</w:t>
            </w:r>
            <w:r>
              <w:rPr>
                <w:szCs w:val="20"/>
              </w:rPr>
              <w:t>0. </w:t>
            </w:r>
            <w:r w:rsidR="00097078">
              <w:rPr>
                <w:szCs w:val="20"/>
              </w:rPr>
              <w:t>let</w:t>
            </w:r>
            <w:r w:rsidR="00486917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platilo, že s výjimkou let 2006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2008 míra exportní orientace průmyslu ČR setrvale narůstala. Do roku 1997 </w:t>
            </w:r>
            <w:r w:rsidR="00486917">
              <w:rPr>
                <w:szCs w:val="20"/>
              </w:rPr>
              <w:t xml:space="preserve">nepřekračovala </w:t>
            </w:r>
            <w:r w:rsidR="00097078">
              <w:rPr>
                <w:szCs w:val="20"/>
              </w:rPr>
              <w:t>30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 xml:space="preserve">. K výrazné akceleraci došlo v období vstupu ČR do EU (mezi roky 2003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>2005 se otevřenost průmyslu zvýšila ze</w:t>
            </w:r>
            <w:r w:rsidR="00486917">
              <w:rPr>
                <w:szCs w:val="20"/>
              </w:rPr>
              <w:t> </w:t>
            </w:r>
            <w:r w:rsidR="00097078">
              <w:rPr>
                <w:szCs w:val="20"/>
              </w:rPr>
              <w:t>38 na 53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). K dalšímu růstu (</w:t>
            </w:r>
            <w:r>
              <w:rPr>
                <w:szCs w:val="20"/>
              </w:rPr>
              <w:t>o </w:t>
            </w:r>
            <w:r w:rsidR="00097078">
              <w:rPr>
                <w:szCs w:val="20"/>
              </w:rPr>
              <w:t>bezmála 10</w:t>
            </w:r>
            <w:r w:rsidR="006E33D0">
              <w:rPr>
                <w:szCs w:val="20"/>
              </w:rPr>
              <w:t> p. b.</w:t>
            </w:r>
            <w:r w:rsidR="00097078">
              <w:rPr>
                <w:szCs w:val="20"/>
              </w:rPr>
              <w:t xml:space="preserve">) došlo </w:t>
            </w: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 xml:space="preserve">mezi roky 2010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2014. Zde se mohl projevit vliv rychlého oživení průmyslu po krizovém roce 2009 </w:t>
            </w: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 xml:space="preserve">rozšíření společného evropského trhu </w:t>
            </w:r>
            <w:r>
              <w:rPr>
                <w:szCs w:val="20"/>
              </w:rPr>
              <w:t>o </w:t>
            </w:r>
            <w:r w:rsidR="00097078">
              <w:rPr>
                <w:szCs w:val="20"/>
              </w:rPr>
              <w:t>další členské státy.</w:t>
            </w:r>
          </w:p>
        </w:tc>
      </w:tr>
      <w:tr w:rsidR="00097078" w:rsidRPr="00F00A85" w14:paraId="7909ED4A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8DC3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561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B1E7" w14:textId="1C78CF43" w:rsidR="00097078" w:rsidRPr="00F00A85" w:rsidRDefault="00097078" w:rsidP="00044059">
            <w:pPr>
              <w:spacing w:after="4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3  </w:t>
            </w:r>
            <w:r w:rsidRPr="00653B94">
              <w:rPr>
                <w:b/>
                <w:szCs w:val="20"/>
              </w:rPr>
              <w:t>Podíl průmyslu na celkové hrubé přidané hodnotě ve vybraných evropských státech</w:t>
            </w:r>
            <w:r w:rsidRPr="00653B94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653B94">
              <w:rPr>
                <w:szCs w:val="20"/>
              </w:rPr>
              <w:t>v</w:t>
            </w:r>
            <w:r w:rsidR="006E33D0">
              <w:rPr>
                <w:szCs w:val="20"/>
              </w:rPr>
              <w:t> %</w:t>
            </w:r>
            <w:r w:rsidRPr="00653B94">
              <w:rPr>
                <w:szCs w:val="20"/>
              </w:rPr>
              <w:t xml:space="preserve">, srovnání let 2005, 2013 </w:t>
            </w:r>
            <w:r w:rsidR="00307E77" w:rsidRPr="00653B94">
              <w:rPr>
                <w:szCs w:val="20"/>
              </w:rPr>
              <w:t>a</w:t>
            </w:r>
            <w:r w:rsidR="00307E77">
              <w:rPr>
                <w:szCs w:val="20"/>
              </w:rPr>
              <w:t> </w:t>
            </w:r>
            <w:r w:rsidRPr="00653B94">
              <w:rPr>
                <w:szCs w:val="20"/>
              </w:rPr>
              <w:t>2019)</w:t>
            </w:r>
          </w:p>
        </w:tc>
      </w:tr>
      <w:tr w:rsidR="00097078" w:rsidRPr="00F00A85" w14:paraId="78E58B98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323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0A1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00F6" w14:textId="77777777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3CB5AD" wp14:editId="6E0BA13E">
                  <wp:extent cx="4761035" cy="3343275"/>
                  <wp:effectExtent l="0" t="0" r="1905" b="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97078" w:rsidRPr="00F00A85" w14:paraId="5F1B6185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4932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CA1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25D3" w14:textId="77777777" w:rsidR="00307E77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Poznámka: Členské státy současné EU, které do této organizace vstoupily před rokem</w:t>
            </w:r>
            <w:r w:rsidR="006E3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2000, jsou zvýrazněny sytějším odstínem. Zvýrazněny jsou </w:t>
            </w:r>
            <w:r w:rsidR="00307E77">
              <w:rPr>
                <w:sz w:val="16"/>
                <w:szCs w:val="16"/>
              </w:rPr>
              <w:t>i </w:t>
            </w:r>
            <w:r>
              <w:rPr>
                <w:sz w:val="16"/>
                <w:szCs w:val="16"/>
              </w:rPr>
              <w:t>vybrané nečlenské státy EU, za něž jsou dostupná aktuální data.</w:t>
            </w:r>
          </w:p>
          <w:p w14:paraId="280B9337" w14:textId="5FCEDC66" w:rsidR="00097078" w:rsidRPr="00F00A85" w:rsidRDefault="00097078" w:rsidP="00044059">
            <w:pPr>
              <w:spacing w:after="220"/>
              <w:rPr>
                <w:szCs w:val="20"/>
              </w:rPr>
            </w:pPr>
            <w:r w:rsidRPr="00741856">
              <w:rPr>
                <w:sz w:val="16"/>
                <w:szCs w:val="16"/>
              </w:rPr>
              <w:t>Zdroj</w:t>
            </w:r>
            <w:r>
              <w:rPr>
                <w:sz w:val="16"/>
                <w:szCs w:val="16"/>
              </w:rPr>
              <w:t>: Eurostat (národní účty)</w:t>
            </w:r>
          </w:p>
        </w:tc>
      </w:tr>
      <w:tr w:rsidR="00097078" w:rsidRPr="00F00A85" w14:paraId="4390B1A6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239" w14:textId="69EB9F48" w:rsidR="00307E77" w:rsidRDefault="00097078" w:rsidP="00044059">
            <w:pPr>
              <w:pStyle w:val="Marginlie"/>
            </w:pPr>
            <w:r>
              <w:t xml:space="preserve">Podíl průmyslu na přidané hodnotě celé ekonomiky byl v Česku </w:t>
            </w:r>
            <w:r w:rsidR="00307E77">
              <w:t>o </w:t>
            </w:r>
            <w:r>
              <w:t xml:space="preserve">polovinu vyšší než </w:t>
            </w:r>
            <w:r w:rsidR="002F1098">
              <w:lastRenderedPageBreak/>
              <w:t>v </w:t>
            </w:r>
            <w:r>
              <w:t>EU. Řadil tak ČR na druhé místo hned za Irsko.</w:t>
            </w:r>
          </w:p>
          <w:p w14:paraId="1A2E6E83" w14:textId="3AB9D14A" w:rsidR="00097078" w:rsidRDefault="00097078" w:rsidP="00044059">
            <w:pPr>
              <w:pStyle w:val="Marginlie"/>
            </w:pPr>
          </w:p>
          <w:p w14:paraId="0252466D" w14:textId="77777777" w:rsidR="00097078" w:rsidRDefault="00097078" w:rsidP="00044059">
            <w:pPr>
              <w:pStyle w:val="Marginlie"/>
            </w:pPr>
          </w:p>
          <w:p w14:paraId="296464DE" w14:textId="77777777" w:rsidR="00097078" w:rsidRDefault="00097078" w:rsidP="00044059">
            <w:pPr>
              <w:pStyle w:val="Marginlie"/>
            </w:pPr>
          </w:p>
          <w:p w14:paraId="0B7E6502" w14:textId="77777777" w:rsidR="00097078" w:rsidRDefault="00097078" w:rsidP="00044059">
            <w:pPr>
              <w:pStyle w:val="Marginlie"/>
            </w:pPr>
          </w:p>
          <w:p w14:paraId="0AF5A55E" w14:textId="77777777" w:rsidR="00097078" w:rsidRDefault="00097078" w:rsidP="00044059">
            <w:pPr>
              <w:pStyle w:val="Marginlie"/>
            </w:pPr>
          </w:p>
          <w:p w14:paraId="0CD5BE00" w14:textId="77777777" w:rsidR="00097078" w:rsidRDefault="00097078" w:rsidP="00044059">
            <w:pPr>
              <w:pStyle w:val="Marginlie"/>
            </w:pPr>
          </w:p>
          <w:p w14:paraId="7EE6B7F9" w14:textId="77777777" w:rsidR="00097078" w:rsidRDefault="00097078" w:rsidP="00044059">
            <w:pPr>
              <w:pStyle w:val="Marginlie"/>
            </w:pPr>
          </w:p>
          <w:p w14:paraId="742CD193" w14:textId="5E2442CD" w:rsidR="00097078" w:rsidRDefault="00097078" w:rsidP="00044059">
            <w:pPr>
              <w:pStyle w:val="Marginlie"/>
            </w:pPr>
            <w:r>
              <w:t>Váha průmyslu v drtivé</w:t>
            </w:r>
            <w:r w:rsidR="006E33D0">
              <w:t xml:space="preserve"> </w:t>
            </w:r>
            <w:r>
              <w:t>většině států Unie dlouhodobě mírně klesá. Od poslední recese ale nedoznala významnějších změn.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F9F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A6BE" w14:textId="78AC34C4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Česko patří v různých aspektech dlouhodobě k </w:t>
            </w:r>
            <w:r w:rsidR="002F1098">
              <w:rPr>
                <w:szCs w:val="20"/>
              </w:rPr>
              <w:t xml:space="preserve">jedněm </w:t>
            </w:r>
            <w:r>
              <w:rPr>
                <w:szCs w:val="20"/>
              </w:rPr>
              <w:t xml:space="preserve">z nejprůmyslovějších zemí Evropy. Z pohledu podílu hrubé přidané hodnoty vytvořené v průmyslu na HDP </w:t>
            </w:r>
            <w:r w:rsidR="006023F5">
              <w:rPr>
                <w:szCs w:val="20"/>
              </w:rPr>
              <w:t xml:space="preserve">výrazně </w:t>
            </w:r>
            <w:r>
              <w:rPr>
                <w:szCs w:val="20"/>
              </w:rPr>
              <w:t>převyšovalo v</w:t>
            </w:r>
            <w:r w:rsidR="006023F5">
              <w:rPr>
                <w:szCs w:val="20"/>
              </w:rPr>
              <w:t xml:space="preserve"> roce 2019 úroveň celé EU </w:t>
            </w:r>
            <w:r>
              <w:rPr>
                <w:szCs w:val="20"/>
              </w:rPr>
              <w:t>(29,2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ku 19,7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Z jednotlivých členů Unie </w:t>
            </w:r>
            <w:r>
              <w:rPr>
                <w:szCs w:val="20"/>
              </w:rPr>
              <w:lastRenderedPageBreak/>
              <w:t>předčilo ČR pouze Irsko (35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které je však díky </w:t>
            </w:r>
            <w:r w:rsidR="002F1098">
              <w:rPr>
                <w:szCs w:val="20"/>
              </w:rPr>
              <w:t xml:space="preserve">výrazně </w:t>
            </w:r>
            <w:r>
              <w:rPr>
                <w:szCs w:val="20"/>
              </w:rPr>
              <w:t xml:space="preserve">odlišné skladbě průmyslu (vysoký podíl high-tech oborů) </w:t>
            </w:r>
            <w:r w:rsidR="00307E77">
              <w:rPr>
                <w:szCs w:val="20"/>
              </w:rPr>
              <w:t>i </w:t>
            </w:r>
            <w:r w:rsidR="00A0067C">
              <w:rPr>
                <w:szCs w:val="20"/>
              </w:rPr>
              <w:t>silné koncetraci</w:t>
            </w:r>
            <w:r>
              <w:rPr>
                <w:szCs w:val="20"/>
              </w:rPr>
              <w:t xml:space="preserve"> sídel významných nadnárodních korporací s ostatními členy EU do značné míry nesrovnatelné. Přední místa okupovaly s nevelkým odstupem za Českem i ostatní středoevropské státy, které vstoupily do Unie po roce 2000 (novější členové). Průmyslové zaměření je pro novější členské státy typické, výjimku představuje pouze Lotyšsko (15,2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malé ekonomiky (Malta, Kypr). Naopak ze starších členských států EU vykazovaly nadprůměrnou orientaci ekonomiky na průmysl jen Německo (24,2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), Rakousko (21,9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Finsko (20,5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Role Německa je přitom zvlášť významná nejen díky tradičně silným obchodním vazbám s ČR, ale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 absolutní velikosti německého průmyslu (dlouhodobě vytváří více než 30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přidané hodnoty průmyslu celé EU27). Váha průmyslu v ekonomice z pohledu tvorby HPH ve většině států EU dlouhodobě mírně klesala, v poslední dekádě došlo nicméně k určité stabilizaci. Ve srovnání s poslední recesí (rok 2013) nedoznala role průmyslu v roce 2019 významnějších změn. Vedle specifického Irska (+11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 stojí za zmínku jen mírný pokles v některých novějších státech EU, zejména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Rumunsku (–5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), </w:t>
            </w:r>
            <w:r w:rsidR="002F1098">
              <w:rPr>
                <w:szCs w:val="20"/>
              </w:rPr>
              <w:t xml:space="preserve">na </w:t>
            </w:r>
            <w:r>
              <w:rPr>
                <w:szCs w:val="20"/>
              </w:rPr>
              <w:t xml:space="preserve">Maltě, </w:t>
            </w:r>
            <w:r w:rsidR="002F1098">
              <w:rPr>
                <w:szCs w:val="20"/>
              </w:rPr>
              <w:t>v </w:t>
            </w:r>
            <w:r>
              <w:rPr>
                <w:szCs w:val="20"/>
              </w:rPr>
              <w:t>Estonsku či Lotyš</w:t>
            </w:r>
            <w:r w:rsidR="002F1098">
              <w:rPr>
                <w:szCs w:val="20"/>
              </w:rPr>
              <w:t>s</w:t>
            </w:r>
            <w:r>
              <w:rPr>
                <w:szCs w:val="20"/>
              </w:rPr>
              <w:t>ku (shodně –3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). Průmysl má významnou roli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v některých mimounijních evropských ekonomikách, zejména v Norsku, Srbsku či Turecku. V některých z nich jeho váha v posledních letech rostla (Bosna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Hercegovina, Severní Makedonie).</w:t>
            </w:r>
          </w:p>
        </w:tc>
      </w:tr>
      <w:tr w:rsidR="00097078" w:rsidRPr="00F00A85" w14:paraId="08FD00C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F2FD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AAE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3555" w14:textId="519177EC" w:rsidR="00097078" w:rsidRPr="003419D2" w:rsidRDefault="00097078" w:rsidP="00044059">
            <w:pPr>
              <w:spacing w:after="40"/>
              <w:jc w:val="left"/>
            </w:pPr>
            <w:r>
              <w:rPr>
                <w:b/>
              </w:rPr>
              <w:t>Graf</w:t>
            </w:r>
            <w:r w:rsidR="006E33D0">
              <w:rPr>
                <w:b/>
              </w:rPr>
              <w:t xml:space="preserve"> č. </w:t>
            </w:r>
            <w:r w:rsidR="00307E77">
              <w:rPr>
                <w:b/>
              </w:rPr>
              <w:t xml:space="preserve">4  </w:t>
            </w:r>
            <w:r>
              <w:rPr>
                <w:b/>
              </w:rPr>
              <w:t>Podíl</w:t>
            </w:r>
            <w:r w:rsidRPr="00A25438">
              <w:rPr>
                <w:b/>
              </w:rPr>
              <w:t xml:space="preserve"> </w:t>
            </w:r>
            <w:r>
              <w:rPr>
                <w:b/>
              </w:rPr>
              <w:t>průmyslu na celkové zaměstnanosti ve vybraných evropských státech</w:t>
            </w:r>
            <w:r>
              <w:t xml:space="preserve"> (v</w:t>
            </w:r>
            <w:r w:rsidR="006E33D0">
              <w:t> %</w:t>
            </w:r>
            <w:r>
              <w:t xml:space="preserve">, srovnání let 2005, 2013 </w:t>
            </w:r>
            <w:r w:rsidR="00307E77">
              <w:t>a </w:t>
            </w:r>
            <w:r>
              <w:t>2019)</w:t>
            </w:r>
          </w:p>
        </w:tc>
      </w:tr>
      <w:tr w:rsidR="00097078" w:rsidRPr="00F00A85" w14:paraId="782A8A11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B8B8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504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4B59" w14:textId="77777777" w:rsidR="00097078" w:rsidRPr="00F00A85" w:rsidRDefault="00097078" w:rsidP="00044059">
            <w:pPr>
              <w:spacing w:after="4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D1DB52" wp14:editId="6B657C3F">
                  <wp:extent cx="4781551" cy="3343275"/>
                  <wp:effectExtent l="0" t="0" r="0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97078" w:rsidRPr="00F00A85" w14:paraId="1A2CC2D6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AE62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90F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F3E9" w14:textId="613FAF34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Poznámka: Barevné zvýraznění států – viz graf</w:t>
            </w:r>
            <w:r w:rsidR="006E33D0">
              <w:rPr>
                <w:sz w:val="16"/>
                <w:szCs w:val="16"/>
              </w:rPr>
              <w:t xml:space="preserve"> č. </w:t>
            </w:r>
            <w:r>
              <w:rPr>
                <w:sz w:val="16"/>
                <w:szCs w:val="16"/>
              </w:rPr>
              <w:t>3.</w:t>
            </w:r>
          </w:p>
          <w:p w14:paraId="29A0D589" w14:textId="7767A534" w:rsidR="00097078" w:rsidRPr="00F00A85" w:rsidRDefault="00FD4056" w:rsidP="00044059">
            <w:pPr>
              <w:spacing w:after="220"/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Zdroj: </w:t>
            </w:r>
            <w:r w:rsidR="00097078">
              <w:rPr>
                <w:sz w:val="16"/>
                <w:szCs w:val="16"/>
              </w:rPr>
              <w:t>Eurostat (národní účty)</w:t>
            </w:r>
          </w:p>
        </w:tc>
      </w:tr>
      <w:tr w:rsidR="00097078" w:rsidRPr="00F00A85" w14:paraId="0458514D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0991" w14:textId="2461A6B4" w:rsidR="00307E77" w:rsidRDefault="00097078" w:rsidP="00044059">
            <w:pPr>
              <w:pStyle w:val="Marginlie"/>
            </w:pPr>
            <w:r>
              <w:t xml:space="preserve">Podílem průmyslu na celkové zaměstnanosti převyšuje Česko všechny státy </w:t>
            </w:r>
            <w:r w:rsidR="008703A1">
              <w:t>náležející v současnosti</w:t>
            </w:r>
            <w:r>
              <w:t xml:space="preserve"> do EU již více než dvacet let.</w:t>
            </w:r>
          </w:p>
          <w:p w14:paraId="77DDC307" w14:textId="3B594C1F" w:rsidR="00097078" w:rsidRDefault="00097078" w:rsidP="00044059">
            <w:pPr>
              <w:pStyle w:val="Marginlie"/>
            </w:pPr>
          </w:p>
          <w:p w14:paraId="118FD942" w14:textId="77777777" w:rsidR="00097078" w:rsidRDefault="00097078" w:rsidP="00044059">
            <w:pPr>
              <w:pStyle w:val="Marginlie"/>
            </w:pPr>
          </w:p>
          <w:p w14:paraId="568E7A3D" w14:textId="77777777" w:rsidR="00097078" w:rsidRDefault="00097078" w:rsidP="00044059">
            <w:pPr>
              <w:pStyle w:val="Marginlie"/>
            </w:pPr>
          </w:p>
          <w:p w14:paraId="32F45805" w14:textId="04254FCE" w:rsidR="00097078" w:rsidRDefault="00097078" w:rsidP="00044059">
            <w:pPr>
              <w:pStyle w:val="Marginlie"/>
            </w:pPr>
            <w:r>
              <w:t xml:space="preserve">Méně než desetina všech pracovníků nacházela </w:t>
            </w:r>
            <w:r>
              <w:lastRenderedPageBreak/>
              <w:t xml:space="preserve">uplatnění </w:t>
            </w:r>
            <w:r w:rsidR="008703A1">
              <w:t>v </w:t>
            </w:r>
            <w:r>
              <w:t xml:space="preserve">průmyslu v Řecku, Franci </w:t>
            </w:r>
            <w:r w:rsidR="00307E77">
              <w:t>i </w:t>
            </w:r>
            <w:r w:rsidR="008703A1">
              <w:t xml:space="preserve">ve </w:t>
            </w:r>
            <w:r>
              <w:t>většině států Beneluxu.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73D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9F2C" w14:textId="18425859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Strategická role tuzemského průmyslu v evropském kontextu ještě vynikne, budeme-li jako měřítko jeho významu brát rozsah poskytovaných pracovních příležitostí. Z pohledu podílu průmyslu na celkové zaměstnanosti převyšovala ČR v roce 2019 úroveň celé EU téměř dvojnásobně (28,7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ku 16,2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). Česku zároveň patřil primát mezi 27</w:t>
            </w:r>
            <w:r w:rsidR="008703A1">
              <w:rPr>
                <w:szCs w:val="20"/>
              </w:rPr>
              <w:t> </w:t>
            </w:r>
            <w:r>
              <w:rPr>
                <w:szCs w:val="20"/>
              </w:rPr>
              <w:t xml:space="preserve">současnými státy Unie,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to již nepřetržitě více než dvě dekády. Před rokem 1997 bylo v tomto ohledu nejprůmyslovějším státem současné EU Slovinsko. </w:t>
            </w:r>
            <w:r w:rsidR="00F7746D">
              <w:rPr>
                <w:szCs w:val="20"/>
              </w:rPr>
              <w:t>Do devítky</w:t>
            </w:r>
            <w:r>
              <w:rPr>
                <w:szCs w:val="20"/>
              </w:rPr>
              <w:t xml:space="preserve"> zemí s největší váhou průmyslu (přesahující 20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 patřily v roce 2019 výhradně novější členské státy Unie. S tím kontrastovala situace v Lucembursku, Nizozemsku, Řecku </w:t>
            </w:r>
            <w:r w:rsidR="00F7746D">
              <w:rPr>
                <w:szCs w:val="20"/>
              </w:rPr>
              <w:t>a </w:t>
            </w:r>
            <w:r>
              <w:rPr>
                <w:szCs w:val="20"/>
              </w:rPr>
              <w:t xml:space="preserve">Francii, kde uplatnění v průmyslu nenacházela ani desetina obyvatel. </w:t>
            </w:r>
            <w:r>
              <w:rPr>
                <w:szCs w:val="20"/>
              </w:rPr>
              <w:lastRenderedPageBreak/>
              <w:t xml:space="preserve">Podprůměrnou hodnotu </w:t>
            </w:r>
            <w:r w:rsidR="00F7746D">
              <w:rPr>
                <w:szCs w:val="20"/>
              </w:rPr>
              <w:t xml:space="preserve">vykazovalo </w:t>
            </w:r>
            <w:r>
              <w:rPr>
                <w:szCs w:val="20"/>
              </w:rPr>
              <w:t>rovněž Irsko (11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které tak na rozdíl od ukazatele HPH </w:t>
            </w:r>
            <w:r w:rsidR="00F7746D">
              <w:rPr>
                <w:szCs w:val="20"/>
              </w:rPr>
              <w:t>z </w:t>
            </w:r>
            <w:r>
              <w:rPr>
                <w:szCs w:val="20"/>
              </w:rPr>
              <w:t xml:space="preserve">jádrových států EU nikterak nevybočovalo. Ve všech sledovaných státech (včetně vybraných mimounijních ekonomik) se váha průmyslu mezi roky 2005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2019 snížila (výjimkou bylo Polsko). V samotném období hospodářského růstu (2014 až 2019) již zůstala relativní zaměstnanost v průmyslu bez významných změn.</w:t>
            </w:r>
          </w:p>
        </w:tc>
      </w:tr>
      <w:tr w:rsidR="00097078" w:rsidRPr="00F00A85" w14:paraId="4F845461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A341" w14:textId="51A12344" w:rsidR="00097078" w:rsidRDefault="00307E77" w:rsidP="00044059">
            <w:pPr>
              <w:pStyle w:val="Marginlie"/>
            </w:pPr>
            <w:r>
              <w:lastRenderedPageBreak/>
              <w:t>V </w:t>
            </w:r>
            <w:r w:rsidR="00097078">
              <w:t>Česku na rozdíl od většiny států EU podíl průmyslu na HPH významně nepřevyšoval obdobný podíl na zaměstnanosti.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DBD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92AA" w14:textId="174EEB09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V roce 2019 byl</w:t>
            </w:r>
            <w:r w:rsidR="0041758E">
              <w:rPr>
                <w:szCs w:val="20"/>
              </w:rPr>
              <w:t xml:space="preserve"> vyšší</w:t>
            </w:r>
            <w:r>
              <w:rPr>
                <w:szCs w:val="20"/>
              </w:rPr>
              <w:t xml:space="preserve"> podíl průmyslu na zaměstnanosti než na přidané hodnotě pouze v šesti vesměs velmi malých </w:t>
            </w:r>
            <w:r w:rsidR="00DA7C43">
              <w:rPr>
                <w:szCs w:val="20"/>
              </w:rPr>
              <w:t xml:space="preserve">evropských </w:t>
            </w:r>
            <w:r>
              <w:rPr>
                <w:szCs w:val="20"/>
              </w:rPr>
              <w:t>ekonomikách (Lucembursko, Estonsko, Lotyš</w:t>
            </w:r>
            <w:r w:rsidR="00DA7C43">
              <w:rPr>
                <w:szCs w:val="20"/>
              </w:rPr>
              <w:t>s</w:t>
            </w:r>
            <w:r>
              <w:rPr>
                <w:szCs w:val="20"/>
              </w:rPr>
              <w:t xml:space="preserve">ko, Malta, Kypr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Chorvatsko). Naopak disproporčně silná role HPH byla nejvíce patrná v Irsku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Norsku, v menší míře také v Dánsku, Švýcarsku, Finsku, Rakousku, Nizozemsku, Švédsku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Německu. To v těchto státech poukazovalo na celkově vyšší produktivitu práce</w:t>
            </w:r>
            <w:r w:rsidR="00DA7C43">
              <w:rPr>
                <w:szCs w:val="20"/>
              </w:rPr>
              <w:t>,</w:t>
            </w:r>
            <w:r>
              <w:rPr>
                <w:szCs w:val="20"/>
              </w:rPr>
              <w:t xml:space="preserve"> mnohdy podpořenou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specifickou skladbou průmyslových oborů (</w:t>
            </w:r>
            <w:r w:rsidR="00307E77">
              <w:rPr>
                <w:szCs w:val="20"/>
              </w:rPr>
              <w:t>s </w:t>
            </w:r>
            <w:r>
              <w:rPr>
                <w:szCs w:val="20"/>
              </w:rPr>
              <w:t xml:space="preserve">významnějším zastoupením high-tech aktivit). Do této skupiny lze z novějších členských států Unie přiřadit patrně jen Slovinsko, kde v průmyslu podíl HPH převyšoval podíl zaměstnanosti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3,5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 (shodně jako v celé EU). V Česku, podobně jako v Polsku, </w:t>
            </w:r>
            <w:r w:rsidR="00DA7C43">
              <w:rPr>
                <w:szCs w:val="20"/>
              </w:rPr>
              <w:t xml:space="preserve">na </w:t>
            </w:r>
            <w:r>
              <w:rPr>
                <w:szCs w:val="20"/>
              </w:rPr>
              <w:t xml:space="preserve">Slovensku či </w:t>
            </w:r>
            <w:r w:rsidR="00DA7C43">
              <w:rPr>
                <w:szCs w:val="20"/>
              </w:rPr>
              <w:t>v </w:t>
            </w:r>
            <w:r>
              <w:rPr>
                <w:szCs w:val="20"/>
              </w:rPr>
              <w:t>Portugalsku byl rozdíl vah mezi oběma ukazateli minimální.</w:t>
            </w:r>
          </w:p>
        </w:tc>
      </w:tr>
      <w:tr w:rsidR="00097078" w:rsidRPr="00F00A85" w14:paraId="7565CD3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F82A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1E7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0EA7" w14:textId="5CE24313" w:rsidR="00097078" w:rsidRPr="00F00A85" w:rsidRDefault="00097078" w:rsidP="00044059">
            <w:pPr>
              <w:spacing w:after="4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5  </w:t>
            </w:r>
            <w:r>
              <w:rPr>
                <w:b/>
                <w:szCs w:val="20"/>
              </w:rPr>
              <w:t>Podíl</w:t>
            </w:r>
            <w:r w:rsidRPr="000E201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hodnoty </w:t>
            </w:r>
            <w:r w:rsidRPr="000E201C">
              <w:rPr>
                <w:b/>
                <w:szCs w:val="20"/>
              </w:rPr>
              <w:t>vývozu</w:t>
            </w:r>
            <w:r>
              <w:rPr>
                <w:b/>
                <w:szCs w:val="20"/>
              </w:rPr>
              <w:t xml:space="preserve"> zboží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>služeb na produkci</w:t>
            </w:r>
            <w:r w:rsidRPr="00653B9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v celé ekonomice </w:t>
            </w:r>
            <w:r w:rsidRPr="00653B94">
              <w:rPr>
                <w:b/>
                <w:szCs w:val="20"/>
              </w:rPr>
              <w:t>ve vybraných evropských státech</w:t>
            </w:r>
            <w:r w:rsidRPr="00653B94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653B94">
              <w:rPr>
                <w:szCs w:val="20"/>
              </w:rPr>
              <w:t>v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, srovnání let 2005, 2012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2018</w:t>
            </w:r>
            <w:r w:rsidRPr="00653B94">
              <w:rPr>
                <w:szCs w:val="20"/>
              </w:rPr>
              <w:t>)</w:t>
            </w:r>
          </w:p>
        </w:tc>
      </w:tr>
      <w:tr w:rsidR="00097078" w:rsidRPr="00F00A85" w14:paraId="6A17BA67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D228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294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8DC48" w14:textId="08FF4817" w:rsidR="00097078" w:rsidRPr="00F00A85" w:rsidRDefault="00654CAC" w:rsidP="00044059">
            <w:pPr>
              <w:spacing w:after="4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7D4F08" wp14:editId="0DD2860B">
                  <wp:extent cx="4780490" cy="3438525"/>
                  <wp:effectExtent l="0" t="0" r="1270" b="0"/>
                  <wp:docPr id="32" name="Graf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97078" w:rsidRPr="00F00A85" w14:paraId="4AC8F1EF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F23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DD1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003D" w14:textId="77777777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 w:val="16"/>
                <w:szCs w:val="16"/>
              </w:rPr>
              <w:t>Zdroj: Eurostat (národní účty)</w:t>
            </w:r>
          </w:p>
        </w:tc>
      </w:tr>
      <w:tr w:rsidR="00097078" w:rsidRPr="00F00A85" w14:paraId="7AE27ED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3BE0" w14:textId="77777777" w:rsidR="00307E77" w:rsidRDefault="00097078" w:rsidP="00044059">
            <w:pPr>
              <w:pStyle w:val="Marginlie"/>
            </w:pPr>
            <w:r>
              <w:t>Česko patří v rámci EU k nadprůměrně otevřeným ekonomikám.</w:t>
            </w:r>
          </w:p>
          <w:p w14:paraId="18E1627B" w14:textId="40DDE461" w:rsidR="00097078" w:rsidRDefault="00097078" w:rsidP="00044059">
            <w:pPr>
              <w:pStyle w:val="Marginlie"/>
            </w:pPr>
          </w:p>
          <w:p w14:paraId="198BC0F5" w14:textId="77777777" w:rsidR="00097078" w:rsidRDefault="00097078" w:rsidP="00044059">
            <w:pPr>
              <w:pStyle w:val="Marginlie"/>
            </w:pPr>
          </w:p>
          <w:p w14:paraId="21763A4B" w14:textId="77777777" w:rsidR="00097078" w:rsidRDefault="00097078" w:rsidP="00044059">
            <w:pPr>
              <w:pStyle w:val="Marginlie"/>
            </w:pPr>
          </w:p>
          <w:p w14:paraId="4FA70711" w14:textId="77777777" w:rsidR="00097078" w:rsidRDefault="00097078" w:rsidP="00044059">
            <w:pPr>
              <w:pStyle w:val="Marginlie"/>
            </w:pPr>
          </w:p>
          <w:p w14:paraId="55C6FD61" w14:textId="77777777" w:rsidR="00097078" w:rsidRDefault="00097078" w:rsidP="00044059">
            <w:pPr>
              <w:pStyle w:val="Marginlie"/>
            </w:pPr>
          </w:p>
          <w:p w14:paraId="4DF342C9" w14:textId="6AAA3E71" w:rsidR="00097078" w:rsidRPr="007770C6" w:rsidRDefault="00097078" w:rsidP="00044059">
            <w:pPr>
              <w:pStyle w:val="Marginlie"/>
              <w:rPr>
                <w:spacing w:val="-4"/>
              </w:rPr>
            </w:pPr>
            <w:r w:rsidRPr="007770C6">
              <w:rPr>
                <w:spacing w:val="-4"/>
              </w:rPr>
              <w:t xml:space="preserve">Podíl zbožového exportu na celkové produkci dosáhl v ČR v roce 2018 výše </w:t>
            </w:r>
            <w:r>
              <w:rPr>
                <w:spacing w:val="-4"/>
              </w:rPr>
              <w:t>28,5</w:t>
            </w:r>
            <w:r>
              <w:t> </w:t>
            </w:r>
            <w:r w:rsidRPr="007770C6">
              <w:rPr>
                <w:spacing w:val="-4"/>
              </w:rPr>
              <w:t xml:space="preserve">% </w:t>
            </w:r>
            <w:r w:rsidR="00307E77" w:rsidRPr="007770C6">
              <w:rPr>
                <w:spacing w:val="-4"/>
              </w:rPr>
              <w:t>a</w:t>
            </w:r>
            <w:r w:rsidR="00307E77">
              <w:rPr>
                <w:spacing w:val="-4"/>
              </w:rPr>
              <w:t> </w:t>
            </w:r>
            <w:r w:rsidRPr="007770C6">
              <w:rPr>
                <w:spacing w:val="-4"/>
              </w:rPr>
              <w:t>byl osmý nejvyšší v EU.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FCFA" w14:textId="77777777" w:rsidR="00097078" w:rsidRPr="00CE354E" w:rsidRDefault="00097078" w:rsidP="00044059">
            <w:pPr>
              <w:pStyle w:val="Textpoznpodarou10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C222" w14:textId="2250501A" w:rsidR="00097078" w:rsidRPr="00CE354E" w:rsidRDefault="00097078" w:rsidP="00044059">
            <w:pPr>
              <w:spacing w:after="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Nejotevřenějšími ekonomikami EU jsou dlouhodobě Irsko, Lucembursko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Malta. V roce 2018 v nich více než 55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vyrobené produkce putovalo na export. V těchto státech se ale společně s Kyprem, Chorvatskem či mimounjiním Islandem </w:t>
            </w:r>
            <w:r w:rsidR="00984C37">
              <w:rPr>
                <w:spacing w:val="-2"/>
                <w:szCs w:val="20"/>
              </w:rPr>
              <w:t xml:space="preserve">nebo </w:t>
            </w:r>
            <w:r>
              <w:rPr>
                <w:spacing w:val="-2"/>
                <w:szCs w:val="20"/>
              </w:rPr>
              <w:t>Černou Horou na vysoké hodnotě celkového exportu podíl</w:t>
            </w:r>
            <w:r w:rsidR="00984C37">
              <w:rPr>
                <w:spacing w:val="-2"/>
                <w:szCs w:val="20"/>
              </w:rPr>
              <w:t>ej</w:t>
            </w:r>
            <w:r>
              <w:rPr>
                <w:spacing w:val="-2"/>
                <w:szCs w:val="20"/>
              </w:rPr>
              <w:t xml:space="preserve">í převážně služby. Tyto státy jsou relativně atraktivními turistickými destinacemi, popř. soustřeďují některé specializované služby (např. finanční). Odhlédneme-li od této skutečnosti, pak nejvyšší relace zbožového exportu </w:t>
            </w:r>
            <w:r w:rsidR="00307E77">
              <w:rPr>
                <w:spacing w:val="-2"/>
                <w:szCs w:val="20"/>
              </w:rPr>
              <w:t>k </w:t>
            </w:r>
            <w:r>
              <w:rPr>
                <w:spacing w:val="-2"/>
                <w:szCs w:val="20"/>
              </w:rPr>
              <w:t>celkové domácí produkci dosáhlo Slovensko (36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), následované Slovinskem (35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) a Maďarskem (34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). Hodnota </w:t>
            </w:r>
            <w:r w:rsidR="00307E77">
              <w:rPr>
                <w:spacing w:val="-2"/>
                <w:szCs w:val="20"/>
              </w:rPr>
              <w:t>v </w:t>
            </w:r>
            <w:r>
              <w:rPr>
                <w:spacing w:val="-2"/>
                <w:szCs w:val="20"/>
              </w:rPr>
              <w:t>Česku (28,5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) byla mezi členy Unie osmá nejvyšší. Z populačně srovnatelných států dosáhly vyšší vývozní orientace než ČR jen Belgie, Nizozemsko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Maďarsko. Spíše jen průměrnou otevřeností </w:t>
            </w:r>
            <w:r w:rsidR="00984C37">
              <w:rPr>
                <w:spacing w:val="-2"/>
                <w:szCs w:val="20"/>
              </w:rPr>
              <w:t>z </w:t>
            </w:r>
            <w:r>
              <w:rPr>
                <w:spacing w:val="-2"/>
                <w:szCs w:val="20"/>
              </w:rPr>
              <w:t xml:space="preserve">hlediska zbožového exportu se v kontextu celé EU vyznačují Polsko </w:t>
            </w:r>
            <w:r w:rsidR="00984C3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Rakousko (22, resp. 21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). Ta obecně souvisí zejména s velikostí ekonomiky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geografickou polohou. Určitou roli ale hraje </w:t>
            </w:r>
            <w:r w:rsidR="00307E77">
              <w:rPr>
                <w:spacing w:val="-2"/>
                <w:szCs w:val="20"/>
              </w:rPr>
              <w:lastRenderedPageBreak/>
              <w:t>i </w:t>
            </w:r>
            <w:r>
              <w:rPr>
                <w:spacing w:val="-2"/>
                <w:szCs w:val="20"/>
              </w:rPr>
              <w:t>vnitřní odvětvová skladba průmyslu. Konečně hlubší intepretaci</w:t>
            </w:r>
            <w:r w:rsidR="00984C37">
              <w:rPr>
                <w:spacing w:val="-2"/>
                <w:szCs w:val="20"/>
              </w:rPr>
              <w:t>,</w:t>
            </w:r>
            <w:r>
              <w:rPr>
                <w:spacing w:val="-2"/>
                <w:szCs w:val="20"/>
              </w:rPr>
              <w:t xml:space="preserve"> zejména pokud jde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 xml:space="preserve">vývojové tendence, omezuje fakt, že srovnatelnost objemu zahraničního obchodu napříč státy má stále svá úskalí (např.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 xml:space="preserve">zemí, </w:t>
            </w:r>
            <w:r w:rsidR="00984C37">
              <w:rPr>
                <w:spacing w:val="-2"/>
                <w:szCs w:val="20"/>
              </w:rPr>
              <w:t xml:space="preserve">které </w:t>
            </w:r>
            <w:r>
              <w:rPr>
                <w:spacing w:val="-2"/>
                <w:szCs w:val="20"/>
              </w:rPr>
              <w:t>plní funkci významných logistických center v rámci EU).</w:t>
            </w:r>
          </w:p>
        </w:tc>
      </w:tr>
    </w:tbl>
    <w:p w14:paraId="1E524A5E" w14:textId="6428ABD0" w:rsidR="00921A5C" w:rsidRPr="002C154B" w:rsidRDefault="00921A5C" w:rsidP="00BA257C">
      <w:pPr>
        <w:spacing w:after="160" w:line="259" w:lineRule="auto"/>
        <w:jc w:val="left"/>
        <w:rPr>
          <w:sz w:val="2"/>
          <w:szCs w:val="2"/>
        </w:rPr>
      </w:pPr>
    </w:p>
    <w:sectPr w:rsidR="00921A5C" w:rsidRPr="002C154B" w:rsidSect="006F541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2AD8" w16cid:durableId="23837235"/>
  <w16cid:commentId w16cid:paraId="349E0065" w16cid:durableId="2383738F"/>
  <w16cid:commentId w16cid:paraId="70323CDE" w16cid:durableId="23837548"/>
  <w16cid:commentId w16cid:paraId="72539BE7" w16cid:durableId="2386DE07"/>
  <w16cid:commentId w16cid:paraId="11D8F9A5" w16cid:durableId="23849388"/>
  <w16cid:commentId w16cid:paraId="09132031" w16cid:durableId="238495BE"/>
  <w16cid:commentId w16cid:paraId="7EB7DE74" w16cid:durableId="238496FC"/>
  <w16cid:commentId w16cid:paraId="4537AB62" w16cid:durableId="2384B67A"/>
  <w16cid:commentId w16cid:paraId="733CEAEE" w16cid:durableId="2384A413"/>
  <w16cid:commentId w16cid:paraId="6D4EA8B4" w16cid:durableId="2384C00C"/>
  <w16cid:commentId w16cid:paraId="4E5C825E" w16cid:durableId="2384C359"/>
  <w16cid:commentId w16cid:paraId="704695B7" w16cid:durableId="2384C623"/>
  <w16cid:commentId w16cid:paraId="5005EA8D" w16cid:durableId="2384EB9C"/>
  <w16cid:commentId w16cid:paraId="4FAEE49E" w16cid:durableId="2384EA6D"/>
  <w16cid:commentId w16cid:paraId="1803CB1D" w16cid:durableId="2384F215"/>
  <w16cid:commentId w16cid:paraId="750B1B6F" w16cid:durableId="2384F56F"/>
  <w16cid:commentId w16cid:paraId="4D3465C5" w16cid:durableId="2384F7F1"/>
  <w16cid:commentId w16cid:paraId="3E5A7AF7" w16cid:durableId="2384F77E"/>
  <w16cid:commentId w16cid:paraId="04798E97" w16cid:durableId="2385BB3F"/>
  <w16cid:commentId w16cid:paraId="7271199B" w16cid:durableId="2385BBA9"/>
  <w16cid:commentId w16cid:paraId="7C02A283" w16cid:durableId="2385BF49"/>
  <w16cid:commentId w16cid:paraId="139C2364" w16cid:durableId="2386025E"/>
  <w16cid:commentId w16cid:paraId="57E4EF6D" w16cid:durableId="2386084B"/>
  <w16cid:commentId w16cid:paraId="493AAA68" w16cid:durableId="23860DAB"/>
  <w16cid:commentId w16cid:paraId="643B8604" w16cid:durableId="23861055"/>
  <w16cid:commentId w16cid:paraId="025F2620" w16cid:durableId="238612E3"/>
  <w16cid:commentId w16cid:paraId="0AC073A7" w16cid:durableId="2386145F"/>
  <w16cid:commentId w16cid:paraId="6DD3E6B0" w16cid:durableId="238616B3"/>
  <w16cid:commentId w16cid:paraId="79F18DB0" w16cid:durableId="23861655"/>
  <w16cid:commentId w16cid:paraId="56FA7E4B" w16cid:durableId="2386106D"/>
  <w16cid:commentId w16cid:paraId="2B9CFEB3" w16cid:durableId="23861F26"/>
  <w16cid:commentId w16cid:paraId="7C843B15" w16cid:durableId="238622D0"/>
  <w16cid:commentId w16cid:paraId="35AEB49B" w16cid:durableId="23862367"/>
  <w16cid:commentId w16cid:paraId="7F3CBEDF" w16cid:durableId="23860305"/>
  <w16cid:commentId w16cid:paraId="77820AE3" w16cid:durableId="2386D3D0"/>
  <w16cid:commentId w16cid:paraId="4E8ADA6F" w16cid:durableId="2386D323"/>
  <w16cid:commentId w16cid:paraId="6E4281BD" w16cid:durableId="2386DF12"/>
  <w16cid:commentId w16cid:paraId="5100CD21" w16cid:durableId="2386E459"/>
  <w16cid:commentId w16cid:paraId="41BC835A" w16cid:durableId="2386D5A2"/>
  <w16cid:commentId w16cid:paraId="543C07C7" w16cid:durableId="2386EAF8"/>
  <w16cid:commentId w16cid:paraId="5B600DF4" w16cid:durableId="2386D881"/>
  <w16cid:commentId w16cid:paraId="0D295971" w16cid:durableId="2386D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FA00" w14:textId="77777777" w:rsidR="00CF1396" w:rsidRDefault="00CF1396" w:rsidP="00E71A58">
      <w:r>
        <w:separator/>
      </w:r>
    </w:p>
  </w:endnote>
  <w:endnote w:type="continuationSeparator" w:id="0">
    <w:p w14:paraId="3DD2D5D7" w14:textId="77777777" w:rsidR="00CF1396" w:rsidRDefault="00CF13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C369" w14:textId="6433A258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4CBC08E" wp14:editId="37A6C6E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A257C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="00067B81"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F496" w14:textId="7E935A65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1429520E" wp14:editId="103D972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="00067B81"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A257C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B20F" w14:textId="77777777" w:rsidR="00CF1396" w:rsidRDefault="00CF1396" w:rsidP="0084727E">
      <w:pPr>
        <w:spacing w:after="0"/>
      </w:pPr>
      <w:r>
        <w:separator/>
      </w:r>
    </w:p>
  </w:footnote>
  <w:footnote w:type="continuationSeparator" w:id="0">
    <w:p w14:paraId="2299EB11" w14:textId="77777777" w:rsidR="00CF1396" w:rsidRDefault="00CF1396" w:rsidP="00E71A58">
      <w:r>
        <w:continuationSeparator/>
      </w:r>
    </w:p>
  </w:footnote>
  <w:footnote w:id="1">
    <w:p w14:paraId="25DCE2F4" w14:textId="0078BA68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Není-li</w:t>
      </w:r>
      <w:r>
        <w:rPr>
          <w:sz w:val="16"/>
          <w:szCs w:val="16"/>
        </w:rPr>
        <w:t xml:space="preserve"> </w:t>
      </w:r>
      <w:r w:rsidRPr="00C8155D">
        <w:rPr>
          <w:sz w:val="16"/>
          <w:szCs w:val="16"/>
        </w:rPr>
        <w:t>uvedeno jinak, je v celé publikaci průmysl</w:t>
      </w:r>
      <w:r>
        <w:rPr>
          <w:sz w:val="16"/>
          <w:szCs w:val="16"/>
        </w:rPr>
        <w:t xml:space="preserve"> pojímán</w:t>
      </w:r>
      <w:r w:rsidRPr="00C8155D">
        <w:rPr>
          <w:sz w:val="16"/>
          <w:szCs w:val="16"/>
        </w:rPr>
        <w:t xml:space="preserve"> jako soubor </w:t>
      </w:r>
      <w:r>
        <w:rPr>
          <w:sz w:val="16"/>
          <w:szCs w:val="16"/>
        </w:rPr>
        <w:t>aktivit zahrnující odvětví dle statistické klasifikace CZ-NACE: sekce </w:t>
      </w:r>
      <w:r w:rsidRPr="00C8155D">
        <w:rPr>
          <w:sz w:val="16"/>
          <w:szCs w:val="16"/>
        </w:rPr>
        <w:t>B</w:t>
      </w:r>
      <w:r>
        <w:rPr>
          <w:sz w:val="16"/>
          <w:szCs w:val="16"/>
        </w:rPr>
        <w:t xml:space="preserve"> </w:t>
      </w:r>
      <w:r w:rsidRPr="00C8155D">
        <w:rPr>
          <w:sz w:val="16"/>
          <w:szCs w:val="16"/>
        </w:rPr>
        <w:t>(Těžba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dobývání), C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(Zpracovatelský průmysl), D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(Výroba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rozvod elektřiny, tepla, plynu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klimatizovaného vzduchu)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E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(Zásobování vodou, činnosti související s odpadními vodami, odpady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sanacemi).</w:t>
      </w:r>
    </w:p>
  </w:footnote>
  <w:footnote w:id="2">
    <w:p w14:paraId="25FB6310" w14:textId="77777777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Produkce je vyjádřena dle pojetí národních účtů.</w:t>
      </w:r>
    </w:p>
  </w:footnote>
  <w:footnote w:id="3">
    <w:p w14:paraId="38142E09" w14:textId="3B61EEF8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V roce 2019 činil tento podíl v průmyslu 71,8 %, v celé ekonomice necelých 60 %. Z ostatních odvětví zaznamenaly vysoký podíl mezispotřeby např. stavebnictví (69,5 %), zemědělství, lesnictví a rybářství (61,7 %) či doprava a skladování (61,3 %).</w:t>
      </w:r>
    </w:p>
  </w:footnote>
  <w:footnote w:id="4">
    <w:p w14:paraId="7936E536" w14:textId="14E0F054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Všechny údaje o zaměstnanosti vycházejí z dat národních účtů a jsou vyjádřeny v přepočtu na plné úvazky.</w:t>
      </w:r>
    </w:p>
  </w:footnote>
  <w:footnote w:id="5">
    <w:p w14:paraId="4A042F92" w14:textId="2F20383B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Mzdy a platy vycházejí z dat národních účtů a zahrnují např.</w:t>
      </w:r>
      <w:r w:rsidRPr="007C4B70">
        <w:rPr>
          <w:sz w:val="16"/>
          <w:szCs w:val="16"/>
        </w:rPr>
        <w:t xml:space="preserve"> i</w:t>
      </w:r>
      <w:r>
        <w:rPr>
          <w:sz w:val="16"/>
          <w:szCs w:val="16"/>
        </w:rPr>
        <w:t> </w:t>
      </w:r>
      <w:r w:rsidRPr="007C4B70">
        <w:rPr>
          <w:sz w:val="16"/>
          <w:szCs w:val="16"/>
        </w:rPr>
        <w:t>zaměstnanecké benefity či odhad šedé ekonomiky.</w:t>
      </w:r>
    </w:p>
  </w:footnote>
  <w:footnote w:id="6">
    <w:p w14:paraId="1DA1BDB2" w14:textId="1D404808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Dle klasifikace produkce (CZ-CPA) se v roce 2019 produkty průmyslu na celkovém zbožovém vývozu z ČR podílely 97,7 %. Zbývající část vývozu tvořily zejména produkty zemědělství, lesnictví a rybářství (1,5 %) a produkty vydavatelství či f</w:t>
      </w:r>
      <w:r w:rsidRPr="00031549">
        <w:rPr>
          <w:sz w:val="16"/>
          <w:szCs w:val="16"/>
        </w:rPr>
        <w:t>ilmy, videozáznamy a</w:t>
      </w:r>
      <w:r>
        <w:rPr>
          <w:sz w:val="16"/>
          <w:szCs w:val="16"/>
        </w:rPr>
        <w:t> </w:t>
      </w:r>
      <w:r w:rsidRPr="00031549">
        <w:rPr>
          <w:sz w:val="16"/>
          <w:szCs w:val="16"/>
        </w:rPr>
        <w:t>zvukové nahrávky</w:t>
      </w:r>
      <w:r>
        <w:rPr>
          <w:sz w:val="16"/>
          <w:szCs w:val="16"/>
        </w:rPr>
        <w:t xml:space="preserve"> (0,7 %).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E341" w14:textId="4DEAD05A" w:rsidR="009728D1" w:rsidRPr="004C0391" w:rsidRDefault="009728D1" w:rsidP="004C0391">
    <w:pPr>
      <w:pStyle w:val="Zhlav"/>
    </w:pPr>
    <w:r>
      <w:t>Širší aspekty vývoje průmyslu v ČR i EU z pohledu trhu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E75C" w14:textId="01B2AC05" w:rsidR="009728D1" w:rsidRDefault="009728D1" w:rsidP="00937AE2">
    <w:pPr>
      <w:pStyle w:val="Zhlav"/>
    </w:pPr>
    <w:r>
      <w:t>Širší aspekty vývoje průmyslu v ČR i EU z pohledu trhu práce</w:t>
    </w:r>
  </w:p>
  <w:p w14:paraId="5C2665E0" w14:textId="77777777" w:rsidR="009728D1" w:rsidRPr="006F5416" w:rsidRDefault="009728D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8B6CC9"/>
    <w:multiLevelType w:val="hybridMultilevel"/>
    <w:tmpl w:val="2208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75B"/>
    <w:multiLevelType w:val="hybridMultilevel"/>
    <w:tmpl w:val="8E4C736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3D1B"/>
    <w:multiLevelType w:val="hybridMultilevel"/>
    <w:tmpl w:val="EF4262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F1D32"/>
    <w:multiLevelType w:val="hybridMultilevel"/>
    <w:tmpl w:val="422047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6"/>
  </w:num>
  <w:num w:numId="16">
    <w:abstractNumId w:val="12"/>
  </w:num>
  <w:num w:numId="17">
    <w:abstractNumId w:val="24"/>
  </w:num>
  <w:num w:numId="18">
    <w:abstractNumId w:val="18"/>
  </w:num>
  <w:num w:numId="19">
    <w:abstractNumId w:val="25"/>
  </w:num>
  <w:num w:numId="20">
    <w:abstractNumId w:val="28"/>
  </w:num>
  <w:num w:numId="21">
    <w:abstractNumId w:val="22"/>
  </w:num>
  <w:num w:numId="22">
    <w:abstractNumId w:val="15"/>
  </w:num>
  <w:num w:numId="23">
    <w:abstractNumId w:val="13"/>
  </w:num>
  <w:num w:numId="24">
    <w:abstractNumId w:val="14"/>
  </w:num>
  <w:num w:numId="25">
    <w:abstractNumId w:val="26"/>
  </w:num>
  <w:num w:numId="26">
    <w:abstractNumId w:val="21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2B85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159E9"/>
    <w:rsid w:val="00016123"/>
    <w:rsid w:val="0001653D"/>
    <w:rsid w:val="00020CDE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21E4"/>
    <w:rsid w:val="00044059"/>
    <w:rsid w:val="00044407"/>
    <w:rsid w:val="0004694F"/>
    <w:rsid w:val="000500AB"/>
    <w:rsid w:val="000522E4"/>
    <w:rsid w:val="00052B65"/>
    <w:rsid w:val="000610E1"/>
    <w:rsid w:val="000623A2"/>
    <w:rsid w:val="00062EC5"/>
    <w:rsid w:val="00062F22"/>
    <w:rsid w:val="00064B6A"/>
    <w:rsid w:val="00067A82"/>
    <w:rsid w:val="00067B81"/>
    <w:rsid w:val="000712B3"/>
    <w:rsid w:val="00071E70"/>
    <w:rsid w:val="00072AEC"/>
    <w:rsid w:val="000748F2"/>
    <w:rsid w:val="000774EC"/>
    <w:rsid w:val="0008068B"/>
    <w:rsid w:val="0008263E"/>
    <w:rsid w:val="00082A55"/>
    <w:rsid w:val="00082C19"/>
    <w:rsid w:val="00085395"/>
    <w:rsid w:val="000854CA"/>
    <w:rsid w:val="00085D69"/>
    <w:rsid w:val="00087634"/>
    <w:rsid w:val="00087F2B"/>
    <w:rsid w:val="00093E3F"/>
    <w:rsid w:val="00093E53"/>
    <w:rsid w:val="0009474E"/>
    <w:rsid w:val="00095135"/>
    <w:rsid w:val="00096085"/>
    <w:rsid w:val="00096E5B"/>
    <w:rsid w:val="00097078"/>
    <w:rsid w:val="000974D1"/>
    <w:rsid w:val="0009799E"/>
    <w:rsid w:val="000979EC"/>
    <w:rsid w:val="000A1148"/>
    <w:rsid w:val="000A1183"/>
    <w:rsid w:val="000A256D"/>
    <w:rsid w:val="000A3A2C"/>
    <w:rsid w:val="000A5BA4"/>
    <w:rsid w:val="000A66F4"/>
    <w:rsid w:val="000A75F4"/>
    <w:rsid w:val="000B21DD"/>
    <w:rsid w:val="000B525B"/>
    <w:rsid w:val="000C1D78"/>
    <w:rsid w:val="000C3408"/>
    <w:rsid w:val="000C365C"/>
    <w:rsid w:val="000C5703"/>
    <w:rsid w:val="000C6375"/>
    <w:rsid w:val="000C6AFD"/>
    <w:rsid w:val="000D2C3F"/>
    <w:rsid w:val="000D5637"/>
    <w:rsid w:val="000E3D0E"/>
    <w:rsid w:val="000E4053"/>
    <w:rsid w:val="000E53C3"/>
    <w:rsid w:val="000E6C04"/>
    <w:rsid w:val="000E6FBD"/>
    <w:rsid w:val="000F7084"/>
    <w:rsid w:val="000F7FEF"/>
    <w:rsid w:val="00100F5C"/>
    <w:rsid w:val="0010106F"/>
    <w:rsid w:val="00101CDA"/>
    <w:rsid w:val="0010268C"/>
    <w:rsid w:val="00104C4C"/>
    <w:rsid w:val="00106DC7"/>
    <w:rsid w:val="00117623"/>
    <w:rsid w:val="0012192F"/>
    <w:rsid w:val="00122BB3"/>
    <w:rsid w:val="00125A9C"/>
    <w:rsid w:val="00125D69"/>
    <w:rsid w:val="00134608"/>
    <w:rsid w:val="00135FEE"/>
    <w:rsid w:val="00137DF7"/>
    <w:rsid w:val="001405FA"/>
    <w:rsid w:val="00141782"/>
    <w:rsid w:val="001425C3"/>
    <w:rsid w:val="00142C1C"/>
    <w:rsid w:val="0014314C"/>
    <w:rsid w:val="001457AA"/>
    <w:rsid w:val="00146F52"/>
    <w:rsid w:val="00147081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2E99"/>
    <w:rsid w:val="00184B08"/>
    <w:rsid w:val="00185010"/>
    <w:rsid w:val="001863EA"/>
    <w:rsid w:val="00186919"/>
    <w:rsid w:val="001916DB"/>
    <w:rsid w:val="00192F37"/>
    <w:rsid w:val="00193818"/>
    <w:rsid w:val="00194520"/>
    <w:rsid w:val="001969D1"/>
    <w:rsid w:val="001A0487"/>
    <w:rsid w:val="001A0D6B"/>
    <w:rsid w:val="001A16E3"/>
    <w:rsid w:val="001A33A3"/>
    <w:rsid w:val="001A480E"/>
    <w:rsid w:val="001A5387"/>
    <w:rsid w:val="001A552F"/>
    <w:rsid w:val="001B28D3"/>
    <w:rsid w:val="001B2CA9"/>
    <w:rsid w:val="001B3110"/>
    <w:rsid w:val="001B4422"/>
    <w:rsid w:val="001B4729"/>
    <w:rsid w:val="001B57B8"/>
    <w:rsid w:val="001B5C4D"/>
    <w:rsid w:val="001B6310"/>
    <w:rsid w:val="001B6C09"/>
    <w:rsid w:val="001C05CD"/>
    <w:rsid w:val="001C1B66"/>
    <w:rsid w:val="001C487C"/>
    <w:rsid w:val="001C7EE3"/>
    <w:rsid w:val="001D198A"/>
    <w:rsid w:val="001D463E"/>
    <w:rsid w:val="001D51EB"/>
    <w:rsid w:val="001D68B2"/>
    <w:rsid w:val="001D70E9"/>
    <w:rsid w:val="001E0D3E"/>
    <w:rsid w:val="001E504C"/>
    <w:rsid w:val="001F138C"/>
    <w:rsid w:val="001F4063"/>
    <w:rsid w:val="001F4597"/>
    <w:rsid w:val="001F52D6"/>
    <w:rsid w:val="00201978"/>
    <w:rsid w:val="00203DA4"/>
    <w:rsid w:val="00203E4E"/>
    <w:rsid w:val="002052C6"/>
    <w:rsid w:val="002054B4"/>
    <w:rsid w:val="00207D7B"/>
    <w:rsid w:val="002118B9"/>
    <w:rsid w:val="00213C32"/>
    <w:rsid w:val="00217C5B"/>
    <w:rsid w:val="0022139E"/>
    <w:rsid w:val="00221BD4"/>
    <w:rsid w:val="00222729"/>
    <w:rsid w:val="00222FFB"/>
    <w:rsid w:val="002249F4"/>
    <w:rsid w:val="002252E0"/>
    <w:rsid w:val="002255F6"/>
    <w:rsid w:val="002257E8"/>
    <w:rsid w:val="00227850"/>
    <w:rsid w:val="00227A53"/>
    <w:rsid w:val="00230C6E"/>
    <w:rsid w:val="00231CC2"/>
    <w:rsid w:val="00236443"/>
    <w:rsid w:val="00241035"/>
    <w:rsid w:val="00241B06"/>
    <w:rsid w:val="002436BA"/>
    <w:rsid w:val="0024408E"/>
    <w:rsid w:val="00244A15"/>
    <w:rsid w:val="00244EB3"/>
    <w:rsid w:val="0024680E"/>
    <w:rsid w:val="00247319"/>
    <w:rsid w:val="0024799E"/>
    <w:rsid w:val="00253C0F"/>
    <w:rsid w:val="002558C1"/>
    <w:rsid w:val="00255943"/>
    <w:rsid w:val="00260FC5"/>
    <w:rsid w:val="002632EC"/>
    <w:rsid w:val="002665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49B9"/>
    <w:rsid w:val="002B6B06"/>
    <w:rsid w:val="002B6F67"/>
    <w:rsid w:val="002C3762"/>
    <w:rsid w:val="002C3D06"/>
    <w:rsid w:val="002C43BD"/>
    <w:rsid w:val="002D0E59"/>
    <w:rsid w:val="002D2D9F"/>
    <w:rsid w:val="002D3DCF"/>
    <w:rsid w:val="002D6BD2"/>
    <w:rsid w:val="002E02A1"/>
    <w:rsid w:val="002E1475"/>
    <w:rsid w:val="002E1A9C"/>
    <w:rsid w:val="002E32FC"/>
    <w:rsid w:val="002E4B33"/>
    <w:rsid w:val="002E4E4C"/>
    <w:rsid w:val="002E4F60"/>
    <w:rsid w:val="002E5E3A"/>
    <w:rsid w:val="002E7360"/>
    <w:rsid w:val="002F0A29"/>
    <w:rsid w:val="002F1098"/>
    <w:rsid w:val="002F4860"/>
    <w:rsid w:val="002F550B"/>
    <w:rsid w:val="0030150E"/>
    <w:rsid w:val="00303533"/>
    <w:rsid w:val="00304771"/>
    <w:rsid w:val="003052D4"/>
    <w:rsid w:val="00306C5B"/>
    <w:rsid w:val="00307E77"/>
    <w:rsid w:val="00311448"/>
    <w:rsid w:val="003134A9"/>
    <w:rsid w:val="00314A41"/>
    <w:rsid w:val="003209D6"/>
    <w:rsid w:val="00321924"/>
    <w:rsid w:val="0032314C"/>
    <w:rsid w:val="0032656E"/>
    <w:rsid w:val="00326633"/>
    <w:rsid w:val="003268DD"/>
    <w:rsid w:val="00330060"/>
    <w:rsid w:val="00330085"/>
    <w:rsid w:val="00330711"/>
    <w:rsid w:val="00332190"/>
    <w:rsid w:val="0033250B"/>
    <w:rsid w:val="00334CC0"/>
    <w:rsid w:val="00343331"/>
    <w:rsid w:val="0034335E"/>
    <w:rsid w:val="00343A8A"/>
    <w:rsid w:val="00344668"/>
    <w:rsid w:val="00345D77"/>
    <w:rsid w:val="003462D9"/>
    <w:rsid w:val="00347378"/>
    <w:rsid w:val="00347604"/>
    <w:rsid w:val="00352945"/>
    <w:rsid w:val="003576EB"/>
    <w:rsid w:val="00357908"/>
    <w:rsid w:val="00357D45"/>
    <w:rsid w:val="00360C86"/>
    <w:rsid w:val="00360DE3"/>
    <w:rsid w:val="00360FBC"/>
    <w:rsid w:val="00362E90"/>
    <w:rsid w:val="00364C32"/>
    <w:rsid w:val="00364FA0"/>
    <w:rsid w:val="003657F3"/>
    <w:rsid w:val="003674EB"/>
    <w:rsid w:val="003678F2"/>
    <w:rsid w:val="00371018"/>
    <w:rsid w:val="003722A4"/>
    <w:rsid w:val="003733A0"/>
    <w:rsid w:val="00376C3B"/>
    <w:rsid w:val="003818DC"/>
    <w:rsid w:val="00384327"/>
    <w:rsid w:val="003852A9"/>
    <w:rsid w:val="00385D98"/>
    <w:rsid w:val="0038642D"/>
    <w:rsid w:val="003870EE"/>
    <w:rsid w:val="003922DF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E4E75"/>
    <w:rsid w:val="003F313C"/>
    <w:rsid w:val="003F37FC"/>
    <w:rsid w:val="003F3890"/>
    <w:rsid w:val="003F48D7"/>
    <w:rsid w:val="003F4B2C"/>
    <w:rsid w:val="003F551C"/>
    <w:rsid w:val="003F72ED"/>
    <w:rsid w:val="003F7D23"/>
    <w:rsid w:val="00400B82"/>
    <w:rsid w:val="0040575D"/>
    <w:rsid w:val="00407C13"/>
    <w:rsid w:val="00410638"/>
    <w:rsid w:val="0041215C"/>
    <w:rsid w:val="0041501E"/>
    <w:rsid w:val="004159C3"/>
    <w:rsid w:val="0041758E"/>
    <w:rsid w:val="004217D2"/>
    <w:rsid w:val="00425F45"/>
    <w:rsid w:val="00432A58"/>
    <w:rsid w:val="00432EA8"/>
    <w:rsid w:val="00433C0C"/>
    <w:rsid w:val="00434617"/>
    <w:rsid w:val="00436778"/>
    <w:rsid w:val="00437E53"/>
    <w:rsid w:val="00440900"/>
    <w:rsid w:val="00441BF6"/>
    <w:rsid w:val="004441A0"/>
    <w:rsid w:val="00444E83"/>
    <w:rsid w:val="0045078A"/>
    <w:rsid w:val="0045086D"/>
    <w:rsid w:val="004528F0"/>
    <w:rsid w:val="00453047"/>
    <w:rsid w:val="0046071E"/>
    <w:rsid w:val="00460FB3"/>
    <w:rsid w:val="00466CA7"/>
    <w:rsid w:val="00467ABC"/>
    <w:rsid w:val="00467C2C"/>
    <w:rsid w:val="00476240"/>
    <w:rsid w:val="00476439"/>
    <w:rsid w:val="0047735C"/>
    <w:rsid w:val="004776BC"/>
    <w:rsid w:val="0048139F"/>
    <w:rsid w:val="00481E40"/>
    <w:rsid w:val="00482DE9"/>
    <w:rsid w:val="00484ECE"/>
    <w:rsid w:val="00486917"/>
    <w:rsid w:val="00487A34"/>
    <w:rsid w:val="004915CB"/>
    <w:rsid w:val="004919B0"/>
    <w:rsid w:val="004924DC"/>
    <w:rsid w:val="0049348B"/>
    <w:rsid w:val="004948F4"/>
    <w:rsid w:val="004950A4"/>
    <w:rsid w:val="004A14E4"/>
    <w:rsid w:val="004A3212"/>
    <w:rsid w:val="004A5494"/>
    <w:rsid w:val="004A61C5"/>
    <w:rsid w:val="004A670E"/>
    <w:rsid w:val="004A77DF"/>
    <w:rsid w:val="004B1417"/>
    <w:rsid w:val="004B1B28"/>
    <w:rsid w:val="004B47CD"/>
    <w:rsid w:val="004B481B"/>
    <w:rsid w:val="004B48DF"/>
    <w:rsid w:val="004B55B7"/>
    <w:rsid w:val="004B6468"/>
    <w:rsid w:val="004B7125"/>
    <w:rsid w:val="004B7637"/>
    <w:rsid w:val="004C0391"/>
    <w:rsid w:val="004C26B0"/>
    <w:rsid w:val="004C384C"/>
    <w:rsid w:val="004C3867"/>
    <w:rsid w:val="004C4CD0"/>
    <w:rsid w:val="004C5FBF"/>
    <w:rsid w:val="004C70DC"/>
    <w:rsid w:val="004D0211"/>
    <w:rsid w:val="004D0794"/>
    <w:rsid w:val="004D26B7"/>
    <w:rsid w:val="004D3177"/>
    <w:rsid w:val="004D5B88"/>
    <w:rsid w:val="004E326C"/>
    <w:rsid w:val="004F06F5"/>
    <w:rsid w:val="004F0CBA"/>
    <w:rsid w:val="004F16F7"/>
    <w:rsid w:val="004F1879"/>
    <w:rsid w:val="004F33A0"/>
    <w:rsid w:val="004F6EDC"/>
    <w:rsid w:val="00503748"/>
    <w:rsid w:val="0050689D"/>
    <w:rsid w:val="0050700F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25C8F"/>
    <w:rsid w:val="00530243"/>
    <w:rsid w:val="00532CE7"/>
    <w:rsid w:val="0053324C"/>
    <w:rsid w:val="005348F6"/>
    <w:rsid w:val="00534A28"/>
    <w:rsid w:val="005367E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77EE4"/>
    <w:rsid w:val="00581AC8"/>
    <w:rsid w:val="00583FFD"/>
    <w:rsid w:val="00585E02"/>
    <w:rsid w:val="00586874"/>
    <w:rsid w:val="005901E9"/>
    <w:rsid w:val="005911BE"/>
    <w:rsid w:val="00592284"/>
    <w:rsid w:val="00593152"/>
    <w:rsid w:val="00596F92"/>
    <w:rsid w:val="005A10F2"/>
    <w:rsid w:val="005A21E0"/>
    <w:rsid w:val="005A28FF"/>
    <w:rsid w:val="005A2A19"/>
    <w:rsid w:val="005A2C1A"/>
    <w:rsid w:val="005A2C7B"/>
    <w:rsid w:val="005A3DF8"/>
    <w:rsid w:val="005A5549"/>
    <w:rsid w:val="005A5D45"/>
    <w:rsid w:val="005A655B"/>
    <w:rsid w:val="005A7666"/>
    <w:rsid w:val="005B121D"/>
    <w:rsid w:val="005B7BE7"/>
    <w:rsid w:val="005B7E2B"/>
    <w:rsid w:val="005C06ED"/>
    <w:rsid w:val="005C2609"/>
    <w:rsid w:val="005C35A1"/>
    <w:rsid w:val="005D3386"/>
    <w:rsid w:val="005D5802"/>
    <w:rsid w:val="005D7119"/>
    <w:rsid w:val="005D724D"/>
    <w:rsid w:val="005D7890"/>
    <w:rsid w:val="005E1B85"/>
    <w:rsid w:val="005E2A7C"/>
    <w:rsid w:val="005E5452"/>
    <w:rsid w:val="005E5906"/>
    <w:rsid w:val="005E7C78"/>
    <w:rsid w:val="005F18C5"/>
    <w:rsid w:val="005F3EB1"/>
    <w:rsid w:val="005F46D8"/>
    <w:rsid w:val="005F5469"/>
    <w:rsid w:val="005F5CE8"/>
    <w:rsid w:val="005F6D11"/>
    <w:rsid w:val="00600079"/>
    <w:rsid w:val="006003D1"/>
    <w:rsid w:val="00601A2E"/>
    <w:rsid w:val="006023F5"/>
    <w:rsid w:val="0060404F"/>
    <w:rsid w:val="00604307"/>
    <w:rsid w:val="0060487F"/>
    <w:rsid w:val="00604EAD"/>
    <w:rsid w:val="006104FB"/>
    <w:rsid w:val="0061249B"/>
    <w:rsid w:val="00612A2F"/>
    <w:rsid w:val="00614586"/>
    <w:rsid w:val="00616E05"/>
    <w:rsid w:val="0062148D"/>
    <w:rsid w:val="00623B49"/>
    <w:rsid w:val="00624093"/>
    <w:rsid w:val="006254CB"/>
    <w:rsid w:val="0063201A"/>
    <w:rsid w:val="006350D5"/>
    <w:rsid w:val="0063567C"/>
    <w:rsid w:val="006404A7"/>
    <w:rsid w:val="00642FB8"/>
    <w:rsid w:val="006451E4"/>
    <w:rsid w:val="00645B33"/>
    <w:rsid w:val="0064648F"/>
    <w:rsid w:val="00650330"/>
    <w:rsid w:val="006516CB"/>
    <w:rsid w:val="00654CAC"/>
    <w:rsid w:val="006558BD"/>
    <w:rsid w:val="00657E87"/>
    <w:rsid w:val="00664741"/>
    <w:rsid w:val="00664803"/>
    <w:rsid w:val="006654F4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87B41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378C"/>
    <w:rsid w:val="006C386E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33D0"/>
    <w:rsid w:val="006E7227"/>
    <w:rsid w:val="006F0813"/>
    <w:rsid w:val="006F0AC6"/>
    <w:rsid w:val="006F2595"/>
    <w:rsid w:val="006F2F95"/>
    <w:rsid w:val="006F438E"/>
    <w:rsid w:val="006F5416"/>
    <w:rsid w:val="00705242"/>
    <w:rsid w:val="00706AD4"/>
    <w:rsid w:val="00707150"/>
    <w:rsid w:val="00711BB0"/>
    <w:rsid w:val="007140BE"/>
    <w:rsid w:val="007142BA"/>
    <w:rsid w:val="00716E3F"/>
    <w:rsid w:val="007211F5"/>
    <w:rsid w:val="007240E2"/>
    <w:rsid w:val="00725BB5"/>
    <w:rsid w:val="0073093A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6232"/>
    <w:rsid w:val="007567BD"/>
    <w:rsid w:val="007578D3"/>
    <w:rsid w:val="007609C6"/>
    <w:rsid w:val="0076175D"/>
    <w:rsid w:val="00762C17"/>
    <w:rsid w:val="00763B85"/>
    <w:rsid w:val="007640D0"/>
    <w:rsid w:val="0076521E"/>
    <w:rsid w:val="00765698"/>
    <w:rsid w:val="007661E9"/>
    <w:rsid w:val="00774779"/>
    <w:rsid w:val="00775985"/>
    <w:rsid w:val="00775F45"/>
    <w:rsid w:val="00776169"/>
    <w:rsid w:val="00776527"/>
    <w:rsid w:val="00780EF1"/>
    <w:rsid w:val="00785232"/>
    <w:rsid w:val="00790764"/>
    <w:rsid w:val="00791728"/>
    <w:rsid w:val="0079343E"/>
    <w:rsid w:val="0079453C"/>
    <w:rsid w:val="00794677"/>
    <w:rsid w:val="007964CF"/>
    <w:rsid w:val="00797D5F"/>
    <w:rsid w:val="007A33A6"/>
    <w:rsid w:val="007A38F2"/>
    <w:rsid w:val="007A3F0C"/>
    <w:rsid w:val="007A516D"/>
    <w:rsid w:val="007A67F8"/>
    <w:rsid w:val="007B0750"/>
    <w:rsid w:val="007B07A4"/>
    <w:rsid w:val="007B0C39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D7668"/>
    <w:rsid w:val="007E29B4"/>
    <w:rsid w:val="007E36EA"/>
    <w:rsid w:val="007E435A"/>
    <w:rsid w:val="007E7E61"/>
    <w:rsid w:val="007F0845"/>
    <w:rsid w:val="007F661C"/>
    <w:rsid w:val="007F6797"/>
    <w:rsid w:val="007F708D"/>
    <w:rsid w:val="00801E13"/>
    <w:rsid w:val="00805381"/>
    <w:rsid w:val="00807674"/>
    <w:rsid w:val="00807C82"/>
    <w:rsid w:val="008138B5"/>
    <w:rsid w:val="00816905"/>
    <w:rsid w:val="00817FDA"/>
    <w:rsid w:val="00821FF6"/>
    <w:rsid w:val="008222CD"/>
    <w:rsid w:val="00822574"/>
    <w:rsid w:val="00823046"/>
    <w:rsid w:val="00825C4D"/>
    <w:rsid w:val="0083143E"/>
    <w:rsid w:val="008314D2"/>
    <w:rsid w:val="00831CDE"/>
    <w:rsid w:val="00833BF2"/>
    <w:rsid w:val="00834304"/>
    <w:rsid w:val="00834FAA"/>
    <w:rsid w:val="00836086"/>
    <w:rsid w:val="008364D5"/>
    <w:rsid w:val="00844BB1"/>
    <w:rsid w:val="00846121"/>
    <w:rsid w:val="00846C80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7C3"/>
    <w:rsid w:val="00865E4C"/>
    <w:rsid w:val="008701E4"/>
    <w:rsid w:val="008703A1"/>
    <w:rsid w:val="00873072"/>
    <w:rsid w:val="00873148"/>
    <w:rsid w:val="00874F6D"/>
    <w:rsid w:val="00875A32"/>
    <w:rsid w:val="00876086"/>
    <w:rsid w:val="008834C6"/>
    <w:rsid w:val="00883923"/>
    <w:rsid w:val="00883FE4"/>
    <w:rsid w:val="00884A6F"/>
    <w:rsid w:val="008856A3"/>
    <w:rsid w:val="0088661D"/>
    <w:rsid w:val="008873D4"/>
    <w:rsid w:val="008906E1"/>
    <w:rsid w:val="0089296D"/>
    <w:rsid w:val="00893E85"/>
    <w:rsid w:val="00894031"/>
    <w:rsid w:val="00894C3D"/>
    <w:rsid w:val="00895508"/>
    <w:rsid w:val="00895A7B"/>
    <w:rsid w:val="008A6B40"/>
    <w:rsid w:val="008B1391"/>
    <w:rsid w:val="008B21E6"/>
    <w:rsid w:val="008B2636"/>
    <w:rsid w:val="008B7C02"/>
    <w:rsid w:val="008B7D2B"/>
    <w:rsid w:val="008C0049"/>
    <w:rsid w:val="008C0E88"/>
    <w:rsid w:val="008C56D3"/>
    <w:rsid w:val="008D0DBD"/>
    <w:rsid w:val="008D1E6A"/>
    <w:rsid w:val="008D2A16"/>
    <w:rsid w:val="008D664D"/>
    <w:rsid w:val="008D7BE5"/>
    <w:rsid w:val="008E037D"/>
    <w:rsid w:val="008E0DC9"/>
    <w:rsid w:val="008E2830"/>
    <w:rsid w:val="008E2C57"/>
    <w:rsid w:val="008E31FF"/>
    <w:rsid w:val="008E6F06"/>
    <w:rsid w:val="008E7FC9"/>
    <w:rsid w:val="008F029B"/>
    <w:rsid w:val="008F3FC9"/>
    <w:rsid w:val="008F42B4"/>
    <w:rsid w:val="008F47C7"/>
    <w:rsid w:val="008F585B"/>
    <w:rsid w:val="009003A8"/>
    <w:rsid w:val="00902500"/>
    <w:rsid w:val="00902EFF"/>
    <w:rsid w:val="00906401"/>
    <w:rsid w:val="0091155E"/>
    <w:rsid w:val="00912A92"/>
    <w:rsid w:val="0091495C"/>
    <w:rsid w:val="009149D4"/>
    <w:rsid w:val="00915CF4"/>
    <w:rsid w:val="0091728D"/>
    <w:rsid w:val="009177D4"/>
    <w:rsid w:val="0092180B"/>
    <w:rsid w:val="00921A5C"/>
    <w:rsid w:val="00921F14"/>
    <w:rsid w:val="0092434D"/>
    <w:rsid w:val="009248DD"/>
    <w:rsid w:val="00924AC8"/>
    <w:rsid w:val="0092597A"/>
    <w:rsid w:val="009273FC"/>
    <w:rsid w:val="00930F06"/>
    <w:rsid w:val="00930FB1"/>
    <w:rsid w:val="0093139F"/>
    <w:rsid w:val="00932443"/>
    <w:rsid w:val="009346B6"/>
    <w:rsid w:val="00937AE2"/>
    <w:rsid w:val="00942C19"/>
    <w:rsid w:val="00942FD9"/>
    <w:rsid w:val="0094427A"/>
    <w:rsid w:val="00945245"/>
    <w:rsid w:val="00945F0F"/>
    <w:rsid w:val="00947825"/>
    <w:rsid w:val="00947FD4"/>
    <w:rsid w:val="00953F28"/>
    <w:rsid w:val="009540B7"/>
    <w:rsid w:val="00954CE4"/>
    <w:rsid w:val="009560F8"/>
    <w:rsid w:val="0095759C"/>
    <w:rsid w:val="00957C5D"/>
    <w:rsid w:val="0096090E"/>
    <w:rsid w:val="0096154D"/>
    <w:rsid w:val="0096221A"/>
    <w:rsid w:val="009728D1"/>
    <w:rsid w:val="00972F87"/>
    <w:rsid w:val="00973148"/>
    <w:rsid w:val="00974923"/>
    <w:rsid w:val="00976681"/>
    <w:rsid w:val="00976BAF"/>
    <w:rsid w:val="00980D3D"/>
    <w:rsid w:val="00984C37"/>
    <w:rsid w:val="00987A30"/>
    <w:rsid w:val="00991D30"/>
    <w:rsid w:val="00992CF3"/>
    <w:rsid w:val="009942B6"/>
    <w:rsid w:val="00994317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9B4"/>
    <w:rsid w:val="009C1EEA"/>
    <w:rsid w:val="009C2E29"/>
    <w:rsid w:val="009C38E5"/>
    <w:rsid w:val="009C554B"/>
    <w:rsid w:val="009C5FEA"/>
    <w:rsid w:val="009C719E"/>
    <w:rsid w:val="009D3ACD"/>
    <w:rsid w:val="009E093B"/>
    <w:rsid w:val="009E0DD4"/>
    <w:rsid w:val="009E42ED"/>
    <w:rsid w:val="009E5273"/>
    <w:rsid w:val="009E5DDB"/>
    <w:rsid w:val="009F46EA"/>
    <w:rsid w:val="009F4CA7"/>
    <w:rsid w:val="009F4FDF"/>
    <w:rsid w:val="00A0067C"/>
    <w:rsid w:val="00A01CA0"/>
    <w:rsid w:val="00A02041"/>
    <w:rsid w:val="00A04326"/>
    <w:rsid w:val="00A10D66"/>
    <w:rsid w:val="00A1260E"/>
    <w:rsid w:val="00A14114"/>
    <w:rsid w:val="00A16413"/>
    <w:rsid w:val="00A16E1D"/>
    <w:rsid w:val="00A170C9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3767"/>
    <w:rsid w:val="00A341C7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16FD"/>
    <w:rsid w:val="00A62B23"/>
    <w:rsid w:val="00A62CE1"/>
    <w:rsid w:val="00A65AAC"/>
    <w:rsid w:val="00A66A11"/>
    <w:rsid w:val="00A6741E"/>
    <w:rsid w:val="00A73C77"/>
    <w:rsid w:val="00A75E40"/>
    <w:rsid w:val="00A77D1D"/>
    <w:rsid w:val="00A84923"/>
    <w:rsid w:val="00A857C0"/>
    <w:rsid w:val="00A90FED"/>
    <w:rsid w:val="00A92D9F"/>
    <w:rsid w:val="00A97A1E"/>
    <w:rsid w:val="00A97AD8"/>
    <w:rsid w:val="00AA1DC6"/>
    <w:rsid w:val="00AA2996"/>
    <w:rsid w:val="00AA3E4E"/>
    <w:rsid w:val="00AA52BF"/>
    <w:rsid w:val="00AA559A"/>
    <w:rsid w:val="00AB2AF1"/>
    <w:rsid w:val="00AB49E9"/>
    <w:rsid w:val="00AB5421"/>
    <w:rsid w:val="00AB5F7B"/>
    <w:rsid w:val="00AC1296"/>
    <w:rsid w:val="00AC15AE"/>
    <w:rsid w:val="00AC45BD"/>
    <w:rsid w:val="00AC46DA"/>
    <w:rsid w:val="00AC6895"/>
    <w:rsid w:val="00AD1355"/>
    <w:rsid w:val="00AD168E"/>
    <w:rsid w:val="00AD306C"/>
    <w:rsid w:val="00AD68C4"/>
    <w:rsid w:val="00AD7D0B"/>
    <w:rsid w:val="00AE09B3"/>
    <w:rsid w:val="00AE1738"/>
    <w:rsid w:val="00AE1A83"/>
    <w:rsid w:val="00AE2A2D"/>
    <w:rsid w:val="00AE3FCD"/>
    <w:rsid w:val="00AE7FB2"/>
    <w:rsid w:val="00AF71EC"/>
    <w:rsid w:val="00B00913"/>
    <w:rsid w:val="00B01593"/>
    <w:rsid w:val="00B023F2"/>
    <w:rsid w:val="00B04B4A"/>
    <w:rsid w:val="00B07379"/>
    <w:rsid w:val="00B1032A"/>
    <w:rsid w:val="00B10A4D"/>
    <w:rsid w:val="00B120A1"/>
    <w:rsid w:val="00B12AA6"/>
    <w:rsid w:val="00B14928"/>
    <w:rsid w:val="00B14BC1"/>
    <w:rsid w:val="00B17E71"/>
    <w:rsid w:val="00B17FDE"/>
    <w:rsid w:val="00B20632"/>
    <w:rsid w:val="00B22CD2"/>
    <w:rsid w:val="00B23055"/>
    <w:rsid w:val="00B2335F"/>
    <w:rsid w:val="00B2379C"/>
    <w:rsid w:val="00B2687D"/>
    <w:rsid w:val="00B277B2"/>
    <w:rsid w:val="00B304F7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12A8"/>
    <w:rsid w:val="00B530CD"/>
    <w:rsid w:val="00B53AB0"/>
    <w:rsid w:val="00B54294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775D0"/>
    <w:rsid w:val="00B80EC6"/>
    <w:rsid w:val="00B81025"/>
    <w:rsid w:val="00B84CF6"/>
    <w:rsid w:val="00B85628"/>
    <w:rsid w:val="00B86793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257C"/>
    <w:rsid w:val="00BA35B6"/>
    <w:rsid w:val="00BA6405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6BEC"/>
    <w:rsid w:val="00BC7075"/>
    <w:rsid w:val="00BC7154"/>
    <w:rsid w:val="00BC731E"/>
    <w:rsid w:val="00BD0A57"/>
    <w:rsid w:val="00BD163C"/>
    <w:rsid w:val="00BD1B27"/>
    <w:rsid w:val="00BD26F7"/>
    <w:rsid w:val="00BD2991"/>
    <w:rsid w:val="00BD366B"/>
    <w:rsid w:val="00BD6D50"/>
    <w:rsid w:val="00BE18B9"/>
    <w:rsid w:val="00BE2495"/>
    <w:rsid w:val="00BE3331"/>
    <w:rsid w:val="00BE468E"/>
    <w:rsid w:val="00BE6186"/>
    <w:rsid w:val="00BF1578"/>
    <w:rsid w:val="00BF45D9"/>
    <w:rsid w:val="00BF4B4B"/>
    <w:rsid w:val="00BF6E3A"/>
    <w:rsid w:val="00BF6EE6"/>
    <w:rsid w:val="00C024B1"/>
    <w:rsid w:val="00C055E9"/>
    <w:rsid w:val="00C1122B"/>
    <w:rsid w:val="00C12D52"/>
    <w:rsid w:val="00C211B3"/>
    <w:rsid w:val="00C21405"/>
    <w:rsid w:val="00C21F94"/>
    <w:rsid w:val="00C25709"/>
    <w:rsid w:val="00C25E4B"/>
    <w:rsid w:val="00C27913"/>
    <w:rsid w:val="00C33B68"/>
    <w:rsid w:val="00C36A79"/>
    <w:rsid w:val="00C36CCC"/>
    <w:rsid w:val="00C401D2"/>
    <w:rsid w:val="00C405D4"/>
    <w:rsid w:val="00C409B8"/>
    <w:rsid w:val="00C4513B"/>
    <w:rsid w:val="00C466D2"/>
    <w:rsid w:val="00C46EE6"/>
    <w:rsid w:val="00C5186E"/>
    <w:rsid w:val="00C529D4"/>
    <w:rsid w:val="00C53576"/>
    <w:rsid w:val="00C5390B"/>
    <w:rsid w:val="00C54697"/>
    <w:rsid w:val="00C55989"/>
    <w:rsid w:val="00C60191"/>
    <w:rsid w:val="00C609C9"/>
    <w:rsid w:val="00C60C25"/>
    <w:rsid w:val="00C6152B"/>
    <w:rsid w:val="00C73885"/>
    <w:rsid w:val="00C747B1"/>
    <w:rsid w:val="00C748B0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571A"/>
    <w:rsid w:val="00C96D08"/>
    <w:rsid w:val="00CA28BC"/>
    <w:rsid w:val="00CA6668"/>
    <w:rsid w:val="00CA6AB4"/>
    <w:rsid w:val="00CB259D"/>
    <w:rsid w:val="00CB390A"/>
    <w:rsid w:val="00CB4930"/>
    <w:rsid w:val="00CC1EF0"/>
    <w:rsid w:val="00CC2E7D"/>
    <w:rsid w:val="00CC71EC"/>
    <w:rsid w:val="00CD10A5"/>
    <w:rsid w:val="00CD2076"/>
    <w:rsid w:val="00CD29B5"/>
    <w:rsid w:val="00CD6331"/>
    <w:rsid w:val="00CE05D4"/>
    <w:rsid w:val="00CE153B"/>
    <w:rsid w:val="00CE2061"/>
    <w:rsid w:val="00CE226C"/>
    <w:rsid w:val="00CE670B"/>
    <w:rsid w:val="00CE7F95"/>
    <w:rsid w:val="00CF04A6"/>
    <w:rsid w:val="00CF1396"/>
    <w:rsid w:val="00CF1C4C"/>
    <w:rsid w:val="00CF20A4"/>
    <w:rsid w:val="00CF26C1"/>
    <w:rsid w:val="00CF3B58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13A4A"/>
    <w:rsid w:val="00D21D83"/>
    <w:rsid w:val="00D22038"/>
    <w:rsid w:val="00D235B7"/>
    <w:rsid w:val="00D25397"/>
    <w:rsid w:val="00D25F28"/>
    <w:rsid w:val="00D26071"/>
    <w:rsid w:val="00D27973"/>
    <w:rsid w:val="00D32F90"/>
    <w:rsid w:val="00D35E1A"/>
    <w:rsid w:val="00D364FE"/>
    <w:rsid w:val="00D41386"/>
    <w:rsid w:val="00D45C8F"/>
    <w:rsid w:val="00D50F46"/>
    <w:rsid w:val="00D52BE2"/>
    <w:rsid w:val="00D569B1"/>
    <w:rsid w:val="00D57677"/>
    <w:rsid w:val="00D57DAD"/>
    <w:rsid w:val="00D62FF4"/>
    <w:rsid w:val="00D64227"/>
    <w:rsid w:val="00D64F56"/>
    <w:rsid w:val="00D66223"/>
    <w:rsid w:val="00D67375"/>
    <w:rsid w:val="00D73127"/>
    <w:rsid w:val="00D73384"/>
    <w:rsid w:val="00D77ECD"/>
    <w:rsid w:val="00D8084C"/>
    <w:rsid w:val="00D85980"/>
    <w:rsid w:val="00D87358"/>
    <w:rsid w:val="00D873CC"/>
    <w:rsid w:val="00D915EA"/>
    <w:rsid w:val="00D92FD1"/>
    <w:rsid w:val="00D93CE2"/>
    <w:rsid w:val="00D9417F"/>
    <w:rsid w:val="00D943C6"/>
    <w:rsid w:val="00D965EC"/>
    <w:rsid w:val="00DA0BBD"/>
    <w:rsid w:val="00DA3D37"/>
    <w:rsid w:val="00DA63E3"/>
    <w:rsid w:val="00DA7AB5"/>
    <w:rsid w:val="00DA7C0C"/>
    <w:rsid w:val="00DA7C43"/>
    <w:rsid w:val="00DB08A9"/>
    <w:rsid w:val="00DB2EC8"/>
    <w:rsid w:val="00DC37E3"/>
    <w:rsid w:val="00DC5B3B"/>
    <w:rsid w:val="00DC639E"/>
    <w:rsid w:val="00DC76ED"/>
    <w:rsid w:val="00DD007F"/>
    <w:rsid w:val="00DD0AE9"/>
    <w:rsid w:val="00DD129F"/>
    <w:rsid w:val="00DD242A"/>
    <w:rsid w:val="00DD49ED"/>
    <w:rsid w:val="00DD6B52"/>
    <w:rsid w:val="00DE0F63"/>
    <w:rsid w:val="00DE4C19"/>
    <w:rsid w:val="00DF317B"/>
    <w:rsid w:val="00DF3C93"/>
    <w:rsid w:val="00DF42FF"/>
    <w:rsid w:val="00DF4595"/>
    <w:rsid w:val="00DF6C2B"/>
    <w:rsid w:val="00DF7190"/>
    <w:rsid w:val="00DF7AD4"/>
    <w:rsid w:val="00E0167B"/>
    <w:rsid w:val="00E01C0E"/>
    <w:rsid w:val="00E03F9A"/>
    <w:rsid w:val="00E04694"/>
    <w:rsid w:val="00E04F27"/>
    <w:rsid w:val="00E04FBD"/>
    <w:rsid w:val="00E05425"/>
    <w:rsid w:val="00E102BD"/>
    <w:rsid w:val="00E10A2E"/>
    <w:rsid w:val="00E11DE1"/>
    <w:rsid w:val="00E123E5"/>
    <w:rsid w:val="00E12B1E"/>
    <w:rsid w:val="00E12F00"/>
    <w:rsid w:val="00E157E1"/>
    <w:rsid w:val="00E17262"/>
    <w:rsid w:val="00E20077"/>
    <w:rsid w:val="00E212C9"/>
    <w:rsid w:val="00E2394F"/>
    <w:rsid w:val="00E23D7A"/>
    <w:rsid w:val="00E253A2"/>
    <w:rsid w:val="00E253C3"/>
    <w:rsid w:val="00E270E1"/>
    <w:rsid w:val="00E305C8"/>
    <w:rsid w:val="00E315D4"/>
    <w:rsid w:val="00E3237B"/>
    <w:rsid w:val="00E3309D"/>
    <w:rsid w:val="00E333BA"/>
    <w:rsid w:val="00E33A0B"/>
    <w:rsid w:val="00E364BB"/>
    <w:rsid w:val="00E453F0"/>
    <w:rsid w:val="00E453F9"/>
    <w:rsid w:val="00E47EBA"/>
    <w:rsid w:val="00E50156"/>
    <w:rsid w:val="00E503A5"/>
    <w:rsid w:val="00E517AE"/>
    <w:rsid w:val="00E53470"/>
    <w:rsid w:val="00E539F6"/>
    <w:rsid w:val="00E6519D"/>
    <w:rsid w:val="00E67696"/>
    <w:rsid w:val="00E67E81"/>
    <w:rsid w:val="00E703A5"/>
    <w:rsid w:val="00E711D1"/>
    <w:rsid w:val="00E716AB"/>
    <w:rsid w:val="00E71A58"/>
    <w:rsid w:val="00E72A7A"/>
    <w:rsid w:val="00E733C7"/>
    <w:rsid w:val="00E75C5C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09D"/>
    <w:rsid w:val="00EA32BC"/>
    <w:rsid w:val="00EA405F"/>
    <w:rsid w:val="00EB4511"/>
    <w:rsid w:val="00EB57D0"/>
    <w:rsid w:val="00EB6637"/>
    <w:rsid w:val="00EB6E42"/>
    <w:rsid w:val="00EC03D7"/>
    <w:rsid w:val="00EC135C"/>
    <w:rsid w:val="00EC1470"/>
    <w:rsid w:val="00EC25F0"/>
    <w:rsid w:val="00EC5AA3"/>
    <w:rsid w:val="00EC6A1C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E5BC1"/>
    <w:rsid w:val="00EF150D"/>
    <w:rsid w:val="00EF1C70"/>
    <w:rsid w:val="00EF1F5A"/>
    <w:rsid w:val="00EF348D"/>
    <w:rsid w:val="00EF47BF"/>
    <w:rsid w:val="00F01E16"/>
    <w:rsid w:val="00F02A90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684"/>
    <w:rsid w:val="00F24FAA"/>
    <w:rsid w:val="00F25EFA"/>
    <w:rsid w:val="00F26590"/>
    <w:rsid w:val="00F32668"/>
    <w:rsid w:val="00F3364D"/>
    <w:rsid w:val="00F33926"/>
    <w:rsid w:val="00F33E56"/>
    <w:rsid w:val="00F34774"/>
    <w:rsid w:val="00F41068"/>
    <w:rsid w:val="00F433FE"/>
    <w:rsid w:val="00F437CC"/>
    <w:rsid w:val="00F43F77"/>
    <w:rsid w:val="00F44537"/>
    <w:rsid w:val="00F4530D"/>
    <w:rsid w:val="00F46502"/>
    <w:rsid w:val="00F47067"/>
    <w:rsid w:val="00F5041B"/>
    <w:rsid w:val="00F525EB"/>
    <w:rsid w:val="00F55E08"/>
    <w:rsid w:val="00F56129"/>
    <w:rsid w:val="00F63DDE"/>
    <w:rsid w:val="00F63FB7"/>
    <w:rsid w:val="00F6421B"/>
    <w:rsid w:val="00F649D2"/>
    <w:rsid w:val="00F6602B"/>
    <w:rsid w:val="00F727F2"/>
    <w:rsid w:val="00F73A0C"/>
    <w:rsid w:val="00F73D08"/>
    <w:rsid w:val="00F756DB"/>
    <w:rsid w:val="00F7746D"/>
    <w:rsid w:val="00F8090E"/>
    <w:rsid w:val="00F84E7D"/>
    <w:rsid w:val="00F85066"/>
    <w:rsid w:val="00F853A9"/>
    <w:rsid w:val="00F85789"/>
    <w:rsid w:val="00F859D0"/>
    <w:rsid w:val="00F87A4D"/>
    <w:rsid w:val="00F87A8D"/>
    <w:rsid w:val="00F939E3"/>
    <w:rsid w:val="00F97A48"/>
    <w:rsid w:val="00FA5D4D"/>
    <w:rsid w:val="00FB0EE2"/>
    <w:rsid w:val="00FB542E"/>
    <w:rsid w:val="00FB5B26"/>
    <w:rsid w:val="00FB7A5C"/>
    <w:rsid w:val="00FC0359"/>
    <w:rsid w:val="00FC0E5F"/>
    <w:rsid w:val="00FC1A95"/>
    <w:rsid w:val="00FC5504"/>
    <w:rsid w:val="00FC56DE"/>
    <w:rsid w:val="00FC684B"/>
    <w:rsid w:val="00FC6AB4"/>
    <w:rsid w:val="00FD034B"/>
    <w:rsid w:val="00FD3265"/>
    <w:rsid w:val="00FD32DB"/>
    <w:rsid w:val="00FD4056"/>
    <w:rsid w:val="00FD4916"/>
    <w:rsid w:val="00FD706B"/>
    <w:rsid w:val="00FE2D1C"/>
    <w:rsid w:val="00FE2F78"/>
    <w:rsid w:val="00FF3E63"/>
    <w:rsid w:val="00FF3EEC"/>
    <w:rsid w:val="00FF6B8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6C90EF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uiPriority w:val="99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Ro&#269;n&#237;%20anal&#253;za-Pr&#367;mysl%20od%20recese%20k%20recesi\aktual\Pr&#367;mysl-grafy-1.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Ro&#269;n&#237;%20anal&#253;za-Pr&#367;mysl%20od%20recese%20k%20recesi\aktual\Pr&#367;mysl-grafy-1.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Ro&#269;n&#237;%20anal&#253;za-Pr&#367;mysl%20od%20recese%20k%20recesi\aktual\Pr&#367;mysl-grafy-1.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739947124095832E-2"/>
          <c:y val="2.055840501757536E-2"/>
          <c:w val="0.91622760062582209"/>
          <c:h val="0.78071651299997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'Graf-1'!$A$43</c:f>
              <c:strCache>
                <c:ptCount val="1"/>
                <c:pt idx="0">
                  <c:v>Hrubá přidaná hodnota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2225">
              <a:noFill/>
            </a:ln>
            <a:effectLst/>
          </c:spPr>
          <c:invertIfNegative val="0"/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'Graf-1'!$B$43:$AB$43</c:f>
              <c:numCache>
                <c:formatCode>0.0</c:formatCode>
                <c:ptCount val="27"/>
                <c:pt idx="0">
                  <c:v>31.873856820496876</c:v>
                </c:pt>
                <c:pt idx="1">
                  <c:v>31.443866700091377</c:v>
                </c:pt>
                <c:pt idx="2">
                  <c:v>31.287934939617816</c:v>
                </c:pt>
                <c:pt idx="3">
                  <c:v>32.114147062561862</c:v>
                </c:pt>
                <c:pt idx="4">
                  <c:v>31.709044739216147</c:v>
                </c:pt>
                <c:pt idx="5">
                  <c:v>30.806392261464271</c:v>
                </c:pt>
                <c:pt idx="6">
                  <c:v>30.386227288833499</c:v>
                </c:pt>
                <c:pt idx="7">
                  <c:v>30.601997611551408</c:v>
                </c:pt>
                <c:pt idx="8">
                  <c:v>31.153511020969642</c:v>
                </c:pt>
                <c:pt idx="9">
                  <c:v>29.956045063563163</c:v>
                </c:pt>
                <c:pt idx="10">
                  <c:v>28.853114081884556</c:v>
                </c:pt>
                <c:pt idx="11">
                  <c:v>30.616085049084575</c:v>
                </c:pt>
                <c:pt idx="12">
                  <c:v>30.501424675918621</c:v>
                </c:pt>
                <c:pt idx="13">
                  <c:v>31.440019743201276</c:v>
                </c:pt>
                <c:pt idx="14">
                  <c:v>31.346653964003401</c:v>
                </c:pt>
                <c:pt idx="15">
                  <c:v>30.758208095826454</c:v>
                </c:pt>
                <c:pt idx="16">
                  <c:v>29.490877595925614</c:v>
                </c:pt>
                <c:pt idx="17">
                  <c:v>29.59921716394615</c:v>
                </c:pt>
                <c:pt idx="18">
                  <c:v>30.826271504043579</c:v>
                </c:pt>
                <c:pt idx="19">
                  <c:v>30.703584379874222</c:v>
                </c:pt>
                <c:pt idx="20">
                  <c:v>30.676444883740032</c:v>
                </c:pt>
                <c:pt idx="21">
                  <c:v>31.775546383023762</c:v>
                </c:pt>
                <c:pt idx="22">
                  <c:v>31.857996808776779</c:v>
                </c:pt>
                <c:pt idx="23">
                  <c:v>31.678354951967901</c:v>
                </c:pt>
                <c:pt idx="24">
                  <c:v>30.925354155144557</c:v>
                </c:pt>
                <c:pt idx="25">
                  <c:v>29.670139839896336</c:v>
                </c:pt>
                <c:pt idx="26">
                  <c:v>29.210918888914588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E-4C90-BA62-244BFC65C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67600"/>
        <c:axId val="281211184"/>
      </c:barChart>
      <c:lineChart>
        <c:grouping val="standard"/>
        <c:varyColors val="0"/>
        <c:ser>
          <c:idx val="1"/>
          <c:order val="1"/>
          <c:tx>
            <c:strRef>
              <c:f>'Graf-1'!$A$44</c:f>
              <c:strCache>
                <c:ptCount val="1"/>
                <c:pt idx="0">
                  <c:v>Zaměstnanost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'Graf-1'!$B$44:$AB$44</c:f>
              <c:numCache>
                <c:formatCode>0.0</c:formatCode>
                <c:ptCount val="27"/>
                <c:pt idx="0">
                  <c:v>30.477564420453852</c:v>
                </c:pt>
                <c:pt idx="1">
                  <c:v>30.206128828538116</c:v>
                </c:pt>
                <c:pt idx="2">
                  <c:v>29.931226290673401</c:v>
                </c:pt>
                <c:pt idx="3">
                  <c:v>31.160696093848074</c:v>
                </c:pt>
                <c:pt idx="4">
                  <c:v>31.49551525082045</c:v>
                </c:pt>
                <c:pt idx="5">
                  <c:v>31.51999470624018</c:v>
                </c:pt>
                <c:pt idx="6">
                  <c:v>30.721098745778015</c:v>
                </c:pt>
                <c:pt idx="7">
                  <c:v>30.268458955445528</c:v>
                </c:pt>
                <c:pt idx="8">
                  <c:v>30.365974730448453</c:v>
                </c:pt>
                <c:pt idx="9">
                  <c:v>30.058777328390775</c:v>
                </c:pt>
                <c:pt idx="10">
                  <c:v>29.262592847299352</c:v>
                </c:pt>
                <c:pt idx="11">
                  <c:v>29.609856119049123</c:v>
                </c:pt>
                <c:pt idx="12">
                  <c:v>29.812809109031573</c:v>
                </c:pt>
                <c:pt idx="13">
                  <c:v>29.527862690199282</c:v>
                </c:pt>
                <c:pt idx="14">
                  <c:v>29.704183566141179</c:v>
                </c:pt>
                <c:pt idx="15">
                  <c:v>29.304177176227242</c:v>
                </c:pt>
                <c:pt idx="16">
                  <c:v>27.748408107752365</c:v>
                </c:pt>
                <c:pt idx="17">
                  <c:v>27.046369369721024</c:v>
                </c:pt>
                <c:pt idx="18">
                  <c:v>28.009811943074141</c:v>
                </c:pt>
                <c:pt idx="19">
                  <c:v>28.04768938561017</c:v>
                </c:pt>
                <c:pt idx="20">
                  <c:v>27.94935143922061</c:v>
                </c:pt>
                <c:pt idx="21">
                  <c:v>28.176167032445576</c:v>
                </c:pt>
                <c:pt idx="22">
                  <c:v>28.681272958129213</c:v>
                </c:pt>
                <c:pt idx="23">
                  <c:v>28.899064354853572</c:v>
                </c:pt>
                <c:pt idx="24">
                  <c:v>28.884238595812796</c:v>
                </c:pt>
                <c:pt idx="25">
                  <c:v>28.76295537986276</c:v>
                </c:pt>
                <c:pt idx="26">
                  <c:v>28.450385793538224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1E-4C90-BA62-244BFC65C2E1}"/>
            </c:ext>
          </c:extLst>
        </c:ser>
        <c:ser>
          <c:idx val="2"/>
          <c:order val="2"/>
          <c:tx>
            <c:strRef>
              <c:f>'Graf-1'!$A$45</c:f>
              <c:strCache>
                <c:ptCount val="1"/>
                <c:pt idx="0">
                  <c:v>z toho zaměstnanci</c:v>
                </c:pt>
              </c:strCache>
            </c:strRef>
          </c:tx>
          <c:spPr>
            <a:ln w="19050" cap="rnd">
              <a:solidFill>
                <a:srgbClr val="ED7D3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'Graf-1'!$B$45:$AB$45</c:f>
              <c:numCache>
                <c:formatCode>0.0</c:formatCode>
                <c:ptCount val="27"/>
                <c:pt idx="0">
                  <c:v>32.111556435116661</c:v>
                </c:pt>
                <c:pt idx="1">
                  <c:v>32.011662531457446</c:v>
                </c:pt>
                <c:pt idx="2">
                  <c:v>31.862872797437504</c:v>
                </c:pt>
                <c:pt idx="3">
                  <c:v>33.283094878772083</c:v>
                </c:pt>
                <c:pt idx="4">
                  <c:v>33.697142859704719</c:v>
                </c:pt>
                <c:pt idx="5">
                  <c:v>34.01632924798399</c:v>
                </c:pt>
                <c:pt idx="6">
                  <c:v>33.267398779600398</c:v>
                </c:pt>
                <c:pt idx="7">
                  <c:v>32.840740947945747</c:v>
                </c:pt>
                <c:pt idx="8">
                  <c:v>32.96289190304649</c:v>
                </c:pt>
                <c:pt idx="9">
                  <c:v>32.816422763483928</c:v>
                </c:pt>
                <c:pt idx="10">
                  <c:v>32.08524725250296</c:v>
                </c:pt>
                <c:pt idx="11">
                  <c:v>32.319079936391951</c:v>
                </c:pt>
                <c:pt idx="12">
                  <c:v>32.369721682349727</c:v>
                </c:pt>
                <c:pt idx="13">
                  <c:v>32.130368543843829</c:v>
                </c:pt>
                <c:pt idx="14">
                  <c:v>32.276968913045962</c:v>
                </c:pt>
                <c:pt idx="15">
                  <c:v>31.660349638473189</c:v>
                </c:pt>
                <c:pt idx="16">
                  <c:v>29.999904547430269</c:v>
                </c:pt>
                <c:pt idx="17">
                  <c:v>29.222613752426003</c:v>
                </c:pt>
                <c:pt idx="18">
                  <c:v>30.304820581736173</c:v>
                </c:pt>
                <c:pt idx="19">
                  <c:v>30.414346134646784</c:v>
                </c:pt>
                <c:pt idx="20">
                  <c:v>30.06858820841337</c:v>
                </c:pt>
                <c:pt idx="21">
                  <c:v>30.211165437789738</c:v>
                </c:pt>
                <c:pt idx="22">
                  <c:v>30.691384984897489</c:v>
                </c:pt>
                <c:pt idx="23">
                  <c:v>30.953943887087277</c:v>
                </c:pt>
                <c:pt idx="24">
                  <c:v>30.923944001560528</c:v>
                </c:pt>
                <c:pt idx="25">
                  <c:v>30.758139732755108</c:v>
                </c:pt>
                <c:pt idx="26">
                  <c:v>30.391289408968692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1E-4C90-BA62-244BFC65C2E1}"/>
            </c:ext>
          </c:extLst>
        </c:ser>
        <c:ser>
          <c:idx val="3"/>
          <c:order val="3"/>
          <c:tx>
            <c:strRef>
              <c:f>'Graf-1'!$A$46</c:f>
              <c:strCache>
                <c:ptCount val="1"/>
                <c:pt idx="0">
                  <c:v>Mzdy a platy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'Graf-1'!$B$46:$AB$46</c:f>
              <c:numCache>
                <c:formatCode>0.0</c:formatCode>
                <c:ptCount val="27"/>
                <c:pt idx="0">
                  <c:v>32.742400054538948</c:v>
                </c:pt>
                <c:pt idx="1">
                  <c:v>32.309663968017901</c:v>
                </c:pt>
                <c:pt idx="2">
                  <c:v>31.607658218538091</c:v>
                </c:pt>
                <c:pt idx="3">
                  <c:v>32.408064844952797</c:v>
                </c:pt>
                <c:pt idx="4">
                  <c:v>32.780808347217487</c:v>
                </c:pt>
                <c:pt idx="5">
                  <c:v>33.137858266508076</c:v>
                </c:pt>
                <c:pt idx="6">
                  <c:v>32.090331745633826</c:v>
                </c:pt>
                <c:pt idx="7">
                  <c:v>32.367105631120893</c:v>
                </c:pt>
                <c:pt idx="8">
                  <c:v>32.718267745913963</c:v>
                </c:pt>
                <c:pt idx="9">
                  <c:v>32.048830175973222</c:v>
                </c:pt>
                <c:pt idx="10">
                  <c:v>31.010923932799866</c:v>
                </c:pt>
                <c:pt idx="11">
                  <c:v>31.3002270561697</c:v>
                </c:pt>
                <c:pt idx="12">
                  <c:v>31.174753865365908</c:v>
                </c:pt>
                <c:pt idx="13">
                  <c:v>31.317863111624554</c:v>
                </c:pt>
                <c:pt idx="14">
                  <c:v>31.412367859126743</c:v>
                </c:pt>
                <c:pt idx="15">
                  <c:v>31.026562293441106</c:v>
                </c:pt>
                <c:pt idx="16">
                  <c:v>28.912143682565368</c:v>
                </c:pt>
                <c:pt idx="17">
                  <c:v>28.626976837235073</c:v>
                </c:pt>
                <c:pt idx="18">
                  <c:v>30.135933186567428</c:v>
                </c:pt>
                <c:pt idx="19">
                  <c:v>30.097226723109682</c:v>
                </c:pt>
                <c:pt idx="20">
                  <c:v>29.933834417349253</c:v>
                </c:pt>
                <c:pt idx="21">
                  <c:v>30.175957628739148</c:v>
                </c:pt>
                <c:pt idx="22">
                  <c:v>30.581416051479781</c:v>
                </c:pt>
                <c:pt idx="23">
                  <c:v>30.677049166472166</c:v>
                </c:pt>
                <c:pt idx="24">
                  <c:v>30.770622512630641</c:v>
                </c:pt>
                <c:pt idx="25">
                  <c:v>30.28547948209518</c:v>
                </c:pt>
                <c:pt idx="26">
                  <c:v>29.687502386459268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1E-4C90-BA62-244BFC65C2E1}"/>
            </c:ext>
          </c:extLst>
        </c:ser>
        <c:ser>
          <c:idx val="4"/>
          <c:order val="4"/>
          <c:tx>
            <c:strRef>
              <c:f>'Graf-1'!$A$47</c:f>
              <c:strCache>
                <c:ptCount val="1"/>
                <c:pt idx="0">
                  <c:v>Investice*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'Graf-1'!$B$47:$AB$47</c:f>
              <c:numCache>
                <c:formatCode>0.0</c:formatCode>
                <c:ptCount val="27"/>
                <c:pt idx="0">
                  <c:v>38.450235394759048</c:v>
                </c:pt>
                <c:pt idx="1">
                  <c:v>37.637539513111335</c:v>
                </c:pt>
                <c:pt idx="2">
                  <c:v>40.571725186311227</c:v>
                </c:pt>
                <c:pt idx="3">
                  <c:v>37.256732575328158</c:v>
                </c:pt>
                <c:pt idx="4">
                  <c:v>36.886201630516851</c:v>
                </c:pt>
                <c:pt idx="5">
                  <c:v>34.465813370956461</c:v>
                </c:pt>
                <c:pt idx="6">
                  <c:v>35.6550788521524</c:v>
                </c:pt>
                <c:pt idx="7">
                  <c:v>33.597005741860769</c:v>
                </c:pt>
                <c:pt idx="8">
                  <c:v>34.794763330350399</c:v>
                </c:pt>
                <c:pt idx="9">
                  <c:v>30.755633672710204</c:v>
                </c:pt>
                <c:pt idx="10">
                  <c:v>30.959536680653333</c:v>
                </c:pt>
                <c:pt idx="11">
                  <c:v>31.174982531434953</c:v>
                </c:pt>
                <c:pt idx="12">
                  <c:v>29.274829417025945</c:v>
                </c:pt>
                <c:pt idx="13">
                  <c:v>28.857637011569103</c:v>
                </c:pt>
                <c:pt idx="14">
                  <c:v>30.752205303808676</c:v>
                </c:pt>
                <c:pt idx="15">
                  <c:v>29.53702074975137</c:v>
                </c:pt>
                <c:pt idx="16">
                  <c:v>27.261904543864436</c:v>
                </c:pt>
                <c:pt idx="17">
                  <c:v>28.314500602850323</c:v>
                </c:pt>
                <c:pt idx="18">
                  <c:v>30.433658518183883</c:v>
                </c:pt>
                <c:pt idx="19">
                  <c:v>31.290452280101359</c:v>
                </c:pt>
                <c:pt idx="20">
                  <c:v>32.318591449555115</c:v>
                </c:pt>
                <c:pt idx="21">
                  <c:v>32.210307776757233</c:v>
                </c:pt>
                <c:pt idx="22">
                  <c:v>31.339609037992318</c:v>
                </c:pt>
                <c:pt idx="23">
                  <c:v>31.621264940863391</c:v>
                </c:pt>
                <c:pt idx="24">
                  <c:v>30.099410479131965</c:v>
                </c:pt>
                <c:pt idx="25">
                  <c:v>28.564100113560979</c:v>
                </c:pt>
                <c:pt idx="26">
                  <c:v>29.565522650927655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1E-4C90-BA62-244BFC65C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42.5"/>
          <c:min val="25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2.5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7.2100782352780307E-2"/>
          <c:y val="0.90304686273190216"/>
          <c:w val="0.91721260263252558"/>
          <c:h val="8.9355796337423632E-2"/>
        </c:manualLayout>
      </c:layout>
      <c:overlay val="0"/>
      <c:spPr>
        <a:noFill/>
        <a:ln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949849763974712E-2"/>
          <c:y val="1.7071298480717631E-2"/>
          <c:w val="0.81499313853361788"/>
          <c:h val="0.78833075412436326"/>
        </c:manualLayout>
      </c:layout>
      <c:barChart>
        <c:barDir val="col"/>
        <c:grouping val="clustered"/>
        <c:varyColors val="0"/>
        <c:ser>
          <c:idx val="4"/>
          <c:order val="4"/>
          <c:tx>
            <c:strRef>
              <c:f>'Graf-2'!$P$4</c:f>
              <c:strCache>
                <c:ptCount val="1"/>
                <c:pt idx="0">
                  <c:v>Vývoz průmyslového zboží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'Graf-2'!$P$5:$P$19</c:f>
              <c:numCache>
                <c:formatCode>#\ ##0_ ;\-#\ ##0\ </c:formatCode>
                <c:ptCount val="15"/>
                <c:pt idx="0">
                  <c:v>1834.373</c:v>
                </c:pt>
                <c:pt idx="1">
                  <c:v>2039.1220000000001</c:v>
                </c:pt>
                <c:pt idx="2">
                  <c:v>2249.328</c:v>
                </c:pt>
                <c:pt idx="3">
                  <c:v>2216.7869999999998</c:v>
                </c:pt>
                <c:pt idx="4">
                  <c:v>1969.6959999999999</c:v>
                </c:pt>
                <c:pt idx="5">
                  <c:v>2266.6930000000002</c:v>
                </c:pt>
                <c:pt idx="6">
                  <c:v>2500.4569999999999</c:v>
                </c:pt>
                <c:pt idx="7">
                  <c:v>2649.5929999999998</c:v>
                </c:pt>
                <c:pt idx="8">
                  <c:v>2708.002</c:v>
                </c:pt>
                <c:pt idx="9">
                  <c:v>3062.09</c:v>
                </c:pt>
                <c:pt idx="10">
                  <c:v>3177.8180000000002</c:v>
                </c:pt>
                <c:pt idx="11">
                  <c:v>3211.55</c:v>
                </c:pt>
                <c:pt idx="12">
                  <c:v>3429.3240000000001</c:v>
                </c:pt>
                <c:pt idx="13">
                  <c:v>3538.9789999999998</c:v>
                </c:pt>
                <c:pt idx="14">
                  <c:v>3608.0520000000001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F-4DE6-B0DA-1BAE830EB406}"/>
            </c:ext>
          </c:extLst>
        </c:ser>
        <c:ser>
          <c:idx val="5"/>
          <c:order val="5"/>
          <c:tx>
            <c:strRef>
              <c:f>'Graf-2'!$Q$4</c:f>
              <c:strCache>
                <c:ptCount val="1"/>
                <c:pt idx="0">
                  <c:v>z toho dopravní prostředky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9526312953719317E-3"/>
                  <c:y val="1.5216922242209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8F-4DE6-B0DA-1BAE830EB406}"/>
                </c:ext>
              </c:extLst>
            </c:dLbl>
            <c:dLbl>
              <c:idx val="1"/>
              <c:layout>
                <c:manualLayout>
                  <c:x val="1.3260998588695614E-2"/>
                  <c:y val="1.520255762083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8F-4DE6-B0DA-1BAE830EB406}"/>
                </c:ext>
              </c:extLst>
            </c:dLbl>
            <c:dLbl>
              <c:idx val="2"/>
              <c:layout>
                <c:manualLayout>
                  <c:x val="1.326099858869559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8F-4DE6-B0DA-1BAE830EB406}"/>
                </c:ext>
              </c:extLst>
            </c:dLbl>
            <c:dLbl>
              <c:idx val="3"/>
              <c:layout>
                <c:manualLayout>
                  <c:x val="1.3260998588695566E-2"/>
                  <c:y val="1.520255762083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8F-4DE6-B0DA-1BAE830EB406}"/>
                </c:ext>
              </c:extLst>
            </c:dLbl>
            <c:dLbl>
              <c:idx val="4"/>
              <c:layout>
                <c:manualLayout>
                  <c:x val="1.3260998588695614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8F-4DE6-B0DA-1BAE830EB406}"/>
                </c:ext>
              </c:extLst>
            </c:dLbl>
            <c:dLbl>
              <c:idx val="5"/>
              <c:layout>
                <c:manualLayout>
                  <c:x val="1.591319830643469E-2"/>
                  <c:y val="1.1401918215626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8F-4DE6-B0DA-1BAE830EB406}"/>
                </c:ext>
              </c:extLst>
            </c:dLbl>
            <c:dLbl>
              <c:idx val="6"/>
              <c:layout>
                <c:manualLayout>
                  <c:x val="1.3260998588695663E-2"/>
                  <c:y val="1.1401918215626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8F-4DE6-B0DA-1BAE830EB406}"/>
                </c:ext>
              </c:extLst>
            </c:dLbl>
            <c:dLbl>
              <c:idx val="7"/>
              <c:layout>
                <c:manualLayout>
                  <c:x val="1.3260998588695517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8F-4DE6-B0DA-1BAE830EB406}"/>
                </c:ext>
              </c:extLst>
            </c:dLbl>
            <c:dLbl>
              <c:idx val="8"/>
              <c:layout>
                <c:manualLayout>
                  <c:x val="1.5913198306434739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8F-4DE6-B0DA-1BAE830EB406}"/>
                </c:ext>
              </c:extLst>
            </c:dLbl>
            <c:dLbl>
              <c:idx val="9"/>
              <c:layout>
                <c:manualLayout>
                  <c:x val="1.3260998588695614E-2"/>
                  <c:y val="1.520255762083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8F-4DE6-B0DA-1BAE830EB406}"/>
                </c:ext>
              </c:extLst>
            </c:dLbl>
            <c:dLbl>
              <c:idx val="10"/>
              <c:layout>
                <c:manualLayout>
                  <c:x val="1.3260998588695614E-2"/>
                  <c:y val="1.5202557620835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8F-4DE6-B0DA-1BAE830EB406}"/>
                </c:ext>
              </c:extLst>
            </c:dLbl>
            <c:dLbl>
              <c:idx val="11"/>
              <c:layout>
                <c:manualLayout>
                  <c:x val="1.3260998588695614E-2"/>
                  <c:y val="1.5202557620835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8F-4DE6-B0DA-1BAE830EB406}"/>
                </c:ext>
              </c:extLst>
            </c:dLbl>
            <c:dLbl>
              <c:idx val="12"/>
              <c:layout>
                <c:manualLayout>
                  <c:x val="1.3260998588695614E-2"/>
                  <c:y val="1.5202557620835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8F-4DE6-B0DA-1BAE830EB406}"/>
                </c:ext>
              </c:extLst>
            </c:dLbl>
            <c:dLbl>
              <c:idx val="13"/>
              <c:layout>
                <c:manualLayout>
                  <c:x val="1.3260998588695712E-2"/>
                  <c:y val="1.5202557620835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8F-4DE6-B0DA-1BAE830EB406}"/>
                </c:ext>
              </c:extLst>
            </c:dLbl>
            <c:dLbl>
              <c:idx val="14"/>
              <c:layout>
                <c:manualLayout>
                  <c:x val="0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8F-4DE6-B0DA-1BAE830EB4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'Graf-2'!$Q$5:$Q$19</c:f>
              <c:numCache>
                <c:formatCode>#\ ##0_ ;\-#\ ##0\ </c:formatCode>
                <c:ptCount val="15"/>
                <c:pt idx="0">
                  <c:v>349.91300000000001</c:v>
                </c:pt>
                <c:pt idx="1">
                  <c:v>416.84899999999999</c:v>
                </c:pt>
                <c:pt idx="2">
                  <c:v>467.27800000000002</c:v>
                </c:pt>
                <c:pt idx="3">
                  <c:v>443.13099999999997</c:v>
                </c:pt>
                <c:pt idx="4">
                  <c:v>423.24700000000001</c:v>
                </c:pt>
                <c:pt idx="5">
                  <c:v>493.74900000000002</c:v>
                </c:pt>
                <c:pt idx="6">
                  <c:v>552.68299999999999</c:v>
                </c:pt>
                <c:pt idx="7">
                  <c:v>593.45100000000002</c:v>
                </c:pt>
                <c:pt idx="8">
                  <c:v>627.995</c:v>
                </c:pt>
                <c:pt idx="9">
                  <c:v>764.52200000000005</c:v>
                </c:pt>
                <c:pt idx="10">
                  <c:v>897.86099999999999</c:v>
                </c:pt>
                <c:pt idx="11">
                  <c:v>969.30799999999999</c:v>
                </c:pt>
                <c:pt idx="12">
                  <c:v>1043.5609999999999</c:v>
                </c:pt>
                <c:pt idx="13">
                  <c:v>1036.8219999999999</c:v>
                </c:pt>
                <c:pt idx="14">
                  <c:v>1079.2059999999999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48F-4DE6-B0DA-1BAE830EB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928528"/>
        <c:axId val="432872944"/>
      </c:barChart>
      <c:lineChart>
        <c:grouping val="standard"/>
        <c:varyColors val="0"/>
        <c:ser>
          <c:idx val="0"/>
          <c:order val="0"/>
          <c:tx>
            <c:strRef>
              <c:f>'Graf-2'!$L$4</c:f>
              <c:strCache>
                <c:ptCount val="1"/>
                <c:pt idx="0">
                  <c:v>Vývoz zboží / produkce v NH (v %)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'Graf-2'!$L$5:$L$19</c:f>
              <c:numCache>
                <c:formatCode>#\ ##0.0</c:formatCode>
                <c:ptCount val="15"/>
                <c:pt idx="0">
                  <c:v>22.821236919515261</c:v>
                </c:pt>
                <c:pt idx="1">
                  <c:v>23.111580607709271</c:v>
                </c:pt>
                <c:pt idx="2">
                  <c:v>23.406680286176421</c:v>
                </c:pt>
                <c:pt idx="3">
                  <c:v>22.205625048421425</c:v>
                </c:pt>
                <c:pt idx="4">
                  <c:v>21.644077738451315</c:v>
                </c:pt>
                <c:pt idx="5">
                  <c:v>23.653449364958554</c:v>
                </c:pt>
                <c:pt idx="6">
                  <c:v>25.107465507442118</c:v>
                </c:pt>
                <c:pt idx="7">
                  <c:v>27.232793946548504</c:v>
                </c:pt>
                <c:pt idx="8">
                  <c:v>27.716509143129674</c:v>
                </c:pt>
                <c:pt idx="9">
                  <c:v>29.812781430411345</c:v>
                </c:pt>
                <c:pt idx="10">
                  <c:v>29.683327799588348</c:v>
                </c:pt>
                <c:pt idx="11">
                  <c:v>29.519903167910616</c:v>
                </c:pt>
                <c:pt idx="12">
                  <c:v>29.420017035165447</c:v>
                </c:pt>
                <c:pt idx="13">
                  <c:v>28.584393900554939</c:v>
                </c:pt>
                <c:pt idx="14">
                  <c:v>27.854989200296593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548F-4DE6-B0DA-1BAE830EB406}"/>
            </c:ext>
          </c:extLst>
        </c:ser>
        <c:ser>
          <c:idx val="1"/>
          <c:order val="1"/>
          <c:tx>
            <c:strRef>
              <c:f>'Graf-2'!$M$4</c:f>
              <c:strCache>
                <c:ptCount val="1"/>
                <c:pt idx="0">
                  <c:v>Vývoz zboží / HDP (v %)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'Graf-2'!$M$5:$M$19</c:f>
              <c:numCache>
                <c:formatCode>#\ ##0.0</c:formatCode>
                <c:ptCount val="15"/>
                <c:pt idx="0">
                  <c:v>52.149573997145261</c:v>
                </c:pt>
                <c:pt idx="1">
                  <c:v>54.761794911494462</c:v>
                </c:pt>
                <c:pt idx="2">
                  <c:v>55.995608677084185</c:v>
                </c:pt>
                <c:pt idx="3">
                  <c:v>52.872589853471609</c:v>
                </c:pt>
                <c:pt idx="4">
                  <c:v>48.494472718503367</c:v>
                </c:pt>
                <c:pt idx="5">
                  <c:v>54.976256383423873</c:v>
                </c:pt>
                <c:pt idx="6">
                  <c:v>59.988852403755885</c:v>
                </c:pt>
                <c:pt idx="7">
                  <c:v>64.142480514451279</c:v>
                </c:pt>
                <c:pt idx="8">
                  <c:v>64.698374895334453</c:v>
                </c:pt>
                <c:pt idx="9">
                  <c:v>69.92393495238079</c:v>
                </c:pt>
                <c:pt idx="10">
                  <c:v>68.217357808831352</c:v>
                </c:pt>
                <c:pt idx="11">
                  <c:v>66.647917156781773</c:v>
                </c:pt>
                <c:pt idx="12">
                  <c:v>66.665995749774055</c:v>
                </c:pt>
                <c:pt idx="13">
                  <c:v>64.767391503079068</c:v>
                </c:pt>
                <c:pt idx="14">
                  <c:v>62.320936908553001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548F-4DE6-B0DA-1BAE830EB406}"/>
            </c:ext>
          </c:extLst>
        </c:ser>
        <c:ser>
          <c:idx val="2"/>
          <c:order val="2"/>
          <c:tx>
            <c:strRef>
              <c:f>'Graf-2'!$N$4</c:f>
              <c:strCache>
                <c:ptCount val="1"/>
                <c:pt idx="0">
                  <c:v>Vývoz zboží i služeb / produkce v NH (v %)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'Graf-2'!$N$5:$N$19</c:f>
              <c:numCache>
                <c:formatCode>0.0</c:formatCode>
                <c:ptCount val="15"/>
                <c:pt idx="0">
                  <c:v>27.020018023060398</c:v>
                </c:pt>
                <c:pt idx="1">
                  <c:v>27.38543049268911</c:v>
                </c:pt>
                <c:pt idx="2">
                  <c:v>27.640033997171663</c:v>
                </c:pt>
                <c:pt idx="3">
                  <c:v>26.414911666326091</c:v>
                </c:pt>
                <c:pt idx="4">
                  <c:v>26.050551858522219</c:v>
                </c:pt>
                <c:pt idx="5">
                  <c:v>28.169382355530015</c:v>
                </c:pt>
                <c:pt idx="6">
                  <c:v>29.610162239114917</c:v>
                </c:pt>
                <c:pt idx="7">
                  <c:v>32.103841113308619</c:v>
                </c:pt>
                <c:pt idx="8">
                  <c:v>32.57306854857103</c:v>
                </c:pt>
                <c:pt idx="9">
                  <c:v>34.932827656540177</c:v>
                </c:pt>
                <c:pt idx="10">
                  <c:v>35.071973006232113</c:v>
                </c:pt>
                <c:pt idx="11">
                  <c:v>35.021653367465603</c:v>
                </c:pt>
                <c:pt idx="12">
                  <c:v>34.911921882115863</c:v>
                </c:pt>
                <c:pt idx="13">
                  <c:v>34.012071903258501</c:v>
                </c:pt>
                <c:pt idx="14">
                  <c:v>33.274720471750378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548F-4DE6-B0DA-1BAE830EB406}"/>
            </c:ext>
          </c:extLst>
        </c:ser>
        <c:ser>
          <c:idx val="3"/>
          <c:order val="3"/>
          <c:tx>
            <c:strRef>
              <c:f>'Graf-2'!$O$4</c:f>
              <c:strCache>
                <c:ptCount val="1"/>
                <c:pt idx="0">
                  <c:v>Vývoz zboží i služeb / HDP (v %)</c:v>
                </c:pt>
              </c:strCache>
            </c:strRef>
          </c:tx>
          <c:spPr>
            <a:ln w="19050" cap="rnd">
              <a:solidFill>
                <a:schemeClr val="accent2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'Graf-2'!$O$5:$O$19</c:f>
              <c:numCache>
                <c:formatCode>0.0</c:formatCode>
                <c:ptCount val="15"/>
                <c:pt idx="0">
                  <c:v>61.744349540178931</c:v>
                </c:pt>
                <c:pt idx="1">
                  <c:v>64.888479661290887</c:v>
                </c:pt>
                <c:pt idx="2">
                  <c:v>66.123025931233173</c:v>
                </c:pt>
                <c:pt idx="3">
                  <c:v>62.895090208173464</c:v>
                </c:pt>
                <c:pt idx="4">
                  <c:v>58.367364582172101</c:v>
                </c:pt>
                <c:pt idx="5">
                  <c:v>65.472361457545418</c:v>
                </c:pt>
                <c:pt idx="6">
                  <c:v>70.747071291884183</c:v>
                </c:pt>
                <c:pt idx="7">
                  <c:v>75.615451249372214</c:v>
                </c:pt>
                <c:pt idx="8">
                  <c:v>76.034993785256717</c:v>
                </c:pt>
                <c:pt idx="9">
                  <c:v>81.932669531698295</c:v>
                </c:pt>
                <c:pt idx="10">
                  <c:v>80.601384985580722</c:v>
                </c:pt>
                <c:pt idx="11">
                  <c:v>79.069373603693336</c:v>
                </c:pt>
                <c:pt idx="12">
                  <c:v>79.110696401963892</c:v>
                </c:pt>
                <c:pt idx="13">
                  <c:v>77.065589861832009</c:v>
                </c:pt>
                <c:pt idx="14">
                  <c:v>74.446690331066861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548F-4DE6-B0DA-1BAE830EB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9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Poměr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vývozu k HDP, podíl vývozu na produkci (v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4.3953191509653208E-4"/>
              <c:y val="5.286414991378841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valAx>
        <c:axId val="432872944"/>
        <c:scaling>
          <c:orientation val="minMax"/>
          <c:max val="450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Hodnota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vývozu (v mld. korun)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88991301207283"/>
              <c:y val="0.195359280764591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_ ;\-#\ ##0\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04928528"/>
        <c:crosses val="max"/>
        <c:crossBetween val="between"/>
        <c:majorUnit val="500"/>
      </c:valAx>
      <c:catAx>
        <c:axId val="404928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287294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1.5748457406313053E-2"/>
          <c:y val="0.89544454890398839"/>
          <c:w val="0.95786874510868703"/>
          <c:h val="0.10075180773343503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7680951222731E-2"/>
          <c:y val="2.055840501757536E-2"/>
          <c:w val="0.93481989421424139"/>
          <c:h val="0.7503271492772803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'Graf-3'!$Q$4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732-4C94-A675-C32E959DBE8C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732-4C94-A675-C32E959DBE8C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732-4C94-A675-C32E959DBE8C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732-4C94-A675-C32E959DBE8C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32-4C94-A675-C32E959DBE8C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732-4C94-A675-C32E959DBE8C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0732-4C94-A675-C32E959DBE8C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732-4C94-A675-C32E959DBE8C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0732-4C94-A675-C32E959DBE8C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732-4C94-A675-C32E959DBE8C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0732-4C94-A675-C32E959DBE8C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0732-4C94-A675-C32E959DBE8C}"/>
              </c:ext>
            </c:extLst>
          </c:dPt>
          <c:dPt>
            <c:idx val="2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0732-4C94-A675-C32E959DBE8C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0732-4C94-A675-C32E959DBE8C}"/>
              </c:ext>
            </c:extLst>
          </c:dPt>
          <c:dPt>
            <c:idx val="2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0732-4C94-A675-C32E959DBE8C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0732-4C94-A675-C32E959DBE8C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0732-4C94-A675-C32E959DBE8C}"/>
              </c:ext>
            </c:extLst>
          </c:dPt>
          <c:dPt>
            <c:idx val="3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0732-4C94-A675-C32E959DBE8C}"/>
              </c:ext>
            </c:extLst>
          </c:dPt>
          <c:dPt>
            <c:idx val="3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0732-4C94-A675-C32E959DBE8C}"/>
              </c:ext>
            </c:extLst>
          </c:dPt>
          <c:dPt>
            <c:idx val="3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0732-4C94-A675-C32E959DBE8C}"/>
              </c:ext>
            </c:extLst>
          </c:dPt>
          <c:dPt>
            <c:idx val="33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0732-4C94-A675-C32E959DBE8C}"/>
              </c:ext>
            </c:extLst>
          </c:dPt>
          <c:dPt>
            <c:idx val="3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0732-4C94-A675-C32E959DBE8C}"/>
              </c:ext>
            </c:extLst>
          </c:dPt>
          <c:dPt>
            <c:idx val="3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0732-4C94-A675-C32E959DBE8C}"/>
              </c:ext>
            </c:extLst>
          </c:dPt>
          <c:dPt>
            <c:idx val="3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0732-4C94-A675-C32E959DBE8C}"/>
              </c:ext>
            </c:extLst>
          </c:dPt>
          <c:dPt>
            <c:idx val="3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0732-4C94-A675-C32E959DBE8C}"/>
              </c:ext>
            </c:extLst>
          </c:dPt>
          <c:cat>
            <c:strRef>
              <c:f>'Graf-3'!$L$5:$L$42</c:f>
              <c:strCache>
                <c:ptCount val="38"/>
                <c:pt idx="0">
                  <c:v>Irsko</c:v>
                </c:pt>
                <c:pt idx="1">
                  <c:v>Česko</c:v>
                </c:pt>
                <c:pt idx="2">
                  <c:v>Slovinsko</c:v>
                </c:pt>
                <c:pt idx="3">
                  <c:v>Polsko</c:v>
                </c:pt>
                <c:pt idx="4">
                  <c:v>Slovensko</c:v>
                </c:pt>
                <c:pt idx="5">
                  <c:v>Německo</c:v>
                </c:pt>
                <c:pt idx="6">
                  <c:v>Maďarsko</c:v>
                </c:pt>
                <c:pt idx="7">
                  <c:v>Rumunsko</c:v>
                </c:pt>
                <c:pt idx="8">
                  <c:v>Rakousko</c:v>
                </c:pt>
                <c:pt idx="9">
                  <c:v>Bulharsko</c:v>
                </c:pt>
                <c:pt idx="10">
                  <c:v>Litva</c:v>
                </c:pt>
                <c:pt idx="11">
                  <c:v>Finsko</c:v>
                </c:pt>
                <c:pt idx="12">
                  <c:v>EU27</c:v>
                </c:pt>
                <c:pt idx="13">
                  <c:v>Itálie</c:v>
                </c:pt>
                <c:pt idx="14">
                  <c:v>Estonsko</c:v>
                </c:pt>
                <c:pt idx="15">
                  <c:v>Chorvatsko</c:v>
                </c:pt>
                <c:pt idx="16">
                  <c:v>Švédsko</c:v>
                </c:pt>
                <c:pt idx="17">
                  <c:v>Dánsko</c:v>
                </c:pt>
                <c:pt idx="18">
                  <c:v>Portugalsko</c:v>
                </c:pt>
                <c:pt idx="19">
                  <c:v>Belgie</c:v>
                </c:pt>
                <c:pt idx="20">
                  <c:v>Španělsko</c:v>
                </c:pt>
                <c:pt idx="21">
                  <c:v>Lotyšsko</c:v>
                </c:pt>
                <c:pt idx="22">
                  <c:v>Nizozemsko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  <c:pt idx="26">
                  <c:v>Kypr</c:v>
                </c:pt>
                <c:pt idx="27">
                  <c:v>Lucembursko</c:v>
                </c:pt>
                <c:pt idx="28">
                  <c:v>Norsko</c:v>
                </c:pt>
                <c:pt idx="29">
                  <c:v>Turecko</c:v>
                </c:pt>
                <c:pt idx="30">
                  <c:v>Srbsko</c:v>
                </c:pt>
                <c:pt idx="31">
                  <c:v>Bosna a H.</c:v>
                </c:pt>
                <c:pt idx="32">
                  <c:v>S. Makedonie</c:v>
                </c:pt>
                <c:pt idx="33">
                  <c:v>Švýcarsko</c:v>
                </c:pt>
                <c:pt idx="34">
                  <c:v>Island</c:v>
                </c:pt>
                <c:pt idx="35">
                  <c:v>Velká Británie</c:v>
                </c:pt>
                <c:pt idx="36">
                  <c:v>Albánie</c:v>
                </c:pt>
                <c:pt idx="37">
                  <c:v>Černá Hora</c:v>
                </c:pt>
              </c:strCache>
            </c:strRef>
          </c:cat>
          <c:val>
            <c:numRef>
              <c:f>'Graf-3'!$Q$5:$Q$42</c:f>
              <c:numCache>
                <c:formatCode>#,##0.0</c:formatCode>
                <c:ptCount val="38"/>
                <c:pt idx="0">
                  <c:v>35</c:v>
                </c:pt>
                <c:pt idx="1">
                  <c:v>29.2</c:v>
                </c:pt>
                <c:pt idx="2">
                  <c:v>26.7</c:v>
                </c:pt>
                <c:pt idx="3">
                  <c:v>25.1</c:v>
                </c:pt>
                <c:pt idx="4">
                  <c:v>24.5</c:v>
                </c:pt>
                <c:pt idx="5">
                  <c:v>24.2</c:v>
                </c:pt>
                <c:pt idx="6">
                  <c:v>24.1</c:v>
                </c:pt>
                <c:pt idx="7">
                  <c:v>24.1</c:v>
                </c:pt>
                <c:pt idx="8">
                  <c:v>21.9</c:v>
                </c:pt>
                <c:pt idx="9">
                  <c:v>21.3</c:v>
                </c:pt>
                <c:pt idx="10">
                  <c:v>20.8</c:v>
                </c:pt>
                <c:pt idx="11">
                  <c:v>20.5</c:v>
                </c:pt>
                <c:pt idx="12">
                  <c:v>19.7</c:v>
                </c:pt>
                <c:pt idx="13">
                  <c:v>19.600000000000001</c:v>
                </c:pt>
                <c:pt idx="14">
                  <c:v>19.2</c:v>
                </c:pt>
                <c:pt idx="15">
                  <c:v>19.2</c:v>
                </c:pt>
                <c:pt idx="16">
                  <c:v>18.2</c:v>
                </c:pt>
                <c:pt idx="17">
                  <c:v>17.899999999999999</c:v>
                </c:pt>
                <c:pt idx="18">
                  <c:v>17.399999999999999</c:v>
                </c:pt>
                <c:pt idx="19">
                  <c:v>16</c:v>
                </c:pt>
                <c:pt idx="20">
                  <c:v>15.8</c:v>
                </c:pt>
                <c:pt idx="21">
                  <c:v>15.2</c:v>
                </c:pt>
                <c:pt idx="22">
                  <c:v>14.9</c:v>
                </c:pt>
                <c:pt idx="23">
                  <c:v>14.8</c:v>
                </c:pt>
                <c:pt idx="24">
                  <c:v>13.5</c:v>
                </c:pt>
                <c:pt idx="25">
                  <c:v>9.8000000000000007</c:v>
                </c:pt>
                <c:pt idx="26">
                  <c:v>8</c:v>
                </c:pt>
                <c:pt idx="27">
                  <c:v>6.5</c:v>
                </c:pt>
                <c:pt idx="28">
                  <c:v>26.1</c:v>
                </c:pt>
                <c:pt idx="29">
                  <c:v>24.9</c:v>
                </c:pt>
                <c:pt idx="30">
                  <c:v>24</c:v>
                </c:pt>
                <c:pt idx="31">
                  <c:v>23.2</c:v>
                </c:pt>
                <c:pt idx="32">
                  <c:v>21.4</c:v>
                </c:pt>
                <c:pt idx="33">
                  <c:v>21</c:v>
                </c:pt>
                <c:pt idx="34">
                  <c:v>14.4</c:v>
                </c:pt>
                <c:pt idx="35">
                  <c:v>13.3</c:v>
                </c:pt>
                <c:pt idx="36">
                  <c:v>13.2</c:v>
                </c:pt>
                <c:pt idx="37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0732-4C94-A675-C32E959DB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'Graf-3'!$O$4</c:f>
              <c:strCache>
                <c:ptCount val="1"/>
                <c:pt idx="0">
                  <c:v>rok 2005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'Graf-3'!$L$5:$L$42</c:f>
              <c:strCache>
                <c:ptCount val="38"/>
                <c:pt idx="0">
                  <c:v>Irsko</c:v>
                </c:pt>
                <c:pt idx="1">
                  <c:v>Česko</c:v>
                </c:pt>
                <c:pt idx="2">
                  <c:v>Slovinsko</c:v>
                </c:pt>
                <c:pt idx="3">
                  <c:v>Polsko</c:v>
                </c:pt>
                <c:pt idx="4">
                  <c:v>Slovensko</c:v>
                </c:pt>
                <c:pt idx="5">
                  <c:v>Německo</c:v>
                </c:pt>
                <c:pt idx="6">
                  <c:v>Maďarsko</c:v>
                </c:pt>
                <c:pt idx="7">
                  <c:v>Rumunsko</c:v>
                </c:pt>
                <c:pt idx="8">
                  <c:v>Rakousko</c:v>
                </c:pt>
                <c:pt idx="9">
                  <c:v>Bulharsko</c:v>
                </c:pt>
                <c:pt idx="10">
                  <c:v>Litva</c:v>
                </c:pt>
                <c:pt idx="11">
                  <c:v>Finsko</c:v>
                </c:pt>
                <c:pt idx="12">
                  <c:v>EU27</c:v>
                </c:pt>
                <c:pt idx="13">
                  <c:v>Itálie</c:v>
                </c:pt>
                <c:pt idx="14">
                  <c:v>Estonsko</c:v>
                </c:pt>
                <c:pt idx="15">
                  <c:v>Chorvatsko</c:v>
                </c:pt>
                <c:pt idx="16">
                  <c:v>Švédsko</c:v>
                </c:pt>
                <c:pt idx="17">
                  <c:v>Dánsko</c:v>
                </c:pt>
                <c:pt idx="18">
                  <c:v>Portugalsko</c:v>
                </c:pt>
                <c:pt idx="19">
                  <c:v>Belgie</c:v>
                </c:pt>
                <c:pt idx="20">
                  <c:v>Španělsko</c:v>
                </c:pt>
                <c:pt idx="21">
                  <c:v>Lotyšsko</c:v>
                </c:pt>
                <c:pt idx="22">
                  <c:v>Nizozemsko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  <c:pt idx="26">
                  <c:v>Kypr</c:v>
                </c:pt>
                <c:pt idx="27">
                  <c:v>Lucembursko</c:v>
                </c:pt>
                <c:pt idx="28">
                  <c:v>Norsko</c:v>
                </c:pt>
                <c:pt idx="29">
                  <c:v>Turecko</c:v>
                </c:pt>
                <c:pt idx="30">
                  <c:v>Srbsko</c:v>
                </c:pt>
                <c:pt idx="31">
                  <c:v>Bosna a H.</c:v>
                </c:pt>
                <c:pt idx="32">
                  <c:v>S. Makedonie</c:v>
                </c:pt>
                <c:pt idx="33">
                  <c:v>Švýcarsko</c:v>
                </c:pt>
                <c:pt idx="34">
                  <c:v>Island</c:v>
                </c:pt>
                <c:pt idx="35">
                  <c:v>Velká Británie</c:v>
                </c:pt>
                <c:pt idx="36">
                  <c:v>Albánie</c:v>
                </c:pt>
                <c:pt idx="37">
                  <c:v>Černá Hora</c:v>
                </c:pt>
              </c:strCache>
            </c:strRef>
          </c:cat>
          <c:val>
            <c:numRef>
              <c:f>'Graf-3'!$O$5:$O$42</c:f>
              <c:numCache>
                <c:formatCode>#,##0.0</c:formatCode>
                <c:ptCount val="38"/>
                <c:pt idx="0">
                  <c:v>24.4</c:v>
                </c:pt>
                <c:pt idx="1">
                  <c:v>30.5</c:v>
                </c:pt>
                <c:pt idx="2">
                  <c:v>27.4</c:v>
                </c:pt>
                <c:pt idx="3">
                  <c:v>25.2</c:v>
                </c:pt>
                <c:pt idx="4">
                  <c:v>29.7</c:v>
                </c:pt>
                <c:pt idx="5">
                  <c:v>25.2</c:v>
                </c:pt>
                <c:pt idx="6">
                  <c:v>25.8</c:v>
                </c:pt>
                <c:pt idx="7">
                  <c:v>28.5</c:v>
                </c:pt>
                <c:pt idx="8">
                  <c:v>23.4</c:v>
                </c:pt>
                <c:pt idx="9">
                  <c:v>22.4</c:v>
                </c:pt>
                <c:pt idx="10">
                  <c:v>24.9</c:v>
                </c:pt>
                <c:pt idx="11">
                  <c:v>27</c:v>
                </c:pt>
                <c:pt idx="12">
                  <c:v>21</c:v>
                </c:pt>
                <c:pt idx="13">
                  <c:v>19.899999999999999</c:v>
                </c:pt>
                <c:pt idx="14">
                  <c:v>21.1</c:v>
                </c:pt>
                <c:pt idx="15">
                  <c:v>21.3</c:v>
                </c:pt>
                <c:pt idx="16">
                  <c:v>23.2</c:v>
                </c:pt>
                <c:pt idx="17">
                  <c:v>20.8</c:v>
                </c:pt>
                <c:pt idx="18">
                  <c:v>17.7</c:v>
                </c:pt>
                <c:pt idx="19">
                  <c:v>20.399999999999999</c:v>
                </c:pt>
                <c:pt idx="20">
                  <c:v>18.399999999999999</c:v>
                </c:pt>
                <c:pt idx="21">
                  <c:v>16</c:v>
                </c:pt>
                <c:pt idx="22">
                  <c:v>18.100000000000001</c:v>
                </c:pt>
                <c:pt idx="23">
                  <c:v>13.5</c:v>
                </c:pt>
                <c:pt idx="24">
                  <c:v>16.399999999999999</c:v>
                </c:pt>
                <c:pt idx="25">
                  <c:v>16.2</c:v>
                </c:pt>
                <c:pt idx="26">
                  <c:v>10.1</c:v>
                </c:pt>
                <c:pt idx="27">
                  <c:v>10.8</c:v>
                </c:pt>
                <c:pt idx="28">
                  <c:v>37.799999999999997</c:v>
                </c:pt>
                <c:pt idx="29">
                  <c:v>22.6</c:v>
                </c:pt>
                <c:pt idx="30">
                  <c:v>30.6</c:v>
                </c:pt>
                <c:pt idx="31">
                  <c:v>20.2</c:v>
                </c:pt>
                <c:pt idx="32">
                  <c:v>17.600000000000001</c:v>
                </c:pt>
                <c:pt idx="33">
                  <c:v>22</c:v>
                </c:pt>
                <c:pt idx="34">
                  <c:v>13.9</c:v>
                </c:pt>
                <c:pt idx="35">
                  <c:v>16.100000000000001</c:v>
                </c:pt>
                <c:pt idx="36">
                  <c:v>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3-0732-4C94-A675-C32E959DBE8C}"/>
            </c:ext>
          </c:extLst>
        </c:ser>
        <c:ser>
          <c:idx val="1"/>
          <c:order val="1"/>
          <c:tx>
            <c:strRef>
              <c:f>'Graf-3'!$P$4</c:f>
              <c:strCache>
                <c:ptCount val="1"/>
                <c:pt idx="0">
                  <c:v>rok 2013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cat>
            <c:strRef>
              <c:f>'Graf-3'!$L$5:$L$42</c:f>
              <c:strCache>
                <c:ptCount val="38"/>
                <c:pt idx="0">
                  <c:v>Irsko</c:v>
                </c:pt>
                <c:pt idx="1">
                  <c:v>Česko</c:v>
                </c:pt>
                <c:pt idx="2">
                  <c:v>Slovinsko</c:v>
                </c:pt>
                <c:pt idx="3">
                  <c:v>Polsko</c:v>
                </c:pt>
                <c:pt idx="4">
                  <c:v>Slovensko</c:v>
                </c:pt>
                <c:pt idx="5">
                  <c:v>Německo</c:v>
                </c:pt>
                <c:pt idx="6">
                  <c:v>Maďarsko</c:v>
                </c:pt>
                <c:pt idx="7">
                  <c:v>Rumunsko</c:v>
                </c:pt>
                <c:pt idx="8">
                  <c:v>Rakousko</c:v>
                </c:pt>
                <c:pt idx="9">
                  <c:v>Bulharsko</c:v>
                </c:pt>
                <c:pt idx="10">
                  <c:v>Litva</c:v>
                </c:pt>
                <c:pt idx="11">
                  <c:v>Finsko</c:v>
                </c:pt>
                <c:pt idx="12">
                  <c:v>EU27</c:v>
                </c:pt>
                <c:pt idx="13">
                  <c:v>Itálie</c:v>
                </c:pt>
                <c:pt idx="14">
                  <c:v>Estonsko</c:v>
                </c:pt>
                <c:pt idx="15">
                  <c:v>Chorvatsko</c:v>
                </c:pt>
                <c:pt idx="16">
                  <c:v>Švédsko</c:v>
                </c:pt>
                <c:pt idx="17">
                  <c:v>Dánsko</c:v>
                </c:pt>
                <c:pt idx="18">
                  <c:v>Portugalsko</c:v>
                </c:pt>
                <c:pt idx="19">
                  <c:v>Belgie</c:v>
                </c:pt>
                <c:pt idx="20">
                  <c:v>Španělsko</c:v>
                </c:pt>
                <c:pt idx="21">
                  <c:v>Lotyšsko</c:v>
                </c:pt>
                <c:pt idx="22">
                  <c:v>Nizozemsko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  <c:pt idx="26">
                  <c:v>Kypr</c:v>
                </c:pt>
                <c:pt idx="27">
                  <c:v>Lucembursko</c:v>
                </c:pt>
                <c:pt idx="28">
                  <c:v>Norsko</c:v>
                </c:pt>
                <c:pt idx="29">
                  <c:v>Turecko</c:v>
                </c:pt>
                <c:pt idx="30">
                  <c:v>Srbsko</c:v>
                </c:pt>
                <c:pt idx="31">
                  <c:v>Bosna a H.</c:v>
                </c:pt>
                <c:pt idx="32">
                  <c:v>S. Makedonie</c:v>
                </c:pt>
                <c:pt idx="33">
                  <c:v>Švýcarsko</c:v>
                </c:pt>
                <c:pt idx="34">
                  <c:v>Island</c:v>
                </c:pt>
                <c:pt idx="35">
                  <c:v>Velká Británie</c:v>
                </c:pt>
                <c:pt idx="36">
                  <c:v>Albánie</c:v>
                </c:pt>
                <c:pt idx="37">
                  <c:v>Černá Hora</c:v>
                </c:pt>
              </c:strCache>
            </c:strRef>
          </c:cat>
          <c:val>
            <c:numRef>
              <c:f>'Graf-3'!$P$5:$P$42</c:f>
              <c:numCache>
                <c:formatCode>#,##0.0</c:formatCode>
                <c:ptCount val="38"/>
                <c:pt idx="0">
                  <c:v>24.4</c:v>
                </c:pt>
                <c:pt idx="1">
                  <c:v>30.7</c:v>
                </c:pt>
                <c:pt idx="2">
                  <c:v>26.5</c:v>
                </c:pt>
                <c:pt idx="3">
                  <c:v>24.9</c:v>
                </c:pt>
                <c:pt idx="4">
                  <c:v>24.3</c:v>
                </c:pt>
                <c:pt idx="5">
                  <c:v>25.3</c:v>
                </c:pt>
                <c:pt idx="6">
                  <c:v>25.6</c:v>
                </c:pt>
                <c:pt idx="7">
                  <c:v>28.6</c:v>
                </c:pt>
                <c:pt idx="8">
                  <c:v>22.2</c:v>
                </c:pt>
                <c:pt idx="9">
                  <c:v>22.1</c:v>
                </c:pt>
                <c:pt idx="10">
                  <c:v>23.5</c:v>
                </c:pt>
                <c:pt idx="11">
                  <c:v>20.399999999999999</c:v>
                </c:pt>
                <c:pt idx="12">
                  <c:v>19.8</c:v>
                </c:pt>
                <c:pt idx="13">
                  <c:v>18.600000000000001</c:v>
                </c:pt>
                <c:pt idx="14">
                  <c:v>21.8</c:v>
                </c:pt>
                <c:pt idx="15">
                  <c:v>20.6</c:v>
                </c:pt>
                <c:pt idx="16">
                  <c:v>19</c:v>
                </c:pt>
                <c:pt idx="17">
                  <c:v>18.7</c:v>
                </c:pt>
                <c:pt idx="18">
                  <c:v>17</c:v>
                </c:pt>
                <c:pt idx="19">
                  <c:v>16.899999999999999</c:v>
                </c:pt>
                <c:pt idx="20">
                  <c:v>16.399999999999999</c:v>
                </c:pt>
                <c:pt idx="21">
                  <c:v>16.5</c:v>
                </c:pt>
                <c:pt idx="22">
                  <c:v>17.100000000000001</c:v>
                </c:pt>
                <c:pt idx="23">
                  <c:v>13.6</c:v>
                </c:pt>
                <c:pt idx="24">
                  <c:v>14.1</c:v>
                </c:pt>
                <c:pt idx="25">
                  <c:v>12.6</c:v>
                </c:pt>
                <c:pt idx="26">
                  <c:v>7.2</c:v>
                </c:pt>
                <c:pt idx="27">
                  <c:v>7.1</c:v>
                </c:pt>
                <c:pt idx="28">
                  <c:v>34</c:v>
                </c:pt>
                <c:pt idx="29">
                  <c:v>22.4</c:v>
                </c:pt>
                <c:pt idx="30">
                  <c:v>28.2</c:v>
                </c:pt>
                <c:pt idx="31">
                  <c:v>21.6</c:v>
                </c:pt>
                <c:pt idx="32">
                  <c:v>17.3</c:v>
                </c:pt>
                <c:pt idx="33">
                  <c:v>21.2</c:v>
                </c:pt>
                <c:pt idx="34">
                  <c:v>18.600000000000001</c:v>
                </c:pt>
                <c:pt idx="35">
                  <c:v>15.3</c:v>
                </c:pt>
                <c:pt idx="36">
                  <c:v>14.6</c:v>
                </c:pt>
                <c:pt idx="37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4-0732-4C94-A675-C32E959DB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36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4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045462803781111"/>
          <c:y val="0.94863090831594765"/>
          <c:w val="0.37472748609452167"/>
          <c:h val="4.8796165436585381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7680951222731E-2"/>
          <c:y val="2.055840501757536E-2"/>
          <c:w val="0.93481989421424139"/>
          <c:h val="0.7503271492772803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'Graf-4'!$U$3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66-4730-9809-F8B5C75BD9A0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66-4730-9809-F8B5C75BD9A0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266-4730-9809-F8B5C75BD9A0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66-4730-9809-F8B5C75BD9A0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266-4730-9809-F8B5C75BD9A0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266-4730-9809-F8B5C75BD9A0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266-4730-9809-F8B5C75BD9A0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266-4730-9809-F8B5C75BD9A0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266-4730-9809-F8B5C75BD9A0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266-4730-9809-F8B5C75BD9A0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266-4730-9809-F8B5C75BD9A0}"/>
              </c:ext>
            </c:extLst>
          </c:dPt>
          <c:dPt>
            <c:idx val="2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266-4730-9809-F8B5C75BD9A0}"/>
              </c:ext>
            </c:extLst>
          </c:dPt>
          <c:dPt>
            <c:idx val="2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266-4730-9809-F8B5C75BD9A0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266-4730-9809-F8B5C75BD9A0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266-4730-9809-F8B5C75BD9A0}"/>
              </c:ext>
            </c:extLst>
          </c:dPt>
          <c:dPt>
            <c:idx val="2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266-4730-9809-F8B5C75BD9A0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266-4730-9809-F8B5C75BD9A0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266-4730-9809-F8B5C75BD9A0}"/>
              </c:ext>
            </c:extLst>
          </c:dPt>
          <c:dPt>
            <c:idx val="3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E266-4730-9809-F8B5C75BD9A0}"/>
              </c:ext>
            </c:extLst>
          </c:dPt>
          <c:dPt>
            <c:idx val="3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E266-4730-9809-F8B5C75BD9A0}"/>
              </c:ext>
            </c:extLst>
          </c:dPt>
          <c:dPt>
            <c:idx val="3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E266-4730-9809-F8B5C75BD9A0}"/>
              </c:ext>
            </c:extLst>
          </c:dPt>
          <c:cat>
            <c:strRef>
              <c:f>'Graf-4'!$P$4:$P$36</c:f>
              <c:strCache>
                <c:ptCount val="33"/>
                <c:pt idx="0">
                  <c:v>Česko</c:v>
                </c:pt>
                <c:pt idx="1">
                  <c:v>Polsko</c:v>
                </c:pt>
                <c:pt idx="2">
                  <c:v>Slovensko</c:v>
                </c:pt>
                <c:pt idx="3">
                  <c:v>Slovinsko</c:v>
                </c:pt>
                <c:pt idx="4">
                  <c:v>Rumunsko</c:v>
                </c:pt>
                <c:pt idx="5">
                  <c:v>Maďarsko</c:v>
                </c:pt>
                <c:pt idx="6">
                  <c:v>Chorvatsko</c:v>
                </c:pt>
                <c:pt idx="7">
                  <c:v>Estonsko</c:v>
                </c:pt>
                <c:pt idx="8">
                  <c:v>Bulharsko</c:v>
                </c:pt>
                <c:pt idx="9">
                  <c:v>Německo</c:v>
                </c:pt>
                <c:pt idx="10">
                  <c:v>Litva</c:v>
                </c:pt>
                <c:pt idx="11">
                  <c:v>Portugalsko</c:v>
                </c:pt>
                <c:pt idx="12">
                  <c:v>Itálie</c:v>
                </c:pt>
                <c:pt idx="13">
                  <c:v>EU27</c:v>
                </c:pt>
                <c:pt idx="14">
                  <c:v>Rakousko</c:v>
                </c:pt>
                <c:pt idx="15">
                  <c:v>Lotyšsko</c:v>
                </c:pt>
                <c:pt idx="16">
                  <c:v>Finsko</c:v>
                </c:pt>
                <c:pt idx="17">
                  <c:v>Švédsko</c:v>
                </c:pt>
                <c:pt idx="18">
                  <c:v>Belgie</c:v>
                </c:pt>
                <c:pt idx="19">
                  <c:v>Španělsko</c:v>
                </c:pt>
                <c:pt idx="20">
                  <c:v>Irsko</c:v>
                </c:pt>
                <c:pt idx="21">
                  <c:v>Dánsko</c:v>
                </c:pt>
                <c:pt idx="22">
                  <c:v>Malta</c:v>
                </c:pt>
                <c:pt idx="23">
                  <c:v>Francie</c:v>
                </c:pt>
                <c:pt idx="24">
                  <c:v>Řecko</c:v>
                </c:pt>
                <c:pt idx="25">
                  <c:v>Kypr</c:v>
                </c:pt>
                <c:pt idx="26">
                  <c:v>Nizozemsko</c:v>
                </c:pt>
                <c:pt idx="27">
                  <c:v>Lucembursko</c:v>
                </c:pt>
                <c:pt idx="28">
                  <c:v>S. Makedonie</c:v>
                </c:pt>
                <c:pt idx="29">
                  <c:v>Švýcarsko</c:v>
                </c:pt>
                <c:pt idx="30">
                  <c:v>Island</c:v>
                </c:pt>
                <c:pt idx="31">
                  <c:v>Norsko</c:v>
                </c:pt>
                <c:pt idx="32">
                  <c:v>Velká Británie</c:v>
                </c:pt>
              </c:strCache>
            </c:strRef>
          </c:cat>
          <c:val>
            <c:numRef>
              <c:f>'Graf-4'!$U$4:$U$36</c:f>
              <c:numCache>
                <c:formatCode>#,##0.0</c:formatCode>
                <c:ptCount val="33"/>
                <c:pt idx="0">
                  <c:v>28.746572681254289</c:v>
                </c:pt>
                <c:pt idx="1">
                  <c:v>24.127773737571275</c:v>
                </c:pt>
                <c:pt idx="2">
                  <c:v>23.853098674329001</c:v>
                </c:pt>
                <c:pt idx="3">
                  <c:v>23.16194413343668</c:v>
                </c:pt>
                <c:pt idx="4">
                  <c:v>21.632719155186969</c:v>
                </c:pt>
                <c:pt idx="5">
                  <c:v>21.166640324535059</c:v>
                </c:pt>
                <c:pt idx="6">
                  <c:v>20.983954178488293</c:v>
                </c:pt>
                <c:pt idx="7">
                  <c:v>20.145963205108711</c:v>
                </c:pt>
                <c:pt idx="8">
                  <c:v>19.99671721030796</c:v>
                </c:pt>
                <c:pt idx="9">
                  <c:v>18.487487841542137</c:v>
                </c:pt>
                <c:pt idx="10">
                  <c:v>18.013756903687252</c:v>
                </c:pt>
                <c:pt idx="11">
                  <c:v>17.060862998180632</c:v>
                </c:pt>
                <c:pt idx="12">
                  <c:v>16.828825437162006</c:v>
                </c:pt>
                <c:pt idx="13">
                  <c:v>16.167393170082278</c:v>
                </c:pt>
                <c:pt idx="14">
                  <c:v>16.063983719962209</c:v>
                </c:pt>
                <c:pt idx="15">
                  <c:v>15.752320604746817</c:v>
                </c:pt>
                <c:pt idx="16">
                  <c:v>14.119277740316175</c:v>
                </c:pt>
                <c:pt idx="17">
                  <c:v>12.460269485014527</c:v>
                </c:pt>
                <c:pt idx="18">
                  <c:v>11.583808414556898</c:v>
                </c:pt>
                <c:pt idx="19">
                  <c:v>11.255127088525505</c:v>
                </c:pt>
                <c:pt idx="20">
                  <c:v>11.065316255464992</c:v>
                </c:pt>
                <c:pt idx="21">
                  <c:v>10.654939395758705</c:v>
                </c:pt>
                <c:pt idx="22">
                  <c:v>10.621564142690902</c:v>
                </c:pt>
                <c:pt idx="23">
                  <c:v>10.2161307327359</c:v>
                </c:pt>
                <c:pt idx="24">
                  <c:v>9.4958780287073328</c:v>
                </c:pt>
                <c:pt idx="25">
                  <c:v>9.3006752890008002</c:v>
                </c:pt>
                <c:pt idx="26">
                  <c:v>9.1269841269841265</c:v>
                </c:pt>
                <c:pt idx="27">
                  <c:v>8.1195570368777545</c:v>
                </c:pt>
                <c:pt idx="28">
                  <c:v>19.76437857002167</c:v>
                </c:pt>
                <c:pt idx="29">
                  <c:v>14.022103266397773</c:v>
                </c:pt>
                <c:pt idx="30">
                  <c:v>12.124199112863481</c:v>
                </c:pt>
                <c:pt idx="31">
                  <c:v>10.993657505285412</c:v>
                </c:pt>
                <c:pt idx="32">
                  <c:v>8.9942578943661147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E266-4730-9809-F8B5C75BD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'Graf-4'!$S$3</c:f>
              <c:strCache>
                <c:ptCount val="1"/>
                <c:pt idx="0">
                  <c:v>rok 2005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'Graf-4'!$P$4:$P$36</c:f>
              <c:strCache>
                <c:ptCount val="33"/>
                <c:pt idx="0">
                  <c:v>Česko</c:v>
                </c:pt>
                <c:pt idx="1">
                  <c:v>Polsko</c:v>
                </c:pt>
                <c:pt idx="2">
                  <c:v>Slovensko</c:v>
                </c:pt>
                <c:pt idx="3">
                  <c:v>Slovinsko</c:v>
                </c:pt>
                <c:pt idx="4">
                  <c:v>Rumunsko</c:v>
                </c:pt>
                <c:pt idx="5">
                  <c:v>Maďarsko</c:v>
                </c:pt>
                <c:pt idx="6">
                  <c:v>Chorvatsko</c:v>
                </c:pt>
                <c:pt idx="7">
                  <c:v>Estonsko</c:v>
                </c:pt>
                <c:pt idx="8">
                  <c:v>Bulharsko</c:v>
                </c:pt>
                <c:pt idx="9">
                  <c:v>Německo</c:v>
                </c:pt>
                <c:pt idx="10">
                  <c:v>Litva</c:v>
                </c:pt>
                <c:pt idx="11">
                  <c:v>Portugalsko</c:v>
                </c:pt>
                <c:pt idx="12">
                  <c:v>Itálie</c:v>
                </c:pt>
                <c:pt idx="13">
                  <c:v>EU27</c:v>
                </c:pt>
                <c:pt idx="14">
                  <c:v>Rakousko</c:v>
                </c:pt>
                <c:pt idx="15">
                  <c:v>Lotyšsko</c:v>
                </c:pt>
                <c:pt idx="16">
                  <c:v>Finsko</c:v>
                </c:pt>
                <c:pt idx="17">
                  <c:v>Švédsko</c:v>
                </c:pt>
                <c:pt idx="18">
                  <c:v>Belgie</c:v>
                </c:pt>
                <c:pt idx="19">
                  <c:v>Španělsko</c:v>
                </c:pt>
                <c:pt idx="20">
                  <c:v>Irsko</c:v>
                </c:pt>
                <c:pt idx="21">
                  <c:v>Dánsko</c:v>
                </c:pt>
                <c:pt idx="22">
                  <c:v>Malta</c:v>
                </c:pt>
                <c:pt idx="23">
                  <c:v>Francie</c:v>
                </c:pt>
                <c:pt idx="24">
                  <c:v>Řecko</c:v>
                </c:pt>
                <c:pt idx="25">
                  <c:v>Kypr</c:v>
                </c:pt>
                <c:pt idx="26">
                  <c:v>Nizozemsko</c:v>
                </c:pt>
                <c:pt idx="27">
                  <c:v>Lucembursko</c:v>
                </c:pt>
                <c:pt idx="28">
                  <c:v>S. Makedonie</c:v>
                </c:pt>
                <c:pt idx="29">
                  <c:v>Švýcarsko</c:v>
                </c:pt>
                <c:pt idx="30">
                  <c:v>Island</c:v>
                </c:pt>
                <c:pt idx="31">
                  <c:v>Norsko</c:v>
                </c:pt>
                <c:pt idx="32">
                  <c:v>Velká Británie</c:v>
                </c:pt>
              </c:strCache>
            </c:strRef>
          </c:cat>
          <c:val>
            <c:numRef>
              <c:f>'Graf-4'!$S$4:$S$36</c:f>
              <c:numCache>
                <c:formatCode>#,##0.0</c:formatCode>
                <c:ptCount val="33"/>
                <c:pt idx="0">
                  <c:v>30.022305104578027</c:v>
                </c:pt>
                <c:pt idx="1">
                  <c:v>23.574020061179485</c:v>
                </c:pt>
                <c:pt idx="2">
                  <c:v>26.644517954339825</c:v>
                </c:pt>
                <c:pt idx="3">
                  <c:v>27.263243929193642</c:v>
                </c:pt>
                <c:pt idx="4">
                  <c:v>23.893177277243396</c:v>
                </c:pt>
                <c:pt idx="5">
                  <c:v>24.968402564668608</c:v>
                </c:pt>
                <c:pt idx="6">
                  <c:v>22.249091630789898</c:v>
                </c:pt>
                <c:pt idx="7">
                  <c:v>25.657357504491262</c:v>
                </c:pt>
                <c:pt idx="8">
                  <c:v>22.511851731053682</c:v>
                </c:pt>
                <c:pt idx="9">
                  <c:v>19.897738546462822</c:v>
                </c:pt>
                <c:pt idx="10">
                  <c:v>20.448786530773127</c:v>
                </c:pt>
                <c:pt idx="11">
                  <c:v>18.599631816162002</c:v>
                </c:pt>
                <c:pt idx="12">
                  <c:v>19.742725655629357</c:v>
                </c:pt>
                <c:pt idx="13">
                  <c:v>18.434541419829067</c:v>
                </c:pt>
                <c:pt idx="14">
                  <c:v>17.490769191045469</c:v>
                </c:pt>
                <c:pt idx="15">
                  <c:v>18.881494092761699</c:v>
                </c:pt>
                <c:pt idx="16">
                  <c:v>18.256232171648271</c:v>
                </c:pt>
                <c:pt idx="17">
                  <c:v>16.456308443502692</c:v>
                </c:pt>
                <c:pt idx="18">
                  <c:v>15.087054198258917</c:v>
                </c:pt>
                <c:pt idx="19">
                  <c:v>15.216905868739977</c:v>
                </c:pt>
                <c:pt idx="20">
                  <c:v>15.077714926361924</c:v>
                </c:pt>
                <c:pt idx="21">
                  <c:v>13.590307420342345</c:v>
                </c:pt>
                <c:pt idx="22">
                  <c:v>20.236678566706335</c:v>
                </c:pt>
                <c:pt idx="23">
                  <c:v>13.077010751871128</c:v>
                </c:pt>
                <c:pt idx="24">
                  <c:v>11.629978889015616</c:v>
                </c:pt>
                <c:pt idx="25">
                  <c:v>11.542869617420729</c:v>
                </c:pt>
                <c:pt idx="26">
                  <c:v>10.899280575539569</c:v>
                </c:pt>
                <c:pt idx="27">
                  <c:v>12.34684260131951</c:v>
                </c:pt>
                <c:pt idx="28">
                  <c:v>22.22884183291346</c:v>
                </c:pt>
                <c:pt idx="29">
                  <c:v>16.13425467951533</c:v>
                </c:pt>
                <c:pt idx="31">
                  <c:v>12.812769628990509</c:v>
                </c:pt>
                <c:pt idx="32">
                  <c:v>11.16294061480289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E266-4730-9809-F8B5C75BD9A0}"/>
            </c:ext>
          </c:extLst>
        </c:ser>
        <c:ser>
          <c:idx val="1"/>
          <c:order val="1"/>
          <c:tx>
            <c:strRef>
              <c:f>'Graf-4'!$T$3</c:f>
              <c:strCache>
                <c:ptCount val="1"/>
                <c:pt idx="0">
                  <c:v>rok 2013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cat>
            <c:strRef>
              <c:f>'Graf-4'!$P$4:$P$36</c:f>
              <c:strCache>
                <c:ptCount val="33"/>
                <c:pt idx="0">
                  <c:v>Česko</c:v>
                </c:pt>
                <c:pt idx="1">
                  <c:v>Polsko</c:v>
                </c:pt>
                <c:pt idx="2">
                  <c:v>Slovensko</c:v>
                </c:pt>
                <c:pt idx="3">
                  <c:v>Slovinsko</c:v>
                </c:pt>
                <c:pt idx="4">
                  <c:v>Rumunsko</c:v>
                </c:pt>
                <c:pt idx="5">
                  <c:v>Maďarsko</c:v>
                </c:pt>
                <c:pt idx="6">
                  <c:v>Chorvatsko</c:v>
                </c:pt>
                <c:pt idx="7">
                  <c:v>Estonsko</c:v>
                </c:pt>
                <c:pt idx="8">
                  <c:v>Bulharsko</c:v>
                </c:pt>
                <c:pt idx="9">
                  <c:v>Německo</c:v>
                </c:pt>
                <c:pt idx="10">
                  <c:v>Litva</c:v>
                </c:pt>
                <c:pt idx="11">
                  <c:v>Portugalsko</c:v>
                </c:pt>
                <c:pt idx="12">
                  <c:v>Itálie</c:v>
                </c:pt>
                <c:pt idx="13">
                  <c:v>EU27</c:v>
                </c:pt>
                <c:pt idx="14">
                  <c:v>Rakousko</c:v>
                </c:pt>
                <c:pt idx="15">
                  <c:v>Lotyšsko</c:v>
                </c:pt>
                <c:pt idx="16">
                  <c:v>Finsko</c:v>
                </c:pt>
                <c:pt idx="17">
                  <c:v>Švédsko</c:v>
                </c:pt>
                <c:pt idx="18">
                  <c:v>Belgie</c:v>
                </c:pt>
                <c:pt idx="19">
                  <c:v>Španělsko</c:v>
                </c:pt>
                <c:pt idx="20">
                  <c:v>Irsko</c:v>
                </c:pt>
                <c:pt idx="21">
                  <c:v>Dánsko</c:v>
                </c:pt>
                <c:pt idx="22">
                  <c:v>Malta</c:v>
                </c:pt>
                <c:pt idx="23">
                  <c:v>Francie</c:v>
                </c:pt>
                <c:pt idx="24">
                  <c:v>Řecko</c:v>
                </c:pt>
                <c:pt idx="25">
                  <c:v>Kypr</c:v>
                </c:pt>
                <c:pt idx="26">
                  <c:v>Nizozemsko</c:v>
                </c:pt>
                <c:pt idx="27">
                  <c:v>Lucembursko</c:v>
                </c:pt>
                <c:pt idx="28">
                  <c:v>S. Makedonie</c:v>
                </c:pt>
                <c:pt idx="29">
                  <c:v>Švýcarsko</c:v>
                </c:pt>
                <c:pt idx="30">
                  <c:v>Island</c:v>
                </c:pt>
                <c:pt idx="31">
                  <c:v>Norsko</c:v>
                </c:pt>
                <c:pt idx="32">
                  <c:v>Velká Británie</c:v>
                </c:pt>
              </c:strCache>
            </c:strRef>
          </c:cat>
          <c:val>
            <c:numRef>
              <c:f>'Graf-4'!$T$4:$T$36</c:f>
              <c:numCache>
                <c:formatCode>#,##0.0</c:formatCode>
                <c:ptCount val="33"/>
                <c:pt idx="0">
                  <c:v>28.36665728518204</c:v>
                </c:pt>
                <c:pt idx="1">
                  <c:v>22.870187146755651</c:v>
                </c:pt>
                <c:pt idx="2">
                  <c:v>23.630972744896795</c:v>
                </c:pt>
                <c:pt idx="3">
                  <c:v>22.613747830679845</c:v>
                </c:pt>
                <c:pt idx="4">
                  <c:v>20.658389152099328</c:v>
                </c:pt>
                <c:pt idx="5">
                  <c:v>21.486335439132169</c:v>
                </c:pt>
                <c:pt idx="6">
                  <c:v>20.433507170795306</c:v>
                </c:pt>
                <c:pt idx="7">
                  <c:v>21.401231486104177</c:v>
                </c:pt>
                <c:pt idx="8">
                  <c:v>19.885549950607615</c:v>
                </c:pt>
                <c:pt idx="9">
                  <c:v>18.935064935064936</c:v>
                </c:pt>
                <c:pt idx="10">
                  <c:v>17.852762156032306</c:v>
                </c:pt>
                <c:pt idx="11">
                  <c:v>16.493527213567123</c:v>
                </c:pt>
                <c:pt idx="12">
                  <c:v>17.509491018456131</c:v>
                </c:pt>
                <c:pt idx="13">
                  <c:v>16.467574400340819</c:v>
                </c:pt>
                <c:pt idx="14">
                  <c:v>16.157041734502116</c:v>
                </c:pt>
                <c:pt idx="15">
                  <c:v>16.757255550679133</c:v>
                </c:pt>
                <c:pt idx="16">
                  <c:v>15.323057515669966</c:v>
                </c:pt>
                <c:pt idx="17">
                  <c:v>13.722174657534246</c:v>
                </c:pt>
                <c:pt idx="18">
                  <c:v>12.711120859837683</c:v>
                </c:pt>
                <c:pt idx="19">
                  <c:v>11.529647021816793</c:v>
                </c:pt>
                <c:pt idx="20">
                  <c:v>11.537095072196328</c:v>
                </c:pt>
                <c:pt idx="21">
                  <c:v>10.95936957779063</c:v>
                </c:pt>
                <c:pt idx="22">
                  <c:v>14.32303245887061</c:v>
                </c:pt>
                <c:pt idx="23">
                  <c:v>10.945200441338727</c:v>
                </c:pt>
                <c:pt idx="24">
                  <c:v>9.7530836403841192</c:v>
                </c:pt>
                <c:pt idx="25">
                  <c:v>9.5267628421194548</c:v>
                </c:pt>
                <c:pt idx="26">
                  <c:v>9.5499828237718987</c:v>
                </c:pt>
                <c:pt idx="27">
                  <c:v>9.3609967104411123</c:v>
                </c:pt>
                <c:pt idx="28">
                  <c:v>18.211964985768756</c:v>
                </c:pt>
                <c:pt idx="29">
                  <c:v>14.851865858476595</c:v>
                </c:pt>
                <c:pt idx="30">
                  <c:v>13.829169087739688</c:v>
                </c:pt>
                <c:pt idx="31">
                  <c:v>12.453113278319581</c:v>
                </c:pt>
                <c:pt idx="32">
                  <c:v>9.4492435032955768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E266-4730-9809-F8B5C75BD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32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4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29784875242363829"/>
          <c:y val="0.94863090831594765"/>
          <c:w val="0.3746443361160427"/>
          <c:h val="4.8796165436585381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7680951222731E-2"/>
          <c:y val="2.055840501757536E-2"/>
          <c:w val="0.93481989421424139"/>
          <c:h val="0.69303145971019553"/>
        </c:manualLayout>
      </c:layout>
      <c:barChart>
        <c:barDir val="col"/>
        <c:grouping val="stacked"/>
        <c:varyColors val="0"/>
        <c:ser>
          <c:idx val="2"/>
          <c:order val="2"/>
          <c:tx>
            <c:strRef>
              <c:f>'Graf-5'!$O$4</c:f>
              <c:strCache>
                <c:ptCount val="1"/>
                <c:pt idx="0">
                  <c:v>Vývoz zboží  / produkce (2018)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'Graf-5'!$O$5:$O$40</c:f>
              <c:numCache>
                <c:formatCode>0.0</c:formatCode>
                <c:ptCount val="36"/>
                <c:pt idx="0">
                  <c:v>33.183936942774814</c:v>
                </c:pt>
                <c:pt idx="1">
                  <c:v>9.8931627462549621</c:v>
                </c:pt>
                <c:pt idx="2">
                  <c:v>10.445261321504447</c:v>
                </c:pt>
                <c:pt idx="3">
                  <c:v>35.177615199600929</c:v>
                </c:pt>
                <c:pt idx="4">
                  <c:v>34.284656891545268</c:v>
                </c:pt>
                <c:pt idx="5">
                  <c:v>32.018976810522425</c:v>
                </c:pt>
                <c:pt idx="6">
                  <c:v>30.490662765440867</c:v>
                </c:pt>
                <c:pt idx="7">
                  <c:v>36.071718898818212</c:v>
                </c:pt>
                <c:pt idx="8">
                  <c:v>29.151189225092971</c:v>
                </c:pt>
                <c:pt idx="9">
                  <c:v>9.2143163571734998</c:v>
                </c:pt>
                <c:pt idx="10">
                  <c:v>24.521405893680882</c:v>
                </c:pt>
                <c:pt idx="11">
                  <c:v>28.505324605091619</c:v>
                </c:pt>
                <c:pt idx="12">
                  <c:v>23.448798151173566</c:v>
                </c:pt>
                <c:pt idx="13">
                  <c:v>24.192999658004414</c:v>
                </c:pt>
                <c:pt idx="14">
                  <c:v>19.116806094125309</c:v>
                </c:pt>
                <c:pt idx="15">
                  <c:v>14.174496267083828</c:v>
                </c:pt>
                <c:pt idx="16">
                  <c:v>21.189023580600484</c:v>
                </c:pt>
                <c:pt idx="17">
                  <c:v>21.677143882142463</c:v>
                </c:pt>
                <c:pt idx="18">
                  <c:v>20.923104563014391</c:v>
                </c:pt>
                <c:pt idx="19">
                  <c:v>17.710155479981175</c:v>
                </c:pt>
                <c:pt idx="20">
                  <c:v>15.360670773222449</c:v>
                </c:pt>
                <c:pt idx="21">
                  <c:v>12.372916272660955</c:v>
                </c:pt>
                <c:pt idx="22">
                  <c:v>15.826397232569484</c:v>
                </c:pt>
                <c:pt idx="23">
                  <c:v>14.412672817393057</c:v>
                </c:pt>
                <c:pt idx="24">
                  <c:v>13.436129363758614</c:v>
                </c:pt>
                <c:pt idx="25">
                  <c:v>12.45516910007685</c:v>
                </c:pt>
                <c:pt idx="26">
                  <c:v>13.438090437520946</c:v>
                </c:pt>
                <c:pt idx="27">
                  <c:v>24.846189236197262</c:v>
                </c:pt>
                <c:pt idx="28">
                  <c:v>21.744959166948956</c:v>
                </c:pt>
                <c:pt idx="29">
                  <c:v>5.5761558919803607</c:v>
                </c:pt>
                <c:pt idx="30">
                  <c:v>11.146511804008272</c:v>
                </c:pt>
                <c:pt idx="31">
                  <c:v>18.213390747494355</c:v>
                </c:pt>
                <c:pt idx="32">
                  <c:v>18.158811164677953</c:v>
                </c:pt>
                <c:pt idx="33">
                  <c:v>16.876466645173743</c:v>
                </c:pt>
                <c:pt idx="34">
                  <c:v>4.8321328043992935</c:v>
                </c:pt>
                <c:pt idx="35">
                  <c:v>9.3873422534314965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2-4EE9-BA5F-6B060E4C8996}"/>
            </c:ext>
          </c:extLst>
        </c:ser>
        <c:ser>
          <c:idx val="3"/>
          <c:order val="3"/>
          <c:tx>
            <c:strRef>
              <c:f>'Graf-5'!$P$4</c:f>
              <c:strCache>
                <c:ptCount val="1"/>
                <c:pt idx="0">
                  <c:v>Vývoz služeb  / produkce (2018)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'Graf-5'!$P$5:$P$40</c:f>
              <c:numCache>
                <c:formatCode>0.0</c:formatCode>
                <c:ptCount val="36"/>
                <c:pt idx="0">
                  <c:v>29.575965459395469</c:v>
                </c:pt>
                <c:pt idx="1">
                  <c:v>51.854803982654865</c:v>
                </c:pt>
                <c:pt idx="2">
                  <c:v>46.248539594790984</c:v>
                </c:pt>
                <c:pt idx="3">
                  <c:v>9.0967931207285648</c:v>
                </c:pt>
                <c:pt idx="4">
                  <c:v>9.6761465887519051</c:v>
                </c:pt>
                <c:pt idx="5">
                  <c:v>11.259178067719613</c:v>
                </c:pt>
                <c:pt idx="6">
                  <c:v>12.018747741292101</c:v>
                </c:pt>
                <c:pt idx="7">
                  <c:v>4.8421456255068867</c:v>
                </c:pt>
                <c:pt idx="8">
                  <c:v>11.098420097816089</c:v>
                </c:pt>
                <c:pt idx="9">
                  <c:v>30.224612367469511</c:v>
                </c:pt>
                <c:pt idx="10">
                  <c:v>12.747152338561838</c:v>
                </c:pt>
                <c:pt idx="11">
                  <c:v>5.4276780027035647</c:v>
                </c:pt>
                <c:pt idx="12">
                  <c:v>9.8038413016214445</c:v>
                </c:pt>
                <c:pt idx="13">
                  <c:v>8.0203092763739026</c:v>
                </c:pt>
                <c:pt idx="14">
                  <c:v>12.526839300463937</c:v>
                </c:pt>
                <c:pt idx="15">
                  <c:v>16.019612251334074</c:v>
                </c:pt>
                <c:pt idx="16">
                  <c:v>8.8694981277805507</c:v>
                </c:pt>
                <c:pt idx="17">
                  <c:v>5.8943305797913625</c:v>
                </c:pt>
                <c:pt idx="18">
                  <c:v>4.6972905491460271</c:v>
                </c:pt>
                <c:pt idx="19">
                  <c:v>7.0818254581005231</c:v>
                </c:pt>
                <c:pt idx="20">
                  <c:v>9.0059699056936644</c:v>
                </c:pt>
                <c:pt idx="21">
                  <c:v>10.164975819306731</c:v>
                </c:pt>
                <c:pt idx="22">
                  <c:v>5.9546676192944066</c:v>
                </c:pt>
                <c:pt idx="23">
                  <c:v>6.2031022382658252</c:v>
                </c:pt>
                <c:pt idx="24">
                  <c:v>6.1063804672111983</c:v>
                </c:pt>
                <c:pt idx="25">
                  <c:v>5.4268016302232267</c:v>
                </c:pt>
                <c:pt idx="26">
                  <c:v>3.0977159278321871</c:v>
                </c:pt>
                <c:pt idx="27">
                  <c:v>9.6982920420064964</c:v>
                </c:pt>
                <c:pt idx="28">
                  <c:v>7.7705756805566226</c:v>
                </c:pt>
                <c:pt idx="29">
                  <c:v>19.989003682487724</c:v>
                </c:pt>
                <c:pt idx="30">
                  <c:v>14.198847707656306</c:v>
                </c:pt>
                <c:pt idx="31">
                  <c:v>6.9839405694271983</c:v>
                </c:pt>
                <c:pt idx="32">
                  <c:v>6.3945564003081543</c:v>
                </c:pt>
                <c:pt idx="33">
                  <c:v>6.2276481828664183</c:v>
                </c:pt>
                <c:pt idx="34">
                  <c:v>15.036248099470113</c:v>
                </c:pt>
                <c:pt idx="35">
                  <c:v>8.2397820339080443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D2-4EE9-BA5F-6B060E4C8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'Graf-5'!$M$4</c:f>
              <c:strCache>
                <c:ptCount val="1"/>
                <c:pt idx="0">
                  <c:v>Vývoz zboží i služeb / produkce (2005)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'Graf-5'!$M$5:$M$40</c:f>
              <c:numCache>
                <c:formatCode>0.0</c:formatCode>
                <c:ptCount val="36"/>
                <c:pt idx="0">
                  <c:v>39.367828954673264</c:v>
                </c:pt>
                <c:pt idx="1">
                  <c:v>62.250517011704396</c:v>
                </c:pt>
                <c:pt idx="2">
                  <c:v>47.874614740517714</c:v>
                </c:pt>
                <c:pt idx="3">
                  <c:v>31.107109553361845</c:v>
                </c:pt>
                <c:pt idx="4">
                  <c:v>31.015701992171067</c:v>
                </c:pt>
                <c:pt idx="5">
                  <c:v>35.622509150561839</c:v>
                </c:pt>
                <c:pt idx="6">
                  <c:v>30.923654143809575</c:v>
                </c:pt>
                <c:pt idx="7">
                  <c:v>34.228794606227403</c:v>
                </c:pt>
                <c:pt idx="8">
                  <c:v>36.693471101254865</c:v>
                </c:pt>
                <c:pt idx="9">
                  <c:v>31.689892126377217</c:v>
                </c:pt>
                <c:pt idx="10">
                  <c:v>32.126471606648202</c:v>
                </c:pt>
                <c:pt idx="11">
                  <c:v>27.077735014081266</c:v>
                </c:pt>
                <c:pt idx="12">
                  <c:v>21.665418070568439</c:v>
                </c:pt>
                <c:pt idx="13">
                  <c:v>19.650836547674619</c:v>
                </c:pt>
                <c:pt idx="14">
                  <c:v>27.908720204940462</c:v>
                </c:pt>
                <c:pt idx="15">
                  <c:v>20.689301961131193</c:v>
                </c:pt>
                <c:pt idx="16">
                  <c:v>27.211061475157056</c:v>
                </c:pt>
                <c:pt idx="17">
                  <c:v>17.413138258990955</c:v>
                </c:pt>
                <c:pt idx="18">
                  <c:v>20.775499766463152</c:v>
                </c:pt>
                <c:pt idx="19">
                  <c:v>24.356018499204588</c:v>
                </c:pt>
                <c:pt idx="20">
                  <c:v>14.622181346552168</c:v>
                </c:pt>
                <c:pt idx="21">
                  <c:v>13.207845889076243</c:v>
                </c:pt>
                <c:pt idx="22">
                  <c:v>12.940766128980361</c:v>
                </c:pt>
                <c:pt idx="23">
                  <c:v>21.618106732985009</c:v>
                </c:pt>
                <c:pt idx="24">
                  <c:v>12.756847429102619</c:v>
                </c:pt>
                <c:pt idx="25">
                  <c:v>15.346922661961859</c:v>
                </c:pt>
                <c:pt idx="26">
                  <c:v>12.578785878878454</c:v>
                </c:pt>
                <c:pt idx="27">
                  <c:v>27.216479121913139</c:v>
                </c:pt>
                <c:pt idx="28">
                  <c:v>17.392148826600618</c:v>
                </c:pt>
                <c:pt idx="30">
                  <c:v>16.886088224902078</c:v>
                </c:pt>
                <c:pt idx="31">
                  <c:v>11.863218427450544</c:v>
                </c:pt>
                <c:pt idx="33">
                  <c:v>27.019506362701843</c:v>
                </c:pt>
                <c:pt idx="34">
                  <c:v>13.847644631345801</c:v>
                </c:pt>
                <c:pt idx="35">
                  <c:v>14.884858978020182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D2-4EE9-BA5F-6B060E4C8996}"/>
            </c:ext>
          </c:extLst>
        </c:ser>
        <c:ser>
          <c:idx val="1"/>
          <c:order val="1"/>
          <c:tx>
            <c:strRef>
              <c:f>'Graf-5'!$N$4</c:f>
              <c:strCache>
                <c:ptCount val="1"/>
                <c:pt idx="0">
                  <c:v>Vývoz zboží i služeb / produkce (2012)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'Graf-5'!$N$5:$N$40</c:f>
              <c:numCache>
                <c:formatCode>0.0</c:formatCode>
                <c:ptCount val="36"/>
                <c:pt idx="0">
                  <c:v>49.110451401066889</c:v>
                </c:pt>
                <c:pt idx="1">
                  <c:v>62.637612041239244</c:v>
                </c:pt>
                <c:pt idx="2">
                  <c:v>59.096465188215632</c:v>
                </c:pt>
                <c:pt idx="3">
                  <c:v>37.927164275072975</c:v>
                </c:pt>
                <c:pt idx="4">
                  <c:v>42.783432801162178</c:v>
                </c:pt>
                <c:pt idx="5">
                  <c:v>40.566602432761478</c:v>
                </c:pt>
                <c:pt idx="6">
                  <c:v>43.960324762374128</c:v>
                </c:pt>
                <c:pt idx="7">
                  <c:v>40.140420397139742</c:v>
                </c:pt>
                <c:pt idx="8">
                  <c:v>37.687082508743536</c:v>
                </c:pt>
                <c:pt idx="9">
                  <c:v>31.477616353103382</c:v>
                </c:pt>
                <c:pt idx="10">
                  <c:v>41.598707244815515</c:v>
                </c:pt>
                <c:pt idx="11">
                  <c:v>32.125839236717049</c:v>
                </c:pt>
                <c:pt idx="12">
                  <c:v>29.443194909210597</c:v>
                </c:pt>
                <c:pt idx="13">
                  <c:v>28.678789439882795</c:v>
                </c:pt>
                <c:pt idx="14">
                  <c:v>30.760440954015738</c:v>
                </c:pt>
                <c:pt idx="15">
                  <c:v>22.828699127774897</c:v>
                </c:pt>
                <c:pt idx="16">
                  <c:v>28.355619773859097</c:v>
                </c:pt>
                <c:pt idx="17">
                  <c:v>21.883344030614772</c:v>
                </c:pt>
                <c:pt idx="18">
                  <c:v>24.450449850934408</c:v>
                </c:pt>
                <c:pt idx="19">
                  <c:v>24.168723723943344</c:v>
                </c:pt>
                <c:pt idx="20">
                  <c:v>20.554536825579923</c:v>
                </c:pt>
                <c:pt idx="21">
                  <c:v>17.87104605032707</c:v>
                </c:pt>
                <c:pt idx="22">
                  <c:v>18.198784644697106</c:v>
                </c:pt>
                <c:pt idx="23">
                  <c:v>20.280531012557869</c:v>
                </c:pt>
                <c:pt idx="24">
                  <c:v>17.193814287615165</c:v>
                </c:pt>
                <c:pt idx="25">
                  <c:v>16.296657656218358</c:v>
                </c:pt>
                <c:pt idx="26">
                  <c:v>14.590788478074002</c:v>
                </c:pt>
                <c:pt idx="27">
                  <c:v>33.616335482554945</c:v>
                </c:pt>
                <c:pt idx="28">
                  <c:v>23.804257165531709</c:v>
                </c:pt>
                <c:pt idx="29">
                  <c:v>26.457091719187343</c:v>
                </c:pt>
                <c:pt idx="30">
                  <c:v>28.640227640996901</c:v>
                </c:pt>
                <c:pt idx="31">
                  <c:v>17.19132355885252</c:v>
                </c:pt>
                <c:pt idx="32">
                  <c:v>18.327431735545048</c:v>
                </c:pt>
                <c:pt idx="33">
                  <c:v>24.923030689342436</c:v>
                </c:pt>
                <c:pt idx="34">
                  <c:v>17.600522865341865</c:v>
                </c:pt>
                <c:pt idx="35">
                  <c:v>17.357789192496046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D2-4EE9-BA5F-6B060E4C8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65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4.4665295816956004E-2"/>
          <c:y val="0.91412713300034176"/>
          <c:w val="0.94203397559664381"/>
          <c:h val="8.3439556205058843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34D9-10E8-4A66-878C-2283CDD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</TotalTime>
  <Pages>7</Pages>
  <Words>2511</Words>
  <Characters>14817</Characters>
  <Application>Microsoft Office Word</Application>
  <DocSecurity>0</DocSecurity>
  <Lines>123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17294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2019-09-12T09:26:00Z</cp:lastPrinted>
  <dcterms:created xsi:type="dcterms:W3CDTF">2020-12-23T09:50:00Z</dcterms:created>
  <dcterms:modified xsi:type="dcterms:W3CDTF">2020-12-23T09:51:00Z</dcterms:modified>
</cp:coreProperties>
</file>