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Default="11B14BC5" w:rsidP="716B8061">
      <w:pPr>
        <w:pStyle w:val="H1"/>
        <w:spacing w:line="259" w:lineRule="auto"/>
        <w:rPr>
          <w:rStyle w:val="dnA"/>
          <w:bCs/>
          <w:szCs w:val="56"/>
          <w:lang w:val="cs-CZ"/>
        </w:rPr>
      </w:pPr>
      <w:bookmarkStart w:id="0" w:name="_GoBack"/>
      <w:bookmarkEnd w:id="0"/>
      <w:r w:rsidRPr="716B8061">
        <w:rPr>
          <w:rStyle w:val="dnA"/>
          <w:color w:val="2B4D89"/>
          <w:sz w:val="32"/>
          <w:lang w:val="cs-CZ"/>
        </w:rPr>
        <w:t>Tisková zpráva</w:t>
      </w:r>
    </w:p>
    <w:p w14:paraId="21CCBA1A" w14:textId="661AEEDE" w:rsidR="00EB05CA" w:rsidRPr="00414DDA" w:rsidRDefault="0083592E" w:rsidP="716B8061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>
        <w:rPr>
          <w:rStyle w:val="dnA"/>
          <w:color w:val="2B4D89"/>
          <w:sz w:val="20"/>
          <w:szCs w:val="20"/>
          <w:lang w:val="cs-CZ"/>
        </w:rPr>
        <w:t>16</w:t>
      </w:r>
      <w:r w:rsidR="00E93CF8">
        <w:rPr>
          <w:rStyle w:val="dnA"/>
          <w:color w:val="2B4D89"/>
          <w:sz w:val="20"/>
          <w:szCs w:val="20"/>
          <w:lang w:val="cs-CZ"/>
        </w:rPr>
        <w:t>.</w:t>
      </w:r>
      <w:r w:rsidR="00C5558F">
        <w:rPr>
          <w:rStyle w:val="dnA"/>
          <w:color w:val="2B4D89"/>
          <w:sz w:val="20"/>
          <w:szCs w:val="20"/>
          <w:lang w:val="cs-CZ"/>
        </w:rPr>
        <w:t xml:space="preserve"> </w:t>
      </w:r>
      <w:r w:rsidR="5000BFEF" w:rsidRPr="716B8061">
        <w:rPr>
          <w:rStyle w:val="dnA"/>
          <w:color w:val="2B4D89"/>
          <w:sz w:val="20"/>
          <w:szCs w:val="20"/>
          <w:lang w:val="cs-CZ"/>
        </w:rPr>
        <w:t>dub</w:t>
      </w:r>
      <w:r w:rsidR="00B318A6" w:rsidRPr="716B8061">
        <w:rPr>
          <w:rStyle w:val="dnA"/>
          <w:color w:val="2B4D89"/>
          <w:sz w:val="20"/>
          <w:szCs w:val="20"/>
          <w:lang w:val="cs-CZ"/>
        </w:rPr>
        <w:t>na 2021</w:t>
      </w:r>
      <w:r w:rsidR="008A5F03" w:rsidRPr="716B8061">
        <w:rPr>
          <w:rStyle w:val="dnA"/>
          <w:color w:val="2B4D89"/>
          <w:sz w:val="20"/>
          <w:szCs w:val="20"/>
          <w:lang w:val="cs-CZ"/>
        </w:rPr>
        <w:t xml:space="preserve"> </w:t>
      </w:r>
    </w:p>
    <w:p w14:paraId="28E2DB3B" w14:textId="48855E85" w:rsidR="009C60C6" w:rsidRDefault="00364689" w:rsidP="009C60C6">
      <w:pPr>
        <w:pStyle w:val="H2"/>
        <w:spacing w:line="259" w:lineRule="auto"/>
        <w:rPr>
          <w:color w:val="2B4D89"/>
          <w:sz w:val="32"/>
          <w:szCs w:val="32"/>
        </w:rPr>
      </w:pPr>
      <w:r>
        <w:rPr>
          <w:color w:val="2B4D89"/>
          <w:sz w:val="32"/>
          <w:szCs w:val="32"/>
        </w:rPr>
        <w:t>Odeslaných formulářů jsou skoro 3 miliony</w:t>
      </w:r>
    </w:p>
    <w:p w14:paraId="22012E24" w14:textId="4A4DC15F" w:rsidR="009C60C6" w:rsidRPr="006359FC" w:rsidRDefault="00DD7B80" w:rsidP="009C60C6">
      <w:pPr>
        <w:pStyle w:val="Perex"/>
        <w:rPr>
          <w:color w:val="2B4D89"/>
          <w:lang w:val="cs-CZ"/>
        </w:rPr>
      </w:pPr>
      <w:r w:rsidRPr="4DA81927">
        <w:rPr>
          <w:color w:val="2B4D89"/>
          <w:lang w:val="cs-CZ"/>
        </w:rPr>
        <w:t xml:space="preserve">Od začátku sčítání obdržel Český statistický úřad 2,9 milionu elektronických sčítacích formulářů. </w:t>
      </w:r>
      <w:r w:rsidR="00F57EE3" w:rsidRPr="4DA81927">
        <w:rPr>
          <w:color w:val="2B4D89"/>
          <w:lang w:val="cs-CZ"/>
        </w:rPr>
        <w:t>V rámci kraj</w:t>
      </w:r>
      <w:r w:rsidR="32513ABC" w:rsidRPr="4DA81927">
        <w:rPr>
          <w:color w:val="2B4D89"/>
          <w:lang w:val="cs-CZ"/>
        </w:rPr>
        <w:t>ských</w:t>
      </w:r>
      <w:r w:rsidR="00F57EE3" w:rsidRPr="4DA81927">
        <w:rPr>
          <w:color w:val="2B4D89"/>
          <w:lang w:val="cs-CZ"/>
        </w:rPr>
        <w:t xml:space="preserve"> </w:t>
      </w:r>
      <w:r w:rsidR="39ACE775" w:rsidRPr="4DA81927">
        <w:rPr>
          <w:color w:val="2B4D89"/>
          <w:lang w:val="cs-CZ"/>
        </w:rPr>
        <w:t>měst</w:t>
      </w:r>
      <w:r w:rsidR="19F622D2" w:rsidRPr="4DA81927">
        <w:rPr>
          <w:color w:val="2B4D89"/>
          <w:lang w:val="cs-CZ"/>
        </w:rPr>
        <w:t xml:space="preserve"> jsou</w:t>
      </w:r>
      <w:r w:rsidR="00F57EE3" w:rsidRPr="4DA81927">
        <w:rPr>
          <w:color w:val="2B4D89"/>
          <w:lang w:val="cs-CZ"/>
        </w:rPr>
        <w:t xml:space="preserve"> </w:t>
      </w:r>
      <w:r w:rsidR="5650B169" w:rsidRPr="4DA81927">
        <w:rPr>
          <w:color w:val="2B4D89"/>
          <w:lang w:val="cs-CZ"/>
        </w:rPr>
        <w:t xml:space="preserve">aktuálně </w:t>
      </w:r>
      <w:r w:rsidR="00F57EE3" w:rsidRPr="4DA81927">
        <w:rPr>
          <w:color w:val="2B4D89"/>
          <w:lang w:val="cs-CZ"/>
        </w:rPr>
        <w:t xml:space="preserve">nejaktivnější </w:t>
      </w:r>
      <w:r w:rsidR="22DEC4A5" w:rsidRPr="4DA81927">
        <w:rPr>
          <w:color w:val="2B4D89"/>
          <w:lang w:val="cs-CZ"/>
        </w:rPr>
        <w:t>Pardubice</w:t>
      </w:r>
      <w:r w:rsidR="00F57EE3" w:rsidRPr="4DA81927">
        <w:rPr>
          <w:color w:val="2B4D89"/>
          <w:lang w:val="cs-CZ"/>
        </w:rPr>
        <w:t>. Od soboty 17.</w:t>
      </w:r>
      <w:r w:rsidR="0084560C">
        <w:rPr>
          <w:color w:val="2B4D89"/>
          <w:lang w:val="cs-CZ"/>
        </w:rPr>
        <w:t> </w:t>
      </w:r>
      <w:r w:rsidR="00F57EE3" w:rsidRPr="4DA81927">
        <w:rPr>
          <w:color w:val="2B4D89"/>
          <w:lang w:val="cs-CZ"/>
        </w:rPr>
        <w:t xml:space="preserve">dubna startuje listinná fáze sčítání a až do 11. května si </w:t>
      </w:r>
      <w:r w:rsidR="201484CD" w:rsidRPr="4DA81927">
        <w:rPr>
          <w:color w:val="2B4D89"/>
          <w:lang w:val="cs-CZ"/>
        </w:rPr>
        <w:t xml:space="preserve">tak </w:t>
      </w:r>
      <w:r w:rsidR="00F57EE3" w:rsidRPr="4DA81927">
        <w:rPr>
          <w:color w:val="2B4D89"/>
          <w:lang w:val="cs-CZ"/>
        </w:rPr>
        <w:t>bude možné vybrat mezi online nebo listinným sečtením.</w:t>
      </w:r>
    </w:p>
    <w:p w14:paraId="48A09E73" w14:textId="09AD5DE2" w:rsidR="009C60C6" w:rsidRDefault="00F57EE3" w:rsidP="009C60C6">
      <w:pPr>
        <w:jc w:val="both"/>
        <w:rPr>
          <w:rFonts w:eastAsia="Arial" w:cs="Arial"/>
          <w:lang w:val="cs-CZ"/>
        </w:rPr>
      </w:pPr>
      <w:r w:rsidRPr="4DA81927">
        <w:rPr>
          <w:rFonts w:eastAsia="Arial" w:cs="Arial"/>
          <w:i/>
          <w:iCs/>
          <w:lang w:val="cs-CZ"/>
        </w:rPr>
        <w:t xml:space="preserve">„Aktuální výsledky ukazují téměř 3 miliony odevzdaných elektronických formulářů, tedy přibližně 6 milionů sečtených osob. Kdo se </w:t>
      </w:r>
      <w:r w:rsidR="4C646804" w:rsidRPr="4DA81927">
        <w:rPr>
          <w:rFonts w:eastAsia="Arial" w:cs="Arial"/>
          <w:i/>
          <w:iCs/>
          <w:lang w:val="cs-CZ"/>
        </w:rPr>
        <w:t xml:space="preserve">zatím </w:t>
      </w:r>
      <w:r w:rsidRPr="4DA81927">
        <w:rPr>
          <w:rFonts w:eastAsia="Arial" w:cs="Arial"/>
          <w:i/>
          <w:iCs/>
          <w:lang w:val="cs-CZ"/>
        </w:rPr>
        <w:t>nesečetl, bude si moci od z</w:t>
      </w:r>
      <w:r w:rsidR="00E018AC">
        <w:rPr>
          <w:rFonts w:eastAsia="Arial" w:cs="Arial"/>
          <w:i/>
          <w:iCs/>
          <w:lang w:val="cs-CZ"/>
        </w:rPr>
        <w:t>ítřka vybrat mezi elektronickým</w:t>
      </w:r>
      <w:r w:rsidRPr="4DA81927">
        <w:rPr>
          <w:rFonts w:eastAsia="Arial" w:cs="Arial"/>
          <w:i/>
          <w:iCs/>
          <w:lang w:val="cs-CZ"/>
        </w:rPr>
        <w:t xml:space="preserve"> nebo papírovým formulářem. </w:t>
      </w:r>
      <w:r w:rsidR="00F84E04" w:rsidRPr="4DA81927">
        <w:rPr>
          <w:rFonts w:eastAsia="Arial" w:cs="Arial"/>
          <w:i/>
          <w:iCs/>
          <w:lang w:val="cs-CZ"/>
        </w:rPr>
        <w:t xml:space="preserve">S ohledem na jednoduchost, rychlost a především možnost sečíst se z pohodlí domova bez nutnosti </w:t>
      </w:r>
      <w:r w:rsidR="34949B74" w:rsidRPr="4DA81927">
        <w:rPr>
          <w:rFonts w:eastAsia="Arial" w:cs="Arial"/>
          <w:i/>
          <w:iCs/>
          <w:lang w:val="cs-CZ"/>
        </w:rPr>
        <w:t>setkání</w:t>
      </w:r>
      <w:r w:rsidR="00F84E04" w:rsidRPr="4DA81927">
        <w:rPr>
          <w:rFonts w:eastAsia="Arial" w:cs="Arial"/>
          <w:i/>
          <w:iCs/>
          <w:lang w:val="cs-CZ"/>
        </w:rPr>
        <w:t xml:space="preserve"> se sčítacím komisařem, doporučujeme využ</w:t>
      </w:r>
      <w:r w:rsidR="00BE4E06">
        <w:rPr>
          <w:rFonts w:eastAsia="Arial" w:cs="Arial"/>
          <w:i/>
          <w:iCs/>
          <w:lang w:val="cs-CZ"/>
        </w:rPr>
        <w:t>í</w:t>
      </w:r>
      <w:r w:rsidR="00F84E04" w:rsidRPr="4DA81927">
        <w:rPr>
          <w:rFonts w:eastAsia="Arial" w:cs="Arial"/>
          <w:i/>
          <w:iCs/>
          <w:lang w:val="cs-CZ"/>
        </w:rPr>
        <w:t>t elektronický formulář,“</w:t>
      </w:r>
      <w:r w:rsidR="00F84E04" w:rsidRPr="4DA81927">
        <w:rPr>
          <w:rFonts w:eastAsia="Arial" w:cs="Arial"/>
          <w:lang w:val="cs-CZ"/>
        </w:rPr>
        <w:t xml:space="preserve"> říká Marek Rojíček, předseda Českého statistického úřadu.</w:t>
      </w:r>
    </w:p>
    <w:p w14:paraId="1089C88C" w14:textId="6878C6B7" w:rsidR="00F84E04" w:rsidRDefault="00F84E04" w:rsidP="009C60C6">
      <w:pPr>
        <w:jc w:val="both"/>
        <w:rPr>
          <w:rFonts w:eastAsia="Arial" w:cs="Arial"/>
          <w:lang w:val="cs-CZ"/>
        </w:rPr>
      </w:pPr>
    </w:p>
    <w:p w14:paraId="7C6C4CF8" w14:textId="7E84C003" w:rsidR="00040C8E" w:rsidRDefault="00040C8E" w:rsidP="009C60C6">
      <w:pPr>
        <w:jc w:val="both"/>
        <w:rPr>
          <w:rFonts w:eastAsia="Arial" w:cs="Arial"/>
          <w:lang w:val="cs-CZ"/>
        </w:rPr>
      </w:pPr>
      <w:r w:rsidRPr="31F63E9D">
        <w:rPr>
          <w:rFonts w:eastAsia="Arial" w:cs="Arial"/>
          <w:lang w:val="cs-CZ"/>
        </w:rPr>
        <w:t xml:space="preserve">Domácnostem, v nichž se někdo nesečetl elektronicky, budou listinné formuláře spolu s odpovědními obálkami doručovat </w:t>
      </w:r>
      <w:r w:rsidR="4B7ED330" w:rsidRPr="31F63E9D">
        <w:rPr>
          <w:rFonts w:eastAsia="Arial" w:cs="Arial"/>
          <w:lang w:val="cs-CZ"/>
        </w:rPr>
        <w:t xml:space="preserve">od 17. </w:t>
      </w:r>
      <w:r w:rsidR="0BC397BB" w:rsidRPr="31F63E9D">
        <w:rPr>
          <w:rFonts w:eastAsia="Arial" w:cs="Arial"/>
          <w:lang w:val="cs-CZ"/>
        </w:rPr>
        <w:t>d</w:t>
      </w:r>
      <w:r w:rsidR="4B7ED330" w:rsidRPr="31F63E9D">
        <w:rPr>
          <w:rFonts w:eastAsia="Arial" w:cs="Arial"/>
          <w:lang w:val="cs-CZ"/>
        </w:rPr>
        <w:t xml:space="preserve">ubna </w:t>
      </w:r>
      <w:r w:rsidRPr="31F63E9D">
        <w:rPr>
          <w:rFonts w:eastAsia="Arial" w:cs="Arial"/>
          <w:lang w:val="cs-CZ"/>
        </w:rPr>
        <w:t xml:space="preserve">sčítací komisaři. </w:t>
      </w:r>
      <w:r w:rsidR="000131BF" w:rsidRPr="31F63E9D">
        <w:rPr>
          <w:rFonts w:eastAsia="Arial" w:cs="Arial"/>
          <w:lang w:val="cs-CZ"/>
        </w:rPr>
        <w:t xml:space="preserve">Distribuce listinných formulářů je </w:t>
      </w:r>
      <w:r w:rsidR="34806CC0" w:rsidRPr="31F63E9D">
        <w:rPr>
          <w:rFonts w:eastAsia="Arial" w:cs="Arial"/>
          <w:lang w:val="cs-CZ"/>
        </w:rPr>
        <w:t xml:space="preserve">doplňková </w:t>
      </w:r>
      <w:r w:rsidR="000131BF" w:rsidRPr="31F63E9D">
        <w:rPr>
          <w:rFonts w:eastAsia="Arial" w:cs="Arial"/>
          <w:lang w:val="cs-CZ"/>
        </w:rPr>
        <w:t>služba občanům, kteří</w:t>
      </w:r>
      <w:r w:rsidR="04A96171" w:rsidRPr="31F63E9D">
        <w:rPr>
          <w:rFonts w:eastAsia="Arial" w:cs="Arial"/>
          <w:lang w:val="cs-CZ"/>
        </w:rPr>
        <w:t xml:space="preserve"> se</w:t>
      </w:r>
      <w:r w:rsidR="000131BF" w:rsidRPr="31F63E9D">
        <w:rPr>
          <w:rFonts w:eastAsia="Arial" w:cs="Arial"/>
          <w:lang w:val="cs-CZ"/>
        </w:rPr>
        <w:t xml:space="preserve"> nemohou nebo nechtějí sečíst online. </w:t>
      </w:r>
      <w:r w:rsidR="0084560C">
        <w:rPr>
          <w:rFonts w:eastAsia="Arial" w:cs="Arial"/>
          <w:i/>
          <w:iCs/>
          <w:lang w:val="cs-CZ"/>
        </w:rPr>
        <w:t>„</w:t>
      </w:r>
      <w:r w:rsidR="000131BF" w:rsidRPr="00BE4E06">
        <w:rPr>
          <w:rFonts w:eastAsia="Arial" w:cs="Arial"/>
          <w:i/>
          <w:iCs/>
          <w:lang w:val="cs-CZ"/>
        </w:rPr>
        <w:t xml:space="preserve">Všichni máme povinnost se sečíst, ale jakým způsobem to uděláme, je pouze na nás. </w:t>
      </w:r>
      <w:r w:rsidR="00E25EF2">
        <w:rPr>
          <w:rFonts w:eastAsia="Arial" w:cs="Arial"/>
          <w:i/>
          <w:iCs/>
          <w:lang w:val="cs-CZ"/>
        </w:rPr>
        <w:t xml:space="preserve">Pokud na vás komisař zazvoní, ale vy listinný formulář nechcete, protože </w:t>
      </w:r>
      <w:r w:rsidR="000131BF" w:rsidRPr="00BE4E06">
        <w:rPr>
          <w:rFonts w:eastAsia="Arial" w:cs="Arial"/>
          <w:i/>
          <w:iCs/>
          <w:lang w:val="cs-CZ"/>
        </w:rPr>
        <w:t xml:space="preserve">stále plánujete sečíst se online nebo jste se už online sečetli, </w:t>
      </w:r>
      <w:r w:rsidR="00E25EF2">
        <w:rPr>
          <w:rFonts w:eastAsia="Arial" w:cs="Arial"/>
          <w:i/>
          <w:iCs/>
          <w:lang w:val="cs-CZ"/>
        </w:rPr>
        <w:t>tak mu to prostě jen sdělte. Čekat na něj vůbec nemusíte</w:t>
      </w:r>
      <w:r w:rsidR="0084560C">
        <w:rPr>
          <w:rFonts w:eastAsia="Arial" w:cs="Arial"/>
          <w:i/>
          <w:iCs/>
          <w:lang w:val="cs-CZ"/>
        </w:rPr>
        <w:t>,</w:t>
      </w:r>
      <w:r w:rsidR="0084560C" w:rsidRPr="005B10A0">
        <w:rPr>
          <w:rFonts w:eastAsia="Arial" w:cs="Arial"/>
          <w:i/>
          <w:iCs/>
          <w:lang w:val="cs-CZ"/>
        </w:rPr>
        <w:t>“</w:t>
      </w:r>
      <w:r w:rsidR="0084560C" w:rsidRPr="31F63E9D">
        <w:rPr>
          <w:rFonts w:eastAsia="Arial" w:cs="Arial"/>
          <w:lang w:val="cs-CZ"/>
        </w:rPr>
        <w:t xml:space="preserve"> </w:t>
      </w:r>
      <w:r w:rsidR="077E9CEA" w:rsidRPr="31F63E9D">
        <w:rPr>
          <w:rFonts w:eastAsia="Arial" w:cs="Arial"/>
          <w:lang w:val="cs-CZ"/>
        </w:rPr>
        <w:t>vysvětluje Robert Šanda, věcný gestor Sčítání 2021.</w:t>
      </w:r>
      <w:r w:rsidR="000131BF" w:rsidRPr="31F63E9D">
        <w:rPr>
          <w:rFonts w:eastAsia="Arial" w:cs="Arial"/>
          <w:lang w:val="cs-CZ"/>
        </w:rPr>
        <w:t xml:space="preserve"> </w:t>
      </w:r>
      <w:r w:rsidRPr="31F63E9D">
        <w:rPr>
          <w:rFonts w:eastAsia="Arial" w:cs="Arial"/>
          <w:lang w:val="cs-CZ"/>
        </w:rPr>
        <w:t>V předem oznámeném termínu se komisař dostaví, zazvoní a počká před domem na příchod člena domácnosti, aby předal listinný formulář. Komisař bude mít respirátor</w:t>
      </w:r>
      <w:r w:rsidR="4DC64023" w:rsidRPr="31F63E9D">
        <w:rPr>
          <w:rFonts w:eastAsia="Arial" w:cs="Arial"/>
          <w:lang w:val="cs-CZ"/>
        </w:rPr>
        <w:t xml:space="preserve">, </w:t>
      </w:r>
      <w:r w:rsidR="00994BE0">
        <w:rPr>
          <w:rFonts w:eastAsia="Arial" w:cs="Arial"/>
          <w:lang w:val="cs-CZ"/>
        </w:rPr>
        <w:t xml:space="preserve">bude po absolvování testu </w:t>
      </w:r>
      <w:r w:rsidR="4DC64023" w:rsidRPr="31F63E9D">
        <w:rPr>
          <w:rFonts w:eastAsia="Arial" w:cs="Arial"/>
          <w:lang w:val="cs-CZ"/>
        </w:rPr>
        <w:t>na koronavirus</w:t>
      </w:r>
      <w:r w:rsidRPr="31F63E9D">
        <w:rPr>
          <w:rFonts w:eastAsia="Arial" w:cs="Arial"/>
          <w:lang w:val="cs-CZ"/>
        </w:rPr>
        <w:t xml:space="preserve"> </w:t>
      </w:r>
      <w:r w:rsidR="00994BE0">
        <w:rPr>
          <w:rFonts w:eastAsia="Arial" w:cs="Arial"/>
          <w:lang w:val="cs-CZ"/>
        </w:rPr>
        <w:t xml:space="preserve">s výsledkem negativní </w:t>
      </w:r>
      <w:r w:rsidRPr="31F63E9D">
        <w:rPr>
          <w:rFonts w:eastAsia="Arial" w:cs="Arial"/>
          <w:lang w:val="cs-CZ"/>
        </w:rPr>
        <w:t>a bude dodržovat hygienická opatření</w:t>
      </w:r>
      <w:r w:rsidR="000131BF" w:rsidRPr="31F63E9D">
        <w:rPr>
          <w:rFonts w:eastAsia="Arial" w:cs="Arial"/>
          <w:lang w:val="cs-CZ"/>
        </w:rPr>
        <w:t xml:space="preserve">. </w:t>
      </w:r>
      <w:r w:rsidR="0B53B427" w:rsidRPr="31F63E9D">
        <w:rPr>
          <w:rFonts w:eastAsia="Arial" w:cs="Arial"/>
          <w:lang w:val="cs-CZ"/>
        </w:rPr>
        <w:t xml:space="preserve">Jeho identitu bude možné ověřit podle průkazu a na vyžádání i dokladu totožnosti. </w:t>
      </w:r>
      <w:r w:rsidR="000131BF" w:rsidRPr="31F63E9D">
        <w:rPr>
          <w:rFonts w:eastAsia="Arial" w:cs="Arial"/>
          <w:lang w:val="cs-CZ"/>
        </w:rPr>
        <w:t xml:space="preserve">Vyplněný </w:t>
      </w:r>
      <w:r w:rsidR="6DE08E7E" w:rsidRPr="31F63E9D">
        <w:rPr>
          <w:rFonts w:eastAsia="Arial" w:cs="Arial"/>
          <w:lang w:val="cs-CZ"/>
        </w:rPr>
        <w:t xml:space="preserve">listinný </w:t>
      </w:r>
      <w:r w:rsidR="000131BF" w:rsidRPr="31F63E9D">
        <w:rPr>
          <w:rFonts w:eastAsia="Arial" w:cs="Arial"/>
          <w:lang w:val="cs-CZ"/>
        </w:rPr>
        <w:t xml:space="preserve">formulář </w:t>
      </w:r>
      <w:r w:rsidR="6540C441" w:rsidRPr="31F63E9D">
        <w:rPr>
          <w:rFonts w:eastAsia="Arial" w:cs="Arial"/>
          <w:lang w:val="cs-CZ"/>
        </w:rPr>
        <w:t>lze</w:t>
      </w:r>
      <w:r w:rsidR="000131BF" w:rsidRPr="31F63E9D">
        <w:rPr>
          <w:rFonts w:eastAsia="Arial" w:cs="Arial"/>
          <w:lang w:val="cs-CZ"/>
        </w:rPr>
        <w:t xml:space="preserve"> </w:t>
      </w:r>
      <w:r w:rsidR="5EE866F7" w:rsidRPr="31F63E9D">
        <w:rPr>
          <w:rFonts w:eastAsia="Arial" w:cs="Arial"/>
          <w:lang w:val="cs-CZ"/>
        </w:rPr>
        <w:t>z</w:t>
      </w:r>
      <w:r w:rsidR="67F6F9DE" w:rsidRPr="31F63E9D">
        <w:rPr>
          <w:rFonts w:eastAsia="Arial" w:cs="Arial"/>
          <w:lang w:val="cs-CZ"/>
        </w:rPr>
        <w:t xml:space="preserve">darma odeslat v odpovědní obálce, která je distribuována </w:t>
      </w:r>
      <w:r w:rsidR="4C40064B" w:rsidRPr="31F63E9D">
        <w:rPr>
          <w:rFonts w:eastAsia="Arial" w:cs="Arial"/>
          <w:lang w:val="cs-CZ"/>
        </w:rPr>
        <w:t>spolu s formulářem</w:t>
      </w:r>
      <w:r w:rsidR="31F1DEEA" w:rsidRPr="31F63E9D">
        <w:rPr>
          <w:rFonts w:eastAsia="Arial" w:cs="Arial"/>
          <w:lang w:val="cs-CZ"/>
        </w:rPr>
        <w:t>,</w:t>
      </w:r>
      <w:r w:rsidR="6703FF12" w:rsidRPr="31F63E9D">
        <w:rPr>
          <w:rFonts w:eastAsia="Arial" w:cs="Arial"/>
          <w:lang w:val="cs-CZ"/>
        </w:rPr>
        <w:t xml:space="preserve"> vhozením do poštovní schránky</w:t>
      </w:r>
      <w:r w:rsidR="0083592E">
        <w:rPr>
          <w:rFonts w:eastAsia="Arial" w:cs="Arial"/>
          <w:lang w:val="cs-CZ"/>
        </w:rPr>
        <w:t xml:space="preserve"> </w:t>
      </w:r>
      <w:r w:rsidR="000131BF" w:rsidRPr="31F63E9D">
        <w:rPr>
          <w:rFonts w:eastAsia="Arial" w:cs="Arial"/>
          <w:lang w:val="cs-CZ"/>
        </w:rPr>
        <w:t>nebo odevzd</w:t>
      </w:r>
      <w:r w:rsidR="057858A1" w:rsidRPr="31F63E9D">
        <w:rPr>
          <w:rFonts w:eastAsia="Arial" w:cs="Arial"/>
          <w:lang w:val="cs-CZ"/>
        </w:rPr>
        <w:t>at</w:t>
      </w:r>
      <w:r w:rsidR="000131BF" w:rsidRPr="31F63E9D">
        <w:rPr>
          <w:rFonts w:eastAsia="Arial" w:cs="Arial"/>
          <w:lang w:val="cs-CZ"/>
        </w:rPr>
        <w:t xml:space="preserve"> na kterémkoliv kontaktním místě. Termín je do 11. </w:t>
      </w:r>
      <w:r w:rsidR="0084560C">
        <w:rPr>
          <w:rFonts w:eastAsia="Arial" w:cs="Arial"/>
          <w:lang w:val="cs-CZ"/>
        </w:rPr>
        <w:t>k</w:t>
      </w:r>
      <w:r w:rsidR="000131BF" w:rsidRPr="31F63E9D">
        <w:rPr>
          <w:rFonts w:eastAsia="Arial" w:cs="Arial"/>
          <w:lang w:val="cs-CZ"/>
        </w:rPr>
        <w:t>větna.</w:t>
      </w:r>
      <w:r w:rsidR="454BF0AF" w:rsidRPr="31F63E9D">
        <w:rPr>
          <w:rFonts w:eastAsia="Arial" w:cs="Arial"/>
          <w:lang w:val="cs-CZ"/>
        </w:rPr>
        <w:t xml:space="preserve"> Do stejného data bude plně zpřístupněna i možnost sečíst se online.</w:t>
      </w:r>
    </w:p>
    <w:p w14:paraId="21ADABE3" w14:textId="77777777" w:rsidR="00040C8E" w:rsidRDefault="00040C8E" w:rsidP="009C60C6">
      <w:pPr>
        <w:jc w:val="both"/>
        <w:rPr>
          <w:rFonts w:eastAsia="Arial" w:cs="Arial"/>
          <w:lang w:val="cs-CZ"/>
        </w:rPr>
      </w:pPr>
    </w:p>
    <w:p w14:paraId="67EBFDC4" w14:textId="45C7395C" w:rsidR="00F84E04" w:rsidRDefault="000131BF" w:rsidP="4DA81927">
      <w:pPr>
        <w:jc w:val="both"/>
        <w:rPr>
          <w:rFonts w:eastAsia="Arial" w:cs="Arial"/>
          <w:lang w:val="cs-CZ"/>
        </w:rPr>
      </w:pPr>
      <w:r w:rsidRPr="4DA81927">
        <w:rPr>
          <w:rFonts w:eastAsia="Arial" w:cs="Arial"/>
          <w:lang w:val="cs-CZ"/>
        </w:rPr>
        <w:t xml:space="preserve">Aktivitu ve sčítání ukazuje </w:t>
      </w:r>
      <w:r w:rsidR="00F84E04" w:rsidRPr="4DA81927">
        <w:rPr>
          <w:rFonts w:eastAsia="Arial" w:cs="Arial"/>
          <w:lang w:val="cs-CZ"/>
        </w:rPr>
        <w:t>počet odeslaných formulářů na 100 bytů v</w:t>
      </w:r>
      <w:r w:rsidRPr="4DA81927">
        <w:rPr>
          <w:rFonts w:eastAsia="Arial" w:cs="Arial"/>
          <w:lang w:val="cs-CZ"/>
        </w:rPr>
        <w:t> </w:t>
      </w:r>
      <w:r w:rsidR="00F84E04" w:rsidRPr="4DA81927">
        <w:rPr>
          <w:rFonts w:eastAsia="Arial" w:cs="Arial"/>
          <w:lang w:val="cs-CZ"/>
        </w:rPr>
        <w:t>obci</w:t>
      </w:r>
      <w:r w:rsidRPr="4DA81927">
        <w:rPr>
          <w:rFonts w:eastAsia="Arial" w:cs="Arial"/>
          <w:lang w:val="cs-CZ"/>
        </w:rPr>
        <w:t xml:space="preserve">. </w:t>
      </w:r>
      <w:r w:rsidR="00795EAD" w:rsidRPr="4DA81927">
        <w:rPr>
          <w:rFonts w:eastAsia="Arial" w:cs="Arial"/>
          <w:lang w:val="cs-CZ"/>
        </w:rPr>
        <w:t xml:space="preserve">Na předních místech se pohybují malé obce s několika desítkami bytů a </w:t>
      </w:r>
      <w:r w:rsidR="63D7D06D" w:rsidRPr="4DA81927">
        <w:rPr>
          <w:rFonts w:eastAsia="Arial" w:cs="Arial"/>
          <w:lang w:val="cs-CZ"/>
        </w:rPr>
        <w:t>několika</w:t>
      </w:r>
      <w:r w:rsidR="00795EAD" w:rsidRPr="4DA81927">
        <w:rPr>
          <w:rFonts w:eastAsia="Arial" w:cs="Arial"/>
          <w:lang w:val="cs-CZ"/>
        </w:rPr>
        <w:t xml:space="preserve"> st</w:t>
      </w:r>
      <w:r w:rsidR="0C00EF0E" w:rsidRPr="4DA81927">
        <w:rPr>
          <w:rFonts w:eastAsia="Arial" w:cs="Arial"/>
          <w:lang w:val="cs-CZ"/>
        </w:rPr>
        <w:t>y</w:t>
      </w:r>
      <w:r w:rsidR="00795EAD" w:rsidRPr="4DA81927">
        <w:rPr>
          <w:rFonts w:eastAsia="Arial" w:cs="Arial"/>
          <w:lang w:val="cs-CZ"/>
        </w:rPr>
        <w:t xml:space="preserve"> bydlící</w:t>
      </w:r>
      <w:r w:rsidR="22C2A5B3" w:rsidRPr="4DA81927">
        <w:rPr>
          <w:rFonts w:eastAsia="Arial" w:cs="Arial"/>
          <w:lang w:val="cs-CZ"/>
        </w:rPr>
        <w:t>ch</w:t>
      </w:r>
      <w:r w:rsidR="00795EAD" w:rsidRPr="4DA81927">
        <w:rPr>
          <w:rFonts w:eastAsia="Arial" w:cs="Arial"/>
          <w:lang w:val="cs-CZ"/>
        </w:rPr>
        <w:t xml:space="preserve"> osob. N</w:t>
      </w:r>
      <w:r w:rsidR="003E4DEE" w:rsidRPr="4DA81927">
        <w:rPr>
          <w:rFonts w:eastAsia="Arial" w:cs="Arial"/>
          <w:lang w:val="cs-CZ"/>
        </w:rPr>
        <w:t>ejlépe jsou na to</w:t>
      </w:r>
      <w:r w:rsidR="0084560C">
        <w:rPr>
          <w:rFonts w:eastAsia="Arial" w:cs="Arial"/>
          <w:lang w:val="cs-CZ"/>
        </w:rPr>
        <w:t>m</w:t>
      </w:r>
      <w:r w:rsidR="003E4DEE" w:rsidRPr="4DA81927">
        <w:rPr>
          <w:rFonts w:eastAsia="Arial" w:cs="Arial"/>
          <w:lang w:val="cs-CZ"/>
        </w:rPr>
        <w:t xml:space="preserve"> Říčky v Orlických horách</w:t>
      </w:r>
      <w:r w:rsidR="263BDBE5" w:rsidRPr="4DA81927">
        <w:rPr>
          <w:rFonts w:eastAsia="Arial" w:cs="Arial"/>
          <w:lang w:val="cs-CZ"/>
        </w:rPr>
        <w:t>, Vísky na Plzeňsku</w:t>
      </w:r>
      <w:r w:rsidR="003E4DEE" w:rsidRPr="4DA81927">
        <w:rPr>
          <w:rFonts w:eastAsia="Arial" w:cs="Arial"/>
          <w:lang w:val="cs-CZ"/>
        </w:rPr>
        <w:t xml:space="preserve"> a Podhradí nad Dyjí na Znojemsku. U obcí, ve kterých bylo v rámci územní přípravy identifikováno více než 500 bytů, jsou na předních příčká</w:t>
      </w:r>
      <w:r w:rsidR="0084560C">
        <w:rPr>
          <w:rFonts w:eastAsia="Arial" w:cs="Arial"/>
          <w:lang w:val="cs-CZ"/>
        </w:rPr>
        <w:t>ch</w:t>
      </w:r>
      <w:r w:rsidR="003E4DEE" w:rsidRPr="4DA81927">
        <w:rPr>
          <w:rFonts w:eastAsia="Arial" w:cs="Arial"/>
          <w:lang w:val="cs-CZ"/>
        </w:rPr>
        <w:t xml:space="preserve"> středočeské Mirošovice a N</w:t>
      </w:r>
      <w:r w:rsidR="465E1E77" w:rsidRPr="4DA81927">
        <w:rPr>
          <w:rFonts w:eastAsia="Arial" w:cs="Arial"/>
          <w:lang w:val="cs-CZ"/>
        </w:rPr>
        <w:t>ová Ves</w:t>
      </w:r>
      <w:r w:rsidR="003E4DEE" w:rsidRPr="4DA81927">
        <w:rPr>
          <w:rFonts w:eastAsia="Arial" w:cs="Arial"/>
          <w:lang w:val="cs-CZ"/>
        </w:rPr>
        <w:t xml:space="preserve">, </w:t>
      </w:r>
      <w:r w:rsidR="2A899A67" w:rsidRPr="4DA81927">
        <w:rPr>
          <w:rFonts w:eastAsia="Arial" w:cs="Arial"/>
          <w:lang w:val="cs-CZ"/>
        </w:rPr>
        <w:t>za nimi</w:t>
      </w:r>
      <w:r w:rsidR="003E4DEE" w:rsidRPr="4DA81927">
        <w:rPr>
          <w:rFonts w:eastAsia="Arial" w:cs="Arial"/>
          <w:lang w:val="cs-CZ"/>
        </w:rPr>
        <w:t> jihomoravsk</w:t>
      </w:r>
      <w:r w:rsidR="0EDBDC01" w:rsidRPr="4DA81927">
        <w:rPr>
          <w:rFonts w:eastAsia="Arial" w:cs="Arial"/>
          <w:lang w:val="cs-CZ"/>
        </w:rPr>
        <w:t>á</w:t>
      </w:r>
      <w:r w:rsidR="003E4DEE" w:rsidRPr="4DA81927">
        <w:rPr>
          <w:rFonts w:eastAsia="Arial" w:cs="Arial"/>
          <w:lang w:val="cs-CZ"/>
        </w:rPr>
        <w:t xml:space="preserve"> ob</w:t>
      </w:r>
      <w:r w:rsidR="1967966A" w:rsidRPr="4DA81927">
        <w:rPr>
          <w:rFonts w:eastAsia="Arial" w:cs="Arial"/>
          <w:lang w:val="cs-CZ"/>
        </w:rPr>
        <w:t>e</w:t>
      </w:r>
      <w:r w:rsidR="003E4DEE" w:rsidRPr="4DA81927">
        <w:rPr>
          <w:rFonts w:eastAsia="Arial" w:cs="Arial"/>
          <w:lang w:val="cs-CZ"/>
        </w:rPr>
        <w:t xml:space="preserve">c Holubice. V další kategorii, což jsou obce s více než dvěma tisícovkami bytů, si nejlépe vedou Neratovice (okres Mělník), Modřice (Brno-venkov) a Odolena Voda. </w:t>
      </w:r>
      <w:r w:rsidR="00364689" w:rsidRPr="4DA81927">
        <w:rPr>
          <w:rFonts w:eastAsia="Arial" w:cs="Arial"/>
          <w:lang w:val="cs-CZ"/>
        </w:rPr>
        <w:t xml:space="preserve">V poslední kategorii, kterou představují města s více než deseti tisíci byty, jsou ve sčítání nejpilnější obyvatelé Kolína, Mostu a Kladna. Mezi krajskými městy jsou první Pardubice před </w:t>
      </w:r>
      <w:r w:rsidR="1776E3A8" w:rsidRPr="4DA81927">
        <w:rPr>
          <w:rFonts w:eastAsia="Arial" w:cs="Arial"/>
          <w:lang w:val="cs-CZ"/>
        </w:rPr>
        <w:t>Jihlavou.</w:t>
      </w:r>
    </w:p>
    <w:p w14:paraId="153D4B8E" w14:textId="77777777" w:rsidR="00364689" w:rsidRDefault="00364689" w:rsidP="009C60C6">
      <w:pPr>
        <w:jc w:val="both"/>
        <w:rPr>
          <w:rFonts w:eastAsia="Arial" w:cs="Arial"/>
          <w:lang w:val="cs-CZ"/>
        </w:rPr>
      </w:pPr>
    </w:p>
    <w:p w14:paraId="268A9753" w14:textId="77777777" w:rsidR="00364689" w:rsidRPr="00414DDA" w:rsidRDefault="00364689" w:rsidP="00364689">
      <w:pPr>
        <w:pStyle w:val="Adresa"/>
        <w:rPr>
          <w:color w:val="2B4D89"/>
        </w:rPr>
      </w:pPr>
      <w:r w:rsidRPr="00414DDA">
        <w:rPr>
          <w:color w:val="2B4D89"/>
        </w:rPr>
        <w:t>Kontakt:</w:t>
      </w:r>
    </w:p>
    <w:p w14:paraId="2DDC03A6" w14:textId="77777777" w:rsidR="00364689" w:rsidRPr="00414DDA" w:rsidRDefault="00364689" w:rsidP="00364689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6C84CF7E" w14:textId="77777777" w:rsidR="00364689" w:rsidRPr="00414DDA" w:rsidRDefault="00364689" w:rsidP="00364689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3E190CF5" w14:textId="77777777" w:rsidR="00364689" w:rsidRPr="00414DDA" w:rsidRDefault="00364689" w:rsidP="00364689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6212FA54" w14:textId="77777777" w:rsidR="00364689" w:rsidRPr="005E1D83" w:rsidRDefault="00364689" w:rsidP="00364689">
      <w:pPr>
        <w:pStyle w:val="Adresa"/>
        <w:rPr>
          <w:color w:val="2F5496" w:themeColor="accent5" w:themeShade="BF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41368E74" w14:textId="77777777" w:rsidR="00714F3E" w:rsidRPr="00714F3E" w:rsidRDefault="00714F3E">
      <w:pPr>
        <w:jc w:val="both"/>
        <w:rPr>
          <w:rFonts w:ascii="Arial Unicode MS" w:hAnsi="Arial Unicode MS" w:cs="Arial Unicode MS"/>
          <w:lang w:val="cs-CZ"/>
        </w:rPr>
      </w:pPr>
    </w:p>
    <w:p w14:paraId="51753B37" w14:textId="464F00E1" w:rsidR="004F61C7" w:rsidRDefault="004F61C7" w:rsidP="004F61C7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E03546">
        <w:rPr>
          <w:rFonts w:cs="Arial"/>
          <w:b/>
          <w:bCs/>
          <w:sz w:val="22"/>
          <w:szCs w:val="22"/>
          <w:lang w:val="cs-CZ"/>
        </w:rPr>
        <w:lastRenderedPageBreak/>
        <w:t xml:space="preserve">TOP </w:t>
      </w:r>
      <w:r w:rsidR="001B07B7">
        <w:rPr>
          <w:rFonts w:cs="Arial"/>
          <w:b/>
          <w:bCs/>
          <w:sz w:val="22"/>
          <w:szCs w:val="22"/>
          <w:lang w:val="cs-CZ"/>
        </w:rPr>
        <w:t>5</w:t>
      </w:r>
      <w:r>
        <w:rPr>
          <w:rFonts w:cs="Arial"/>
          <w:b/>
          <w:bCs/>
          <w:sz w:val="22"/>
          <w:szCs w:val="22"/>
          <w:lang w:val="cs-CZ"/>
        </w:rPr>
        <w:t xml:space="preserve"> nejaktivnějších obcí </w:t>
      </w:r>
      <w:r w:rsidR="001B07B7">
        <w:rPr>
          <w:rFonts w:cs="Arial"/>
          <w:b/>
          <w:bCs/>
          <w:sz w:val="22"/>
          <w:szCs w:val="22"/>
          <w:lang w:val="cs-CZ"/>
        </w:rPr>
        <w:t xml:space="preserve">dle kategorií počtu bytů </w:t>
      </w:r>
      <w:r>
        <w:rPr>
          <w:rFonts w:cs="Arial"/>
          <w:b/>
          <w:bCs/>
          <w:sz w:val="22"/>
          <w:szCs w:val="22"/>
          <w:lang w:val="cs-CZ"/>
        </w:rPr>
        <w:t>v</w:t>
      </w:r>
      <w:r w:rsidR="007009DA">
        <w:rPr>
          <w:rFonts w:cs="Arial"/>
          <w:b/>
          <w:bCs/>
          <w:sz w:val="22"/>
          <w:szCs w:val="22"/>
          <w:lang w:val="cs-CZ"/>
        </w:rPr>
        <w:t> České republice</w:t>
      </w:r>
    </w:p>
    <w:p w14:paraId="0B217271" w14:textId="77777777" w:rsidR="004F61C7" w:rsidRDefault="004F61C7" w:rsidP="004F61C7">
      <w:pPr>
        <w:jc w:val="center"/>
        <w:rPr>
          <w:rFonts w:ascii="Arial Unicode MS" w:hAnsi="Arial Unicode MS" w:cs="Arial Unicode MS"/>
          <w:lang w:val="cs-CZ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040"/>
        <w:gridCol w:w="2200"/>
        <w:gridCol w:w="1788"/>
        <w:gridCol w:w="1276"/>
      </w:tblGrid>
      <w:tr w:rsidR="001B07B7" w:rsidRPr="001B07B7" w14:paraId="7FC4B855" w14:textId="77777777" w:rsidTr="4DA81927">
        <w:trPr>
          <w:trHeight w:val="7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4C27CA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Kód obce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9F2E6C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Obec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C4CE5B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Okres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2D7332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Kraj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8FB7D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Odeslané formuláře na 100 bytů</w:t>
            </w:r>
          </w:p>
        </w:tc>
      </w:tr>
      <w:tr w:rsidR="001B07B7" w:rsidRPr="001B07B7" w14:paraId="0F7BB14F" w14:textId="77777777" w:rsidTr="4DA81927">
        <w:trPr>
          <w:trHeight w:val="340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5ED6655" w14:textId="5056B2E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0</w:t>
            </w:r>
            <w:r w:rsidR="0084560C">
              <w:rPr>
                <w:rFonts w:eastAsia="Arial" w:cs="Arial"/>
                <w:b/>
                <w:bCs/>
                <w:lang w:val="cs-CZ" w:eastAsia="cs-CZ"/>
              </w:rPr>
              <w:t xml:space="preserve"> – </w:t>
            </w:r>
            <w:r w:rsidRPr="4DA81927">
              <w:rPr>
                <w:rFonts w:eastAsia="Arial" w:cs="Arial"/>
                <w:b/>
                <w:bCs/>
                <w:lang w:val="cs-CZ" w:eastAsia="cs-CZ"/>
              </w:rPr>
              <w:t>500 bytů</w:t>
            </w:r>
          </w:p>
        </w:tc>
      </w:tr>
      <w:tr w:rsidR="001B07B7" w:rsidRPr="001B07B7" w14:paraId="1DF1B82A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2CB" w14:textId="47381881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567735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36FA" w14:textId="4754DAEB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 xml:space="preserve">Říčky v Orlických </w:t>
            </w:r>
            <w:r w:rsidR="00BE4E06">
              <w:rPr>
                <w:rFonts w:eastAsia="Arial" w:cs="Arial"/>
                <w:lang w:val="cs-CZ" w:eastAsia="cs-CZ"/>
              </w:rPr>
              <w:br/>
            </w:r>
            <w:r w:rsidRPr="4DA81927">
              <w:rPr>
                <w:rFonts w:eastAsia="Arial" w:cs="Arial"/>
                <w:lang w:val="cs-CZ" w:eastAsia="cs-CZ"/>
              </w:rPr>
              <w:t>horách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D542" w14:textId="5F00F475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Rychnov nad Kněžnou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26E9" w14:textId="191FB06C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Královéhradecký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BA2" w14:textId="5CA51748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color w:val="000000"/>
                <w:lang w:val="cs-CZ" w:eastAsia="cs-CZ"/>
              </w:rPr>
            </w:pPr>
            <w:r w:rsidRPr="4DA81927">
              <w:rPr>
                <w:rFonts w:eastAsia="Arial" w:cs="Arial"/>
                <w:color w:val="000000" w:themeColor="text1"/>
                <w:lang w:val="cs-CZ" w:eastAsia="cs-CZ"/>
              </w:rPr>
              <w:t>97,6</w:t>
            </w:r>
          </w:p>
        </w:tc>
      </w:tr>
      <w:tr w:rsidR="001B07B7" w:rsidRPr="001B07B7" w14:paraId="0CB17009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F394" w14:textId="413D82AD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579289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6A2F" w14:textId="1721A97E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Vísky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3263" w14:textId="387E36E6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Rokycany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EB57" w14:textId="2FBE9357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Plzeňský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273E" w14:textId="56360550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color w:val="000000"/>
                <w:lang w:val="cs-CZ" w:eastAsia="cs-CZ"/>
              </w:rPr>
            </w:pPr>
            <w:r w:rsidRPr="4DA81927">
              <w:rPr>
                <w:rFonts w:eastAsia="Arial" w:cs="Arial"/>
                <w:color w:val="000000" w:themeColor="text1"/>
                <w:lang w:val="cs-CZ" w:eastAsia="cs-CZ"/>
              </w:rPr>
              <w:t>94,4</w:t>
            </w:r>
          </w:p>
        </w:tc>
      </w:tr>
      <w:tr w:rsidR="001B07B7" w:rsidRPr="001B07B7" w14:paraId="38ADDEA7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BC26" w14:textId="168B7C8B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594636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BE19" w14:textId="73FFE4EE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Podhradí nad Dyjí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72B6" w14:textId="43B4B3D1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Znojmo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A1B5" w14:textId="32797864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84AE" w14:textId="0E614766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color w:val="000000"/>
                <w:lang w:val="cs-CZ" w:eastAsia="cs-CZ"/>
              </w:rPr>
            </w:pPr>
            <w:r w:rsidRPr="4DA81927">
              <w:rPr>
                <w:rFonts w:eastAsia="Arial" w:cs="Arial"/>
                <w:color w:val="000000" w:themeColor="text1"/>
                <w:lang w:val="cs-CZ" w:eastAsia="cs-CZ"/>
              </w:rPr>
              <w:t>92,3</w:t>
            </w:r>
          </w:p>
        </w:tc>
      </w:tr>
      <w:tr w:rsidR="001B07B7" w:rsidRPr="001B07B7" w14:paraId="000E5B99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8589" w14:textId="275850CF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565547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9C95" w14:textId="172FD733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Rochov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C25D" w14:textId="0E977199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Litoměřice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6501" w14:textId="7993E004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Ústecký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B94B" w14:textId="35FA97AD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color w:val="000000"/>
                <w:lang w:val="cs-CZ" w:eastAsia="cs-CZ"/>
              </w:rPr>
            </w:pPr>
            <w:r w:rsidRPr="4DA81927">
              <w:rPr>
                <w:rFonts w:eastAsia="Arial" w:cs="Arial"/>
                <w:color w:val="000000" w:themeColor="text1"/>
                <w:lang w:val="cs-CZ" w:eastAsia="cs-CZ"/>
              </w:rPr>
              <w:t>83,6</w:t>
            </w:r>
          </w:p>
        </w:tc>
      </w:tr>
      <w:tr w:rsidR="001B07B7" w:rsidRPr="001B07B7" w14:paraId="3880BB45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CBEE5" w14:textId="37F2F3C2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579360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2784" w14:textId="78E1AF82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Těšovice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CCFA3" w14:textId="6BEA2E38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Sokolov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9480" w14:textId="1EF2B90A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Karlovarský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EF1C" w14:textId="5D767D52" w:rsidR="001B07B7" w:rsidRPr="001B07B7" w:rsidRDefault="15D45405" w:rsidP="4DA81927">
            <w:pPr>
              <w:suppressAutoHyphens w:val="0"/>
              <w:jc w:val="center"/>
              <w:rPr>
                <w:rFonts w:eastAsia="Arial" w:cs="Arial"/>
                <w:color w:val="000000"/>
                <w:lang w:val="cs-CZ" w:eastAsia="cs-CZ"/>
              </w:rPr>
            </w:pPr>
            <w:r w:rsidRPr="4DA81927">
              <w:rPr>
                <w:rFonts w:eastAsia="Arial" w:cs="Arial"/>
                <w:color w:val="000000" w:themeColor="text1"/>
                <w:lang w:val="cs-CZ" w:eastAsia="cs-CZ"/>
              </w:rPr>
              <w:t>81,1</w:t>
            </w:r>
          </w:p>
        </w:tc>
      </w:tr>
      <w:tr w:rsidR="001B07B7" w:rsidRPr="001B07B7" w14:paraId="5085F5AE" w14:textId="77777777" w:rsidTr="4DA81927">
        <w:trPr>
          <w:trHeight w:val="340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0EFF48F" w14:textId="6D5C80D1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501</w:t>
            </w:r>
            <w:r w:rsidR="0084560C">
              <w:rPr>
                <w:rFonts w:eastAsia="Arial" w:cs="Arial"/>
                <w:b/>
                <w:bCs/>
                <w:lang w:val="cs-CZ" w:eastAsia="cs-CZ"/>
              </w:rPr>
              <w:t xml:space="preserve"> – </w:t>
            </w:r>
            <w:r w:rsidRPr="4DA81927">
              <w:rPr>
                <w:rFonts w:eastAsia="Arial" w:cs="Arial"/>
                <w:b/>
                <w:bCs/>
                <w:lang w:val="cs-CZ" w:eastAsia="cs-CZ"/>
              </w:rPr>
              <w:t>2</w:t>
            </w:r>
            <w:r w:rsidR="0084560C">
              <w:rPr>
                <w:rFonts w:eastAsia="Arial" w:cs="Arial"/>
                <w:b/>
                <w:bCs/>
                <w:lang w:val="cs-CZ" w:eastAsia="cs-CZ"/>
              </w:rPr>
              <w:t xml:space="preserve"> </w:t>
            </w:r>
            <w:r w:rsidRPr="4DA81927">
              <w:rPr>
                <w:rFonts w:eastAsia="Arial" w:cs="Arial"/>
                <w:b/>
                <w:bCs/>
                <w:lang w:val="cs-CZ" w:eastAsia="cs-CZ"/>
              </w:rPr>
              <w:t>000 bytů</w:t>
            </w:r>
          </w:p>
        </w:tc>
      </w:tr>
      <w:tr w:rsidR="001B07B7" w:rsidRPr="001B07B7" w14:paraId="47204383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E4FC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538485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6A0B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Mirošovice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0150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Praha-východ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2151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6AA" w14:textId="3814B699" w:rsidR="001B07B7" w:rsidRPr="001B07B7" w:rsidRDefault="25B845FA" w:rsidP="4DA81927">
            <w:pPr>
              <w:spacing w:line="259" w:lineRule="auto"/>
              <w:jc w:val="center"/>
              <w:rPr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75,1</w:t>
            </w:r>
          </w:p>
        </w:tc>
      </w:tr>
      <w:tr w:rsidR="001B07B7" w:rsidRPr="001B07B7" w14:paraId="4D8A1305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C491" w14:textId="3894A0C1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538558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CF8E" w14:textId="2187C99E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Nová Ves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7577" w14:textId="7374F132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Praha-východ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23D" w14:textId="4BC46CCE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B951" w14:textId="3B68FC61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70,4</w:t>
            </w:r>
          </w:p>
        </w:tc>
      </w:tr>
      <w:tr w:rsidR="001B07B7" w:rsidRPr="001B07B7" w14:paraId="45F69A5E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824E" w14:textId="31650956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550825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BBDB" w14:textId="141D5F40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Holubice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261" w14:textId="3E792ACB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Vyškov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E36C" w14:textId="4F998E4F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51D8" w14:textId="23041C8A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69,8</w:t>
            </w:r>
          </w:p>
        </w:tc>
      </w:tr>
      <w:tr w:rsidR="001B07B7" w:rsidRPr="001B07B7" w14:paraId="0B71A65C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EC41" w14:textId="25652070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583669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46DD" w14:textId="1C2EDF6F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Popůvky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7089" w14:textId="575EC3EF" w:rsidR="001B07B7" w:rsidRPr="001B07B7" w:rsidRDefault="25B845FA" w:rsidP="4DA81927">
            <w:pPr>
              <w:spacing w:line="259" w:lineRule="auto"/>
              <w:jc w:val="center"/>
              <w:rPr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Brno-venkov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951" w14:textId="58D77F79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DAE0" w14:textId="211D0708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69,4</w:t>
            </w:r>
          </w:p>
        </w:tc>
      </w:tr>
      <w:tr w:rsidR="001B07B7" w:rsidRPr="001B07B7" w14:paraId="431EA576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C8E0" w14:textId="0F910840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538540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20EB8" w14:textId="230A7491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Nehvizdy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7E6A" w14:textId="393ADA72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Praha-východ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6C9E" w14:textId="7725D859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C782" w14:textId="00680649" w:rsidR="001B07B7" w:rsidRPr="001B07B7" w:rsidRDefault="25B845FA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69,3</w:t>
            </w:r>
          </w:p>
        </w:tc>
      </w:tr>
      <w:tr w:rsidR="001B07B7" w:rsidRPr="001B07B7" w14:paraId="6E898506" w14:textId="77777777" w:rsidTr="4DA81927">
        <w:trPr>
          <w:trHeight w:val="340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7937201" w14:textId="10C6B0DD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2 00</w:t>
            </w:r>
            <w:r w:rsidR="4F9DCE36" w:rsidRPr="4DA81927">
              <w:rPr>
                <w:rFonts w:eastAsia="Arial" w:cs="Arial"/>
                <w:b/>
                <w:bCs/>
                <w:lang w:val="cs-CZ" w:eastAsia="cs-CZ"/>
              </w:rPr>
              <w:t>1</w:t>
            </w:r>
            <w:r w:rsidRPr="4DA81927">
              <w:rPr>
                <w:rFonts w:eastAsia="Arial" w:cs="Arial"/>
                <w:b/>
                <w:bCs/>
                <w:lang w:val="cs-CZ" w:eastAsia="cs-CZ"/>
              </w:rPr>
              <w:t xml:space="preserve"> </w:t>
            </w:r>
            <w:r w:rsidR="0084560C">
              <w:rPr>
                <w:rFonts w:eastAsia="Arial" w:cs="Arial"/>
                <w:b/>
                <w:bCs/>
                <w:lang w:val="cs-CZ" w:eastAsia="cs-CZ"/>
              </w:rPr>
              <w:t>–</w:t>
            </w:r>
            <w:r w:rsidRPr="4DA81927">
              <w:rPr>
                <w:rFonts w:eastAsia="Arial" w:cs="Arial"/>
                <w:b/>
                <w:bCs/>
                <w:lang w:val="cs-CZ" w:eastAsia="cs-CZ"/>
              </w:rPr>
              <w:t xml:space="preserve"> 10 000 bytů</w:t>
            </w:r>
          </w:p>
        </w:tc>
      </w:tr>
      <w:tr w:rsidR="001B07B7" w:rsidRPr="001B07B7" w14:paraId="289878E6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057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535087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4882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Neratovice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0F7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Mělník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D759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2F39" w14:textId="15018276" w:rsidR="001B07B7" w:rsidRPr="001B07B7" w:rsidRDefault="34BEA69B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69,0</w:t>
            </w:r>
          </w:p>
        </w:tc>
      </w:tr>
      <w:tr w:rsidR="001B07B7" w:rsidRPr="001B07B7" w14:paraId="489CB1F1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C533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583391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7D3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Modřice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9510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Brno-venkov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4094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6FB1" w14:textId="182A62AE" w:rsidR="001B07B7" w:rsidRPr="001B07B7" w:rsidRDefault="60B3FAC2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66,9</w:t>
            </w:r>
          </w:p>
        </w:tc>
      </w:tr>
      <w:tr w:rsidR="001B07B7" w:rsidRPr="001B07B7" w14:paraId="26CD9081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3FD2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538574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29E5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Odolena Voda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D80F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Praha-východ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952F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1A4C" w14:textId="36CC6E0E" w:rsidR="001B07B7" w:rsidRPr="001B07B7" w:rsidRDefault="6265E251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65,5</w:t>
            </w:r>
          </w:p>
        </w:tc>
      </w:tr>
      <w:tr w:rsidR="001B07B7" w:rsidRPr="001B07B7" w14:paraId="4EC15A6D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75DD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538094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6052" w14:textId="317BC728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Brandýs nad Labem</w:t>
            </w:r>
            <w:r w:rsidR="0084560C">
              <w:rPr>
                <w:rFonts w:eastAsia="Arial" w:cs="Arial"/>
                <w:lang w:val="cs-CZ" w:eastAsia="cs-CZ"/>
              </w:rPr>
              <w:t xml:space="preserve"> </w:t>
            </w:r>
            <w:r w:rsidR="0084560C">
              <w:rPr>
                <w:rFonts w:eastAsia="Arial" w:cs="Arial"/>
                <w:b/>
                <w:bCs/>
                <w:lang w:val="cs-CZ" w:eastAsia="cs-CZ"/>
              </w:rPr>
              <w:t>–</w:t>
            </w:r>
            <w:r w:rsidR="0084560C">
              <w:rPr>
                <w:rFonts w:eastAsia="Arial" w:cs="Arial"/>
                <w:lang w:val="cs-CZ" w:eastAsia="cs-CZ"/>
              </w:rPr>
              <w:t xml:space="preserve"> </w:t>
            </w:r>
            <w:r w:rsidRPr="4DA81927">
              <w:rPr>
                <w:rFonts w:eastAsia="Arial" w:cs="Arial"/>
                <w:lang w:val="cs-CZ" w:eastAsia="cs-CZ"/>
              </w:rPr>
              <w:t>Stará Boleslav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1D1A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Praha-východ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D30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642" w14:textId="382C6A2D" w:rsidR="001B07B7" w:rsidRPr="001B07B7" w:rsidRDefault="7BEA7C84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64,2</w:t>
            </w:r>
          </w:p>
        </w:tc>
      </w:tr>
      <w:tr w:rsidR="001B07B7" w:rsidRPr="001B07B7" w14:paraId="2B7D2397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E987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539236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C965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Horoměřice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EA02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Praha-západ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F8B0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46FE" w14:textId="48193B14" w:rsidR="001B07B7" w:rsidRPr="001B07B7" w:rsidRDefault="2434F52F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63,9</w:t>
            </w:r>
          </w:p>
        </w:tc>
      </w:tr>
      <w:tr w:rsidR="001B07B7" w:rsidRPr="001B07B7" w14:paraId="1DE706CE" w14:textId="77777777" w:rsidTr="4DA81927">
        <w:trPr>
          <w:trHeight w:val="340"/>
        </w:trPr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DCC9E70" w14:textId="54315179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b/>
                <w:bCs/>
                <w:lang w:val="cs-CZ" w:eastAsia="cs-CZ"/>
              </w:rPr>
            </w:pPr>
            <w:r w:rsidRPr="4DA81927">
              <w:rPr>
                <w:rFonts w:eastAsia="Arial" w:cs="Arial"/>
                <w:b/>
                <w:bCs/>
                <w:lang w:val="cs-CZ" w:eastAsia="cs-CZ"/>
              </w:rPr>
              <w:t>nad 10 000 bytů</w:t>
            </w:r>
          </w:p>
        </w:tc>
      </w:tr>
      <w:tr w:rsidR="001B07B7" w:rsidRPr="001B07B7" w14:paraId="2FDF93A4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D7B0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533165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6662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Kolín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A992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Kolín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3C80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DB15" w14:textId="78C59213" w:rsidR="001B07B7" w:rsidRPr="001B07B7" w:rsidRDefault="122653DE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63,9</w:t>
            </w:r>
          </w:p>
        </w:tc>
      </w:tr>
      <w:tr w:rsidR="001B07B7" w:rsidRPr="001B07B7" w14:paraId="4D593C9F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BA58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567027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8B8C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Most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61EF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Most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F321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Ústecký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02A5" w14:textId="0B57DCEA" w:rsidR="001B07B7" w:rsidRPr="001B07B7" w:rsidRDefault="648E393C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63,6</w:t>
            </w:r>
          </w:p>
        </w:tc>
      </w:tr>
      <w:tr w:rsidR="001B07B7" w:rsidRPr="001B07B7" w14:paraId="78163D67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80F1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532053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8DF1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Kladno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4213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Kladno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F7B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D95" w14:textId="0775F943" w:rsidR="001B07B7" w:rsidRPr="001B07B7" w:rsidRDefault="4D7830FB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63,5</w:t>
            </w:r>
          </w:p>
        </w:tc>
      </w:tr>
      <w:tr w:rsidR="001B07B7" w:rsidRPr="001B07B7" w14:paraId="12B2AD13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976D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555134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DF93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Pardubice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0656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Pardubice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D55A" w14:textId="77777777" w:rsidR="001B07B7" w:rsidRPr="001B07B7" w:rsidRDefault="001B07B7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Pardubický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BCD" w14:textId="04E62B59" w:rsidR="001B07B7" w:rsidRPr="001B07B7" w:rsidRDefault="0FADBE6C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62,0</w:t>
            </w:r>
          </w:p>
        </w:tc>
      </w:tr>
      <w:tr w:rsidR="001B07B7" w:rsidRPr="001B07B7" w14:paraId="0D3DA651" w14:textId="77777777" w:rsidTr="4DA8192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66048" w14:textId="0404C0C1" w:rsidR="001B07B7" w:rsidRPr="001B07B7" w:rsidRDefault="0FADBE6C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586846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894B4" w14:textId="108FDB27" w:rsidR="001B07B7" w:rsidRPr="001B07B7" w:rsidRDefault="0FADBE6C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Jihlava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A29E" w14:textId="703DA41D" w:rsidR="001B07B7" w:rsidRPr="001B07B7" w:rsidRDefault="0FADBE6C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Jihlava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073" w14:textId="7BB2CAC2" w:rsidR="001B07B7" w:rsidRPr="001B07B7" w:rsidRDefault="0FADBE6C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Vysočina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B8BC" w14:textId="35DC4A17" w:rsidR="001B07B7" w:rsidRPr="001B07B7" w:rsidRDefault="0FADBE6C" w:rsidP="4DA81927">
            <w:pPr>
              <w:suppressAutoHyphens w:val="0"/>
              <w:jc w:val="center"/>
              <w:rPr>
                <w:rFonts w:eastAsia="Arial" w:cs="Arial"/>
                <w:lang w:val="cs-CZ" w:eastAsia="cs-CZ"/>
              </w:rPr>
            </w:pPr>
            <w:r w:rsidRPr="4DA81927">
              <w:rPr>
                <w:rFonts w:eastAsia="Arial" w:cs="Arial"/>
                <w:lang w:val="cs-CZ" w:eastAsia="cs-CZ"/>
              </w:rPr>
              <w:t>61,8</w:t>
            </w:r>
          </w:p>
        </w:tc>
      </w:tr>
    </w:tbl>
    <w:p w14:paraId="702BE6FD" w14:textId="2032553F" w:rsidR="004F61C7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18FD4FEA" w14:textId="76DF037C" w:rsidR="004F61C7" w:rsidRPr="00E03546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E03546">
        <w:rPr>
          <w:rFonts w:cs="Arial"/>
          <w:lang w:val="cs-CZ"/>
        </w:rPr>
        <w:t xml:space="preserve">Pozn.: </w:t>
      </w:r>
      <w:r>
        <w:rPr>
          <w:rFonts w:cs="Arial"/>
          <w:lang w:val="cs-CZ"/>
        </w:rPr>
        <w:tab/>
      </w:r>
      <w:r w:rsidRPr="00E03546">
        <w:rPr>
          <w:rFonts w:eastAsia="Arial" w:cs="Arial"/>
          <w:lang w:val="cs-CZ"/>
        </w:rPr>
        <w:t>Za jeden byt je možné odeslat více než jeden formulář, uvedený ukazatel tak nepředstav</w:t>
      </w:r>
      <w:r w:rsidR="007E0767">
        <w:rPr>
          <w:rFonts w:eastAsia="Arial" w:cs="Arial"/>
          <w:lang w:val="cs-CZ"/>
        </w:rPr>
        <w:t>uje podíl sečtených bytů v dané obci</w:t>
      </w:r>
      <w:r w:rsidRPr="00E03546">
        <w:rPr>
          <w:rFonts w:eastAsia="Arial" w:cs="Arial"/>
          <w:lang w:val="cs-CZ"/>
        </w:rPr>
        <w:t>.</w:t>
      </w:r>
    </w:p>
    <w:p w14:paraId="5A26C04B" w14:textId="77777777" w:rsidR="004F61C7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4EA41B21" w14:textId="77777777" w:rsidR="004F61C7" w:rsidRPr="00C9433A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3E2A862A" w14:textId="77777777" w:rsidR="006359FC" w:rsidRPr="00C9433A" w:rsidRDefault="006359FC" w:rsidP="006359FC">
      <w:pPr>
        <w:jc w:val="both"/>
        <w:rPr>
          <w:rFonts w:ascii="Arial Unicode MS" w:hAnsi="Arial Unicode MS" w:cs="Arial Unicode MS"/>
          <w:lang w:val="cs-CZ"/>
        </w:rPr>
      </w:pPr>
    </w:p>
    <w:p w14:paraId="3527D5E4" w14:textId="77777777" w:rsidR="00364689" w:rsidRPr="005E1D83" w:rsidRDefault="00364689">
      <w:pPr>
        <w:pStyle w:val="Adresa"/>
        <w:rPr>
          <w:color w:val="2F5496" w:themeColor="accent5" w:themeShade="BF"/>
        </w:rPr>
      </w:pPr>
    </w:p>
    <w:sectPr w:rsidR="00364689" w:rsidRPr="005E1D83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2DC53" w14:textId="77777777" w:rsidR="00DF7E5D" w:rsidRDefault="00DF7E5D">
      <w:r>
        <w:separator/>
      </w:r>
    </w:p>
  </w:endnote>
  <w:endnote w:type="continuationSeparator" w:id="0">
    <w:p w14:paraId="32D141FC" w14:textId="77777777" w:rsidR="00DF7E5D" w:rsidRDefault="00DF7E5D">
      <w:r>
        <w:continuationSeparator/>
      </w:r>
    </w:p>
  </w:endnote>
  <w:endnote w:type="continuationNotice" w:id="1">
    <w:p w14:paraId="60C288E5" w14:textId="77777777" w:rsidR="00DF7E5D" w:rsidRDefault="00DF7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89.75pt;margin-top:22.9pt;width:184.2pt;height:26.35pt;z-index:-251658239;mso-wrap-distance-left:0;mso-wrap-distance-right:0" coordsize="0,0" o:spid="_x0000_s1026" o:allowincell="f" w14:anchorId="1FB3BB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width:1148760;height:334080;visibility:visible;mso-wrap-style:square" o:spid="_x0000_s1027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>
                <v:imagedata cropleft="4389f" croptop="10087f" cropright="3812f" cropbottom="11704f" o:title="" r:id="rId2"/>
              </v:shape>
              <v:rect id="Obdélník 5" style="position:absolute;left:1375560;width:963360;height:334080;visibility:visible;mso-wrap-style:square;v-text-anchor:top" o:spid="_x0000_s1028" filled="f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>
                <v:textbox inset="0,0,0,0">
                  <w:txbxContent>
                    <w:p w:rsidRPr="0022048A" w:rsidR="00EB05CA" w:rsidRDefault="00B318A6" w14:paraId="2B0C1283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Pr="0022048A" w:rsidR="00EB05CA" w:rsidRDefault="00B318A6" w14:paraId="092EFCAA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 w14:paraId="6A9FCDC3" w14:textId="77777777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6720E49E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5B10A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6720E49E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5B10A0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03BAF" w14:textId="77777777" w:rsidR="00DF7E5D" w:rsidRDefault="00DF7E5D">
      <w:r>
        <w:separator/>
      </w:r>
    </w:p>
  </w:footnote>
  <w:footnote w:type="continuationSeparator" w:id="0">
    <w:p w14:paraId="1984369B" w14:textId="77777777" w:rsidR="00DF7E5D" w:rsidRDefault="00DF7E5D">
      <w:r>
        <w:continuationSeparator/>
      </w:r>
    </w:p>
  </w:footnote>
  <w:footnote w:type="continuationNotice" w:id="1">
    <w:p w14:paraId="3BECE5DD" w14:textId="77777777" w:rsidR="00DF7E5D" w:rsidRDefault="00DF7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1BF"/>
    <w:rsid w:val="000139E6"/>
    <w:rsid w:val="0002135A"/>
    <w:rsid w:val="00040C8E"/>
    <w:rsid w:val="00045C0E"/>
    <w:rsid w:val="00054F73"/>
    <w:rsid w:val="00057518"/>
    <w:rsid w:val="0006245A"/>
    <w:rsid w:val="00063FE6"/>
    <w:rsid w:val="000932F1"/>
    <w:rsid w:val="000A3A6B"/>
    <w:rsid w:val="000A4B59"/>
    <w:rsid w:val="000C1555"/>
    <w:rsid w:val="000F67F8"/>
    <w:rsid w:val="00100762"/>
    <w:rsid w:val="00142118"/>
    <w:rsid w:val="00142D45"/>
    <w:rsid w:val="001620F6"/>
    <w:rsid w:val="001B07B7"/>
    <w:rsid w:val="001D3EE8"/>
    <w:rsid w:val="001F6122"/>
    <w:rsid w:val="0020489F"/>
    <w:rsid w:val="0022048A"/>
    <w:rsid w:val="002477A9"/>
    <w:rsid w:val="00261228"/>
    <w:rsid w:val="00261FC1"/>
    <w:rsid w:val="00262CFA"/>
    <w:rsid w:val="002651DF"/>
    <w:rsid w:val="00290C29"/>
    <w:rsid w:val="0029493E"/>
    <w:rsid w:val="00297090"/>
    <w:rsid w:val="002A30AF"/>
    <w:rsid w:val="002A4146"/>
    <w:rsid w:val="002C16FE"/>
    <w:rsid w:val="002E4690"/>
    <w:rsid w:val="002E7D80"/>
    <w:rsid w:val="003209D5"/>
    <w:rsid w:val="00330C17"/>
    <w:rsid w:val="00333F1F"/>
    <w:rsid w:val="00364689"/>
    <w:rsid w:val="00371AEC"/>
    <w:rsid w:val="003814A1"/>
    <w:rsid w:val="00396AC7"/>
    <w:rsid w:val="003A5332"/>
    <w:rsid w:val="003B3F79"/>
    <w:rsid w:val="003B510D"/>
    <w:rsid w:val="003C29B8"/>
    <w:rsid w:val="003C3E4A"/>
    <w:rsid w:val="003D1071"/>
    <w:rsid w:val="003E4DEE"/>
    <w:rsid w:val="003F2518"/>
    <w:rsid w:val="003F68CC"/>
    <w:rsid w:val="00401489"/>
    <w:rsid w:val="00405D6D"/>
    <w:rsid w:val="0040633C"/>
    <w:rsid w:val="00410EC5"/>
    <w:rsid w:val="00414DDA"/>
    <w:rsid w:val="00415190"/>
    <w:rsid w:val="00433DA3"/>
    <w:rsid w:val="00462FE4"/>
    <w:rsid w:val="00476EA6"/>
    <w:rsid w:val="00486C0E"/>
    <w:rsid w:val="004875F7"/>
    <w:rsid w:val="00491616"/>
    <w:rsid w:val="004950FD"/>
    <w:rsid w:val="004C6172"/>
    <w:rsid w:val="004D2A1F"/>
    <w:rsid w:val="004E1E8D"/>
    <w:rsid w:val="004E7A4E"/>
    <w:rsid w:val="004F61C7"/>
    <w:rsid w:val="005244D6"/>
    <w:rsid w:val="0053794C"/>
    <w:rsid w:val="0054454C"/>
    <w:rsid w:val="00547658"/>
    <w:rsid w:val="0056331A"/>
    <w:rsid w:val="0056775C"/>
    <w:rsid w:val="00572B50"/>
    <w:rsid w:val="0057530B"/>
    <w:rsid w:val="00591A88"/>
    <w:rsid w:val="005946D8"/>
    <w:rsid w:val="005A383A"/>
    <w:rsid w:val="005B10A0"/>
    <w:rsid w:val="005C1901"/>
    <w:rsid w:val="005D1555"/>
    <w:rsid w:val="005D4803"/>
    <w:rsid w:val="005D626B"/>
    <w:rsid w:val="005E1D83"/>
    <w:rsid w:val="005F39DD"/>
    <w:rsid w:val="005F56FA"/>
    <w:rsid w:val="00604854"/>
    <w:rsid w:val="006359FC"/>
    <w:rsid w:val="006822A7"/>
    <w:rsid w:val="00682568"/>
    <w:rsid w:val="0069039C"/>
    <w:rsid w:val="00694726"/>
    <w:rsid w:val="00696F23"/>
    <w:rsid w:val="006A7085"/>
    <w:rsid w:val="006B53AC"/>
    <w:rsid w:val="006C1840"/>
    <w:rsid w:val="006C4560"/>
    <w:rsid w:val="006D7C34"/>
    <w:rsid w:val="006E5B13"/>
    <w:rsid w:val="007009DA"/>
    <w:rsid w:val="00707924"/>
    <w:rsid w:val="00714F3E"/>
    <w:rsid w:val="0074436A"/>
    <w:rsid w:val="00750510"/>
    <w:rsid w:val="007526DE"/>
    <w:rsid w:val="00780760"/>
    <w:rsid w:val="007814E4"/>
    <w:rsid w:val="00791AA0"/>
    <w:rsid w:val="0079477A"/>
    <w:rsid w:val="0079508B"/>
    <w:rsid w:val="00795EAD"/>
    <w:rsid w:val="007A5E86"/>
    <w:rsid w:val="007C0F14"/>
    <w:rsid w:val="007C6F24"/>
    <w:rsid w:val="007D7227"/>
    <w:rsid w:val="007E0767"/>
    <w:rsid w:val="007E17CD"/>
    <w:rsid w:val="007E6F95"/>
    <w:rsid w:val="00804F33"/>
    <w:rsid w:val="00807790"/>
    <w:rsid w:val="008156AC"/>
    <w:rsid w:val="0083592E"/>
    <w:rsid w:val="00836C6B"/>
    <w:rsid w:val="0084560C"/>
    <w:rsid w:val="008521B6"/>
    <w:rsid w:val="00853F8B"/>
    <w:rsid w:val="0085714D"/>
    <w:rsid w:val="0086194D"/>
    <w:rsid w:val="00862585"/>
    <w:rsid w:val="00867F8C"/>
    <w:rsid w:val="008768B8"/>
    <w:rsid w:val="00885A80"/>
    <w:rsid w:val="00887BC3"/>
    <w:rsid w:val="00897D83"/>
    <w:rsid w:val="008A5F03"/>
    <w:rsid w:val="008B293A"/>
    <w:rsid w:val="008C01CC"/>
    <w:rsid w:val="008C1AB9"/>
    <w:rsid w:val="008C36A4"/>
    <w:rsid w:val="008F3191"/>
    <w:rsid w:val="00915D6A"/>
    <w:rsid w:val="009236CC"/>
    <w:rsid w:val="0093013D"/>
    <w:rsid w:val="00931583"/>
    <w:rsid w:val="009456A3"/>
    <w:rsid w:val="00966895"/>
    <w:rsid w:val="00990538"/>
    <w:rsid w:val="00994A76"/>
    <w:rsid w:val="00994BE0"/>
    <w:rsid w:val="009A7AF5"/>
    <w:rsid w:val="009C60C6"/>
    <w:rsid w:val="009E3001"/>
    <w:rsid w:val="009E64A2"/>
    <w:rsid w:val="009F31E9"/>
    <w:rsid w:val="009F7E75"/>
    <w:rsid w:val="00A00933"/>
    <w:rsid w:val="00A01399"/>
    <w:rsid w:val="00A05400"/>
    <w:rsid w:val="00A066C4"/>
    <w:rsid w:val="00A26B36"/>
    <w:rsid w:val="00A32CA3"/>
    <w:rsid w:val="00A42CB5"/>
    <w:rsid w:val="00A44D60"/>
    <w:rsid w:val="00A44F4B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593"/>
    <w:rsid w:val="00AF3889"/>
    <w:rsid w:val="00AF7DC4"/>
    <w:rsid w:val="00B0600F"/>
    <w:rsid w:val="00B2513D"/>
    <w:rsid w:val="00B2667C"/>
    <w:rsid w:val="00B318A6"/>
    <w:rsid w:val="00B663D2"/>
    <w:rsid w:val="00B67FEE"/>
    <w:rsid w:val="00B7654E"/>
    <w:rsid w:val="00B86432"/>
    <w:rsid w:val="00B931DD"/>
    <w:rsid w:val="00B96F68"/>
    <w:rsid w:val="00BC084F"/>
    <w:rsid w:val="00BD1AA1"/>
    <w:rsid w:val="00BE073A"/>
    <w:rsid w:val="00BE4E06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92D0A"/>
    <w:rsid w:val="00C9433A"/>
    <w:rsid w:val="00CA1533"/>
    <w:rsid w:val="00CA41D7"/>
    <w:rsid w:val="00CA63D7"/>
    <w:rsid w:val="00CA7912"/>
    <w:rsid w:val="00CB56A5"/>
    <w:rsid w:val="00CC0736"/>
    <w:rsid w:val="00CE358B"/>
    <w:rsid w:val="00CF78E3"/>
    <w:rsid w:val="00CF79F5"/>
    <w:rsid w:val="00D152BB"/>
    <w:rsid w:val="00D222B4"/>
    <w:rsid w:val="00D22933"/>
    <w:rsid w:val="00D500BC"/>
    <w:rsid w:val="00D51B36"/>
    <w:rsid w:val="00D71C79"/>
    <w:rsid w:val="00D73A51"/>
    <w:rsid w:val="00D74734"/>
    <w:rsid w:val="00D76C48"/>
    <w:rsid w:val="00DA761C"/>
    <w:rsid w:val="00DB586F"/>
    <w:rsid w:val="00DC7501"/>
    <w:rsid w:val="00DC7E8D"/>
    <w:rsid w:val="00DD7B80"/>
    <w:rsid w:val="00DE2CF4"/>
    <w:rsid w:val="00DE3D41"/>
    <w:rsid w:val="00DE417E"/>
    <w:rsid w:val="00DE4819"/>
    <w:rsid w:val="00DF7E5D"/>
    <w:rsid w:val="00E018AC"/>
    <w:rsid w:val="00E12BF9"/>
    <w:rsid w:val="00E25EF2"/>
    <w:rsid w:val="00E43140"/>
    <w:rsid w:val="00E50298"/>
    <w:rsid w:val="00E62472"/>
    <w:rsid w:val="00E754C2"/>
    <w:rsid w:val="00E93CF8"/>
    <w:rsid w:val="00EA5BA7"/>
    <w:rsid w:val="00EB05CA"/>
    <w:rsid w:val="00EB1BFD"/>
    <w:rsid w:val="00EC0BEB"/>
    <w:rsid w:val="00EC3153"/>
    <w:rsid w:val="00EE066B"/>
    <w:rsid w:val="00EE2412"/>
    <w:rsid w:val="00EF0956"/>
    <w:rsid w:val="00EFFE5A"/>
    <w:rsid w:val="00F06663"/>
    <w:rsid w:val="00F1033F"/>
    <w:rsid w:val="00F2053B"/>
    <w:rsid w:val="00F279F4"/>
    <w:rsid w:val="00F306AB"/>
    <w:rsid w:val="00F30717"/>
    <w:rsid w:val="00F35CD9"/>
    <w:rsid w:val="00F57EE3"/>
    <w:rsid w:val="00F73D9F"/>
    <w:rsid w:val="00F84E04"/>
    <w:rsid w:val="00F9564F"/>
    <w:rsid w:val="00FA3F8B"/>
    <w:rsid w:val="00FA5A0C"/>
    <w:rsid w:val="00FB07C6"/>
    <w:rsid w:val="00FB161D"/>
    <w:rsid w:val="00FC768D"/>
    <w:rsid w:val="00FE0CFE"/>
    <w:rsid w:val="00FE587D"/>
    <w:rsid w:val="00FF645A"/>
    <w:rsid w:val="00FF6554"/>
    <w:rsid w:val="01177C4F"/>
    <w:rsid w:val="012588B1"/>
    <w:rsid w:val="01C80679"/>
    <w:rsid w:val="01F4D4F6"/>
    <w:rsid w:val="0272A498"/>
    <w:rsid w:val="0339A677"/>
    <w:rsid w:val="03D6AFC3"/>
    <w:rsid w:val="04A96171"/>
    <w:rsid w:val="04CA72B6"/>
    <w:rsid w:val="057858A1"/>
    <w:rsid w:val="05AA455A"/>
    <w:rsid w:val="05E83715"/>
    <w:rsid w:val="05F8F9D4"/>
    <w:rsid w:val="062C38A3"/>
    <w:rsid w:val="074B7290"/>
    <w:rsid w:val="077E9CEA"/>
    <w:rsid w:val="07C80904"/>
    <w:rsid w:val="083F3583"/>
    <w:rsid w:val="0855697E"/>
    <w:rsid w:val="08E1E61C"/>
    <w:rsid w:val="090D9BBE"/>
    <w:rsid w:val="09477301"/>
    <w:rsid w:val="09889839"/>
    <w:rsid w:val="09E9D5CC"/>
    <w:rsid w:val="0A13D459"/>
    <w:rsid w:val="0A831352"/>
    <w:rsid w:val="0B53B427"/>
    <w:rsid w:val="0BC397BB"/>
    <w:rsid w:val="0BC4A9BC"/>
    <w:rsid w:val="0BEF6F84"/>
    <w:rsid w:val="0C00EF0E"/>
    <w:rsid w:val="0DBAB414"/>
    <w:rsid w:val="0E582C9F"/>
    <w:rsid w:val="0E965306"/>
    <w:rsid w:val="0EC4AB02"/>
    <w:rsid w:val="0EDBDC01"/>
    <w:rsid w:val="0F076EF5"/>
    <w:rsid w:val="0FADBE6C"/>
    <w:rsid w:val="10311F0B"/>
    <w:rsid w:val="107874D0"/>
    <w:rsid w:val="10F5C604"/>
    <w:rsid w:val="11B14BC5"/>
    <w:rsid w:val="11BFA511"/>
    <w:rsid w:val="122653DE"/>
    <w:rsid w:val="1258F0B2"/>
    <w:rsid w:val="128CE5F0"/>
    <w:rsid w:val="131B5D42"/>
    <w:rsid w:val="1344C61F"/>
    <w:rsid w:val="14263239"/>
    <w:rsid w:val="146B7CB5"/>
    <w:rsid w:val="15853291"/>
    <w:rsid w:val="15A92CF1"/>
    <w:rsid w:val="15D45405"/>
    <w:rsid w:val="1702E091"/>
    <w:rsid w:val="17750BE8"/>
    <w:rsid w:val="1776E3A8"/>
    <w:rsid w:val="184633B8"/>
    <w:rsid w:val="1967966A"/>
    <w:rsid w:val="1981EAB5"/>
    <w:rsid w:val="19F622D2"/>
    <w:rsid w:val="1A5497C5"/>
    <w:rsid w:val="1A67FF87"/>
    <w:rsid w:val="1A800EBF"/>
    <w:rsid w:val="1AA13A8D"/>
    <w:rsid w:val="1BB3F721"/>
    <w:rsid w:val="1BBD2957"/>
    <w:rsid w:val="1C6D244B"/>
    <w:rsid w:val="1C9320FF"/>
    <w:rsid w:val="1CAE224B"/>
    <w:rsid w:val="1CFD30F5"/>
    <w:rsid w:val="1CFF74DA"/>
    <w:rsid w:val="1D88F214"/>
    <w:rsid w:val="1DA26746"/>
    <w:rsid w:val="1EC49AD1"/>
    <w:rsid w:val="1F9AD646"/>
    <w:rsid w:val="201484CD"/>
    <w:rsid w:val="20158B41"/>
    <w:rsid w:val="20A36097"/>
    <w:rsid w:val="20BA1BBE"/>
    <w:rsid w:val="2119599F"/>
    <w:rsid w:val="21398C60"/>
    <w:rsid w:val="21A4445B"/>
    <w:rsid w:val="2287EC91"/>
    <w:rsid w:val="22B9EF3D"/>
    <w:rsid w:val="22C2A5B3"/>
    <w:rsid w:val="22DEC4A5"/>
    <w:rsid w:val="2366D283"/>
    <w:rsid w:val="237986C2"/>
    <w:rsid w:val="23CCE8F2"/>
    <w:rsid w:val="24131BE0"/>
    <w:rsid w:val="2434F52F"/>
    <w:rsid w:val="24FE1EAA"/>
    <w:rsid w:val="251AB3F8"/>
    <w:rsid w:val="2529AFF3"/>
    <w:rsid w:val="25346033"/>
    <w:rsid w:val="25B845FA"/>
    <w:rsid w:val="25FCB80D"/>
    <w:rsid w:val="263BDBE5"/>
    <w:rsid w:val="2690DDDB"/>
    <w:rsid w:val="26A3D01A"/>
    <w:rsid w:val="2738E87B"/>
    <w:rsid w:val="27911EEF"/>
    <w:rsid w:val="27F19D11"/>
    <w:rsid w:val="2833CF88"/>
    <w:rsid w:val="2845C1F3"/>
    <w:rsid w:val="284F0F27"/>
    <w:rsid w:val="28E68D03"/>
    <w:rsid w:val="2962B812"/>
    <w:rsid w:val="29E12C95"/>
    <w:rsid w:val="29EADF88"/>
    <w:rsid w:val="2A601A82"/>
    <w:rsid w:val="2A899A67"/>
    <w:rsid w:val="2AC8BFB1"/>
    <w:rsid w:val="2B6D5C74"/>
    <w:rsid w:val="2B9D9729"/>
    <w:rsid w:val="2BD279AF"/>
    <w:rsid w:val="2D50CB97"/>
    <w:rsid w:val="2E120FB7"/>
    <w:rsid w:val="2E525745"/>
    <w:rsid w:val="2E8FD446"/>
    <w:rsid w:val="2EB9A416"/>
    <w:rsid w:val="2F4ECFFF"/>
    <w:rsid w:val="2F4FC97F"/>
    <w:rsid w:val="2FBBCD4F"/>
    <w:rsid w:val="30710CBF"/>
    <w:rsid w:val="31B4DDF1"/>
    <w:rsid w:val="31DEA25D"/>
    <w:rsid w:val="31F1DEEA"/>
    <w:rsid w:val="31F63E9D"/>
    <w:rsid w:val="3206FA07"/>
    <w:rsid w:val="32513ABC"/>
    <w:rsid w:val="32E0D179"/>
    <w:rsid w:val="3346AA7F"/>
    <w:rsid w:val="337D2C0A"/>
    <w:rsid w:val="34806CC0"/>
    <w:rsid w:val="34949B74"/>
    <w:rsid w:val="34BEA69B"/>
    <w:rsid w:val="3704C4F1"/>
    <w:rsid w:val="377720DA"/>
    <w:rsid w:val="381A1BA2"/>
    <w:rsid w:val="39ACE775"/>
    <w:rsid w:val="3AF3E27D"/>
    <w:rsid w:val="3AFD04FC"/>
    <w:rsid w:val="3B5EBC90"/>
    <w:rsid w:val="3B9833BF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B811D5"/>
    <w:rsid w:val="43EAB836"/>
    <w:rsid w:val="454BF0AF"/>
    <w:rsid w:val="465E1E77"/>
    <w:rsid w:val="46A25C69"/>
    <w:rsid w:val="46A68183"/>
    <w:rsid w:val="46FE5F93"/>
    <w:rsid w:val="470496AE"/>
    <w:rsid w:val="48E613D0"/>
    <w:rsid w:val="49C29BBC"/>
    <w:rsid w:val="4ACCD2EC"/>
    <w:rsid w:val="4B7ED330"/>
    <w:rsid w:val="4BA9FB5D"/>
    <w:rsid w:val="4C40064B"/>
    <w:rsid w:val="4C646804"/>
    <w:rsid w:val="4CF32F8F"/>
    <w:rsid w:val="4D7830FB"/>
    <w:rsid w:val="4DA81927"/>
    <w:rsid w:val="4DC64023"/>
    <w:rsid w:val="4E1B6D30"/>
    <w:rsid w:val="4E785D8C"/>
    <w:rsid w:val="4E94984F"/>
    <w:rsid w:val="4EC147B4"/>
    <w:rsid w:val="4EF0491B"/>
    <w:rsid w:val="4F9DCE36"/>
    <w:rsid w:val="5000BFEF"/>
    <w:rsid w:val="5039A481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59E4415"/>
    <w:rsid w:val="5650B169"/>
    <w:rsid w:val="571E7493"/>
    <w:rsid w:val="578F916E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03E726"/>
    <w:rsid w:val="5CDF183E"/>
    <w:rsid w:val="5D7E5073"/>
    <w:rsid w:val="5E1B147D"/>
    <w:rsid w:val="5E2C3425"/>
    <w:rsid w:val="5E94F574"/>
    <w:rsid w:val="5EDC5AC8"/>
    <w:rsid w:val="5EE866F7"/>
    <w:rsid w:val="5FEB82DC"/>
    <w:rsid w:val="6004AB39"/>
    <w:rsid w:val="60B3FAC2"/>
    <w:rsid w:val="614C98B4"/>
    <w:rsid w:val="621FD2A4"/>
    <w:rsid w:val="624982E9"/>
    <w:rsid w:val="6265E251"/>
    <w:rsid w:val="627B34DB"/>
    <w:rsid w:val="63D7D06D"/>
    <w:rsid w:val="648E393C"/>
    <w:rsid w:val="648E83E1"/>
    <w:rsid w:val="64A0D27E"/>
    <w:rsid w:val="64B4789E"/>
    <w:rsid w:val="64EA2A23"/>
    <w:rsid w:val="6540C441"/>
    <w:rsid w:val="66449065"/>
    <w:rsid w:val="66677292"/>
    <w:rsid w:val="670043F3"/>
    <w:rsid w:val="6703FF12"/>
    <w:rsid w:val="67F6F9DE"/>
    <w:rsid w:val="68281D1D"/>
    <w:rsid w:val="68D0C5A1"/>
    <w:rsid w:val="6915437B"/>
    <w:rsid w:val="691A3B8E"/>
    <w:rsid w:val="69926522"/>
    <w:rsid w:val="6A6E7AB2"/>
    <w:rsid w:val="6B462EF0"/>
    <w:rsid w:val="6D3458D9"/>
    <w:rsid w:val="6DE08E7E"/>
    <w:rsid w:val="6E119CBD"/>
    <w:rsid w:val="6E33DF9F"/>
    <w:rsid w:val="6E5D9042"/>
    <w:rsid w:val="6E7BDA4F"/>
    <w:rsid w:val="6E8EB381"/>
    <w:rsid w:val="6E98F9EF"/>
    <w:rsid w:val="6EFD7C2B"/>
    <w:rsid w:val="6F361AE2"/>
    <w:rsid w:val="6FAD6D1E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4B82C0"/>
    <w:rsid w:val="779DF7BB"/>
    <w:rsid w:val="77AB7F82"/>
    <w:rsid w:val="77DA3B14"/>
    <w:rsid w:val="77FB7DB4"/>
    <w:rsid w:val="791BE4E7"/>
    <w:rsid w:val="796ACE73"/>
    <w:rsid w:val="798AAD91"/>
    <w:rsid w:val="7A58097B"/>
    <w:rsid w:val="7ACC0553"/>
    <w:rsid w:val="7AFF60FD"/>
    <w:rsid w:val="7B326E61"/>
    <w:rsid w:val="7B919369"/>
    <w:rsid w:val="7BBF001F"/>
    <w:rsid w:val="7BE4395A"/>
    <w:rsid w:val="7BEA7C84"/>
    <w:rsid w:val="7C4A2A07"/>
    <w:rsid w:val="7CF264ED"/>
    <w:rsid w:val="7D134D58"/>
    <w:rsid w:val="7D2163D2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606</Words>
  <Characters>3581</Characters>
  <Application>Microsoft Office Word</Application>
  <DocSecurity>0</DocSecurity>
  <Lines>29</Lines>
  <Paragraphs>8</Paragraphs>
  <ScaleCrop>false</ScaleCrop>
  <Company>ČSÚ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13</cp:revision>
  <dcterms:created xsi:type="dcterms:W3CDTF">2021-04-16T09:15:00Z</dcterms:created>
  <dcterms:modified xsi:type="dcterms:W3CDTF">2021-04-16T11:26:00Z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